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2E8AD">
      <w:pPr>
        <w:jc w:val="center"/>
        <w:rPr>
          <w:b/>
          <w:bCs/>
          <w:color w:val="auto"/>
          <w:sz w:val="44"/>
          <w:szCs w:val="44"/>
        </w:rPr>
      </w:pPr>
    </w:p>
    <w:p w14:paraId="042E1511">
      <w:pPr>
        <w:jc w:val="center"/>
        <w:rPr>
          <w:b/>
          <w:bCs/>
          <w:color w:val="auto"/>
          <w:sz w:val="44"/>
          <w:szCs w:val="44"/>
        </w:rPr>
      </w:pPr>
    </w:p>
    <w:p w14:paraId="438C1C07">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hAnsi="宋体" w:eastAsia="宋体"/>
          <w:b/>
          <w:color w:val="auto"/>
          <w:spacing w:val="11"/>
          <w:sz w:val="44"/>
          <w:szCs w:val="44"/>
          <w:lang w:eastAsia="zh-CN"/>
        </w:rPr>
      </w:pPr>
      <w:r>
        <w:rPr>
          <w:rFonts w:hint="eastAsia" w:hAnsi="宋体"/>
          <w:b/>
          <w:color w:val="auto"/>
          <w:spacing w:val="11"/>
          <w:sz w:val="44"/>
          <w:szCs w:val="44"/>
          <w:lang w:eastAsia="zh-CN"/>
        </w:rPr>
        <w:t>江西省交通投资集团有限责任公司</w:t>
      </w:r>
    </w:p>
    <w:p w14:paraId="56ECFE4C">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eastAsia="宋体"/>
          <w:color w:val="auto"/>
          <w:spacing w:val="11"/>
          <w:kern w:val="0"/>
          <w:sz w:val="44"/>
          <w:szCs w:val="44"/>
          <w:lang w:val="en-US" w:eastAsia="zh-CN"/>
        </w:rPr>
      </w:pPr>
      <w:r>
        <w:rPr>
          <w:rFonts w:hint="eastAsia" w:hAnsi="宋体"/>
          <w:b/>
          <w:color w:val="auto"/>
          <w:spacing w:val="11"/>
          <w:sz w:val="44"/>
          <w:szCs w:val="44"/>
          <w:lang w:eastAsia="zh-CN"/>
        </w:rPr>
        <w:t>大广高速修水服务区提质升级改造项目</w:t>
      </w:r>
    </w:p>
    <w:p w14:paraId="1D81E0A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bCs/>
          <w:color w:val="auto"/>
          <w:spacing w:val="11"/>
          <w:sz w:val="48"/>
          <w:szCs w:val="48"/>
          <w:lang w:eastAsia="zh-CN"/>
        </w:rPr>
      </w:pPr>
      <w:r>
        <w:rPr>
          <w:rFonts w:hint="eastAsia" w:eastAsia="黑体"/>
          <w:b/>
          <w:bCs/>
          <w:color w:val="auto"/>
          <w:spacing w:val="11"/>
          <w:sz w:val="48"/>
          <w:szCs w:val="48"/>
          <w:lang w:eastAsia="zh-CN"/>
        </w:rPr>
        <w:t>安全评估报告</w:t>
      </w:r>
    </w:p>
    <w:p w14:paraId="512C91D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b/>
          <w:bCs/>
          <w:color w:val="auto"/>
          <w:sz w:val="44"/>
          <w:szCs w:val="44"/>
          <w:lang w:eastAsia="zh-CN"/>
        </w:rPr>
      </w:pPr>
      <w:r>
        <w:rPr>
          <w:rFonts w:hint="eastAsia"/>
          <w:b/>
          <w:bCs/>
          <w:color w:val="auto"/>
          <w:sz w:val="44"/>
          <w:szCs w:val="44"/>
          <w:lang w:eastAsia="zh-CN"/>
        </w:rPr>
        <w:t>（</w:t>
      </w:r>
      <w:r>
        <w:rPr>
          <w:rFonts w:hint="eastAsia"/>
          <w:b/>
          <w:bCs/>
          <w:color w:val="auto"/>
          <w:sz w:val="44"/>
          <w:szCs w:val="44"/>
          <w:lang w:val="en-US" w:eastAsia="zh-CN"/>
        </w:rPr>
        <w:t>终稿</w:t>
      </w:r>
      <w:r>
        <w:rPr>
          <w:rFonts w:hint="eastAsia"/>
          <w:b/>
          <w:bCs/>
          <w:color w:val="auto"/>
          <w:sz w:val="44"/>
          <w:szCs w:val="44"/>
          <w:lang w:eastAsia="zh-CN"/>
        </w:rPr>
        <w:t>）</w:t>
      </w:r>
    </w:p>
    <w:p w14:paraId="563667F4">
      <w:pPr>
        <w:jc w:val="center"/>
        <w:rPr>
          <w:b/>
          <w:bCs/>
          <w:color w:val="auto"/>
          <w:sz w:val="44"/>
          <w:szCs w:val="44"/>
        </w:rPr>
      </w:pPr>
    </w:p>
    <w:p w14:paraId="08F83B5E">
      <w:pPr>
        <w:jc w:val="center"/>
        <w:rPr>
          <w:b/>
          <w:bCs/>
          <w:color w:val="auto"/>
          <w:sz w:val="44"/>
          <w:szCs w:val="44"/>
        </w:rPr>
      </w:pPr>
    </w:p>
    <w:p w14:paraId="67778E35">
      <w:pPr>
        <w:jc w:val="center"/>
        <w:rPr>
          <w:b/>
          <w:bCs/>
          <w:color w:val="auto"/>
          <w:sz w:val="44"/>
          <w:szCs w:val="44"/>
        </w:rPr>
      </w:pPr>
    </w:p>
    <w:p w14:paraId="32152278">
      <w:pPr>
        <w:jc w:val="center"/>
        <w:rPr>
          <w:b/>
          <w:bCs/>
          <w:color w:val="auto"/>
          <w:sz w:val="44"/>
          <w:szCs w:val="44"/>
        </w:rPr>
      </w:pPr>
    </w:p>
    <w:p w14:paraId="454AF0B1">
      <w:pPr>
        <w:jc w:val="center"/>
        <w:rPr>
          <w:b/>
          <w:bCs/>
          <w:color w:val="auto"/>
          <w:sz w:val="44"/>
          <w:szCs w:val="44"/>
        </w:rPr>
      </w:pPr>
    </w:p>
    <w:p w14:paraId="12CC5DE2">
      <w:pPr>
        <w:jc w:val="center"/>
        <w:rPr>
          <w:rFonts w:hint="eastAsia"/>
          <w:b/>
          <w:bCs/>
          <w:color w:val="auto"/>
          <w:sz w:val="44"/>
          <w:szCs w:val="44"/>
        </w:rPr>
      </w:pPr>
    </w:p>
    <w:p w14:paraId="0E3D8694">
      <w:pPr>
        <w:jc w:val="center"/>
        <w:rPr>
          <w:rFonts w:hint="eastAsia"/>
          <w:b/>
          <w:bCs/>
          <w:color w:val="auto"/>
          <w:sz w:val="44"/>
          <w:szCs w:val="44"/>
        </w:rPr>
      </w:pPr>
      <w:bookmarkStart w:id="174" w:name="_GoBack"/>
      <w:bookmarkEnd w:id="174"/>
    </w:p>
    <w:p w14:paraId="11F1BE0E">
      <w:pPr>
        <w:jc w:val="center"/>
        <w:rPr>
          <w:rFonts w:hint="eastAsia"/>
          <w:b/>
          <w:bCs/>
          <w:color w:val="auto"/>
          <w:sz w:val="44"/>
          <w:szCs w:val="44"/>
        </w:rPr>
      </w:pPr>
    </w:p>
    <w:p w14:paraId="219CF900">
      <w:pPr>
        <w:jc w:val="center"/>
        <w:rPr>
          <w:rFonts w:hint="eastAsia"/>
          <w:b/>
          <w:bCs/>
          <w:color w:val="auto"/>
          <w:sz w:val="44"/>
          <w:szCs w:val="44"/>
        </w:rPr>
      </w:pPr>
    </w:p>
    <w:p w14:paraId="18F96905">
      <w:pPr>
        <w:pStyle w:val="51"/>
        <w:rPr>
          <w:rFonts w:hint="eastAsia"/>
          <w:b/>
          <w:bCs/>
          <w:color w:val="auto"/>
          <w:sz w:val="44"/>
          <w:szCs w:val="44"/>
        </w:rPr>
      </w:pPr>
    </w:p>
    <w:p w14:paraId="0CE74C3A">
      <w:pPr>
        <w:pStyle w:val="51"/>
        <w:rPr>
          <w:rFonts w:hint="eastAsia"/>
          <w:b/>
          <w:bCs/>
          <w:color w:val="auto"/>
          <w:sz w:val="44"/>
          <w:szCs w:val="44"/>
        </w:rPr>
      </w:pPr>
    </w:p>
    <w:p w14:paraId="69317BD6">
      <w:pPr>
        <w:pStyle w:val="51"/>
        <w:rPr>
          <w:rFonts w:hint="eastAsia"/>
          <w:b/>
          <w:bCs/>
          <w:color w:val="auto"/>
          <w:sz w:val="44"/>
          <w:szCs w:val="44"/>
        </w:rPr>
      </w:pPr>
    </w:p>
    <w:p w14:paraId="103A60AF">
      <w:pPr>
        <w:jc w:val="center"/>
        <w:rPr>
          <w:rFonts w:hint="eastAsia"/>
          <w:b/>
          <w:bCs/>
          <w:color w:val="auto"/>
          <w:sz w:val="44"/>
          <w:szCs w:val="44"/>
        </w:rPr>
      </w:pPr>
    </w:p>
    <w:p w14:paraId="735D228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r>
        <w:rPr>
          <w:rFonts w:hint="eastAsia" w:hAnsi="宋体"/>
          <w:b/>
          <w:color w:val="auto"/>
          <w:sz w:val="32"/>
          <w:szCs w:val="32"/>
        </w:rPr>
        <w:t>江西赣安安全生产科学技术咨询服务中心</w:t>
      </w:r>
    </w:p>
    <w:p w14:paraId="51E925F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color w:val="auto"/>
          <w:sz w:val="32"/>
        </w:rPr>
      </w:pPr>
      <w:r>
        <w:rPr>
          <w:b/>
          <w:color w:val="auto"/>
          <w:sz w:val="32"/>
          <w:szCs w:val="32"/>
        </w:rPr>
        <w:t>APJ-</w:t>
      </w:r>
      <w:r>
        <w:rPr>
          <w:rFonts w:hAnsi="宋体"/>
          <w:b/>
          <w:color w:val="auto"/>
          <w:sz w:val="32"/>
          <w:szCs w:val="32"/>
        </w:rPr>
        <w:t>（</w:t>
      </w:r>
      <w:r>
        <w:rPr>
          <w:rFonts w:hint="eastAsia" w:hAnsi="宋体"/>
          <w:b/>
          <w:color w:val="auto"/>
          <w:sz w:val="32"/>
          <w:szCs w:val="32"/>
        </w:rPr>
        <w:t>赣</w:t>
      </w:r>
      <w:r>
        <w:rPr>
          <w:rFonts w:hAnsi="宋体"/>
          <w:b/>
          <w:color w:val="auto"/>
          <w:sz w:val="32"/>
          <w:szCs w:val="32"/>
        </w:rPr>
        <w:t>）</w:t>
      </w:r>
      <w:r>
        <w:rPr>
          <w:b/>
          <w:color w:val="auto"/>
          <w:sz w:val="32"/>
          <w:szCs w:val="32"/>
        </w:rPr>
        <w:t>-</w:t>
      </w:r>
      <w:r>
        <w:rPr>
          <w:rFonts w:hint="eastAsia"/>
          <w:b/>
          <w:color w:val="auto"/>
          <w:sz w:val="32"/>
          <w:szCs w:val="32"/>
        </w:rPr>
        <w:t>002</w:t>
      </w:r>
    </w:p>
    <w:p w14:paraId="51C6312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Ansi="宋体"/>
          <w:b/>
          <w:bCs/>
          <w:color w:val="auto"/>
          <w:sz w:val="32"/>
        </w:rPr>
        <w:sectPr>
          <w:headerReference r:id="rId6" w:type="first"/>
          <w:headerReference r:id="rId5" w:type="default"/>
          <w:footerReference r:id="rId7" w:type="default"/>
          <w:pgSz w:w="11906" w:h="16838"/>
          <w:pgMar w:top="1417" w:right="1304" w:bottom="1417" w:left="1304" w:header="851" w:footer="992" w:gutter="0"/>
          <w:pgNumType w:fmt="decimal" w:start="1"/>
          <w:cols w:space="720" w:num="1"/>
          <w:titlePg/>
          <w:docGrid w:type="lines" w:linePitch="312" w:charSpace="0"/>
        </w:sectPr>
      </w:pPr>
      <w:r>
        <w:rPr>
          <w:b/>
          <w:bCs/>
          <w:color w:val="auto"/>
          <w:sz w:val="32"/>
        </w:rPr>
        <w:t>20</w:t>
      </w:r>
      <w:r>
        <w:rPr>
          <w:rFonts w:hint="eastAsia"/>
          <w:b/>
          <w:bCs/>
          <w:color w:val="auto"/>
          <w:sz w:val="32"/>
        </w:rPr>
        <w:t>2</w:t>
      </w:r>
      <w:r>
        <w:rPr>
          <w:rFonts w:hint="eastAsia"/>
          <w:b/>
          <w:bCs/>
          <w:color w:val="auto"/>
          <w:sz w:val="32"/>
          <w:lang w:val="en-US" w:eastAsia="zh-CN"/>
        </w:rPr>
        <w:t>4</w:t>
      </w:r>
      <w:r>
        <w:rPr>
          <w:rFonts w:hAnsi="宋体"/>
          <w:b/>
          <w:bCs/>
          <w:color w:val="auto"/>
          <w:sz w:val="32"/>
        </w:rPr>
        <w:t>年</w:t>
      </w:r>
      <w:r>
        <w:rPr>
          <w:rFonts w:hint="eastAsia"/>
          <w:b/>
          <w:bCs/>
          <w:color w:val="auto"/>
          <w:sz w:val="32"/>
          <w:lang w:val="en-US" w:eastAsia="zh-CN"/>
        </w:rPr>
        <w:t>12</w:t>
      </w:r>
      <w:r>
        <w:rPr>
          <w:rFonts w:hAnsi="宋体"/>
          <w:b/>
          <w:bCs/>
          <w:color w:val="auto"/>
          <w:sz w:val="32"/>
        </w:rPr>
        <w:t>月</w:t>
      </w:r>
      <w:r>
        <w:rPr>
          <w:rFonts w:hint="eastAsia" w:hAnsi="宋体"/>
          <w:b/>
          <w:bCs/>
          <w:color w:val="auto"/>
          <w:sz w:val="32"/>
          <w:lang w:val="en-US" w:eastAsia="zh-CN"/>
        </w:rPr>
        <w:t>17</w:t>
      </w:r>
      <w:r>
        <w:rPr>
          <w:rFonts w:hint="eastAsia" w:hAnsi="宋体"/>
          <w:b/>
          <w:bCs/>
          <w:color w:val="auto"/>
          <w:sz w:val="32"/>
        </w:rPr>
        <w:t>日</w:t>
      </w:r>
    </w:p>
    <w:p w14:paraId="184B9896">
      <w:pPr>
        <w:rPr>
          <w:rFonts w:hint="eastAsia"/>
          <w:b/>
          <w:bCs/>
          <w:color w:val="auto"/>
          <w:sz w:val="36"/>
          <w:szCs w:val="36"/>
        </w:rPr>
      </w:pPr>
    </w:p>
    <w:p w14:paraId="59442F5B">
      <w:pPr>
        <w:rPr>
          <w:rFonts w:hint="eastAsia"/>
          <w:b/>
          <w:bCs/>
          <w:color w:val="auto"/>
          <w:sz w:val="36"/>
          <w:szCs w:val="36"/>
        </w:rPr>
      </w:pPr>
    </w:p>
    <w:p w14:paraId="59D32AF6">
      <w:pPr>
        <w:spacing w:line="660" w:lineRule="exact"/>
        <w:jc w:val="center"/>
        <w:rPr>
          <w:rFonts w:hint="eastAsia" w:ascii="宋体" w:hAnsi="宋体"/>
          <w:b/>
          <w:bCs/>
          <w:color w:val="auto"/>
          <w:sz w:val="32"/>
          <w:szCs w:val="32"/>
        </w:rPr>
      </w:pPr>
    </w:p>
    <w:p w14:paraId="5E9119F2">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宋体" w:hAnsi="宋体" w:eastAsia="宋体"/>
          <w:b/>
          <w:bCs/>
          <w:color w:val="auto"/>
          <w:sz w:val="36"/>
          <w:szCs w:val="36"/>
          <w:lang w:eastAsia="zh-CN"/>
        </w:rPr>
      </w:pPr>
      <w:r>
        <w:rPr>
          <w:rFonts w:hint="eastAsia" w:ascii="宋体" w:hAnsi="宋体"/>
          <w:b/>
          <w:bCs/>
          <w:color w:val="auto"/>
          <w:sz w:val="36"/>
          <w:szCs w:val="36"/>
          <w:lang w:eastAsia="zh-CN"/>
        </w:rPr>
        <w:t>江西省交通投资集团有限责任公司</w:t>
      </w:r>
    </w:p>
    <w:p w14:paraId="4FCA0C30">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宋体" w:hAnsi="宋体" w:eastAsia="宋体"/>
          <w:b/>
          <w:bCs/>
          <w:color w:val="auto"/>
          <w:sz w:val="36"/>
          <w:szCs w:val="36"/>
          <w:lang w:val="en-US" w:eastAsia="zh-CN"/>
        </w:rPr>
      </w:pPr>
      <w:r>
        <w:rPr>
          <w:rFonts w:hint="eastAsia" w:ascii="宋体" w:hAnsi="宋体"/>
          <w:b/>
          <w:bCs/>
          <w:color w:val="auto"/>
          <w:sz w:val="36"/>
          <w:szCs w:val="36"/>
          <w:lang w:eastAsia="zh-CN"/>
        </w:rPr>
        <w:t>大广高速修水服务区提质升级改造项目</w:t>
      </w:r>
    </w:p>
    <w:p w14:paraId="2576C15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bCs/>
          <w:color w:val="auto"/>
          <w:sz w:val="44"/>
          <w:szCs w:val="44"/>
        </w:rPr>
      </w:pPr>
      <w:r>
        <w:rPr>
          <w:b/>
          <w:bCs/>
          <w:color w:val="auto"/>
          <w:sz w:val="44"/>
          <w:szCs w:val="44"/>
        </w:rPr>
        <w:t>安全</w:t>
      </w:r>
      <w:r>
        <w:rPr>
          <w:rFonts w:hint="eastAsia"/>
          <w:b/>
          <w:bCs/>
          <w:color w:val="auto"/>
          <w:sz w:val="44"/>
          <w:szCs w:val="44"/>
          <w:lang w:val="en-US" w:eastAsia="zh-CN"/>
        </w:rPr>
        <w:t>评估</w:t>
      </w:r>
      <w:r>
        <w:rPr>
          <w:b/>
          <w:bCs/>
          <w:color w:val="auto"/>
          <w:sz w:val="44"/>
          <w:szCs w:val="44"/>
        </w:rPr>
        <w:t>报告</w:t>
      </w:r>
    </w:p>
    <w:p w14:paraId="06E9D16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b/>
          <w:bCs/>
          <w:color w:val="auto"/>
          <w:sz w:val="32"/>
          <w:szCs w:val="32"/>
          <w:lang w:eastAsia="zh-CN"/>
        </w:rPr>
      </w:pPr>
      <w:r>
        <w:rPr>
          <w:rFonts w:hint="eastAsia"/>
          <w:b/>
          <w:bCs/>
          <w:color w:val="auto"/>
          <w:sz w:val="32"/>
          <w:szCs w:val="32"/>
          <w:lang w:eastAsia="zh-CN"/>
        </w:rPr>
        <w:t>（</w:t>
      </w:r>
      <w:r>
        <w:rPr>
          <w:rFonts w:hint="eastAsia"/>
          <w:b/>
          <w:bCs/>
          <w:color w:val="auto"/>
          <w:sz w:val="32"/>
          <w:szCs w:val="32"/>
          <w:lang w:val="en-US" w:eastAsia="zh-CN"/>
        </w:rPr>
        <w:t>终稿</w:t>
      </w:r>
      <w:r>
        <w:rPr>
          <w:rFonts w:hint="eastAsia"/>
          <w:b/>
          <w:bCs/>
          <w:color w:val="auto"/>
          <w:sz w:val="32"/>
          <w:szCs w:val="32"/>
          <w:lang w:eastAsia="zh-CN"/>
        </w:rPr>
        <w:t>）</w:t>
      </w:r>
    </w:p>
    <w:p w14:paraId="7378F660">
      <w:pPr>
        <w:keepNext w:val="0"/>
        <w:keepLines w:val="0"/>
        <w:pageBreakBefore w:val="0"/>
        <w:widowControl w:val="0"/>
        <w:kinsoku/>
        <w:wordWrap/>
        <w:overflowPunct/>
        <w:topLinePunct w:val="0"/>
        <w:autoSpaceDE/>
        <w:autoSpaceDN/>
        <w:bidi w:val="0"/>
        <w:adjustRightInd/>
        <w:snapToGrid/>
        <w:ind w:firstLine="0" w:firstLineChars="0"/>
        <w:textAlignment w:val="auto"/>
        <w:rPr>
          <w:color w:val="auto"/>
        </w:rPr>
      </w:pPr>
    </w:p>
    <w:p w14:paraId="4163D6F2">
      <w:pPr>
        <w:pageBreakBefore w:val="0"/>
        <w:widowControl w:val="0"/>
        <w:kinsoku/>
        <w:wordWrap/>
        <w:overflowPunct/>
        <w:topLinePunct w:val="0"/>
        <w:autoSpaceDE/>
        <w:autoSpaceDN/>
        <w:bidi w:val="0"/>
        <w:ind w:firstLine="0" w:firstLineChars="0"/>
        <w:jc w:val="center"/>
        <w:rPr>
          <w:rFonts w:hint="eastAsia"/>
          <w:bCs/>
          <w:color w:val="auto"/>
          <w:sz w:val="28"/>
          <w:szCs w:val="28"/>
        </w:rPr>
      </w:pPr>
    </w:p>
    <w:p w14:paraId="1D2197C3">
      <w:pPr>
        <w:pageBreakBefore w:val="0"/>
        <w:widowControl w:val="0"/>
        <w:kinsoku/>
        <w:wordWrap/>
        <w:overflowPunct/>
        <w:topLinePunct w:val="0"/>
        <w:autoSpaceDE/>
        <w:autoSpaceDN/>
        <w:bidi w:val="0"/>
        <w:ind w:firstLine="0" w:firstLineChars="0"/>
        <w:jc w:val="center"/>
        <w:rPr>
          <w:rFonts w:hint="eastAsia"/>
          <w:bCs/>
          <w:color w:val="auto"/>
          <w:sz w:val="28"/>
          <w:szCs w:val="28"/>
        </w:rPr>
      </w:pPr>
    </w:p>
    <w:p w14:paraId="28387343">
      <w:pPr>
        <w:pStyle w:val="55"/>
        <w:pageBreakBefore w:val="0"/>
        <w:widowControl w:val="0"/>
        <w:kinsoku/>
        <w:wordWrap/>
        <w:overflowPunct/>
        <w:topLinePunct w:val="0"/>
        <w:autoSpaceDE/>
        <w:autoSpaceDN/>
        <w:bidi w:val="0"/>
        <w:ind w:firstLine="0" w:firstLineChars="0"/>
        <w:rPr>
          <w:rFonts w:hint="eastAsia"/>
          <w:color w:val="auto"/>
          <w:sz w:val="28"/>
          <w:szCs w:val="28"/>
        </w:rPr>
      </w:pPr>
    </w:p>
    <w:p w14:paraId="7679841A">
      <w:pPr>
        <w:pageBreakBefore w:val="0"/>
        <w:widowControl w:val="0"/>
        <w:kinsoku/>
        <w:wordWrap/>
        <w:overflowPunct/>
        <w:topLinePunct w:val="0"/>
        <w:autoSpaceDE/>
        <w:autoSpaceDN/>
        <w:bidi w:val="0"/>
        <w:ind w:firstLine="0" w:firstLineChars="0"/>
        <w:rPr>
          <w:rFonts w:hint="eastAsia"/>
          <w:color w:val="auto"/>
        </w:rPr>
      </w:pPr>
    </w:p>
    <w:p w14:paraId="3A54906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8"/>
          <w:szCs w:val="28"/>
        </w:rPr>
      </w:pPr>
    </w:p>
    <w:p w14:paraId="64053B0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8"/>
          <w:szCs w:val="28"/>
        </w:rPr>
      </w:pPr>
      <w:r>
        <w:rPr>
          <w:color w:val="auto"/>
          <w:sz w:val="28"/>
          <w:szCs w:val="28"/>
        </w:rPr>
        <w:t>法定代表人：</w:t>
      </w:r>
      <w:r>
        <w:rPr>
          <w:rFonts w:hint="eastAsia"/>
          <w:color w:val="auto"/>
          <w:sz w:val="28"/>
          <w:szCs w:val="28"/>
        </w:rPr>
        <w:t>应  宏</w:t>
      </w:r>
    </w:p>
    <w:p w14:paraId="34D4C8B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8"/>
          <w:szCs w:val="28"/>
        </w:rPr>
      </w:pPr>
      <w:r>
        <w:rPr>
          <w:color w:val="auto"/>
          <w:sz w:val="28"/>
          <w:szCs w:val="28"/>
        </w:rPr>
        <w:t>技术负责人：</w:t>
      </w:r>
      <w:r>
        <w:rPr>
          <w:rFonts w:hint="eastAsia"/>
          <w:color w:val="auto"/>
          <w:sz w:val="28"/>
          <w:szCs w:val="28"/>
        </w:rPr>
        <w:t>周红波</w:t>
      </w:r>
    </w:p>
    <w:p w14:paraId="3CD5BF6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8"/>
          <w:szCs w:val="28"/>
        </w:rPr>
      </w:pPr>
      <w:r>
        <w:rPr>
          <w:color w:val="auto"/>
          <w:sz w:val="28"/>
          <w:szCs w:val="28"/>
        </w:rPr>
        <w:t>项目负责人：</w:t>
      </w:r>
      <w:r>
        <w:rPr>
          <w:rFonts w:hint="eastAsia"/>
          <w:color w:val="auto"/>
          <w:sz w:val="28"/>
          <w:szCs w:val="28"/>
        </w:rPr>
        <w:t>谢寒梅</w:t>
      </w:r>
    </w:p>
    <w:p w14:paraId="0CECAF0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color w:val="auto"/>
          <w:sz w:val="48"/>
        </w:rPr>
      </w:pPr>
    </w:p>
    <w:p w14:paraId="6DB145A3">
      <w:pPr>
        <w:pageBreakBefore w:val="0"/>
        <w:widowControl w:val="0"/>
        <w:kinsoku/>
        <w:wordWrap/>
        <w:overflowPunct/>
        <w:topLinePunct w:val="0"/>
        <w:autoSpaceDE/>
        <w:autoSpaceDN/>
        <w:bidi w:val="0"/>
        <w:ind w:firstLine="0" w:firstLineChars="0"/>
        <w:rPr>
          <w:rFonts w:hint="eastAsia"/>
          <w:color w:val="auto"/>
        </w:rPr>
      </w:pPr>
    </w:p>
    <w:p w14:paraId="4A32235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color w:val="auto"/>
          <w:sz w:val="24"/>
        </w:rPr>
      </w:pPr>
      <w:r>
        <w:rPr>
          <w:b/>
          <w:color w:val="auto"/>
          <w:kern w:val="0"/>
          <w:sz w:val="24"/>
        </w:rPr>
        <w:t>报告完成</w:t>
      </w:r>
      <w:r>
        <w:rPr>
          <w:rFonts w:hint="eastAsia"/>
          <w:b/>
          <w:color w:val="auto"/>
          <w:kern w:val="0"/>
          <w:sz w:val="24"/>
        </w:rPr>
        <w:t>时间</w:t>
      </w:r>
      <w:r>
        <w:rPr>
          <w:b/>
          <w:color w:val="auto"/>
          <w:kern w:val="0"/>
          <w:sz w:val="24"/>
        </w:rPr>
        <w:t>：20</w:t>
      </w:r>
      <w:r>
        <w:rPr>
          <w:rFonts w:hint="eastAsia"/>
          <w:b/>
          <w:color w:val="auto"/>
          <w:kern w:val="0"/>
          <w:sz w:val="24"/>
        </w:rPr>
        <w:t>2</w:t>
      </w:r>
      <w:r>
        <w:rPr>
          <w:rFonts w:hint="eastAsia"/>
          <w:b/>
          <w:color w:val="auto"/>
          <w:kern w:val="0"/>
          <w:sz w:val="24"/>
          <w:lang w:val="en-US" w:eastAsia="zh-CN"/>
        </w:rPr>
        <w:t>4</w:t>
      </w:r>
      <w:r>
        <w:rPr>
          <w:b/>
          <w:color w:val="auto"/>
          <w:kern w:val="0"/>
          <w:sz w:val="24"/>
        </w:rPr>
        <w:t>年</w:t>
      </w:r>
      <w:r>
        <w:rPr>
          <w:rFonts w:hint="eastAsia"/>
          <w:b/>
          <w:color w:val="auto"/>
          <w:kern w:val="0"/>
          <w:sz w:val="24"/>
          <w:lang w:val="en-US" w:eastAsia="zh-CN"/>
        </w:rPr>
        <w:t>12</w:t>
      </w:r>
      <w:r>
        <w:rPr>
          <w:b/>
          <w:color w:val="auto"/>
          <w:kern w:val="0"/>
          <w:sz w:val="24"/>
        </w:rPr>
        <w:t>月</w:t>
      </w:r>
      <w:r>
        <w:rPr>
          <w:rFonts w:hint="eastAsia"/>
          <w:b/>
          <w:color w:val="auto"/>
          <w:kern w:val="0"/>
          <w:sz w:val="24"/>
          <w:lang w:val="en-US" w:eastAsia="zh-CN"/>
        </w:rPr>
        <w:t>17</w:t>
      </w:r>
      <w:r>
        <w:rPr>
          <w:rFonts w:hint="eastAsia"/>
          <w:b/>
          <w:color w:val="auto"/>
          <w:kern w:val="0"/>
          <w:sz w:val="24"/>
        </w:rPr>
        <w:t>日</w:t>
      </w:r>
    </w:p>
    <w:p w14:paraId="49A102FC">
      <w:pPr>
        <w:jc w:val="center"/>
        <w:rPr>
          <w:b/>
          <w:color w:val="auto"/>
          <w:sz w:val="24"/>
        </w:rPr>
      </w:pPr>
    </w:p>
    <w:p w14:paraId="70C120F3">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b/>
          <w:color w:val="auto"/>
          <w:sz w:val="24"/>
        </w:rPr>
      </w:pPr>
      <w:r>
        <w:rPr>
          <w:b/>
          <w:color w:val="auto"/>
          <w:sz w:val="24"/>
        </w:rPr>
        <w:br w:type="page"/>
      </w:r>
    </w:p>
    <w:p w14:paraId="0578FE9F">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b/>
          <w:color w:val="auto"/>
          <w:sz w:val="24"/>
        </w:rPr>
      </w:pPr>
    </w:p>
    <w:p w14:paraId="11B339B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b/>
          <w:color w:val="auto"/>
          <w:kern w:val="0"/>
          <w:sz w:val="36"/>
          <w:szCs w:val="36"/>
          <w:lang w:eastAsia="zh-CN"/>
        </w:rPr>
      </w:pPr>
      <w:r>
        <w:rPr>
          <w:rFonts w:hint="eastAsia" w:ascii="宋体" w:hAnsi="宋体" w:cs="宋体"/>
          <w:b/>
          <w:color w:val="auto"/>
          <w:kern w:val="0"/>
          <w:sz w:val="36"/>
          <w:szCs w:val="36"/>
          <w:lang w:eastAsia="zh-CN"/>
        </w:rPr>
        <w:t>江西省交通投资集团有限责任公司</w:t>
      </w:r>
    </w:p>
    <w:p w14:paraId="5E6E2CD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eastAsia="宋体" w:cs="宋体"/>
          <w:b/>
          <w:color w:val="auto"/>
          <w:kern w:val="0"/>
          <w:sz w:val="36"/>
          <w:szCs w:val="36"/>
          <w:lang w:val="en-US" w:eastAsia="zh-CN"/>
        </w:rPr>
      </w:pPr>
      <w:r>
        <w:rPr>
          <w:rFonts w:hint="eastAsia" w:ascii="宋体" w:hAnsi="宋体" w:cs="宋体"/>
          <w:b/>
          <w:color w:val="auto"/>
          <w:kern w:val="0"/>
          <w:sz w:val="36"/>
          <w:szCs w:val="36"/>
          <w:lang w:eastAsia="zh-CN"/>
        </w:rPr>
        <w:t>大广高速修水服务区提质升级改造项目</w:t>
      </w:r>
    </w:p>
    <w:p w14:paraId="78F6D42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ascii="宋体" w:hAnsi="宋体" w:cs="宋体"/>
          <w:b/>
          <w:color w:val="auto"/>
          <w:kern w:val="0"/>
          <w:sz w:val="36"/>
          <w:szCs w:val="36"/>
        </w:rPr>
      </w:pPr>
      <w:r>
        <w:rPr>
          <w:rFonts w:hint="eastAsia" w:ascii="宋体" w:hAnsi="宋体" w:cs="宋体"/>
          <w:b/>
          <w:color w:val="auto"/>
          <w:kern w:val="0"/>
          <w:sz w:val="36"/>
          <w:szCs w:val="36"/>
        </w:rPr>
        <w:t>安全</w:t>
      </w:r>
      <w:r>
        <w:rPr>
          <w:rFonts w:ascii="宋体" w:hAnsi="宋体" w:cs="宋体"/>
          <w:b/>
          <w:color w:val="auto"/>
          <w:kern w:val="0"/>
          <w:sz w:val="36"/>
          <w:szCs w:val="36"/>
        </w:rPr>
        <w:t>评价</w:t>
      </w:r>
      <w:r>
        <w:rPr>
          <w:rFonts w:hint="eastAsia" w:ascii="宋体" w:hAnsi="宋体" w:cs="宋体"/>
          <w:b/>
          <w:color w:val="auto"/>
          <w:kern w:val="0"/>
          <w:sz w:val="36"/>
          <w:szCs w:val="36"/>
        </w:rPr>
        <w:t>技术服务</w:t>
      </w:r>
      <w:r>
        <w:rPr>
          <w:rFonts w:ascii="宋体" w:hAnsi="宋体" w:cs="宋体"/>
          <w:b/>
          <w:color w:val="auto"/>
          <w:kern w:val="0"/>
          <w:sz w:val="36"/>
          <w:szCs w:val="36"/>
        </w:rPr>
        <w:t>承诺书</w:t>
      </w:r>
    </w:p>
    <w:p w14:paraId="05381E20">
      <w:pPr>
        <w:widowControl/>
        <w:wordWrap w:val="0"/>
        <w:spacing w:line="425" w:lineRule="auto"/>
        <w:jc w:val="left"/>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 xml:space="preserve">一、在本项目安全评价活动过程中，我单位严格遵守《安全生产法》及相关法律、法规和标准的要求。   </w:t>
      </w:r>
    </w:p>
    <w:p w14:paraId="5EB0A9A0">
      <w:pPr>
        <w:widowControl/>
        <w:wordWrap w:val="0"/>
        <w:spacing w:line="425" w:lineRule="auto"/>
        <w:ind w:left="0" w:leftChars="0" w:firstLine="640" w:firstLineChars="200"/>
        <w:jc w:val="left"/>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二、在本项目安全评价活动过程中，我单位作为第三方，未受到任何组织和个人的干预和影响，依法独立开展工作，保证了技术服务活动的客观公正性。</w:t>
      </w:r>
    </w:p>
    <w:p w14:paraId="53560CCA">
      <w:pPr>
        <w:widowControl/>
        <w:wordWrap w:val="0"/>
        <w:spacing w:line="425" w:lineRule="auto"/>
        <w:ind w:firstLine="640" w:firstLineChars="200"/>
        <w:jc w:val="left"/>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三、我单位按照实事求是的原则，对本项目进行安全评价，确保出具的报告均真实有效，报告所提出的措施具有针对性、有效性和可行性。</w:t>
      </w:r>
    </w:p>
    <w:p w14:paraId="0FFD7890">
      <w:pPr>
        <w:widowControl/>
        <w:wordWrap w:val="0"/>
        <w:spacing w:line="425" w:lineRule="auto"/>
        <w:ind w:firstLine="640" w:firstLineChars="200"/>
        <w:jc w:val="left"/>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 xml:space="preserve">四、我单位对本项目安全评价报告中结论性内容承担法律责任。 </w:t>
      </w:r>
    </w:p>
    <w:p w14:paraId="23213612">
      <w:pPr>
        <w:widowControl/>
        <w:wordWrap w:val="0"/>
        <w:spacing w:before="100" w:beforeAutospacing="1" w:after="100" w:afterAutospacing="1" w:line="425" w:lineRule="auto"/>
        <w:ind w:firstLine="480"/>
        <w:jc w:val="left"/>
        <w:rPr>
          <w:rFonts w:hint="eastAsia" w:ascii="宋体" w:hAnsi="宋体" w:cs="宋体"/>
          <w:color w:val="auto"/>
          <w:kern w:val="0"/>
          <w:sz w:val="32"/>
          <w:szCs w:val="32"/>
        </w:rPr>
      </w:pPr>
      <w:r>
        <w:rPr>
          <w:rFonts w:hint="eastAsia" w:ascii="宋体" w:hAnsi="宋体" w:cs="宋体"/>
          <w:color w:val="auto"/>
          <w:kern w:val="0"/>
          <w:sz w:val="32"/>
          <w:szCs w:val="32"/>
        </w:rPr>
        <w:t xml:space="preserve">                      </w:t>
      </w:r>
    </w:p>
    <w:p w14:paraId="0EE58B9E">
      <w:pPr>
        <w:widowControl/>
        <w:wordWrap w:val="0"/>
        <w:spacing w:before="100" w:beforeAutospacing="1" w:after="100" w:afterAutospacing="1" w:line="425" w:lineRule="auto"/>
        <w:ind w:firstLine="480"/>
        <w:jc w:val="right"/>
        <w:rPr>
          <w:rFonts w:hint="eastAsia" w:ascii="宋体" w:hAnsi="宋体" w:cs="宋体"/>
          <w:color w:val="auto"/>
          <w:kern w:val="0"/>
          <w:sz w:val="28"/>
          <w:szCs w:val="28"/>
        </w:rPr>
      </w:pPr>
      <w:r>
        <w:rPr>
          <w:rFonts w:hint="eastAsia" w:ascii="宋体" w:hAnsi="宋体" w:cs="宋体"/>
          <w:color w:val="auto"/>
          <w:kern w:val="0"/>
          <w:sz w:val="32"/>
          <w:szCs w:val="32"/>
        </w:rPr>
        <w:t xml:space="preserve">            </w:t>
      </w:r>
      <w:r>
        <w:rPr>
          <w:rFonts w:hint="eastAsia" w:ascii="宋体" w:hAnsi="宋体" w:cs="宋体"/>
          <w:color w:val="auto"/>
          <w:kern w:val="0"/>
          <w:sz w:val="28"/>
          <w:szCs w:val="28"/>
        </w:rPr>
        <w:t>江西赣安安全生产科学技术咨询服务中心</w:t>
      </w:r>
    </w:p>
    <w:p w14:paraId="28183B5D">
      <w:pPr>
        <w:widowControl/>
        <w:wordWrap w:val="0"/>
        <w:spacing w:before="100" w:beforeAutospacing="1" w:after="100" w:afterAutospacing="1" w:line="425" w:lineRule="auto"/>
        <w:ind w:firstLine="480"/>
        <w:jc w:val="right"/>
        <w:rPr>
          <w:rFonts w:ascii="宋体" w:hAnsi="宋体" w:cs="宋体"/>
          <w:color w:val="auto"/>
          <w:kern w:val="0"/>
          <w:sz w:val="28"/>
          <w:szCs w:val="28"/>
        </w:rPr>
      </w:pPr>
      <w:r>
        <w:rPr>
          <w:rFonts w:hint="eastAsia" w:ascii="宋体" w:hAnsi="宋体" w:cs="宋体"/>
          <w:color w:val="auto"/>
          <w:kern w:val="0"/>
          <w:sz w:val="28"/>
          <w:szCs w:val="28"/>
        </w:rPr>
        <w:t xml:space="preserve">              </w:t>
      </w:r>
      <w:r>
        <w:rPr>
          <w:rFonts w:ascii="宋体" w:hAnsi="宋体" w:cs="宋体"/>
          <w:color w:val="auto"/>
          <w:kern w:val="0"/>
          <w:sz w:val="28"/>
          <w:szCs w:val="28"/>
        </w:rPr>
        <w:t xml:space="preserve"> </w:t>
      </w:r>
      <w:r>
        <w:rPr>
          <w:rFonts w:hint="eastAsia" w:ascii="宋体" w:hAnsi="宋体" w:cs="宋体"/>
          <w:color w:val="auto"/>
          <w:kern w:val="0"/>
          <w:sz w:val="28"/>
          <w:szCs w:val="28"/>
        </w:rPr>
        <w:t xml:space="preserve">                     202</w:t>
      </w:r>
      <w:r>
        <w:rPr>
          <w:rFonts w:hint="eastAsia" w:ascii="宋体" w:hAnsi="宋体" w:cs="宋体"/>
          <w:color w:val="auto"/>
          <w:kern w:val="0"/>
          <w:sz w:val="28"/>
          <w:szCs w:val="28"/>
          <w:lang w:val="en-US" w:eastAsia="zh-CN"/>
        </w:rPr>
        <w:t>4</w:t>
      </w:r>
      <w:r>
        <w:rPr>
          <w:rFonts w:ascii="宋体" w:hAnsi="宋体" w:cs="宋体"/>
          <w:color w:val="auto"/>
          <w:kern w:val="0"/>
          <w:sz w:val="28"/>
          <w:szCs w:val="28"/>
        </w:rPr>
        <w:t>年</w:t>
      </w:r>
      <w:r>
        <w:rPr>
          <w:rFonts w:hint="eastAsia" w:ascii="宋体" w:hAnsi="宋体" w:cs="宋体"/>
          <w:color w:val="auto"/>
          <w:kern w:val="0"/>
          <w:sz w:val="28"/>
          <w:szCs w:val="28"/>
          <w:lang w:val="en-US" w:eastAsia="zh-CN"/>
        </w:rPr>
        <w:t>12</w:t>
      </w:r>
      <w:r>
        <w:rPr>
          <w:rFonts w:ascii="宋体" w:hAnsi="宋体" w:cs="宋体"/>
          <w:color w:val="auto"/>
          <w:kern w:val="0"/>
          <w:sz w:val="28"/>
          <w:szCs w:val="28"/>
        </w:rPr>
        <w:t>月</w:t>
      </w:r>
      <w:r>
        <w:rPr>
          <w:rFonts w:hint="eastAsia" w:ascii="宋体" w:hAnsi="宋体" w:cs="宋体"/>
          <w:color w:val="auto"/>
          <w:kern w:val="0"/>
          <w:sz w:val="28"/>
          <w:szCs w:val="28"/>
          <w:lang w:val="en-US" w:eastAsia="zh-CN"/>
        </w:rPr>
        <w:t>17</w:t>
      </w:r>
      <w:r>
        <w:rPr>
          <w:rFonts w:ascii="宋体" w:hAnsi="宋体" w:cs="宋体"/>
          <w:color w:val="auto"/>
          <w:kern w:val="0"/>
          <w:sz w:val="28"/>
          <w:szCs w:val="28"/>
        </w:rPr>
        <w:t xml:space="preserve">日 </w:t>
      </w:r>
    </w:p>
    <w:p w14:paraId="28524CED">
      <w:pPr>
        <w:pStyle w:val="3"/>
        <w:jc w:val="center"/>
        <w:rPr>
          <w:rFonts w:ascii="微软雅黑" w:hAnsi="微软雅黑" w:eastAsia="微软雅黑"/>
          <w:color w:val="auto"/>
          <w:sz w:val="18"/>
          <w:szCs w:val="18"/>
        </w:rPr>
      </w:pPr>
      <w:r>
        <w:rPr>
          <w:rFonts w:cs="宋体"/>
          <w:color w:val="auto"/>
          <w:sz w:val="28"/>
          <w:szCs w:val="28"/>
        </w:rPr>
        <w:br w:type="page"/>
      </w:r>
      <w:r>
        <w:rPr>
          <w:rFonts w:hint="eastAsia" w:ascii="方正小标宋简体" w:hAnsi="微软雅黑" w:eastAsia="方正小标宋简体"/>
          <w:color w:val="auto"/>
          <w:sz w:val="44"/>
          <w:szCs w:val="44"/>
        </w:rPr>
        <w:t>规范安全生产中介行为的九条禁令</w:t>
      </w:r>
    </w:p>
    <w:p w14:paraId="64A03A51">
      <w:pPr>
        <w:pStyle w:val="3"/>
        <w:spacing w:before="0" w:beforeAutospacing="0" w:after="0" w:afterAutospacing="0"/>
        <w:jc w:val="center"/>
        <w:rPr>
          <w:rFonts w:hint="eastAsia" w:ascii="微软雅黑" w:hAnsi="微软雅黑" w:eastAsia="微软雅黑"/>
          <w:color w:val="auto"/>
          <w:sz w:val="18"/>
          <w:szCs w:val="18"/>
        </w:rPr>
      </w:pPr>
      <w:r>
        <w:rPr>
          <w:rFonts w:hint="eastAsia" w:ascii="微软雅黑" w:hAnsi="微软雅黑" w:eastAsia="微软雅黑"/>
          <w:color w:val="auto"/>
          <w:sz w:val="18"/>
          <w:szCs w:val="18"/>
        </w:rPr>
        <w:t xml:space="preserve">  </w:t>
      </w:r>
    </w:p>
    <w:p w14:paraId="79350764">
      <w:pPr>
        <w:ind w:firstLine="560" w:firstLineChars="200"/>
        <w:rPr>
          <w:rFonts w:hint="eastAsia"/>
          <w:color w:val="auto"/>
          <w:sz w:val="28"/>
          <w:szCs w:val="28"/>
        </w:rPr>
      </w:pPr>
      <w:r>
        <w:rPr>
          <w:rFonts w:hint="eastAsia"/>
          <w:color w:val="auto"/>
          <w:sz w:val="28"/>
          <w:szCs w:val="28"/>
        </w:rPr>
        <w:t xml:space="preserve">一、禁止从事安全生产和职业卫生服务的中介服务机构（以下统称中介机构）租借资质证书、非法挂靠、转包服务项目的行为； </w:t>
      </w:r>
    </w:p>
    <w:p w14:paraId="61C4B517">
      <w:pPr>
        <w:ind w:firstLine="560" w:firstLineChars="200"/>
        <w:rPr>
          <w:rFonts w:hint="eastAsia"/>
          <w:color w:val="auto"/>
          <w:sz w:val="28"/>
          <w:szCs w:val="28"/>
        </w:rPr>
      </w:pPr>
      <w:r>
        <w:rPr>
          <w:rFonts w:hint="eastAsia"/>
          <w:color w:val="auto"/>
          <w:sz w:val="28"/>
          <w:szCs w:val="28"/>
        </w:rPr>
        <w:t xml:space="preserve">二、禁止中介机构假借、冒用他人名义要求服务对象接受有偿服务，或者恶意低价竞争以及采取串标、围标等不正当竞争手段，扰乱技术服务市场秩序的行为； </w:t>
      </w:r>
    </w:p>
    <w:p w14:paraId="4A39D300">
      <w:pPr>
        <w:ind w:firstLine="560" w:firstLineChars="200"/>
        <w:rPr>
          <w:rFonts w:hint="eastAsia"/>
          <w:color w:val="auto"/>
          <w:sz w:val="28"/>
          <w:szCs w:val="28"/>
        </w:rPr>
      </w:pPr>
      <w:r>
        <w:rPr>
          <w:rFonts w:hint="eastAsia"/>
          <w:color w:val="auto"/>
          <w:sz w:val="28"/>
          <w:szCs w:val="28"/>
        </w:rPr>
        <w:t xml:space="preserve">三、禁止中介机构出具虚假或漏项、缺项技术报告的行为； </w:t>
      </w:r>
    </w:p>
    <w:p w14:paraId="01D2F777">
      <w:pPr>
        <w:ind w:firstLine="560" w:firstLineChars="200"/>
        <w:rPr>
          <w:rFonts w:hint="eastAsia"/>
          <w:color w:val="auto"/>
          <w:sz w:val="28"/>
          <w:szCs w:val="28"/>
        </w:rPr>
      </w:pPr>
      <w:r>
        <w:rPr>
          <w:rFonts w:hint="eastAsia"/>
          <w:color w:val="auto"/>
          <w:sz w:val="28"/>
          <w:szCs w:val="28"/>
        </w:rPr>
        <w:t xml:space="preserve">四、禁止中介机构出租、出借资格证书、在报告上冒用他人签名的行为； </w:t>
      </w:r>
    </w:p>
    <w:p w14:paraId="56C22071">
      <w:pPr>
        <w:ind w:firstLine="560" w:firstLineChars="200"/>
        <w:rPr>
          <w:rFonts w:hint="eastAsia"/>
          <w:color w:val="auto"/>
          <w:sz w:val="28"/>
          <w:szCs w:val="28"/>
        </w:rPr>
      </w:pPr>
      <w:r>
        <w:rPr>
          <w:rFonts w:hint="eastAsia"/>
          <w:color w:val="auto"/>
          <w:sz w:val="28"/>
          <w:szCs w:val="28"/>
        </w:rPr>
        <w:t xml:space="preserve">五、禁止中介机构有应到而不到现场开展技术服务的行为； </w:t>
      </w:r>
    </w:p>
    <w:p w14:paraId="4D571032">
      <w:pPr>
        <w:ind w:firstLine="560" w:firstLineChars="200"/>
        <w:rPr>
          <w:rFonts w:hint="eastAsia"/>
          <w:color w:val="auto"/>
          <w:sz w:val="28"/>
          <w:szCs w:val="28"/>
        </w:rPr>
      </w:pPr>
      <w:r>
        <w:rPr>
          <w:rFonts w:hint="eastAsia"/>
          <w:color w:val="auto"/>
          <w:sz w:val="28"/>
          <w:szCs w:val="28"/>
        </w:rPr>
        <w:t xml:space="preserve">六、禁止安全生产监管部门及其工作人员要求生产经营单位接受指定的中介机构开展技术服务的行为； </w:t>
      </w:r>
    </w:p>
    <w:p w14:paraId="45EC7D6F">
      <w:pPr>
        <w:ind w:firstLine="560" w:firstLineChars="200"/>
        <w:rPr>
          <w:rFonts w:hint="eastAsia"/>
          <w:color w:val="auto"/>
          <w:sz w:val="28"/>
          <w:szCs w:val="28"/>
        </w:rPr>
      </w:pPr>
      <w:r>
        <w:rPr>
          <w:rFonts w:hint="eastAsia"/>
          <w:color w:val="auto"/>
          <w:sz w:val="28"/>
          <w:szCs w:val="28"/>
        </w:rPr>
        <w:t xml:space="preserve">七、禁止安全生产监管部门及其工作人员没有法律依据组织由生产经营单位或机构支付费用的行政性评审的行为； </w:t>
      </w:r>
    </w:p>
    <w:p w14:paraId="2AB5BA86">
      <w:pPr>
        <w:ind w:firstLine="560" w:firstLineChars="200"/>
        <w:rPr>
          <w:rFonts w:hint="eastAsia"/>
          <w:color w:val="auto"/>
          <w:sz w:val="28"/>
          <w:szCs w:val="28"/>
        </w:rPr>
      </w:pPr>
      <w:r>
        <w:rPr>
          <w:rFonts w:hint="eastAsia"/>
          <w:color w:val="auto"/>
          <w:sz w:val="28"/>
          <w:szCs w:val="28"/>
        </w:rPr>
        <w:t xml:space="preserve">八、禁止安全生产监管部门及其工作人员干预市场定价，违规擅自出台技术服务收费标准的行为； </w:t>
      </w:r>
    </w:p>
    <w:p w14:paraId="1373C967">
      <w:pPr>
        <w:ind w:firstLine="560" w:firstLineChars="200"/>
        <w:rPr>
          <w:color w:val="auto"/>
          <w:sz w:val="28"/>
          <w:szCs w:val="28"/>
        </w:rPr>
      </w:pPr>
      <w:r>
        <w:rPr>
          <w:rFonts w:hint="eastAsia"/>
          <w:color w:val="auto"/>
          <w:sz w:val="28"/>
          <w:szCs w:val="28"/>
        </w:rPr>
        <w:t>九、禁止安全生产监管部门及其工作人员参与、擅自干预中介机构从业活动，或者有获取不正当利益的行为。</w:t>
      </w:r>
    </w:p>
    <w:p w14:paraId="2BA65AC5">
      <w:pPr>
        <w:jc w:val="both"/>
        <w:rPr>
          <w:rFonts w:ascii="宋体" w:hAnsi="宋体" w:cs="宋体"/>
          <w:color w:val="auto"/>
          <w:kern w:val="0"/>
          <w:sz w:val="28"/>
          <w:szCs w:val="28"/>
        </w:rPr>
        <w:sectPr>
          <w:headerReference r:id="rId8" w:type="default"/>
          <w:footerReference r:id="rId9" w:type="default"/>
          <w:pgSz w:w="11906" w:h="16838"/>
          <w:pgMar w:top="1418" w:right="1418" w:bottom="1418" w:left="1418" w:header="851" w:footer="992" w:gutter="0"/>
          <w:pgNumType w:fmt="upperRoman"/>
          <w:cols w:space="720" w:num="1"/>
          <w:docGrid w:type="lines" w:linePitch="312" w:charSpace="0"/>
        </w:sectPr>
      </w:pPr>
      <w:r>
        <w:rPr>
          <w:rFonts w:ascii="宋体" w:hAnsi="宋体" w:cs="宋体"/>
          <w:color w:val="auto"/>
          <w:kern w:val="0"/>
          <w:sz w:val="28"/>
          <w:szCs w:val="28"/>
        </w:rPr>
        <w:br w:type="page"/>
      </w:r>
    </w:p>
    <w:p w14:paraId="461EF92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color w:val="auto"/>
          <w:sz w:val="32"/>
          <w:szCs w:val="32"/>
        </w:rPr>
      </w:pPr>
      <w:r>
        <w:rPr>
          <w:b/>
          <w:bCs/>
          <w:color w:val="auto"/>
          <w:sz w:val="32"/>
          <w:szCs w:val="32"/>
        </w:rPr>
        <w:t>评</w:t>
      </w:r>
      <w:r>
        <w:rPr>
          <w:rFonts w:hint="eastAsia"/>
          <w:b/>
          <w:bCs/>
          <w:color w:val="auto"/>
          <w:sz w:val="32"/>
          <w:szCs w:val="32"/>
        </w:rPr>
        <w:t xml:space="preserve"> </w:t>
      </w:r>
      <w:r>
        <w:rPr>
          <w:b/>
          <w:bCs/>
          <w:color w:val="auto"/>
          <w:sz w:val="32"/>
          <w:szCs w:val="32"/>
        </w:rPr>
        <w:t>价</w:t>
      </w:r>
      <w:r>
        <w:rPr>
          <w:rFonts w:hint="eastAsia"/>
          <w:b/>
          <w:bCs/>
          <w:color w:val="auto"/>
          <w:sz w:val="32"/>
          <w:szCs w:val="32"/>
        </w:rPr>
        <w:t xml:space="preserve"> </w:t>
      </w:r>
      <w:r>
        <w:rPr>
          <w:b/>
          <w:bCs/>
          <w:color w:val="auto"/>
          <w:sz w:val="32"/>
          <w:szCs w:val="32"/>
        </w:rPr>
        <w:t>人</w:t>
      </w:r>
      <w:r>
        <w:rPr>
          <w:rFonts w:hint="eastAsia"/>
          <w:b/>
          <w:bCs/>
          <w:color w:val="auto"/>
          <w:sz w:val="32"/>
          <w:szCs w:val="32"/>
        </w:rPr>
        <w:t xml:space="preserve"> </w:t>
      </w:r>
      <w:r>
        <w:rPr>
          <w:b/>
          <w:bCs/>
          <w:color w:val="auto"/>
          <w:sz w:val="32"/>
          <w:szCs w:val="32"/>
        </w:rPr>
        <w:t>员</w:t>
      </w:r>
    </w:p>
    <w:tbl>
      <w:tblPr>
        <w:tblStyle w:val="33"/>
        <w:tblW w:w="899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07"/>
        <w:gridCol w:w="1078"/>
        <w:gridCol w:w="3023"/>
        <w:gridCol w:w="1441"/>
        <w:gridCol w:w="1442"/>
      </w:tblGrid>
      <w:tr w14:paraId="085B01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7" w:hRule="atLeast"/>
          <w:jc w:val="center"/>
        </w:trPr>
        <w:tc>
          <w:tcPr>
            <w:tcW w:w="2007" w:type="dxa"/>
            <w:noWrap w:val="0"/>
            <w:vAlign w:val="center"/>
          </w:tcPr>
          <w:p w14:paraId="258837A2">
            <w:pPr>
              <w:ind w:firstLine="0" w:firstLineChars="0"/>
              <w:jc w:val="center"/>
              <w:rPr>
                <w:color w:val="auto"/>
                <w:sz w:val="24"/>
              </w:rPr>
            </w:pPr>
          </w:p>
        </w:tc>
        <w:tc>
          <w:tcPr>
            <w:tcW w:w="1078" w:type="dxa"/>
            <w:noWrap w:val="0"/>
            <w:vAlign w:val="center"/>
          </w:tcPr>
          <w:p w14:paraId="48173FA6">
            <w:pPr>
              <w:spacing w:line="240" w:lineRule="auto"/>
              <w:ind w:firstLine="0" w:firstLineChars="0"/>
              <w:jc w:val="center"/>
              <w:rPr>
                <w:color w:val="auto"/>
                <w:sz w:val="24"/>
              </w:rPr>
            </w:pPr>
            <w:r>
              <w:rPr>
                <w:color w:val="auto"/>
                <w:sz w:val="24"/>
              </w:rPr>
              <w:t>姓名</w:t>
            </w:r>
          </w:p>
        </w:tc>
        <w:tc>
          <w:tcPr>
            <w:tcW w:w="3023" w:type="dxa"/>
            <w:noWrap w:val="0"/>
            <w:vAlign w:val="center"/>
          </w:tcPr>
          <w:p w14:paraId="767459B4">
            <w:pPr>
              <w:spacing w:line="240" w:lineRule="auto"/>
              <w:ind w:firstLine="0" w:firstLineChars="0"/>
              <w:jc w:val="center"/>
              <w:rPr>
                <w:color w:val="auto"/>
                <w:sz w:val="24"/>
              </w:rPr>
            </w:pPr>
            <w:r>
              <w:rPr>
                <w:color w:val="auto"/>
                <w:sz w:val="24"/>
              </w:rPr>
              <w:t>职业资格证书编号</w:t>
            </w:r>
          </w:p>
        </w:tc>
        <w:tc>
          <w:tcPr>
            <w:tcW w:w="1441" w:type="dxa"/>
            <w:noWrap w:val="0"/>
            <w:vAlign w:val="center"/>
          </w:tcPr>
          <w:p w14:paraId="4ABBBB66">
            <w:pPr>
              <w:spacing w:line="240" w:lineRule="auto"/>
              <w:ind w:firstLine="0" w:firstLineChars="0"/>
              <w:jc w:val="center"/>
              <w:rPr>
                <w:color w:val="auto"/>
                <w:sz w:val="24"/>
              </w:rPr>
            </w:pPr>
            <w:r>
              <w:rPr>
                <w:color w:val="auto"/>
                <w:sz w:val="24"/>
              </w:rPr>
              <w:t>从业信息识别卡编号</w:t>
            </w:r>
          </w:p>
        </w:tc>
        <w:tc>
          <w:tcPr>
            <w:tcW w:w="1442" w:type="dxa"/>
            <w:noWrap w:val="0"/>
            <w:vAlign w:val="center"/>
          </w:tcPr>
          <w:p w14:paraId="0BABC22F">
            <w:pPr>
              <w:spacing w:line="240" w:lineRule="auto"/>
              <w:ind w:firstLine="0" w:firstLineChars="0"/>
              <w:jc w:val="center"/>
              <w:rPr>
                <w:color w:val="auto"/>
                <w:sz w:val="24"/>
              </w:rPr>
            </w:pPr>
            <w:r>
              <w:rPr>
                <w:color w:val="auto"/>
                <w:sz w:val="24"/>
              </w:rPr>
              <w:t>签字</w:t>
            </w:r>
          </w:p>
        </w:tc>
      </w:tr>
      <w:tr w14:paraId="1DEFE1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noWrap w:val="0"/>
            <w:vAlign w:val="center"/>
          </w:tcPr>
          <w:p w14:paraId="1FF2B1B4">
            <w:pPr>
              <w:spacing w:line="240" w:lineRule="auto"/>
              <w:ind w:firstLine="0" w:firstLineChars="0"/>
              <w:jc w:val="center"/>
              <w:rPr>
                <w:color w:val="auto"/>
                <w:sz w:val="24"/>
              </w:rPr>
            </w:pPr>
            <w:r>
              <w:rPr>
                <w:color w:val="auto"/>
                <w:sz w:val="24"/>
              </w:rPr>
              <w:t>项目负责人</w:t>
            </w:r>
          </w:p>
        </w:tc>
        <w:tc>
          <w:tcPr>
            <w:tcW w:w="1078" w:type="dxa"/>
            <w:noWrap w:val="0"/>
            <w:vAlign w:val="center"/>
          </w:tcPr>
          <w:p w14:paraId="5C5FCE01">
            <w:pPr>
              <w:spacing w:line="240" w:lineRule="auto"/>
              <w:ind w:firstLine="0" w:firstLineChars="0"/>
              <w:jc w:val="center"/>
              <w:rPr>
                <w:color w:val="auto"/>
                <w:sz w:val="24"/>
              </w:rPr>
            </w:pPr>
            <w:r>
              <w:rPr>
                <w:color w:val="auto"/>
                <w:sz w:val="24"/>
              </w:rPr>
              <w:t>谢寒梅</w:t>
            </w:r>
          </w:p>
        </w:tc>
        <w:tc>
          <w:tcPr>
            <w:tcW w:w="3023" w:type="dxa"/>
            <w:noWrap w:val="0"/>
            <w:vAlign w:val="center"/>
          </w:tcPr>
          <w:p w14:paraId="0B1F9CF4">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bCs/>
                <w:color w:val="auto"/>
                <w:sz w:val="24"/>
              </w:rPr>
              <w:t>S011035000110192001584</w:t>
            </w:r>
          </w:p>
        </w:tc>
        <w:tc>
          <w:tcPr>
            <w:tcW w:w="1441" w:type="dxa"/>
            <w:noWrap w:val="0"/>
            <w:vAlign w:val="center"/>
          </w:tcPr>
          <w:p w14:paraId="197D8FDD">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027089</w:t>
            </w:r>
          </w:p>
        </w:tc>
        <w:tc>
          <w:tcPr>
            <w:tcW w:w="1442" w:type="dxa"/>
            <w:noWrap w:val="0"/>
            <w:vAlign w:val="center"/>
          </w:tcPr>
          <w:p w14:paraId="0206799F">
            <w:pPr>
              <w:ind w:firstLine="0" w:firstLineChars="0"/>
              <w:jc w:val="center"/>
              <w:rPr>
                <w:color w:val="auto"/>
                <w:sz w:val="24"/>
              </w:rPr>
            </w:pPr>
          </w:p>
        </w:tc>
      </w:tr>
      <w:tr w14:paraId="125994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vMerge w:val="restart"/>
            <w:noWrap w:val="0"/>
            <w:vAlign w:val="center"/>
          </w:tcPr>
          <w:p w14:paraId="04202F50">
            <w:pPr>
              <w:spacing w:line="240" w:lineRule="auto"/>
              <w:ind w:firstLine="0" w:firstLineChars="0"/>
              <w:jc w:val="center"/>
              <w:rPr>
                <w:color w:val="auto"/>
                <w:sz w:val="24"/>
              </w:rPr>
            </w:pPr>
            <w:r>
              <w:rPr>
                <w:color w:val="auto"/>
                <w:sz w:val="24"/>
              </w:rPr>
              <w:t>项目组成员</w:t>
            </w:r>
          </w:p>
        </w:tc>
        <w:tc>
          <w:tcPr>
            <w:tcW w:w="1078" w:type="dxa"/>
            <w:noWrap w:val="0"/>
            <w:vAlign w:val="center"/>
          </w:tcPr>
          <w:p w14:paraId="25E4778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新宋体" w:cs="Times New Roman"/>
                <w:color w:val="auto"/>
                <w:kern w:val="2"/>
                <w:sz w:val="24"/>
                <w:szCs w:val="24"/>
                <w:lang w:val="en-US" w:eastAsia="zh-CN" w:bidi="ar-SA"/>
              </w:rPr>
            </w:pPr>
            <w:r>
              <w:rPr>
                <w:rFonts w:hint="eastAsia"/>
                <w:color w:val="auto"/>
                <w:sz w:val="24"/>
              </w:rPr>
              <w:t>谢寒梅</w:t>
            </w:r>
          </w:p>
        </w:tc>
        <w:tc>
          <w:tcPr>
            <w:tcW w:w="3023" w:type="dxa"/>
            <w:noWrap w:val="0"/>
            <w:vAlign w:val="center"/>
          </w:tcPr>
          <w:p w14:paraId="041C3FA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cs="Times New Roman"/>
                <w:color w:val="auto"/>
                <w:sz w:val="24"/>
              </w:rPr>
              <w:t>S011035000110192001584</w:t>
            </w:r>
          </w:p>
        </w:tc>
        <w:tc>
          <w:tcPr>
            <w:tcW w:w="1441" w:type="dxa"/>
            <w:noWrap w:val="0"/>
            <w:vAlign w:val="center"/>
          </w:tcPr>
          <w:p w14:paraId="2CB9C0E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cs="Times New Roman"/>
                <w:color w:val="auto"/>
                <w:sz w:val="24"/>
              </w:rPr>
              <w:t>027089</w:t>
            </w:r>
          </w:p>
        </w:tc>
        <w:tc>
          <w:tcPr>
            <w:tcW w:w="1442" w:type="dxa"/>
            <w:noWrap w:val="0"/>
            <w:vAlign w:val="center"/>
          </w:tcPr>
          <w:p w14:paraId="0D8DAC66">
            <w:pPr>
              <w:ind w:firstLine="0" w:firstLineChars="0"/>
              <w:jc w:val="center"/>
              <w:rPr>
                <w:color w:val="auto"/>
                <w:sz w:val="24"/>
              </w:rPr>
            </w:pPr>
          </w:p>
        </w:tc>
      </w:tr>
      <w:tr w14:paraId="66B467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vMerge w:val="continue"/>
            <w:noWrap w:val="0"/>
            <w:vAlign w:val="center"/>
          </w:tcPr>
          <w:p w14:paraId="073ED590">
            <w:pPr>
              <w:spacing w:line="240" w:lineRule="auto"/>
              <w:ind w:firstLine="0" w:firstLineChars="0"/>
              <w:jc w:val="center"/>
              <w:rPr>
                <w:color w:val="auto"/>
                <w:sz w:val="24"/>
              </w:rPr>
            </w:pPr>
          </w:p>
        </w:tc>
        <w:tc>
          <w:tcPr>
            <w:tcW w:w="1078" w:type="dxa"/>
            <w:noWrap w:val="0"/>
            <w:vAlign w:val="center"/>
          </w:tcPr>
          <w:p w14:paraId="7BE55C3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olor w:val="auto"/>
                <w:kern w:val="2"/>
                <w:sz w:val="24"/>
                <w:szCs w:val="24"/>
                <w:lang w:val="en-US" w:eastAsia="zh-CN" w:bidi="ar-SA"/>
              </w:rPr>
            </w:pPr>
            <w:r>
              <w:rPr>
                <w:rFonts w:hint="eastAsia"/>
                <w:color w:val="auto"/>
                <w:sz w:val="24"/>
                <w:lang w:val="en-US" w:eastAsia="zh-CN"/>
              </w:rPr>
              <w:t>黄香港</w:t>
            </w:r>
          </w:p>
        </w:tc>
        <w:tc>
          <w:tcPr>
            <w:tcW w:w="3023" w:type="dxa"/>
            <w:noWrap w:val="0"/>
            <w:vAlign w:val="center"/>
          </w:tcPr>
          <w:p w14:paraId="6B455A7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rPr>
              <w:t>S011035000110191000617</w:t>
            </w:r>
          </w:p>
        </w:tc>
        <w:tc>
          <w:tcPr>
            <w:tcW w:w="1441" w:type="dxa"/>
            <w:noWrap w:val="0"/>
            <w:vAlign w:val="center"/>
          </w:tcPr>
          <w:p w14:paraId="5AC0B1E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rPr>
              <w:t>024436</w:t>
            </w:r>
          </w:p>
        </w:tc>
        <w:tc>
          <w:tcPr>
            <w:tcW w:w="1442" w:type="dxa"/>
            <w:noWrap w:val="0"/>
            <w:vAlign w:val="center"/>
          </w:tcPr>
          <w:p w14:paraId="326F0E6C">
            <w:pPr>
              <w:ind w:firstLine="0" w:firstLineChars="0"/>
              <w:jc w:val="center"/>
              <w:rPr>
                <w:color w:val="auto"/>
                <w:sz w:val="24"/>
              </w:rPr>
            </w:pPr>
          </w:p>
        </w:tc>
      </w:tr>
      <w:tr w14:paraId="0F4594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vMerge w:val="continue"/>
            <w:noWrap w:val="0"/>
            <w:vAlign w:val="center"/>
          </w:tcPr>
          <w:p w14:paraId="6AF0D0D0">
            <w:pPr>
              <w:spacing w:line="240" w:lineRule="auto"/>
              <w:ind w:firstLine="0" w:firstLineChars="0"/>
              <w:jc w:val="center"/>
              <w:rPr>
                <w:color w:val="auto"/>
                <w:sz w:val="24"/>
              </w:rPr>
            </w:pPr>
          </w:p>
        </w:tc>
        <w:tc>
          <w:tcPr>
            <w:tcW w:w="1078" w:type="dxa"/>
            <w:noWrap w:val="0"/>
            <w:vAlign w:val="center"/>
          </w:tcPr>
          <w:p w14:paraId="34D5A2A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eastAsia"/>
                <w:color w:val="auto"/>
                <w:sz w:val="24"/>
                <w:lang w:val="en-US" w:eastAsia="zh-CN"/>
              </w:rPr>
              <w:t>王  波</w:t>
            </w:r>
          </w:p>
        </w:tc>
        <w:tc>
          <w:tcPr>
            <w:tcW w:w="3023" w:type="dxa"/>
            <w:noWrap w:val="0"/>
            <w:vAlign w:val="center"/>
          </w:tcPr>
          <w:p w14:paraId="15E90950">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rPr>
              <w:t>S011035000110</w:t>
            </w:r>
            <w:r>
              <w:rPr>
                <w:rFonts w:hint="default" w:ascii="Times New Roman" w:hAnsi="Times New Roman" w:cs="Times New Roman"/>
                <w:color w:val="auto"/>
                <w:sz w:val="24"/>
                <w:lang w:val="en-US" w:eastAsia="zh-CN"/>
              </w:rPr>
              <w:t>202</w:t>
            </w:r>
            <w:r>
              <w:rPr>
                <w:rFonts w:hint="default" w:ascii="Times New Roman" w:hAnsi="Times New Roman" w:cs="Times New Roman"/>
                <w:color w:val="auto"/>
                <w:sz w:val="24"/>
              </w:rPr>
              <w:t>001</w:t>
            </w:r>
            <w:r>
              <w:rPr>
                <w:rFonts w:hint="default" w:ascii="Times New Roman" w:hAnsi="Times New Roman" w:cs="Times New Roman"/>
                <w:color w:val="auto"/>
                <w:sz w:val="24"/>
                <w:lang w:val="en-US" w:eastAsia="zh-CN"/>
              </w:rPr>
              <w:t>263</w:t>
            </w:r>
          </w:p>
        </w:tc>
        <w:tc>
          <w:tcPr>
            <w:tcW w:w="1441" w:type="dxa"/>
            <w:noWrap w:val="0"/>
            <w:vAlign w:val="center"/>
          </w:tcPr>
          <w:p w14:paraId="43C7AE5C">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lang w:val="en-US" w:eastAsia="zh-CN"/>
              </w:rPr>
              <w:t>040122</w:t>
            </w:r>
          </w:p>
        </w:tc>
        <w:tc>
          <w:tcPr>
            <w:tcW w:w="1442" w:type="dxa"/>
            <w:noWrap w:val="0"/>
            <w:vAlign w:val="center"/>
          </w:tcPr>
          <w:p w14:paraId="5F59A8C6">
            <w:pPr>
              <w:ind w:firstLine="0" w:firstLineChars="0"/>
              <w:jc w:val="center"/>
              <w:rPr>
                <w:color w:val="auto"/>
                <w:sz w:val="24"/>
              </w:rPr>
            </w:pPr>
          </w:p>
        </w:tc>
      </w:tr>
      <w:tr w14:paraId="6AAC4C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vMerge w:val="continue"/>
            <w:noWrap w:val="0"/>
            <w:vAlign w:val="center"/>
          </w:tcPr>
          <w:p w14:paraId="06D0545B">
            <w:pPr>
              <w:spacing w:line="240" w:lineRule="auto"/>
              <w:ind w:firstLine="0" w:firstLineChars="0"/>
              <w:jc w:val="center"/>
              <w:rPr>
                <w:color w:val="auto"/>
                <w:sz w:val="24"/>
              </w:rPr>
            </w:pPr>
          </w:p>
        </w:tc>
        <w:tc>
          <w:tcPr>
            <w:tcW w:w="1078" w:type="dxa"/>
            <w:noWrap w:val="0"/>
            <w:vAlign w:val="center"/>
          </w:tcPr>
          <w:p w14:paraId="0B9B38E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宋体" w:cs="Times New Roman"/>
                <w:color w:val="auto"/>
                <w:kern w:val="2"/>
                <w:sz w:val="24"/>
                <w:szCs w:val="24"/>
                <w:lang w:val="en-US" w:eastAsia="zh-CN" w:bidi="ar-SA"/>
              </w:rPr>
            </w:pPr>
            <w:r>
              <w:rPr>
                <w:rFonts w:hint="eastAsia"/>
                <w:color w:val="auto"/>
                <w:sz w:val="24"/>
                <w:lang w:val="en-US" w:eastAsia="zh-CN"/>
              </w:rPr>
              <w:t>王  冠</w:t>
            </w:r>
          </w:p>
        </w:tc>
        <w:tc>
          <w:tcPr>
            <w:tcW w:w="3023" w:type="dxa"/>
            <w:noWrap w:val="0"/>
            <w:vAlign w:val="center"/>
          </w:tcPr>
          <w:p w14:paraId="201211B1">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rPr>
              <w:t>S011035000110</w:t>
            </w:r>
            <w:r>
              <w:rPr>
                <w:rFonts w:hint="default" w:ascii="Times New Roman" w:hAnsi="Times New Roman" w:cs="Times New Roman"/>
                <w:color w:val="auto"/>
                <w:sz w:val="24"/>
                <w:lang w:val="en-US" w:eastAsia="zh-CN"/>
              </w:rPr>
              <w:t>202</w:t>
            </w:r>
            <w:r>
              <w:rPr>
                <w:rFonts w:hint="default" w:ascii="Times New Roman" w:hAnsi="Times New Roman" w:cs="Times New Roman"/>
                <w:color w:val="auto"/>
                <w:sz w:val="24"/>
              </w:rPr>
              <w:t>001</w:t>
            </w:r>
            <w:r>
              <w:rPr>
                <w:rFonts w:hint="default" w:ascii="Times New Roman" w:hAnsi="Times New Roman" w:cs="Times New Roman"/>
                <w:color w:val="auto"/>
                <w:sz w:val="24"/>
                <w:lang w:val="en-US" w:eastAsia="zh-CN"/>
              </w:rPr>
              <w:t>523</w:t>
            </w:r>
          </w:p>
        </w:tc>
        <w:tc>
          <w:tcPr>
            <w:tcW w:w="1441" w:type="dxa"/>
            <w:noWrap w:val="0"/>
            <w:vAlign w:val="center"/>
          </w:tcPr>
          <w:p w14:paraId="71F57562">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lang w:val="en-US" w:eastAsia="zh-CN"/>
              </w:rPr>
              <w:t>027086</w:t>
            </w:r>
          </w:p>
        </w:tc>
        <w:tc>
          <w:tcPr>
            <w:tcW w:w="1442" w:type="dxa"/>
            <w:noWrap w:val="0"/>
            <w:vAlign w:val="center"/>
          </w:tcPr>
          <w:p w14:paraId="69B5F5F2">
            <w:pPr>
              <w:ind w:firstLine="0" w:firstLineChars="0"/>
              <w:jc w:val="center"/>
              <w:rPr>
                <w:color w:val="auto"/>
                <w:sz w:val="24"/>
              </w:rPr>
            </w:pPr>
          </w:p>
        </w:tc>
      </w:tr>
      <w:tr w14:paraId="7426F0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vMerge w:val="continue"/>
            <w:noWrap w:val="0"/>
            <w:vAlign w:val="center"/>
          </w:tcPr>
          <w:p w14:paraId="166D305F">
            <w:pPr>
              <w:spacing w:line="240" w:lineRule="auto"/>
              <w:ind w:firstLine="0" w:firstLineChars="0"/>
              <w:jc w:val="center"/>
              <w:rPr>
                <w:color w:val="auto"/>
                <w:sz w:val="24"/>
              </w:rPr>
            </w:pPr>
          </w:p>
        </w:tc>
        <w:tc>
          <w:tcPr>
            <w:tcW w:w="1078" w:type="dxa"/>
            <w:noWrap w:val="0"/>
            <w:vAlign w:val="center"/>
          </w:tcPr>
          <w:p w14:paraId="16B8FB4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eastAsia" w:ascii="Times New Roman" w:hAnsi="Times New Roman" w:eastAsia="新宋体" w:cs="Times New Roman"/>
                <w:color w:val="auto"/>
                <w:kern w:val="2"/>
                <w:sz w:val="24"/>
                <w:szCs w:val="24"/>
                <w:lang w:val="en-US" w:eastAsia="zh-CN" w:bidi="ar-SA"/>
              </w:rPr>
              <w:t>郑  强</w:t>
            </w:r>
          </w:p>
        </w:tc>
        <w:tc>
          <w:tcPr>
            <w:tcW w:w="3023" w:type="dxa"/>
            <w:noWrap w:val="0"/>
            <w:vAlign w:val="center"/>
          </w:tcPr>
          <w:p w14:paraId="64E40A4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eastAsia="新宋体" w:cs="Times New Roman"/>
                <w:color w:val="auto"/>
                <w:kern w:val="2"/>
                <w:sz w:val="24"/>
                <w:szCs w:val="24"/>
                <w:lang w:val="en-US" w:eastAsia="zh-CN" w:bidi="ar-SA"/>
              </w:rPr>
              <w:t>0800000000101605</w:t>
            </w:r>
          </w:p>
        </w:tc>
        <w:tc>
          <w:tcPr>
            <w:tcW w:w="1441" w:type="dxa"/>
            <w:noWrap w:val="0"/>
            <w:vAlign w:val="center"/>
          </w:tcPr>
          <w:p w14:paraId="114BE59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eastAsia="新宋体" w:cs="Times New Roman"/>
                <w:color w:val="auto"/>
                <w:kern w:val="2"/>
                <w:sz w:val="24"/>
                <w:szCs w:val="24"/>
                <w:lang w:val="en-US" w:eastAsia="zh-CN" w:bidi="ar-SA"/>
              </w:rPr>
              <w:t>001851</w:t>
            </w:r>
          </w:p>
        </w:tc>
        <w:tc>
          <w:tcPr>
            <w:tcW w:w="1442" w:type="dxa"/>
            <w:noWrap w:val="0"/>
            <w:vAlign w:val="center"/>
          </w:tcPr>
          <w:p w14:paraId="1A404DAC">
            <w:pPr>
              <w:ind w:firstLine="0" w:firstLineChars="0"/>
              <w:jc w:val="center"/>
              <w:rPr>
                <w:color w:val="auto"/>
                <w:sz w:val="24"/>
              </w:rPr>
            </w:pPr>
          </w:p>
        </w:tc>
      </w:tr>
      <w:tr w14:paraId="79B03A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vMerge w:val="restart"/>
            <w:noWrap w:val="0"/>
            <w:vAlign w:val="center"/>
          </w:tcPr>
          <w:p w14:paraId="4CE90A17">
            <w:pPr>
              <w:spacing w:line="240" w:lineRule="auto"/>
              <w:ind w:firstLine="0" w:firstLineChars="0"/>
              <w:jc w:val="center"/>
              <w:rPr>
                <w:color w:val="auto"/>
                <w:sz w:val="24"/>
              </w:rPr>
            </w:pPr>
            <w:r>
              <w:rPr>
                <w:color w:val="auto"/>
                <w:sz w:val="24"/>
              </w:rPr>
              <w:t>报告编制人</w:t>
            </w:r>
          </w:p>
        </w:tc>
        <w:tc>
          <w:tcPr>
            <w:tcW w:w="1078" w:type="dxa"/>
            <w:noWrap w:val="0"/>
            <w:vAlign w:val="center"/>
          </w:tcPr>
          <w:p w14:paraId="3BD230E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eastAsia" w:ascii="Times New Roman" w:hAnsi="Times New Roman" w:eastAsia="新宋体" w:cs="Times New Roman"/>
                <w:color w:val="auto"/>
                <w:kern w:val="2"/>
                <w:sz w:val="24"/>
                <w:szCs w:val="24"/>
                <w:lang w:val="en-US" w:eastAsia="zh-CN" w:bidi="ar-SA"/>
              </w:rPr>
              <w:t>郑  强</w:t>
            </w:r>
          </w:p>
        </w:tc>
        <w:tc>
          <w:tcPr>
            <w:tcW w:w="3023" w:type="dxa"/>
            <w:noWrap w:val="0"/>
            <w:vAlign w:val="center"/>
          </w:tcPr>
          <w:p w14:paraId="679F661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eastAsia="新宋体" w:cs="Times New Roman"/>
                <w:color w:val="auto"/>
                <w:kern w:val="2"/>
                <w:sz w:val="24"/>
                <w:szCs w:val="24"/>
                <w:lang w:val="en-US" w:eastAsia="zh-CN" w:bidi="ar-SA"/>
              </w:rPr>
              <w:t>0800000000101605</w:t>
            </w:r>
          </w:p>
        </w:tc>
        <w:tc>
          <w:tcPr>
            <w:tcW w:w="1441" w:type="dxa"/>
            <w:noWrap w:val="0"/>
            <w:vAlign w:val="center"/>
          </w:tcPr>
          <w:p w14:paraId="100E2B2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eastAsia="新宋体" w:cs="Times New Roman"/>
                <w:color w:val="auto"/>
                <w:kern w:val="2"/>
                <w:sz w:val="24"/>
                <w:szCs w:val="24"/>
                <w:lang w:val="en-US" w:eastAsia="zh-CN" w:bidi="ar-SA"/>
              </w:rPr>
              <w:t>001851</w:t>
            </w:r>
          </w:p>
        </w:tc>
        <w:tc>
          <w:tcPr>
            <w:tcW w:w="1442" w:type="dxa"/>
            <w:noWrap w:val="0"/>
            <w:vAlign w:val="center"/>
          </w:tcPr>
          <w:p w14:paraId="3E999287">
            <w:pPr>
              <w:ind w:firstLine="0" w:firstLineChars="0"/>
              <w:jc w:val="center"/>
              <w:rPr>
                <w:color w:val="auto"/>
                <w:sz w:val="24"/>
              </w:rPr>
            </w:pPr>
          </w:p>
        </w:tc>
      </w:tr>
      <w:tr w14:paraId="555B3F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vMerge w:val="continue"/>
            <w:noWrap w:val="0"/>
            <w:vAlign w:val="center"/>
          </w:tcPr>
          <w:p w14:paraId="0F1A974A">
            <w:pPr>
              <w:spacing w:line="240" w:lineRule="auto"/>
              <w:ind w:firstLine="0" w:firstLineChars="0"/>
              <w:jc w:val="center"/>
              <w:rPr>
                <w:color w:val="auto"/>
                <w:sz w:val="24"/>
              </w:rPr>
            </w:pPr>
          </w:p>
        </w:tc>
        <w:tc>
          <w:tcPr>
            <w:tcW w:w="1078" w:type="dxa"/>
            <w:noWrap w:val="0"/>
            <w:vAlign w:val="center"/>
          </w:tcPr>
          <w:p w14:paraId="74C0D5D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新宋体" w:cs="Times New Roman"/>
                <w:color w:val="auto"/>
                <w:kern w:val="2"/>
                <w:sz w:val="24"/>
                <w:szCs w:val="24"/>
                <w:lang w:val="en-US" w:eastAsia="zh-CN" w:bidi="ar-SA"/>
              </w:rPr>
            </w:pPr>
            <w:r>
              <w:rPr>
                <w:rFonts w:hint="eastAsia"/>
                <w:color w:val="auto"/>
                <w:sz w:val="24"/>
              </w:rPr>
              <w:t>谢寒梅</w:t>
            </w:r>
          </w:p>
        </w:tc>
        <w:tc>
          <w:tcPr>
            <w:tcW w:w="3023" w:type="dxa"/>
            <w:noWrap w:val="0"/>
            <w:vAlign w:val="center"/>
          </w:tcPr>
          <w:p w14:paraId="405FB4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cs="Times New Roman"/>
                <w:color w:val="auto"/>
                <w:sz w:val="24"/>
              </w:rPr>
              <w:t>S011035000110192001584</w:t>
            </w:r>
          </w:p>
        </w:tc>
        <w:tc>
          <w:tcPr>
            <w:tcW w:w="1441" w:type="dxa"/>
            <w:noWrap w:val="0"/>
            <w:vAlign w:val="center"/>
          </w:tcPr>
          <w:p w14:paraId="38DC476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cs="Times New Roman"/>
                <w:color w:val="auto"/>
                <w:sz w:val="24"/>
              </w:rPr>
              <w:t>027089</w:t>
            </w:r>
          </w:p>
        </w:tc>
        <w:tc>
          <w:tcPr>
            <w:tcW w:w="1442" w:type="dxa"/>
            <w:noWrap w:val="0"/>
            <w:vAlign w:val="center"/>
          </w:tcPr>
          <w:p w14:paraId="017BD626">
            <w:pPr>
              <w:ind w:firstLine="0" w:firstLineChars="0"/>
              <w:jc w:val="center"/>
              <w:rPr>
                <w:color w:val="auto"/>
                <w:sz w:val="24"/>
              </w:rPr>
            </w:pPr>
          </w:p>
        </w:tc>
      </w:tr>
      <w:tr w14:paraId="7F1977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noWrap w:val="0"/>
            <w:vAlign w:val="center"/>
          </w:tcPr>
          <w:p w14:paraId="6EA46EE3">
            <w:pPr>
              <w:spacing w:line="240" w:lineRule="auto"/>
              <w:ind w:firstLine="0" w:firstLineChars="0"/>
              <w:jc w:val="center"/>
              <w:rPr>
                <w:color w:val="auto"/>
                <w:sz w:val="24"/>
              </w:rPr>
            </w:pPr>
            <w:r>
              <w:rPr>
                <w:color w:val="auto"/>
                <w:sz w:val="24"/>
              </w:rPr>
              <w:t>报告审核人</w:t>
            </w:r>
          </w:p>
        </w:tc>
        <w:tc>
          <w:tcPr>
            <w:tcW w:w="1078" w:type="dxa"/>
            <w:noWrap w:val="0"/>
            <w:vAlign w:val="center"/>
          </w:tcPr>
          <w:p w14:paraId="394BDC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kern w:val="2"/>
                <w:sz w:val="24"/>
                <w:szCs w:val="28"/>
                <w:lang w:val="en-US" w:eastAsia="zh-CN" w:bidi="ar-SA"/>
              </w:rPr>
            </w:pPr>
            <w:r>
              <w:rPr>
                <w:rFonts w:hint="eastAsia"/>
                <w:color w:val="auto"/>
                <w:kern w:val="2"/>
                <w:sz w:val="24"/>
                <w:szCs w:val="28"/>
                <w:lang w:val="en-US" w:eastAsia="zh-CN" w:bidi="ar-SA"/>
              </w:rPr>
              <w:t>戴  磷</w:t>
            </w:r>
          </w:p>
        </w:tc>
        <w:tc>
          <w:tcPr>
            <w:tcW w:w="3023" w:type="dxa"/>
            <w:noWrap w:val="0"/>
            <w:vAlign w:val="center"/>
          </w:tcPr>
          <w:p w14:paraId="0417322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eastAsia="新宋体" w:cs="Times New Roman"/>
                <w:color w:val="auto"/>
                <w:sz w:val="24"/>
              </w:rPr>
              <w:t>1100000000200597</w:t>
            </w:r>
          </w:p>
        </w:tc>
        <w:tc>
          <w:tcPr>
            <w:tcW w:w="1441" w:type="dxa"/>
            <w:noWrap w:val="0"/>
            <w:vAlign w:val="center"/>
          </w:tcPr>
          <w:p w14:paraId="0FD38DA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eastAsia="新宋体" w:cs="Times New Roman"/>
                <w:color w:val="auto"/>
                <w:sz w:val="24"/>
              </w:rPr>
              <w:t>019915</w:t>
            </w:r>
          </w:p>
        </w:tc>
        <w:tc>
          <w:tcPr>
            <w:tcW w:w="1442" w:type="dxa"/>
            <w:noWrap w:val="0"/>
            <w:vAlign w:val="center"/>
          </w:tcPr>
          <w:p w14:paraId="139BB0A3">
            <w:pPr>
              <w:ind w:firstLine="0" w:firstLineChars="0"/>
              <w:jc w:val="center"/>
              <w:rPr>
                <w:color w:val="auto"/>
                <w:sz w:val="24"/>
              </w:rPr>
            </w:pPr>
          </w:p>
        </w:tc>
      </w:tr>
      <w:tr w14:paraId="628544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2007" w:type="dxa"/>
            <w:noWrap w:val="0"/>
            <w:vAlign w:val="center"/>
          </w:tcPr>
          <w:p w14:paraId="17FACD52">
            <w:pPr>
              <w:spacing w:line="240" w:lineRule="auto"/>
              <w:ind w:firstLine="0" w:firstLineChars="0"/>
              <w:jc w:val="center"/>
              <w:rPr>
                <w:color w:val="auto"/>
                <w:sz w:val="24"/>
              </w:rPr>
            </w:pPr>
            <w:r>
              <w:rPr>
                <w:color w:val="auto"/>
                <w:sz w:val="24"/>
              </w:rPr>
              <w:t>过程控制负责人</w:t>
            </w:r>
          </w:p>
        </w:tc>
        <w:tc>
          <w:tcPr>
            <w:tcW w:w="1078" w:type="dxa"/>
            <w:noWrap w:val="0"/>
            <w:vAlign w:val="center"/>
          </w:tcPr>
          <w:p w14:paraId="025F5C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2"/>
                <w:sz w:val="24"/>
                <w:szCs w:val="28"/>
                <w:lang w:val="en-US" w:eastAsia="zh-CN" w:bidi="ar-SA"/>
              </w:rPr>
            </w:pPr>
            <w:r>
              <w:rPr>
                <w:color w:val="auto"/>
                <w:sz w:val="24"/>
              </w:rPr>
              <w:t>檀廷斌</w:t>
            </w:r>
          </w:p>
        </w:tc>
        <w:tc>
          <w:tcPr>
            <w:tcW w:w="3023" w:type="dxa"/>
            <w:noWrap w:val="0"/>
            <w:vAlign w:val="center"/>
          </w:tcPr>
          <w:p w14:paraId="65F093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8"/>
                <w:lang w:val="en-US" w:eastAsia="zh-CN" w:bidi="ar-SA"/>
              </w:rPr>
            </w:pPr>
            <w:r>
              <w:rPr>
                <w:rFonts w:hint="default" w:ascii="Times New Roman" w:hAnsi="Times New Roman" w:cs="Times New Roman"/>
                <w:color w:val="auto"/>
                <w:sz w:val="24"/>
              </w:rPr>
              <w:t>1600000000200717</w:t>
            </w:r>
          </w:p>
        </w:tc>
        <w:tc>
          <w:tcPr>
            <w:tcW w:w="1441" w:type="dxa"/>
            <w:noWrap w:val="0"/>
            <w:vAlign w:val="center"/>
          </w:tcPr>
          <w:p w14:paraId="6CA477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8"/>
                <w:lang w:val="en-US" w:eastAsia="zh-CN" w:bidi="ar-SA"/>
              </w:rPr>
            </w:pPr>
            <w:r>
              <w:rPr>
                <w:rFonts w:hint="default" w:ascii="Times New Roman" w:hAnsi="Times New Roman" w:cs="Times New Roman"/>
                <w:color w:val="auto"/>
                <w:sz w:val="24"/>
              </w:rPr>
              <w:t>029648</w:t>
            </w:r>
          </w:p>
        </w:tc>
        <w:tc>
          <w:tcPr>
            <w:tcW w:w="1442" w:type="dxa"/>
            <w:noWrap w:val="0"/>
            <w:vAlign w:val="center"/>
          </w:tcPr>
          <w:p w14:paraId="0CE982AE">
            <w:pPr>
              <w:ind w:firstLine="0" w:firstLineChars="0"/>
              <w:jc w:val="center"/>
              <w:rPr>
                <w:color w:val="auto"/>
                <w:sz w:val="24"/>
              </w:rPr>
            </w:pPr>
          </w:p>
        </w:tc>
      </w:tr>
      <w:tr w14:paraId="1777D0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5" w:hRule="atLeast"/>
          <w:jc w:val="center"/>
        </w:trPr>
        <w:tc>
          <w:tcPr>
            <w:tcW w:w="2007" w:type="dxa"/>
            <w:noWrap w:val="0"/>
            <w:vAlign w:val="center"/>
          </w:tcPr>
          <w:p w14:paraId="1BE9DB37">
            <w:pPr>
              <w:spacing w:line="240" w:lineRule="auto"/>
              <w:ind w:firstLine="0" w:firstLineChars="0"/>
              <w:jc w:val="center"/>
              <w:rPr>
                <w:color w:val="auto"/>
                <w:sz w:val="24"/>
              </w:rPr>
            </w:pPr>
            <w:r>
              <w:rPr>
                <w:color w:val="auto"/>
                <w:sz w:val="24"/>
              </w:rPr>
              <w:t>技术负责人</w:t>
            </w:r>
          </w:p>
        </w:tc>
        <w:tc>
          <w:tcPr>
            <w:tcW w:w="1078" w:type="dxa"/>
            <w:noWrap w:val="0"/>
            <w:vAlign w:val="center"/>
          </w:tcPr>
          <w:p w14:paraId="074C1BA1">
            <w:pPr>
              <w:spacing w:line="240" w:lineRule="auto"/>
              <w:ind w:firstLine="0" w:firstLineChars="0"/>
              <w:jc w:val="center"/>
              <w:rPr>
                <w:color w:val="auto"/>
                <w:sz w:val="24"/>
              </w:rPr>
            </w:pPr>
            <w:r>
              <w:rPr>
                <w:color w:val="auto"/>
                <w:sz w:val="24"/>
              </w:rPr>
              <w:t>周红波</w:t>
            </w:r>
          </w:p>
        </w:tc>
        <w:tc>
          <w:tcPr>
            <w:tcW w:w="3023" w:type="dxa"/>
            <w:noWrap w:val="0"/>
            <w:vAlign w:val="center"/>
          </w:tcPr>
          <w:p w14:paraId="0AAA5505">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1700000000100121</w:t>
            </w:r>
          </w:p>
        </w:tc>
        <w:tc>
          <w:tcPr>
            <w:tcW w:w="1441" w:type="dxa"/>
            <w:noWrap w:val="0"/>
            <w:vAlign w:val="center"/>
          </w:tcPr>
          <w:p w14:paraId="0F9CBFF1">
            <w:pPr>
              <w:spacing w:line="240" w:lineRule="auto"/>
              <w:ind w:firstLine="0" w:firstLineChars="0"/>
              <w:jc w:val="center"/>
              <w:rPr>
                <w:rFonts w:hint="default" w:ascii="Times New Roman" w:hAnsi="Times New Roman" w:cs="Times New Roman"/>
                <w:color w:val="auto"/>
                <w:sz w:val="24"/>
              </w:rPr>
            </w:pPr>
            <w:r>
              <w:rPr>
                <w:rFonts w:hint="default" w:ascii="Times New Roman" w:hAnsi="Times New Roman" w:cs="Times New Roman"/>
                <w:color w:val="auto"/>
                <w:sz w:val="24"/>
              </w:rPr>
              <w:t>020702</w:t>
            </w:r>
          </w:p>
        </w:tc>
        <w:tc>
          <w:tcPr>
            <w:tcW w:w="1442" w:type="dxa"/>
            <w:noWrap w:val="0"/>
            <w:vAlign w:val="center"/>
          </w:tcPr>
          <w:p w14:paraId="0DA8524E">
            <w:pPr>
              <w:ind w:firstLine="480"/>
              <w:jc w:val="center"/>
              <w:rPr>
                <w:color w:val="auto"/>
                <w:sz w:val="24"/>
              </w:rPr>
            </w:pPr>
          </w:p>
        </w:tc>
      </w:tr>
    </w:tbl>
    <w:p w14:paraId="5039BC9A">
      <w:pPr>
        <w:pStyle w:val="51"/>
        <w:rPr>
          <w:rFonts w:hint="eastAsia" w:ascii="宋体" w:hAnsi="宋体" w:cs="宋体"/>
          <w:color w:val="auto"/>
        </w:rPr>
      </w:pPr>
    </w:p>
    <w:p w14:paraId="3065E7FC">
      <w:pPr>
        <w:pStyle w:val="76"/>
        <w:rPr>
          <w:rFonts w:hint="eastAsia" w:ascii="宋体" w:hAnsi="宋体" w:cs="宋体"/>
          <w:color w:val="auto"/>
        </w:rPr>
      </w:pPr>
    </w:p>
    <w:p w14:paraId="4C692FFA">
      <w:pPr>
        <w:autoSpaceDE w:val="0"/>
        <w:autoSpaceDN w:val="0"/>
        <w:adjustRightInd w:val="0"/>
        <w:ind w:firstLine="643"/>
        <w:jc w:val="center"/>
        <w:rPr>
          <w:color w:val="auto"/>
        </w:rPr>
      </w:pPr>
      <w:r>
        <w:rPr>
          <w:rFonts w:hint="eastAsia" w:cs="宋体"/>
          <w:b/>
          <w:bCs/>
          <w:color w:val="auto"/>
          <w:sz w:val="32"/>
          <w:szCs w:val="32"/>
        </w:rPr>
        <w:t>参</w:t>
      </w:r>
      <w:r>
        <w:rPr>
          <w:b/>
          <w:bCs/>
          <w:color w:val="auto"/>
          <w:sz w:val="32"/>
          <w:szCs w:val="32"/>
        </w:rPr>
        <w:t xml:space="preserve">  </w:t>
      </w:r>
      <w:r>
        <w:rPr>
          <w:rFonts w:hint="eastAsia" w:cs="宋体"/>
          <w:b/>
          <w:bCs/>
          <w:color w:val="auto"/>
          <w:sz w:val="32"/>
          <w:szCs w:val="32"/>
        </w:rPr>
        <w:t>与</w:t>
      </w:r>
      <w:r>
        <w:rPr>
          <w:b/>
          <w:bCs/>
          <w:color w:val="auto"/>
          <w:sz w:val="32"/>
          <w:szCs w:val="32"/>
        </w:rPr>
        <w:t xml:space="preserve">  </w:t>
      </w:r>
      <w:r>
        <w:rPr>
          <w:rFonts w:hint="eastAsia" w:cs="宋体"/>
          <w:b/>
          <w:bCs/>
          <w:color w:val="auto"/>
          <w:sz w:val="32"/>
          <w:szCs w:val="32"/>
        </w:rPr>
        <w:t>人</w:t>
      </w:r>
      <w:r>
        <w:rPr>
          <w:b/>
          <w:bCs/>
          <w:color w:val="auto"/>
          <w:sz w:val="32"/>
          <w:szCs w:val="32"/>
        </w:rPr>
        <w:t xml:space="preserve">  </w:t>
      </w:r>
      <w:r>
        <w:rPr>
          <w:rFonts w:hint="eastAsia" w:cs="宋体"/>
          <w:b/>
          <w:bCs/>
          <w:color w:val="auto"/>
          <w:sz w:val="32"/>
          <w:szCs w:val="32"/>
        </w:rPr>
        <w:t>员</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2"/>
        <w:gridCol w:w="3180"/>
        <w:gridCol w:w="2658"/>
      </w:tblGrid>
      <w:tr w14:paraId="4D42E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92" w:type="dxa"/>
            <w:noWrap w:val="0"/>
            <w:vAlign w:val="center"/>
          </w:tcPr>
          <w:p w14:paraId="2A25BAC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姓  名</w:t>
            </w:r>
          </w:p>
        </w:tc>
        <w:tc>
          <w:tcPr>
            <w:tcW w:w="3180" w:type="dxa"/>
            <w:noWrap w:val="0"/>
            <w:vAlign w:val="center"/>
          </w:tcPr>
          <w:p w14:paraId="322843C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专  业</w:t>
            </w:r>
          </w:p>
        </w:tc>
        <w:tc>
          <w:tcPr>
            <w:tcW w:w="2658" w:type="dxa"/>
            <w:noWrap w:val="0"/>
            <w:vAlign w:val="center"/>
          </w:tcPr>
          <w:p w14:paraId="4B3A163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签  字</w:t>
            </w:r>
          </w:p>
        </w:tc>
      </w:tr>
      <w:tr w14:paraId="610D9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92" w:type="dxa"/>
            <w:noWrap w:val="0"/>
            <w:vAlign w:val="center"/>
          </w:tcPr>
          <w:p w14:paraId="436578D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秦赋江</w:t>
            </w:r>
          </w:p>
        </w:tc>
        <w:tc>
          <w:tcPr>
            <w:tcW w:w="3180" w:type="dxa"/>
            <w:noWrap w:val="0"/>
            <w:vAlign w:val="center"/>
          </w:tcPr>
          <w:p w14:paraId="6D812FC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冶金</w:t>
            </w:r>
            <w:r>
              <w:rPr>
                <w:rFonts w:hint="eastAsia" w:ascii="Times New Roman" w:hAnsi="Times New Roman" w:eastAsia="宋体" w:cs="Times New Roman"/>
                <w:color w:val="auto"/>
                <w:sz w:val="24"/>
              </w:rPr>
              <w:t>工程</w:t>
            </w:r>
          </w:p>
        </w:tc>
        <w:tc>
          <w:tcPr>
            <w:tcW w:w="2658" w:type="dxa"/>
            <w:noWrap w:val="0"/>
            <w:vAlign w:val="center"/>
          </w:tcPr>
          <w:p w14:paraId="6D6245F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宋体" w:cs="Times New Roman"/>
                <w:color w:val="auto"/>
                <w:sz w:val="24"/>
              </w:rPr>
            </w:pPr>
          </w:p>
        </w:tc>
      </w:tr>
    </w:tbl>
    <w:p w14:paraId="003D4FAC">
      <w:pPr>
        <w:jc w:val="both"/>
        <w:rPr>
          <w:rFonts w:hint="eastAsia" w:ascii="宋体" w:hAnsi="宋体" w:cs="宋体"/>
          <w:color w:val="auto"/>
          <w:kern w:val="0"/>
          <w:sz w:val="28"/>
          <w:szCs w:val="28"/>
        </w:rPr>
        <w:sectPr>
          <w:pgSz w:w="11906" w:h="16838"/>
          <w:pgMar w:top="1418" w:right="1418" w:bottom="1418" w:left="1418" w:header="851" w:footer="992" w:gutter="0"/>
          <w:pgNumType w:fmt="upperRoman"/>
          <w:cols w:space="720" w:num="1"/>
          <w:docGrid w:type="lines" w:linePitch="312" w:charSpace="0"/>
        </w:sectPr>
      </w:pPr>
    </w:p>
    <w:p w14:paraId="0582184A">
      <w:pPr>
        <w:spacing w:line="520" w:lineRule="exact"/>
        <w:jc w:val="center"/>
        <w:rPr>
          <w:b/>
          <w:color w:val="auto"/>
          <w:sz w:val="32"/>
        </w:rPr>
      </w:pPr>
      <w:r>
        <w:rPr>
          <w:rFonts w:hAnsi="宋体"/>
          <w:b/>
          <w:color w:val="auto"/>
          <w:sz w:val="32"/>
        </w:rPr>
        <w:t>前</w:t>
      </w:r>
      <w:r>
        <w:rPr>
          <w:b/>
          <w:color w:val="auto"/>
          <w:sz w:val="32"/>
        </w:rPr>
        <w:t xml:space="preserve">      </w:t>
      </w:r>
      <w:r>
        <w:rPr>
          <w:rFonts w:hAnsi="宋体"/>
          <w:b/>
          <w:color w:val="auto"/>
          <w:sz w:val="32"/>
        </w:rPr>
        <w:t>言</w:t>
      </w:r>
    </w:p>
    <w:p w14:paraId="025EE347">
      <w:pPr>
        <w:bidi w:val="0"/>
        <w:rPr>
          <w:rFonts w:hint="eastAsia"/>
          <w:color w:val="auto"/>
        </w:rPr>
      </w:pPr>
      <w:r>
        <w:rPr>
          <w:rFonts w:hint="eastAsia"/>
          <w:color w:val="auto"/>
          <w:lang w:eastAsia="zh-CN"/>
        </w:rPr>
        <w:t>江西省交通投资集团有限责任公司</w:t>
      </w:r>
      <w:r>
        <w:rPr>
          <w:rFonts w:hint="eastAsia"/>
          <w:color w:val="auto"/>
        </w:rPr>
        <w:t>成立于</w:t>
      </w:r>
      <w:r>
        <w:rPr>
          <w:rFonts w:hint="eastAsia"/>
          <w:color w:val="auto"/>
          <w:lang w:val="en-US" w:eastAsia="zh-CN"/>
        </w:rPr>
        <w:t>1997</w:t>
      </w:r>
      <w:r>
        <w:rPr>
          <w:rFonts w:hint="eastAsia"/>
          <w:color w:val="auto"/>
        </w:rPr>
        <w:t>年1</w:t>
      </w:r>
      <w:r>
        <w:rPr>
          <w:rFonts w:hint="eastAsia"/>
          <w:color w:val="auto"/>
          <w:lang w:val="en-US" w:eastAsia="zh-CN"/>
        </w:rPr>
        <w:t>0</w:t>
      </w:r>
      <w:r>
        <w:rPr>
          <w:rFonts w:hint="eastAsia"/>
          <w:color w:val="auto"/>
        </w:rPr>
        <w:t>月</w:t>
      </w:r>
      <w:r>
        <w:rPr>
          <w:rFonts w:hint="eastAsia"/>
          <w:color w:val="auto"/>
          <w:lang w:val="en-US" w:eastAsia="zh-CN"/>
        </w:rPr>
        <w:t>20日</w:t>
      </w:r>
      <w:r>
        <w:rPr>
          <w:rFonts w:hint="eastAsia"/>
          <w:color w:val="auto"/>
        </w:rPr>
        <w:t>，</w:t>
      </w:r>
      <w:r>
        <w:rPr>
          <w:rFonts w:hint="eastAsia"/>
          <w:color w:val="auto"/>
          <w:lang w:val="en-US" w:eastAsia="zh-CN"/>
        </w:rPr>
        <w:t>企业</w:t>
      </w:r>
      <w:r>
        <w:rPr>
          <w:rFonts w:hint="eastAsia"/>
          <w:color w:val="auto"/>
        </w:rPr>
        <w:t>地址为</w:t>
      </w:r>
      <w:r>
        <w:rPr>
          <w:rFonts w:hint="eastAsia"/>
          <w:color w:val="auto"/>
          <w:lang w:val="en-US" w:eastAsia="zh-CN"/>
        </w:rPr>
        <w:t>江西省南昌市西湖区朝阳洲中路367号</w:t>
      </w:r>
      <w:r>
        <w:rPr>
          <w:rFonts w:hint="eastAsia"/>
          <w:color w:val="auto"/>
        </w:rPr>
        <w:t>，法人代表人为</w:t>
      </w:r>
      <w:r>
        <w:rPr>
          <w:rFonts w:hint="eastAsia"/>
          <w:color w:val="auto"/>
          <w:lang w:val="en-US" w:eastAsia="zh-CN"/>
        </w:rPr>
        <w:t>谢兼法</w:t>
      </w:r>
      <w:r>
        <w:rPr>
          <w:rFonts w:hint="eastAsia"/>
          <w:color w:val="auto"/>
        </w:rPr>
        <w:t>。经营</w:t>
      </w:r>
      <w:r>
        <w:rPr>
          <w:rFonts w:hint="eastAsia"/>
          <w:color w:val="auto"/>
          <w:lang w:val="en-US" w:eastAsia="zh-CN"/>
        </w:rPr>
        <w:t>范围</w:t>
      </w:r>
      <w:r>
        <w:rPr>
          <w:rFonts w:hint="eastAsia"/>
          <w:color w:val="auto"/>
          <w:lang w:eastAsia="zh-CN"/>
        </w:rPr>
        <w:t>：</w:t>
      </w:r>
      <w:r>
        <w:rPr>
          <w:rFonts w:hint="eastAsia"/>
          <w:color w:val="auto"/>
          <w:lang w:val="en-US" w:eastAsia="zh-CN"/>
        </w:rPr>
        <w:t>高速公路及其他重大基础设施的投资、建设、服务、经营，服务区经营以及交通基础设施的建设等</w:t>
      </w:r>
      <w:r>
        <w:rPr>
          <w:rFonts w:hint="eastAsia"/>
          <w:color w:val="auto"/>
        </w:rPr>
        <w:t>。</w:t>
      </w:r>
    </w:p>
    <w:p w14:paraId="43FC9891">
      <w:pPr>
        <w:bidi w:val="0"/>
        <w:rPr>
          <w:rFonts w:hint="eastAsia"/>
          <w:color w:val="auto"/>
          <w:lang w:val="en-US" w:eastAsia="zh-CN"/>
        </w:rPr>
      </w:pPr>
      <w:r>
        <w:rPr>
          <w:rFonts w:hint="eastAsia"/>
          <w:color w:val="auto"/>
          <w:lang w:val="en-US" w:eastAsia="zh-CN"/>
        </w:rPr>
        <w:t>修水服务区位于G45大广高速武吉段K2617+215公桩，初始营运时间为2009年9月，占地80亩，建筑面积9316.1平方，拥有大小车位182个，男女（大小）厕位240个。日均进服务区车流量达4000辆，属于B类服务区。节假日期间停车场区一直处于满负荷状态。</w:t>
      </w:r>
    </w:p>
    <w:p w14:paraId="4D75B889">
      <w:pPr>
        <w:bidi w:val="0"/>
        <w:rPr>
          <w:rFonts w:hint="eastAsia"/>
          <w:color w:val="auto"/>
        </w:rPr>
      </w:pPr>
      <w:r>
        <w:rPr>
          <w:rFonts w:hint="eastAsia"/>
          <w:color w:val="auto"/>
          <w:lang w:val="en-US" w:eastAsia="zh-CN"/>
        </w:rPr>
        <w:t>根据《江西省高速公路服务区提质升级三年行动方案》（2021-2023年）的要求，全面提升我省高速公路服务区功能设施、服务质量和管理水平，以满足人民群众日益增长的美好出行需要。</w:t>
      </w:r>
      <w:r>
        <w:rPr>
          <w:rFonts w:hint="eastAsia"/>
          <w:color w:val="auto"/>
          <w:lang w:eastAsia="zh-CN"/>
        </w:rPr>
        <w:t>江西省交通投资集团有限责任公司</w:t>
      </w:r>
      <w:r>
        <w:rPr>
          <w:rFonts w:hint="eastAsia"/>
          <w:color w:val="auto"/>
          <w:lang w:val="en-US" w:eastAsia="zh-CN"/>
        </w:rPr>
        <w:t>自2021年初开始，开展全省高速公路服务区提质升级三年行动，践行为加快推进交通强省、旅游强省建设的目标</w:t>
      </w:r>
      <w:r>
        <w:rPr>
          <w:rFonts w:hint="eastAsia"/>
          <w:color w:val="auto"/>
        </w:rPr>
        <w:t>。</w:t>
      </w:r>
    </w:p>
    <w:p w14:paraId="0590A98A">
      <w:pPr>
        <w:bidi w:val="0"/>
        <w:rPr>
          <w:rFonts w:hint="eastAsia"/>
          <w:color w:val="auto"/>
          <w:lang w:eastAsia="zh-CN"/>
        </w:rPr>
      </w:pPr>
      <w:r>
        <w:rPr>
          <w:rFonts w:hint="eastAsia"/>
          <w:color w:val="auto"/>
          <w:lang w:val="en-US" w:eastAsia="zh-CN"/>
        </w:rPr>
        <w:t>大广高速修水服务区（以下称“修水服务区”）作为</w:t>
      </w:r>
      <w:r>
        <w:rPr>
          <w:rFonts w:hint="eastAsia"/>
          <w:color w:val="auto"/>
          <w:lang w:eastAsia="zh-CN"/>
        </w:rPr>
        <w:t>江西省交通投资集团有限责任公司</w:t>
      </w:r>
      <w:r>
        <w:rPr>
          <w:rFonts w:hint="eastAsia"/>
          <w:color w:val="auto"/>
          <w:lang w:val="en-US" w:eastAsia="zh-CN"/>
        </w:rPr>
        <w:t>下属服务区，</w:t>
      </w:r>
      <w:r>
        <w:rPr>
          <w:rFonts w:hint="eastAsia"/>
          <w:color w:val="auto"/>
        </w:rPr>
        <w:t>是展示江西形象的重要窗口</w:t>
      </w:r>
      <w:r>
        <w:rPr>
          <w:rFonts w:hint="eastAsia"/>
          <w:color w:val="auto"/>
          <w:lang w:eastAsia="zh-CN"/>
        </w:rPr>
        <w:t>。</w:t>
      </w:r>
      <w:r>
        <w:rPr>
          <w:rFonts w:hint="eastAsia"/>
          <w:color w:val="auto"/>
          <w:lang w:val="en-US" w:eastAsia="zh-CN"/>
        </w:rPr>
        <w:t>修水</w:t>
      </w:r>
      <w:r>
        <w:rPr>
          <w:rFonts w:hint="eastAsia"/>
          <w:color w:val="auto"/>
        </w:rPr>
        <w:t>服务区</w:t>
      </w:r>
      <w:r>
        <w:rPr>
          <w:rFonts w:hint="eastAsia"/>
          <w:color w:val="auto"/>
          <w:lang w:val="en-US" w:eastAsia="zh-CN"/>
        </w:rPr>
        <w:t>面临当</w:t>
      </w:r>
      <w:r>
        <w:rPr>
          <w:rFonts w:hint="eastAsia"/>
          <w:color w:val="auto"/>
        </w:rPr>
        <w:t>前</w:t>
      </w:r>
      <w:r>
        <w:rPr>
          <w:rFonts w:hint="eastAsia"/>
          <w:color w:val="auto"/>
          <w:lang w:val="en-US" w:eastAsia="zh-CN"/>
        </w:rPr>
        <w:t>建设规模、设备设施类型及数量</w:t>
      </w:r>
      <w:r>
        <w:rPr>
          <w:rFonts w:hint="eastAsia"/>
          <w:color w:val="auto"/>
        </w:rPr>
        <w:t>难</w:t>
      </w:r>
      <w:r>
        <w:rPr>
          <w:rFonts w:hint="eastAsia"/>
          <w:color w:val="auto"/>
          <w:lang w:val="en-US" w:eastAsia="zh-CN"/>
        </w:rPr>
        <w:t>以</w:t>
      </w:r>
      <w:r>
        <w:rPr>
          <w:rFonts w:hint="eastAsia"/>
          <w:color w:val="auto"/>
        </w:rPr>
        <w:t>满足高峰时段车流量的服务需求</w:t>
      </w:r>
      <w:r>
        <w:rPr>
          <w:rFonts w:hint="eastAsia"/>
          <w:color w:val="auto"/>
          <w:lang w:val="en-US" w:eastAsia="zh-CN"/>
        </w:rPr>
        <w:t>等问题</w:t>
      </w:r>
      <w:r>
        <w:rPr>
          <w:rFonts w:hint="eastAsia"/>
          <w:color w:val="auto"/>
        </w:rPr>
        <w:t>，为了保证服务质量，提高服务水平，启动服务区升级工作时机已成熟。</w:t>
      </w:r>
    </w:p>
    <w:p w14:paraId="51C8C18E">
      <w:pPr>
        <w:bidi w:val="0"/>
        <w:rPr>
          <w:rFonts w:hint="default"/>
          <w:color w:val="auto"/>
          <w:lang w:val="en-US" w:eastAsia="zh-CN"/>
        </w:rPr>
      </w:pPr>
      <w:r>
        <w:rPr>
          <w:rFonts w:hint="eastAsia"/>
          <w:color w:val="auto"/>
          <w:lang w:val="en-US" w:eastAsia="zh-CN"/>
        </w:rPr>
        <w:t>2023年6月2日，大广高速修水服务区提质升级改造项目由修水县发展和改革委员会备案登记，《江西省企业投资项目备案通知书》项目统一代码为：2102-360424-04-01-233592。详见附件。</w:t>
      </w:r>
    </w:p>
    <w:p w14:paraId="001AF91D">
      <w:pPr>
        <w:bidi w:val="0"/>
        <w:rPr>
          <w:color w:val="auto"/>
        </w:rPr>
      </w:pPr>
      <w:r>
        <w:rPr>
          <w:color w:val="auto"/>
        </w:rPr>
        <w:t>根据《中华人民共和国安全生产法》（中华人民共和国主席令第</w:t>
      </w:r>
      <w:r>
        <w:rPr>
          <w:rFonts w:hint="eastAsia"/>
          <w:color w:val="auto"/>
        </w:rPr>
        <w:t>88</w:t>
      </w:r>
      <w:r>
        <w:rPr>
          <w:color w:val="auto"/>
        </w:rPr>
        <w:t>号）</w:t>
      </w:r>
      <w:r>
        <w:rPr>
          <w:rFonts w:hint="eastAsia"/>
          <w:color w:val="auto"/>
        </w:rPr>
        <w:t>、</w:t>
      </w:r>
      <w:r>
        <w:rPr>
          <w:color w:val="auto"/>
        </w:rPr>
        <w:t>《</w:t>
      </w:r>
      <w:r>
        <w:rPr>
          <w:rFonts w:hint="eastAsia"/>
          <w:color w:val="auto"/>
          <w:lang w:val="en-US" w:eastAsia="zh-CN"/>
        </w:rPr>
        <w:t>建设项目安全设施“三同时”监督管理办法</w:t>
      </w:r>
      <w:r>
        <w:rPr>
          <w:color w:val="auto"/>
        </w:rPr>
        <w:t>》（</w:t>
      </w:r>
      <w:r>
        <w:rPr>
          <w:rFonts w:hint="eastAsia"/>
          <w:color w:val="auto"/>
          <w:lang w:val="en-US" w:eastAsia="zh-CN"/>
        </w:rPr>
        <w:t>安监总局第36号发布，第77号令修订</w:t>
      </w:r>
      <w:r>
        <w:rPr>
          <w:color w:val="auto"/>
        </w:rPr>
        <w:t>）</w:t>
      </w:r>
      <w:r>
        <w:rPr>
          <w:rFonts w:hint="eastAsia"/>
          <w:color w:val="auto"/>
          <w:lang w:val="en-US" w:eastAsia="zh-CN"/>
        </w:rPr>
        <w:t>等法律、法规、规章的规定，该项目在可行性研究阶段，在设计和施工之前需进行安全预评价</w:t>
      </w:r>
      <w:r>
        <w:rPr>
          <w:color w:val="auto"/>
        </w:rPr>
        <w:t>。</w:t>
      </w:r>
    </w:p>
    <w:p w14:paraId="288F09CB">
      <w:pPr>
        <w:bidi w:val="0"/>
        <w:rPr>
          <w:rFonts w:hint="eastAsia"/>
          <w:color w:val="auto"/>
          <w:lang w:val="en-US" w:eastAsia="zh-CN"/>
        </w:rPr>
      </w:pPr>
      <w:r>
        <w:rPr>
          <w:color w:val="auto"/>
        </w:rPr>
        <w:t>江西赣安安全生产科学技术咨询服务中心</w:t>
      </w:r>
      <w:r>
        <w:rPr>
          <w:rFonts w:hint="eastAsia"/>
          <w:color w:val="auto"/>
          <w:lang w:eastAsia="zh-CN"/>
        </w:rPr>
        <w:t>（</w:t>
      </w:r>
      <w:r>
        <w:rPr>
          <w:rFonts w:hint="eastAsia"/>
          <w:color w:val="auto"/>
          <w:lang w:val="en-US" w:eastAsia="zh-CN"/>
        </w:rPr>
        <w:t>以下简称“我中心”</w:t>
      </w:r>
      <w:r>
        <w:rPr>
          <w:rFonts w:hint="eastAsia"/>
          <w:color w:val="auto"/>
          <w:lang w:eastAsia="zh-CN"/>
        </w:rPr>
        <w:t>）</w:t>
      </w:r>
      <w:r>
        <w:rPr>
          <w:color w:val="auto"/>
        </w:rPr>
        <w:t>受</w:t>
      </w:r>
      <w:r>
        <w:rPr>
          <w:rFonts w:hint="eastAsia"/>
          <w:color w:val="auto"/>
          <w:lang w:eastAsia="zh-CN"/>
        </w:rPr>
        <w:t>江西省交通投资集团有限责任公司</w:t>
      </w:r>
      <w:r>
        <w:rPr>
          <w:color w:val="auto"/>
        </w:rPr>
        <w:t>的委托，</w:t>
      </w:r>
      <w:r>
        <w:rPr>
          <w:rFonts w:hint="eastAsia"/>
          <w:color w:val="auto"/>
          <w:lang w:val="en-US" w:eastAsia="zh-CN"/>
        </w:rPr>
        <w:t>承担该项目的安全预评价工作。</w:t>
      </w:r>
    </w:p>
    <w:p w14:paraId="28EEF021">
      <w:pPr>
        <w:bidi w:val="0"/>
        <w:rPr>
          <w:color w:val="auto"/>
        </w:rPr>
      </w:pPr>
      <w:r>
        <w:rPr>
          <w:rFonts w:hint="eastAsia"/>
          <w:color w:val="auto"/>
          <w:lang w:val="en-US" w:eastAsia="zh-CN"/>
        </w:rPr>
        <w:t>2024年6月，我中心</w:t>
      </w:r>
      <w:r>
        <w:rPr>
          <w:color w:val="auto"/>
        </w:rPr>
        <w:t>组织</w:t>
      </w:r>
      <w:r>
        <w:rPr>
          <w:rFonts w:hint="eastAsia"/>
          <w:color w:val="auto"/>
        </w:rPr>
        <w:t>专家小组</w:t>
      </w:r>
      <w:r>
        <w:rPr>
          <w:rFonts w:hint="eastAsia"/>
          <w:color w:val="auto"/>
          <w:lang w:val="en-US" w:eastAsia="zh-CN"/>
        </w:rPr>
        <w:t>进行了实地勘察和资料收集工作。根据收集和整理相关技术资料，对照相关安全的法律、法规、规章和技术标准</w:t>
      </w:r>
      <w:r>
        <w:rPr>
          <w:color w:val="auto"/>
        </w:rPr>
        <w:t>，依据《安全评价通则》</w:t>
      </w:r>
      <w:r>
        <w:rPr>
          <w:rFonts w:hint="eastAsia"/>
          <w:color w:val="auto"/>
          <w:lang w:eastAsia="zh-CN"/>
        </w:rPr>
        <w:t>（</w:t>
      </w:r>
      <w:r>
        <w:rPr>
          <w:color w:val="auto"/>
        </w:rPr>
        <w:t>AQ8001-2007</w:t>
      </w:r>
      <w:r>
        <w:rPr>
          <w:rFonts w:hint="eastAsia"/>
          <w:color w:val="auto"/>
          <w:lang w:eastAsia="zh-CN"/>
        </w:rPr>
        <w:t>）</w:t>
      </w:r>
      <w:r>
        <w:rPr>
          <w:color w:val="auto"/>
        </w:rPr>
        <w:t>及</w:t>
      </w:r>
      <w:r>
        <w:rPr>
          <w:rFonts w:hint="eastAsia"/>
          <w:color w:val="auto"/>
          <w:lang w:eastAsia="zh-CN"/>
        </w:rPr>
        <w:t>《</w:t>
      </w:r>
      <w:r>
        <w:rPr>
          <w:rFonts w:hint="eastAsia"/>
          <w:color w:val="auto"/>
          <w:lang w:val="en-US" w:eastAsia="zh-CN"/>
        </w:rPr>
        <w:t>安全预评价导则</w:t>
      </w:r>
      <w:r>
        <w:rPr>
          <w:rFonts w:hint="eastAsia"/>
          <w:color w:val="auto"/>
          <w:lang w:eastAsia="zh-CN"/>
        </w:rPr>
        <w:t>》（</w:t>
      </w:r>
      <w:r>
        <w:rPr>
          <w:color w:val="auto"/>
        </w:rPr>
        <w:t>AQ800</w:t>
      </w:r>
      <w:r>
        <w:rPr>
          <w:rFonts w:hint="eastAsia"/>
          <w:color w:val="auto"/>
          <w:lang w:val="en-US" w:eastAsia="zh-CN"/>
        </w:rPr>
        <w:t>2</w:t>
      </w:r>
      <w:r>
        <w:rPr>
          <w:color w:val="auto"/>
        </w:rPr>
        <w:t>-2007</w:t>
      </w:r>
      <w:r>
        <w:rPr>
          <w:rFonts w:hint="eastAsia"/>
          <w:color w:val="auto"/>
          <w:lang w:eastAsia="zh-CN"/>
        </w:rPr>
        <w:t>）</w:t>
      </w:r>
      <w:r>
        <w:rPr>
          <w:color w:val="auto"/>
        </w:rPr>
        <w:t>安全评价标准编制安全评价报告</w:t>
      </w:r>
      <w:r>
        <w:rPr>
          <w:rFonts w:hint="eastAsia"/>
          <w:color w:val="auto"/>
        </w:rPr>
        <w:t>。</w:t>
      </w:r>
    </w:p>
    <w:p w14:paraId="742650F2">
      <w:pPr>
        <w:bidi w:val="0"/>
        <w:jc w:val="center"/>
        <w:rPr>
          <w:b/>
          <w:bCs/>
          <w:color w:val="auto"/>
          <w:szCs w:val="32"/>
        </w:rPr>
      </w:pPr>
      <w:r>
        <w:rPr>
          <w:rFonts w:hint="eastAsia"/>
          <w:color w:val="auto"/>
          <w:lang w:val="en-US" w:eastAsia="zh-CN"/>
        </w:rPr>
        <w:t>委托方所提供的各类证件、文件、资料、图纸等附件，作为本次评价的重要参考依据，委托方应对其真实性、有效性负责，我中心对当时条件下做出的安全评价结果负责。</w:t>
      </w:r>
      <w:r>
        <w:rPr>
          <w:color w:val="auto"/>
        </w:rPr>
        <w:t>在评价过程中，得到了</w:t>
      </w:r>
      <w:r>
        <w:rPr>
          <w:rFonts w:hint="eastAsia"/>
          <w:color w:val="auto"/>
          <w:lang w:eastAsia="zh-CN"/>
        </w:rPr>
        <w:t>江西省交通投资集团有限责任公司</w:t>
      </w:r>
      <w:r>
        <w:rPr>
          <w:rFonts w:hint="eastAsia"/>
          <w:color w:val="auto"/>
          <w:lang w:val="en-US" w:eastAsia="zh-CN"/>
        </w:rPr>
        <w:t>及修水服务区</w:t>
      </w:r>
      <w:r>
        <w:rPr>
          <w:color w:val="auto"/>
        </w:rPr>
        <w:t>的大力支持。评价组全体成员对此表示感谢。</w:t>
      </w:r>
      <w:r>
        <w:rPr>
          <w:b/>
          <w:color w:val="auto"/>
          <w:szCs w:val="28"/>
        </w:rPr>
        <w:br w:type="page"/>
      </w:r>
      <w:r>
        <w:rPr>
          <w:b/>
          <w:bCs/>
          <w:color w:val="auto"/>
          <w:szCs w:val="32"/>
        </w:rPr>
        <w:t>目</w:t>
      </w:r>
      <w:r>
        <w:rPr>
          <w:rFonts w:hint="eastAsia"/>
          <w:b/>
          <w:bCs/>
          <w:color w:val="auto"/>
          <w:szCs w:val="32"/>
        </w:rPr>
        <w:t xml:space="preserve">  </w:t>
      </w:r>
      <w:r>
        <w:rPr>
          <w:b/>
          <w:bCs/>
          <w:color w:val="auto"/>
          <w:szCs w:val="32"/>
        </w:rPr>
        <w:t>录</w:t>
      </w:r>
    </w:p>
    <w:p w14:paraId="39C773E3">
      <w:pPr>
        <w:pStyle w:val="23"/>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color w:val="auto"/>
          <w:sz w:val="24"/>
          <w:szCs w:val="24"/>
        </w:rPr>
        <w:instrText xml:space="preserve">TOC \o "1-3" \h \u </w:instrText>
      </w:r>
      <w:r>
        <w:rPr>
          <w:color w:val="auto"/>
          <w:sz w:val="24"/>
          <w:szCs w:val="24"/>
        </w:rPr>
        <w:fldChar w:fldCharType="separate"/>
      </w:r>
      <w:r>
        <w:rPr>
          <w:color w:val="auto"/>
          <w:sz w:val="24"/>
          <w:szCs w:val="24"/>
        </w:rPr>
        <w:fldChar w:fldCharType="begin"/>
      </w:r>
      <w:r>
        <w:rPr>
          <w:sz w:val="24"/>
          <w:szCs w:val="24"/>
        </w:rPr>
        <w:instrText xml:space="preserve"> HYPERLINK \l _Toc21123 </w:instrText>
      </w:r>
      <w:r>
        <w:rPr>
          <w:sz w:val="24"/>
          <w:szCs w:val="24"/>
        </w:rPr>
        <w:fldChar w:fldCharType="separate"/>
      </w:r>
      <w:r>
        <w:rPr>
          <w:sz w:val="24"/>
          <w:szCs w:val="24"/>
        </w:rPr>
        <w:t>1</w:t>
      </w:r>
      <w:r>
        <w:rPr>
          <w:rFonts w:hint="eastAsia" w:ascii="宋体" w:hAnsi="宋体" w:eastAsia="宋体" w:cs="宋体"/>
          <w:sz w:val="24"/>
          <w:szCs w:val="24"/>
        </w:rPr>
        <w:t>评价概述</w:t>
      </w:r>
      <w:r>
        <w:rPr>
          <w:sz w:val="24"/>
          <w:szCs w:val="24"/>
        </w:rPr>
        <w:tab/>
      </w:r>
      <w:r>
        <w:rPr>
          <w:sz w:val="24"/>
          <w:szCs w:val="24"/>
        </w:rPr>
        <w:fldChar w:fldCharType="begin"/>
      </w:r>
      <w:r>
        <w:rPr>
          <w:sz w:val="24"/>
          <w:szCs w:val="24"/>
        </w:rPr>
        <w:instrText xml:space="preserve"> PAGEREF _Toc21123 \h </w:instrText>
      </w:r>
      <w:r>
        <w:rPr>
          <w:sz w:val="24"/>
          <w:szCs w:val="24"/>
        </w:rPr>
        <w:fldChar w:fldCharType="separate"/>
      </w:r>
      <w:r>
        <w:rPr>
          <w:sz w:val="24"/>
          <w:szCs w:val="24"/>
        </w:rPr>
        <w:t>1</w:t>
      </w:r>
      <w:r>
        <w:rPr>
          <w:sz w:val="24"/>
          <w:szCs w:val="24"/>
        </w:rPr>
        <w:fldChar w:fldCharType="end"/>
      </w:r>
      <w:r>
        <w:rPr>
          <w:color w:val="auto"/>
          <w:sz w:val="24"/>
          <w:szCs w:val="24"/>
        </w:rPr>
        <w:fldChar w:fldCharType="end"/>
      </w:r>
    </w:p>
    <w:p w14:paraId="721C0DFE">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_Toc10195 </w:instrText>
      </w:r>
      <w:r>
        <w:rPr>
          <w:sz w:val="24"/>
          <w:szCs w:val="24"/>
        </w:rPr>
        <w:fldChar w:fldCharType="separate"/>
      </w:r>
      <w:r>
        <w:rPr>
          <w:sz w:val="24"/>
          <w:szCs w:val="24"/>
        </w:rPr>
        <w:t>1.1</w:t>
      </w:r>
      <w:r>
        <w:rPr>
          <w:rFonts w:hint="eastAsia" w:ascii="宋体" w:hAnsi="宋体" w:eastAsia="宋体" w:cs="宋体"/>
          <w:sz w:val="24"/>
          <w:szCs w:val="24"/>
        </w:rPr>
        <w:t>评价的目的</w:t>
      </w:r>
      <w:r>
        <w:rPr>
          <w:sz w:val="24"/>
          <w:szCs w:val="24"/>
        </w:rPr>
        <w:tab/>
      </w:r>
      <w:r>
        <w:rPr>
          <w:sz w:val="24"/>
          <w:szCs w:val="24"/>
        </w:rPr>
        <w:fldChar w:fldCharType="begin"/>
      </w:r>
      <w:r>
        <w:rPr>
          <w:sz w:val="24"/>
          <w:szCs w:val="24"/>
        </w:rPr>
        <w:instrText xml:space="preserve"> PAGEREF _Toc10195 \h </w:instrText>
      </w:r>
      <w:r>
        <w:rPr>
          <w:sz w:val="24"/>
          <w:szCs w:val="24"/>
        </w:rPr>
        <w:fldChar w:fldCharType="separate"/>
      </w:r>
      <w:r>
        <w:rPr>
          <w:sz w:val="24"/>
          <w:szCs w:val="24"/>
        </w:rPr>
        <w:t>1</w:t>
      </w:r>
      <w:r>
        <w:rPr>
          <w:sz w:val="24"/>
          <w:szCs w:val="24"/>
        </w:rPr>
        <w:fldChar w:fldCharType="end"/>
      </w:r>
      <w:r>
        <w:rPr>
          <w:color w:val="auto"/>
          <w:sz w:val="24"/>
          <w:szCs w:val="24"/>
        </w:rPr>
        <w:fldChar w:fldCharType="end"/>
      </w:r>
    </w:p>
    <w:p w14:paraId="10047945">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_Toc1913 </w:instrText>
      </w:r>
      <w:r>
        <w:rPr>
          <w:sz w:val="24"/>
          <w:szCs w:val="24"/>
        </w:rPr>
        <w:fldChar w:fldCharType="separate"/>
      </w:r>
      <w:r>
        <w:rPr>
          <w:rFonts w:ascii="Times New Roman" w:hAnsi="Times New Roman"/>
          <w:sz w:val="24"/>
          <w:szCs w:val="24"/>
        </w:rPr>
        <w:t>1.2</w:t>
      </w:r>
      <w:r>
        <w:rPr>
          <w:rFonts w:hint="eastAsia" w:ascii="宋体" w:hAnsi="宋体" w:eastAsia="宋体" w:cs="宋体"/>
          <w:sz w:val="24"/>
          <w:szCs w:val="24"/>
        </w:rPr>
        <w:t>评价的原则</w:t>
      </w:r>
      <w:r>
        <w:rPr>
          <w:sz w:val="24"/>
          <w:szCs w:val="24"/>
        </w:rPr>
        <w:tab/>
      </w:r>
      <w:r>
        <w:rPr>
          <w:sz w:val="24"/>
          <w:szCs w:val="24"/>
        </w:rPr>
        <w:fldChar w:fldCharType="begin"/>
      </w:r>
      <w:r>
        <w:rPr>
          <w:sz w:val="24"/>
          <w:szCs w:val="24"/>
        </w:rPr>
        <w:instrText xml:space="preserve"> PAGEREF _Toc1913 \h </w:instrText>
      </w:r>
      <w:r>
        <w:rPr>
          <w:sz w:val="24"/>
          <w:szCs w:val="24"/>
        </w:rPr>
        <w:fldChar w:fldCharType="separate"/>
      </w:r>
      <w:r>
        <w:rPr>
          <w:sz w:val="24"/>
          <w:szCs w:val="24"/>
        </w:rPr>
        <w:t>1</w:t>
      </w:r>
      <w:r>
        <w:rPr>
          <w:sz w:val="24"/>
          <w:szCs w:val="24"/>
        </w:rPr>
        <w:fldChar w:fldCharType="end"/>
      </w:r>
      <w:r>
        <w:rPr>
          <w:color w:val="auto"/>
          <w:sz w:val="24"/>
          <w:szCs w:val="24"/>
        </w:rPr>
        <w:fldChar w:fldCharType="end"/>
      </w:r>
    </w:p>
    <w:p w14:paraId="58AE3937">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_Toc15348 </w:instrText>
      </w:r>
      <w:r>
        <w:rPr>
          <w:sz w:val="24"/>
          <w:szCs w:val="24"/>
        </w:rPr>
        <w:fldChar w:fldCharType="separate"/>
      </w:r>
      <w:r>
        <w:rPr>
          <w:sz w:val="24"/>
          <w:szCs w:val="24"/>
        </w:rPr>
        <w:t>1.3</w:t>
      </w:r>
      <w:r>
        <w:rPr>
          <w:rFonts w:hint="eastAsia" w:ascii="宋体" w:hAnsi="宋体" w:eastAsia="宋体" w:cs="宋体"/>
          <w:sz w:val="24"/>
          <w:szCs w:val="24"/>
        </w:rPr>
        <w:t>评价依据</w:t>
      </w:r>
      <w:r>
        <w:rPr>
          <w:sz w:val="24"/>
          <w:szCs w:val="24"/>
        </w:rPr>
        <w:tab/>
      </w:r>
      <w:r>
        <w:rPr>
          <w:sz w:val="24"/>
          <w:szCs w:val="24"/>
        </w:rPr>
        <w:fldChar w:fldCharType="begin"/>
      </w:r>
      <w:r>
        <w:rPr>
          <w:sz w:val="24"/>
          <w:szCs w:val="24"/>
        </w:rPr>
        <w:instrText xml:space="preserve"> PAGEREF _Toc15348 \h </w:instrText>
      </w:r>
      <w:r>
        <w:rPr>
          <w:sz w:val="24"/>
          <w:szCs w:val="24"/>
        </w:rPr>
        <w:fldChar w:fldCharType="separate"/>
      </w:r>
      <w:r>
        <w:rPr>
          <w:sz w:val="24"/>
          <w:szCs w:val="24"/>
        </w:rPr>
        <w:t>2</w:t>
      </w:r>
      <w:r>
        <w:rPr>
          <w:sz w:val="24"/>
          <w:szCs w:val="24"/>
        </w:rPr>
        <w:fldChar w:fldCharType="end"/>
      </w:r>
      <w:r>
        <w:rPr>
          <w:color w:val="auto"/>
          <w:sz w:val="24"/>
          <w:szCs w:val="24"/>
        </w:rPr>
        <w:fldChar w:fldCharType="end"/>
      </w:r>
    </w:p>
    <w:p w14:paraId="1F051CB3">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_Toc3502 </w:instrText>
      </w:r>
      <w:r>
        <w:rPr>
          <w:sz w:val="24"/>
          <w:szCs w:val="24"/>
        </w:rPr>
        <w:fldChar w:fldCharType="separate"/>
      </w:r>
      <w:r>
        <w:rPr>
          <w:sz w:val="24"/>
          <w:szCs w:val="24"/>
        </w:rPr>
        <w:t>1.</w:t>
      </w:r>
      <w:r>
        <w:rPr>
          <w:rFonts w:hint="eastAsia"/>
          <w:sz w:val="24"/>
          <w:szCs w:val="24"/>
        </w:rPr>
        <w:t>3</w:t>
      </w:r>
      <w:r>
        <w:rPr>
          <w:sz w:val="24"/>
          <w:szCs w:val="24"/>
        </w:rPr>
        <w:t>.1法律、法规、规定、规范性文件</w:t>
      </w:r>
      <w:r>
        <w:rPr>
          <w:sz w:val="24"/>
          <w:szCs w:val="24"/>
        </w:rPr>
        <w:tab/>
      </w:r>
      <w:r>
        <w:rPr>
          <w:sz w:val="24"/>
          <w:szCs w:val="24"/>
        </w:rPr>
        <w:fldChar w:fldCharType="begin"/>
      </w:r>
      <w:r>
        <w:rPr>
          <w:sz w:val="24"/>
          <w:szCs w:val="24"/>
        </w:rPr>
        <w:instrText xml:space="preserve"> PAGEREF _Toc3502 \h </w:instrText>
      </w:r>
      <w:r>
        <w:rPr>
          <w:sz w:val="24"/>
          <w:szCs w:val="24"/>
        </w:rPr>
        <w:fldChar w:fldCharType="separate"/>
      </w:r>
      <w:r>
        <w:rPr>
          <w:sz w:val="24"/>
          <w:szCs w:val="24"/>
        </w:rPr>
        <w:t>2</w:t>
      </w:r>
      <w:r>
        <w:rPr>
          <w:sz w:val="24"/>
          <w:szCs w:val="24"/>
        </w:rPr>
        <w:fldChar w:fldCharType="end"/>
      </w:r>
      <w:r>
        <w:rPr>
          <w:color w:val="auto"/>
          <w:sz w:val="24"/>
          <w:szCs w:val="24"/>
        </w:rPr>
        <w:fldChar w:fldCharType="end"/>
      </w:r>
    </w:p>
    <w:p w14:paraId="3AA1EE83">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_Toc20137 </w:instrText>
      </w:r>
      <w:r>
        <w:rPr>
          <w:sz w:val="24"/>
          <w:szCs w:val="24"/>
        </w:rPr>
        <w:fldChar w:fldCharType="separate"/>
      </w:r>
      <w:r>
        <w:rPr>
          <w:sz w:val="24"/>
          <w:szCs w:val="24"/>
        </w:rPr>
        <w:t>1.</w:t>
      </w:r>
      <w:r>
        <w:rPr>
          <w:rFonts w:hint="eastAsia"/>
          <w:sz w:val="24"/>
          <w:szCs w:val="24"/>
        </w:rPr>
        <w:t>3</w:t>
      </w:r>
      <w:r>
        <w:rPr>
          <w:sz w:val="24"/>
          <w:szCs w:val="24"/>
        </w:rPr>
        <w:t>.2</w:t>
      </w:r>
      <w:r>
        <w:rPr>
          <w:rFonts w:hint="eastAsia" w:ascii="宋体" w:hAnsi="宋体" w:eastAsia="宋体" w:cs="宋体"/>
          <w:sz w:val="24"/>
          <w:szCs w:val="24"/>
        </w:rPr>
        <w:t>评价标准、规范</w:t>
      </w:r>
      <w:r>
        <w:rPr>
          <w:sz w:val="24"/>
          <w:szCs w:val="24"/>
        </w:rPr>
        <w:tab/>
      </w:r>
      <w:r>
        <w:rPr>
          <w:sz w:val="24"/>
          <w:szCs w:val="24"/>
        </w:rPr>
        <w:fldChar w:fldCharType="begin"/>
      </w:r>
      <w:r>
        <w:rPr>
          <w:sz w:val="24"/>
          <w:szCs w:val="24"/>
        </w:rPr>
        <w:instrText xml:space="preserve"> PAGEREF _Toc20137 \h </w:instrText>
      </w:r>
      <w:r>
        <w:rPr>
          <w:sz w:val="24"/>
          <w:szCs w:val="24"/>
        </w:rPr>
        <w:fldChar w:fldCharType="separate"/>
      </w:r>
      <w:r>
        <w:rPr>
          <w:sz w:val="24"/>
          <w:szCs w:val="24"/>
        </w:rPr>
        <w:t>4</w:t>
      </w:r>
      <w:r>
        <w:rPr>
          <w:sz w:val="24"/>
          <w:szCs w:val="24"/>
        </w:rPr>
        <w:fldChar w:fldCharType="end"/>
      </w:r>
      <w:r>
        <w:rPr>
          <w:color w:val="auto"/>
          <w:sz w:val="24"/>
          <w:szCs w:val="24"/>
        </w:rPr>
        <w:fldChar w:fldCharType="end"/>
      </w:r>
    </w:p>
    <w:p w14:paraId="1A8A6B50">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_Toc7729 </w:instrText>
      </w:r>
      <w:r>
        <w:rPr>
          <w:sz w:val="24"/>
          <w:szCs w:val="24"/>
        </w:rPr>
        <w:fldChar w:fldCharType="separate"/>
      </w:r>
      <w:r>
        <w:rPr>
          <w:sz w:val="24"/>
          <w:szCs w:val="24"/>
        </w:rPr>
        <w:t>1.</w:t>
      </w:r>
      <w:r>
        <w:rPr>
          <w:rFonts w:hint="eastAsia"/>
          <w:sz w:val="24"/>
          <w:szCs w:val="24"/>
        </w:rPr>
        <w:t>3</w:t>
      </w:r>
      <w:r>
        <w:rPr>
          <w:sz w:val="24"/>
          <w:szCs w:val="24"/>
        </w:rPr>
        <w:t>.3</w:t>
      </w:r>
      <w:r>
        <w:rPr>
          <w:rFonts w:hint="eastAsia" w:ascii="宋体" w:hAnsi="宋体" w:eastAsia="宋体" w:cs="宋体"/>
          <w:sz w:val="24"/>
          <w:szCs w:val="24"/>
        </w:rPr>
        <w:t>其他相关资料</w:t>
      </w:r>
      <w:r>
        <w:rPr>
          <w:sz w:val="24"/>
          <w:szCs w:val="24"/>
        </w:rPr>
        <w:tab/>
      </w:r>
      <w:r>
        <w:rPr>
          <w:sz w:val="24"/>
          <w:szCs w:val="24"/>
        </w:rPr>
        <w:fldChar w:fldCharType="begin"/>
      </w:r>
      <w:r>
        <w:rPr>
          <w:sz w:val="24"/>
          <w:szCs w:val="24"/>
        </w:rPr>
        <w:instrText xml:space="preserve"> PAGEREF _Toc7729 \h </w:instrText>
      </w:r>
      <w:r>
        <w:rPr>
          <w:sz w:val="24"/>
          <w:szCs w:val="24"/>
        </w:rPr>
        <w:fldChar w:fldCharType="separate"/>
      </w:r>
      <w:r>
        <w:rPr>
          <w:sz w:val="24"/>
          <w:szCs w:val="24"/>
        </w:rPr>
        <w:t>7</w:t>
      </w:r>
      <w:r>
        <w:rPr>
          <w:sz w:val="24"/>
          <w:szCs w:val="24"/>
        </w:rPr>
        <w:fldChar w:fldCharType="end"/>
      </w:r>
      <w:r>
        <w:rPr>
          <w:color w:val="auto"/>
          <w:sz w:val="24"/>
          <w:szCs w:val="24"/>
        </w:rPr>
        <w:fldChar w:fldCharType="end"/>
      </w:r>
    </w:p>
    <w:p w14:paraId="5C8538B2">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_Toc6501 </w:instrText>
      </w:r>
      <w:r>
        <w:rPr>
          <w:sz w:val="24"/>
          <w:szCs w:val="24"/>
        </w:rPr>
        <w:fldChar w:fldCharType="separate"/>
      </w:r>
      <w:r>
        <w:rPr>
          <w:sz w:val="24"/>
          <w:szCs w:val="24"/>
        </w:rPr>
        <w:t>1.4</w:t>
      </w:r>
      <w:r>
        <w:rPr>
          <w:rFonts w:hint="eastAsia" w:ascii="宋体" w:hAnsi="宋体" w:eastAsia="宋体" w:cs="宋体"/>
          <w:sz w:val="24"/>
          <w:szCs w:val="24"/>
        </w:rPr>
        <w:t>评价范围</w:t>
      </w:r>
      <w:r>
        <w:rPr>
          <w:sz w:val="24"/>
          <w:szCs w:val="24"/>
        </w:rPr>
        <w:tab/>
      </w:r>
      <w:r>
        <w:rPr>
          <w:sz w:val="24"/>
          <w:szCs w:val="24"/>
        </w:rPr>
        <w:fldChar w:fldCharType="begin"/>
      </w:r>
      <w:r>
        <w:rPr>
          <w:sz w:val="24"/>
          <w:szCs w:val="24"/>
        </w:rPr>
        <w:instrText xml:space="preserve"> PAGEREF _Toc6501 \h </w:instrText>
      </w:r>
      <w:r>
        <w:rPr>
          <w:sz w:val="24"/>
          <w:szCs w:val="24"/>
        </w:rPr>
        <w:fldChar w:fldCharType="separate"/>
      </w:r>
      <w:r>
        <w:rPr>
          <w:sz w:val="24"/>
          <w:szCs w:val="24"/>
        </w:rPr>
        <w:t>7</w:t>
      </w:r>
      <w:r>
        <w:rPr>
          <w:sz w:val="24"/>
          <w:szCs w:val="24"/>
        </w:rPr>
        <w:fldChar w:fldCharType="end"/>
      </w:r>
      <w:r>
        <w:rPr>
          <w:color w:val="auto"/>
          <w:sz w:val="24"/>
          <w:szCs w:val="24"/>
        </w:rPr>
        <w:fldChar w:fldCharType="end"/>
      </w:r>
    </w:p>
    <w:p w14:paraId="158A8962">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_Toc18130 </w:instrText>
      </w:r>
      <w:r>
        <w:rPr>
          <w:sz w:val="24"/>
          <w:szCs w:val="24"/>
        </w:rPr>
        <w:fldChar w:fldCharType="separate"/>
      </w:r>
      <w:r>
        <w:rPr>
          <w:sz w:val="24"/>
          <w:szCs w:val="24"/>
        </w:rPr>
        <w:t>1.5</w:t>
      </w:r>
      <w:r>
        <w:rPr>
          <w:rFonts w:hint="eastAsia" w:ascii="宋体" w:hAnsi="宋体" w:eastAsia="宋体" w:cs="宋体"/>
          <w:sz w:val="24"/>
          <w:szCs w:val="24"/>
        </w:rPr>
        <w:t>评价程序</w:t>
      </w:r>
      <w:r>
        <w:rPr>
          <w:sz w:val="24"/>
          <w:szCs w:val="24"/>
        </w:rPr>
        <w:tab/>
      </w:r>
      <w:r>
        <w:rPr>
          <w:sz w:val="24"/>
          <w:szCs w:val="24"/>
        </w:rPr>
        <w:fldChar w:fldCharType="begin"/>
      </w:r>
      <w:r>
        <w:rPr>
          <w:sz w:val="24"/>
          <w:szCs w:val="24"/>
        </w:rPr>
        <w:instrText xml:space="preserve"> PAGEREF _Toc18130 \h </w:instrText>
      </w:r>
      <w:r>
        <w:rPr>
          <w:sz w:val="24"/>
          <w:szCs w:val="24"/>
        </w:rPr>
        <w:fldChar w:fldCharType="separate"/>
      </w:r>
      <w:r>
        <w:rPr>
          <w:sz w:val="24"/>
          <w:szCs w:val="24"/>
        </w:rPr>
        <w:t>8</w:t>
      </w:r>
      <w:r>
        <w:rPr>
          <w:sz w:val="24"/>
          <w:szCs w:val="24"/>
        </w:rPr>
        <w:fldChar w:fldCharType="end"/>
      </w:r>
      <w:r>
        <w:rPr>
          <w:color w:val="auto"/>
          <w:sz w:val="24"/>
          <w:szCs w:val="24"/>
        </w:rPr>
        <w:fldChar w:fldCharType="end"/>
      </w:r>
    </w:p>
    <w:p w14:paraId="62D17DDA">
      <w:pPr>
        <w:pStyle w:val="23"/>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_Toc3098 </w:instrText>
      </w:r>
      <w:r>
        <w:rPr>
          <w:sz w:val="24"/>
          <w:szCs w:val="24"/>
        </w:rPr>
        <w:fldChar w:fldCharType="separate"/>
      </w:r>
      <w:r>
        <w:rPr>
          <w:sz w:val="24"/>
          <w:szCs w:val="24"/>
        </w:rPr>
        <w:t>2</w:t>
      </w:r>
      <w:r>
        <w:rPr>
          <w:rFonts w:hint="eastAsia" w:ascii="宋体" w:hAnsi="宋体" w:cs="宋体"/>
          <w:sz w:val="24"/>
          <w:szCs w:val="24"/>
          <w:lang w:val="en-US" w:eastAsia="zh-CN"/>
        </w:rPr>
        <w:t>工程</w:t>
      </w:r>
      <w:r>
        <w:rPr>
          <w:rFonts w:hint="eastAsia" w:ascii="宋体" w:hAnsi="宋体" w:eastAsia="宋体" w:cs="宋体"/>
          <w:sz w:val="24"/>
          <w:szCs w:val="24"/>
          <w:lang w:val="en-US" w:eastAsia="zh-CN"/>
        </w:rPr>
        <w:t>概况</w:t>
      </w:r>
      <w:r>
        <w:rPr>
          <w:sz w:val="24"/>
          <w:szCs w:val="24"/>
        </w:rPr>
        <w:tab/>
      </w:r>
      <w:r>
        <w:rPr>
          <w:sz w:val="24"/>
          <w:szCs w:val="24"/>
        </w:rPr>
        <w:fldChar w:fldCharType="begin"/>
      </w:r>
      <w:r>
        <w:rPr>
          <w:sz w:val="24"/>
          <w:szCs w:val="24"/>
        </w:rPr>
        <w:instrText xml:space="preserve"> PAGEREF _Toc3098 \h </w:instrText>
      </w:r>
      <w:r>
        <w:rPr>
          <w:sz w:val="24"/>
          <w:szCs w:val="24"/>
        </w:rPr>
        <w:fldChar w:fldCharType="separate"/>
      </w:r>
      <w:r>
        <w:rPr>
          <w:sz w:val="24"/>
          <w:szCs w:val="24"/>
        </w:rPr>
        <w:t>9</w:t>
      </w:r>
      <w:r>
        <w:rPr>
          <w:sz w:val="24"/>
          <w:szCs w:val="24"/>
        </w:rPr>
        <w:fldChar w:fldCharType="end"/>
      </w:r>
      <w:r>
        <w:rPr>
          <w:color w:val="auto"/>
          <w:sz w:val="24"/>
          <w:szCs w:val="24"/>
        </w:rPr>
        <w:fldChar w:fldCharType="end"/>
      </w:r>
    </w:p>
    <w:p w14:paraId="197FF65F">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_Toc4998 </w:instrText>
      </w:r>
      <w:r>
        <w:rPr>
          <w:sz w:val="24"/>
          <w:szCs w:val="24"/>
        </w:rPr>
        <w:fldChar w:fldCharType="separate"/>
      </w:r>
      <w:r>
        <w:rPr>
          <w:sz w:val="24"/>
          <w:szCs w:val="24"/>
        </w:rPr>
        <w:t>2.1</w:t>
      </w:r>
      <w:r>
        <w:rPr>
          <w:rFonts w:hint="eastAsia" w:ascii="宋体" w:hAnsi="宋体" w:eastAsia="宋体" w:cs="宋体"/>
          <w:sz w:val="24"/>
          <w:szCs w:val="24"/>
          <w:lang w:val="en-US" w:eastAsia="zh-CN"/>
        </w:rPr>
        <w:t>建设单位基本情况</w:t>
      </w:r>
      <w:r>
        <w:rPr>
          <w:sz w:val="24"/>
          <w:szCs w:val="24"/>
        </w:rPr>
        <w:tab/>
      </w:r>
      <w:r>
        <w:rPr>
          <w:sz w:val="24"/>
          <w:szCs w:val="24"/>
        </w:rPr>
        <w:fldChar w:fldCharType="begin"/>
      </w:r>
      <w:r>
        <w:rPr>
          <w:sz w:val="24"/>
          <w:szCs w:val="24"/>
        </w:rPr>
        <w:instrText xml:space="preserve"> PAGEREF _Toc4998 \h </w:instrText>
      </w:r>
      <w:r>
        <w:rPr>
          <w:sz w:val="24"/>
          <w:szCs w:val="24"/>
        </w:rPr>
        <w:fldChar w:fldCharType="separate"/>
      </w:r>
      <w:r>
        <w:rPr>
          <w:sz w:val="24"/>
          <w:szCs w:val="24"/>
        </w:rPr>
        <w:t>9</w:t>
      </w:r>
      <w:r>
        <w:rPr>
          <w:sz w:val="24"/>
          <w:szCs w:val="24"/>
        </w:rPr>
        <w:fldChar w:fldCharType="end"/>
      </w:r>
      <w:r>
        <w:rPr>
          <w:color w:val="auto"/>
          <w:sz w:val="24"/>
          <w:szCs w:val="24"/>
        </w:rPr>
        <w:fldChar w:fldCharType="end"/>
      </w:r>
    </w:p>
    <w:p w14:paraId="6CD887AC">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_Toc30635 </w:instrText>
      </w:r>
      <w:r>
        <w:rPr>
          <w:sz w:val="24"/>
          <w:szCs w:val="24"/>
        </w:rPr>
        <w:fldChar w:fldCharType="separate"/>
      </w:r>
      <w:r>
        <w:rPr>
          <w:sz w:val="24"/>
          <w:szCs w:val="24"/>
        </w:rPr>
        <w:t>2.2</w:t>
      </w:r>
      <w:r>
        <w:rPr>
          <w:rFonts w:hint="eastAsia" w:ascii="宋体" w:hAnsi="宋体" w:eastAsia="宋体" w:cs="宋体"/>
          <w:sz w:val="24"/>
          <w:szCs w:val="24"/>
          <w:lang w:val="en-US" w:eastAsia="zh-CN"/>
        </w:rPr>
        <w:t>建设项目概况</w:t>
      </w:r>
      <w:r>
        <w:rPr>
          <w:sz w:val="24"/>
          <w:szCs w:val="24"/>
        </w:rPr>
        <w:tab/>
      </w:r>
      <w:r>
        <w:rPr>
          <w:sz w:val="24"/>
          <w:szCs w:val="24"/>
        </w:rPr>
        <w:fldChar w:fldCharType="begin"/>
      </w:r>
      <w:r>
        <w:rPr>
          <w:sz w:val="24"/>
          <w:szCs w:val="24"/>
        </w:rPr>
        <w:instrText xml:space="preserve"> PAGEREF _Toc30635 \h </w:instrText>
      </w:r>
      <w:r>
        <w:rPr>
          <w:sz w:val="24"/>
          <w:szCs w:val="24"/>
        </w:rPr>
        <w:fldChar w:fldCharType="separate"/>
      </w:r>
      <w:r>
        <w:rPr>
          <w:sz w:val="24"/>
          <w:szCs w:val="24"/>
        </w:rPr>
        <w:t>9</w:t>
      </w:r>
      <w:r>
        <w:rPr>
          <w:sz w:val="24"/>
          <w:szCs w:val="24"/>
        </w:rPr>
        <w:fldChar w:fldCharType="end"/>
      </w:r>
      <w:r>
        <w:rPr>
          <w:color w:val="auto"/>
          <w:sz w:val="24"/>
          <w:szCs w:val="24"/>
        </w:rPr>
        <w:fldChar w:fldCharType="end"/>
      </w:r>
    </w:p>
    <w:p w14:paraId="6EEB718C">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_Toc7024 </w:instrText>
      </w:r>
      <w:r>
        <w:rPr>
          <w:sz w:val="24"/>
          <w:szCs w:val="24"/>
        </w:rPr>
        <w:fldChar w:fldCharType="separate"/>
      </w:r>
      <w:r>
        <w:rPr>
          <w:rFonts w:hint="default" w:ascii="Times New Roman" w:hAnsi="Times New Roman" w:eastAsia="宋体" w:cs="Times New Roman"/>
          <w:sz w:val="24"/>
          <w:szCs w:val="24"/>
          <w:lang w:val="en-US" w:eastAsia="zh-CN"/>
        </w:rPr>
        <w:t>2.3</w:t>
      </w:r>
      <w:r>
        <w:rPr>
          <w:rFonts w:hint="eastAsia" w:ascii="宋体" w:hAnsi="宋体" w:cs="宋体"/>
          <w:sz w:val="24"/>
          <w:szCs w:val="24"/>
          <w:lang w:val="en-US" w:eastAsia="zh-CN"/>
        </w:rPr>
        <w:t>建设项目选址概况</w:t>
      </w:r>
      <w:r>
        <w:rPr>
          <w:sz w:val="24"/>
          <w:szCs w:val="24"/>
        </w:rPr>
        <w:tab/>
      </w:r>
      <w:r>
        <w:rPr>
          <w:sz w:val="24"/>
          <w:szCs w:val="24"/>
        </w:rPr>
        <w:fldChar w:fldCharType="begin"/>
      </w:r>
      <w:r>
        <w:rPr>
          <w:sz w:val="24"/>
          <w:szCs w:val="24"/>
        </w:rPr>
        <w:instrText xml:space="preserve"> PAGEREF _Toc7024 \h </w:instrText>
      </w:r>
      <w:r>
        <w:rPr>
          <w:sz w:val="24"/>
          <w:szCs w:val="24"/>
        </w:rPr>
        <w:fldChar w:fldCharType="separate"/>
      </w:r>
      <w:r>
        <w:rPr>
          <w:sz w:val="24"/>
          <w:szCs w:val="24"/>
        </w:rPr>
        <w:t>11</w:t>
      </w:r>
      <w:r>
        <w:rPr>
          <w:sz w:val="24"/>
          <w:szCs w:val="24"/>
        </w:rPr>
        <w:fldChar w:fldCharType="end"/>
      </w:r>
      <w:r>
        <w:rPr>
          <w:color w:val="auto"/>
          <w:sz w:val="24"/>
          <w:szCs w:val="24"/>
        </w:rPr>
        <w:fldChar w:fldCharType="end"/>
      </w:r>
    </w:p>
    <w:p w14:paraId="1E23D681">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_Toc16692 </w:instrText>
      </w:r>
      <w:r>
        <w:rPr>
          <w:sz w:val="24"/>
          <w:szCs w:val="24"/>
        </w:rPr>
        <w:fldChar w:fldCharType="separate"/>
      </w:r>
      <w:r>
        <w:rPr>
          <w:rFonts w:hint="eastAsia"/>
          <w:sz w:val="24"/>
          <w:szCs w:val="24"/>
          <w:lang w:val="en-US" w:eastAsia="zh-CN"/>
        </w:rPr>
        <w:t>2.3.1周边环境</w:t>
      </w:r>
      <w:r>
        <w:rPr>
          <w:sz w:val="24"/>
          <w:szCs w:val="24"/>
        </w:rPr>
        <w:tab/>
      </w:r>
      <w:r>
        <w:rPr>
          <w:sz w:val="24"/>
          <w:szCs w:val="24"/>
        </w:rPr>
        <w:fldChar w:fldCharType="begin"/>
      </w:r>
      <w:r>
        <w:rPr>
          <w:sz w:val="24"/>
          <w:szCs w:val="24"/>
        </w:rPr>
        <w:instrText xml:space="preserve"> PAGEREF _Toc16692 \h </w:instrText>
      </w:r>
      <w:r>
        <w:rPr>
          <w:sz w:val="24"/>
          <w:szCs w:val="24"/>
        </w:rPr>
        <w:fldChar w:fldCharType="separate"/>
      </w:r>
      <w:r>
        <w:rPr>
          <w:sz w:val="24"/>
          <w:szCs w:val="24"/>
        </w:rPr>
        <w:t>11</w:t>
      </w:r>
      <w:r>
        <w:rPr>
          <w:sz w:val="24"/>
          <w:szCs w:val="24"/>
        </w:rPr>
        <w:fldChar w:fldCharType="end"/>
      </w:r>
      <w:r>
        <w:rPr>
          <w:color w:val="auto"/>
          <w:sz w:val="24"/>
          <w:szCs w:val="24"/>
        </w:rPr>
        <w:fldChar w:fldCharType="end"/>
      </w:r>
    </w:p>
    <w:p w14:paraId="6918F5BA">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_Toc22435 </w:instrText>
      </w:r>
      <w:r>
        <w:rPr>
          <w:sz w:val="24"/>
          <w:szCs w:val="24"/>
        </w:rPr>
        <w:fldChar w:fldCharType="separate"/>
      </w:r>
      <w:r>
        <w:rPr>
          <w:rFonts w:hint="eastAsia"/>
          <w:sz w:val="24"/>
          <w:szCs w:val="24"/>
          <w:lang w:val="en-US" w:eastAsia="zh-CN"/>
        </w:rPr>
        <w:t>2.3.2自然条件</w:t>
      </w:r>
      <w:r>
        <w:rPr>
          <w:sz w:val="24"/>
          <w:szCs w:val="24"/>
        </w:rPr>
        <w:tab/>
      </w:r>
      <w:r>
        <w:rPr>
          <w:sz w:val="24"/>
          <w:szCs w:val="24"/>
        </w:rPr>
        <w:fldChar w:fldCharType="begin"/>
      </w:r>
      <w:r>
        <w:rPr>
          <w:sz w:val="24"/>
          <w:szCs w:val="24"/>
        </w:rPr>
        <w:instrText xml:space="preserve"> PAGEREF _Toc22435 \h </w:instrText>
      </w:r>
      <w:r>
        <w:rPr>
          <w:sz w:val="24"/>
          <w:szCs w:val="24"/>
        </w:rPr>
        <w:fldChar w:fldCharType="separate"/>
      </w:r>
      <w:r>
        <w:rPr>
          <w:sz w:val="24"/>
          <w:szCs w:val="24"/>
        </w:rPr>
        <w:t>12</w:t>
      </w:r>
      <w:r>
        <w:rPr>
          <w:sz w:val="24"/>
          <w:szCs w:val="24"/>
        </w:rPr>
        <w:fldChar w:fldCharType="end"/>
      </w:r>
      <w:r>
        <w:rPr>
          <w:color w:val="auto"/>
          <w:sz w:val="24"/>
          <w:szCs w:val="24"/>
        </w:rPr>
        <w:fldChar w:fldCharType="end"/>
      </w:r>
    </w:p>
    <w:p w14:paraId="26D47114">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_Toc3159 </w:instrText>
      </w:r>
      <w:r>
        <w:rPr>
          <w:sz w:val="24"/>
          <w:szCs w:val="24"/>
        </w:rPr>
        <w:fldChar w:fldCharType="separate"/>
      </w:r>
      <w:r>
        <w:rPr>
          <w:sz w:val="24"/>
          <w:szCs w:val="24"/>
        </w:rPr>
        <w:t>2.</w:t>
      </w:r>
      <w:r>
        <w:rPr>
          <w:rFonts w:hint="eastAsia"/>
          <w:sz w:val="24"/>
          <w:szCs w:val="24"/>
          <w:lang w:val="en-US" w:eastAsia="zh-CN"/>
        </w:rPr>
        <w:t>4</w:t>
      </w:r>
      <w:r>
        <w:rPr>
          <w:rFonts w:hint="eastAsia" w:ascii="宋体" w:hAnsi="宋体" w:eastAsia="宋体" w:cs="宋体"/>
          <w:sz w:val="24"/>
          <w:szCs w:val="24"/>
          <w:lang w:val="en-US" w:eastAsia="zh-CN"/>
        </w:rPr>
        <w:t>总</w:t>
      </w:r>
      <w:r>
        <w:rPr>
          <w:rFonts w:hint="eastAsia" w:ascii="宋体" w:hAnsi="宋体" w:cs="宋体"/>
          <w:sz w:val="24"/>
          <w:szCs w:val="24"/>
          <w:lang w:val="en-US" w:eastAsia="zh-CN"/>
        </w:rPr>
        <w:t>图及</w:t>
      </w:r>
      <w:r>
        <w:rPr>
          <w:rFonts w:hint="eastAsia" w:ascii="宋体" w:hAnsi="宋体" w:eastAsia="宋体" w:cs="宋体"/>
          <w:sz w:val="24"/>
          <w:szCs w:val="24"/>
          <w:lang w:val="en-US" w:eastAsia="zh-CN"/>
        </w:rPr>
        <w:t>平面布置</w:t>
      </w:r>
      <w:r>
        <w:rPr>
          <w:sz w:val="24"/>
          <w:szCs w:val="24"/>
        </w:rPr>
        <w:tab/>
      </w:r>
      <w:r>
        <w:rPr>
          <w:sz w:val="24"/>
          <w:szCs w:val="24"/>
        </w:rPr>
        <w:fldChar w:fldCharType="begin"/>
      </w:r>
      <w:r>
        <w:rPr>
          <w:sz w:val="24"/>
          <w:szCs w:val="24"/>
        </w:rPr>
        <w:instrText xml:space="preserve"> PAGEREF _Toc3159 \h </w:instrText>
      </w:r>
      <w:r>
        <w:rPr>
          <w:sz w:val="24"/>
          <w:szCs w:val="24"/>
        </w:rPr>
        <w:fldChar w:fldCharType="separate"/>
      </w:r>
      <w:r>
        <w:rPr>
          <w:sz w:val="24"/>
          <w:szCs w:val="24"/>
        </w:rPr>
        <w:t>14</w:t>
      </w:r>
      <w:r>
        <w:rPr>
          <w:sz w:val="24"/>
          <w:szCs w:val="24"/>
        </w:rPr>
        <w:fldChar w:fldCharType="end"/>
      </w:r>
      <w:r>
        <w:rPr>
          <w:color w:val="auto"/>
          <w:sz w:val="24"/>
          <w:szCs w:val="24"/>
        </w:rPr>
        <w:fldChar w:fldCharType="end"/>
      </w:r>
    </w:p>
    <w:p w14:paraId="4E0C8A5D">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_Toc6307 </w:instrText>
      </w:r>
      <w:r>
        <w:rPr>
          <w:sz w:val="24"/>
          <w:szCs w:val="24"/>
        </w:rPr>
        <w:fldChar w:fldCharType="separate"/>
      </w:r>
      <w:r>
        <w:rPr>
          <w:rFonts w:hint="eastAsia"/>
          <w:sz w:val="24"/>
          <w:szCs w:val="24"/>
          <w:lang w:val="en-US" w:eastAsia="zh-CN"/>
        </w:rPr>
        <w:t>2.5主要建（构）筑物及设备设施</w:t>
      </w:r>
      <w:r>
        <w:rPr>
          <w:sz w:val="24"/>
          <w:szCs w:val="24"/>
        </w:rPr>
        <w:tab/>
      </w:r>
      <w:r>
        <w:rPr>
          <w:sz w:val="24"/>
          <w:szCs w:val="24"/>
        </w:rPr>
        <w:fldChar w:fldCharType="begin"/>
      </w:r>
      <w:r>
        <w:rPr>
          <w:sz w:val="24"/>
          <w:szCs w:val="24"/>
        </w:rPr>
        <w:instrText xml:space="preserve"> PAGEREF _Toc6307 \h </w:instrText>
      </w:r>
      <w:r>
        <w:rPr>
          <w:sz w:val="24"/>
          <w:szCs w:val="24"/>
        </w:rPr>
        <w:fldChar w:fldCharType="separate"/>
      </w:r>
      <w:r>
        <w:rPr>
          <w:sz w:val="24"/>
          <w:szCs w:val="24"/>
        </w:rPr>
        <w:t>16</w:t>
      </w:r>
      <w:r>
        <w:rPr>
          <w:sz w:val="24"/>
          <w:szCs w:val="24"/>
        </w:rPr>
        <w:fldChar w:fldCharType="end"/>
      </w:r>
      <w:r>
        <w:rPr>
          <w:color w:val="auto"/>
          <w:sz w:val="24"/>
          <w:szCs w:val="24"/>
        </w:rPr>
        <w:fldChar w:fldCharType="end"/>
      </w:r>
    </w:p>
    <w:p w14:paraId="63ED623A">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_Toc32049 </w:instrText>
      </w:r>
      <w:r>
        <w:rPr>
          <w:sz w:val="24"/>
          <w:szCs w:val="24"/>
        </w:rPr>
        <w:fldChar w:fldCharType="separate"/>
      </w:r>
      <w:r>
        <w:rPr>
          <w:sz w:val="24"/>
          <w:szCs w:val="24"/>
        </w:rPr>
        <w:t>2.</w:t>
      </w:r>
      <w:r>
        <w:rPr>
          <w:rFonts w:hint="eastAsia"/>
          <w:sz w:val="24"/>
          <w:szCs w:val="24"/>
          <w:lang w:val="en-US" w:eastAsia="zh-CN"/>
        </w:rPr>
        <w:t>6</w:t>
      </w:r>
      <w:r>
        <w:rPr>
          <w:rFonts w:hint="eastAsia" w:ascii="宋体" w:hAnsi="宋体" w:cs="宋体"/>
          <w:sz w:val="24"/>
          <w:szCs w:val="24"/>
          <w:lang w:val="en-US" w:eastAsia="zh-CN"/>
        </w:rPr>
        <w:t>充电桩工艺方案</w:t>
      </w:r>
      <w:r>
        <w:rPr>
          <w:sz w:val="24"/>
          <w:szCs w:val="24"/>
        </w:rPr>
        <w:tab/>
      </w:r>
      <w:r>
        <w:rPr>
          <w:sz w:val="24"/>
          <w:szCs w:val="24"/>
        </w:rPr>
        <w:fldChar w:fldCharType="begin"/>
      </w:r>
      <w:r>
        <w:rPr>
          <w:sz w:val="24"/>
          <w:szCs w:val="24"/>
        </w:rPr>
        <w:instrText xml:space="preserve"> PAGEREF _Toc32049 \h </w:instrText>
      </w:r>
      <w:r>
        <w:rPr>
          <w:sz w:val="24"/>
          <w:szCs w:val="24"/>
        </w:rPr>
        <w:fldChar w:fldCharType="separate"/>
      </w:r>
      <w:r>
        <w:rPr>
          <w:sz w:val="24"/>
          <w:szCs w:val="24"/>
        </w:rPr>
        <w:t>18</w:t>
      </w:r>
      <w:r>
        <w:rPr>
          <w:sz w:val="24"/>
          <w:szCs w:val="24"/>
        </w:rPr>
        <w:fldChar w:fldCharType="end"/>
      </w:r>
      <w:r>
        <w:rPr>
          <w:color w:val="auto"/>
          <w:sz w:val="24"/>
          <w:szCs w:val="24"/>
        </w:rPr>
        <w:fldChar w:fldCharType="end"/>
      </w:r>
    </w:p>
    <w:p w14:paraId="1568CE3C">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_Toc22822 </w:instrText>
      </w:r>
      <w:r>
        <w:rPr>
          <w:sz w:val="24"/>
          <w:szCs w:val="24"/>
        </w:rPr>
        <w:fldChar w:fldCharType="separate"/>
      </w:r>
      <w:r>
        <w:rPr>
          <w:rFonts w:hint="eastAsia"/>
          <w:sz w:val="24"/>
          <w:szCs w:val="24"/>
          <w:lang w:val="en-US" w:eastAsia="zh-CN"/>
        </w:rPr>
        <w:t>2.7公用工程及辅助设施</w:t>
      </w:r>
      <w:r>
        <w:rPr>
          <w:sz w:val="24"/>
          <w:szCs w:val="24"/>
        </w:rPr>
        <w:tab/>
      </w:r>
      <w:r>
        <w:rPr>
          <w:sz w:val="24"/>
          <w:szCs w:val="24"/>
        </w:rPr>
        <w:fldChar w:fldCharType="begin"/>
      </w:r>
      <w:r>
        <w:rPr>
          <w:sz w:val="24"/>
          <w:szCs w:val="24"/>
        </w:rPr>
        <w:instrText xml:space="preserve"> PAGEREF _Toc22822 \h </w:instrText>
      </w:r>
      <w:r>
        <w:rPr>
          <w:sz w:val="24"/>
          <w:szCs w:val="24"/>
        </w:rPr>
        <w:fldChar w:fldCharType="separate"/>
      </w:r>
      <w:r>
        <w:rPr>
          <w:sz w:val="24"/>
          <w:szCs w:val="24"/>
        </w:rPr>
        <w:t>20</w:t>
      </w:r>
      <w:r>
        <w:rPr>
          <w:sz w:val="24"/>
          <w:szCs w:val="24"/>
        </w:rPr>
        <w:fldChar w:fldCharType="end"/>
      </w:r>
      <w:r>
        <w:rPr>
          <w:color w:val="auto"/>
          <w:sz w:val="24"/>
          <w:szCs w:val="24"/>
        </w:rPr>
        <w:fldChar w:fldCharType="end"/>
      </w:r>
    </w:p>
    <w:p w14:paraId="3DE41D50">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_Toc30364 </w:instrText>
      </w:r>
      <w:r>
        <w:rPr>
          <w:sz w:val="24"/>
          <w:szCs w:val="24"/>
        </w:rPr>
        <w:fldChar w:fldCharType="separate"/>
      </w:r>
      <w:r>
        <w:rPr>
          <w:rFonts w:hint="eastAsia"/>
          <w:sz w:val="24"/>
          <w:szCs w:val="24"/>
          <w:lang w:val="en-US" w:eastAsia="zh-CN"/>
        </w:rPr>
        <w:t>2.7.1供配电</w:t>
      </w:r>
      <w:r>
        <w:rPr>
          <w:sz w:val="24"/>
          <w:szCs w:val="24"/>
        </w:rPr>
        <w:tab/>
      </w:r>
      <w:r>
        <w:rPr>
          <w:sz w:val="24"/>
          <w:szCs w:val="24"/>
        </w:rPr>
        <w:fldChar w:fldCharType="begin"/>
      </w:r>
      <w:r>
        <w:rPr>
          <w:sz w:val="24"/>
          <w:szCs w:val="24"/>
        </w:rPr>
        <w:instrText xml:space="preserve"> PAGEREF _Toc30364 \h </w:instrText>
      </w:r>
      <w:r>
        <w:rPr>
          <w:sz w:val="24"/>
          <w:szCs w:val="24"/>
        </w:rPr>
        <w:fldChar w:fldCharType="separate"/>
      </w:r>
      <w:r>
        <w:rPr>
          <w:sz w:val="24"/>
          <w:szCs w:val="24"/>
        </w:rPr>
        <w:t>20</w:t>
      </w:r>
      <w:r>
        <w:rPr>
          <w:sz w:val="24"/>
          <w:szCs w:val="24"/>
        </w:rPr>
        <w:fldChar w:fldCharType="end"/>
      </w:r>
      <w:r>
        <w:rPr>
          <w:color w:val="auto"/>
          <w:sz w:val="24"/>
          <w:szCs w:val="24"/>
        </w:rPr>
        <w:fldChar w:fldCharType="end"/>
      </w:r>
    </w:p>
    <w:p w14:paraId="6F3B542D">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_Toc24488 </w:instrText>
      </w:r>
      <w:r>
        <w:rPr>
          <w:sz w:val="24"/>
          <w:szCs w:val="24"/>
        </w:rPr>
        <w:fldChar w:fldCharType="separate"/>
      </w:r>
      <w:r>
        <w:rPr>
          <w:rFonts w:hint="eastAsia"/>
          <w:sz w:val="24"/>
          <w:szCs w:val="24"/>
          <w:lang w:val="en-US" w:eastAsia="zh-CN"/>
        </w:rPr>
        <w:t>2.7.2照明</w:t>
      </w:r>
      <w:r>
        <w:rPr>
          <w:sz w:val="24"/>
          <w:szCs w:val="24"/>
        </w:rPr>
        <w:tab/>
      </w:r>
      <w:r>
        <w:rPr>
          <w:sz w:val="24"/>
          <w:szCs w:val="24"/>
        </w:rPr>
        <w:fldChar w:fldCharType="begin"/>
      </w:r>
      <w:r>
        <w:rPr>
          <w:sz w:val="24"/>
          <w:szCs w:val="24"/>
        </w:rPr>
        <w:instrText xml:space="preserve"> PAGEREF _Toc24488 \h </w:instrText>
      </w:r>
      <w:r>
        <w:rPr>
          <w:sz w:val="24"/>
          <w:szCs w:val="24"/>
        </w:rPr>
        <w:fldChar w:fldCharType="separate"/>
      </w:r>
      <w:r>
        <w:rPr>
          <w:sz w:val="24"/>
          <w:szCs w:val="24"/>
        </w:rPr>
        <w:t>22</w:t>
      </w:r>
      <w:r>
        <w:rPr>
          <w:sz w:val="24"/>
          <w:szCs w:val="24"/>
        </w:rPr>
        <w:fldChar w:fldCharType="end"/>
      </w:r>
      <w:r>
        <w:rPr>
          <w:color w:val="auto"/>
          <w:sz w:val="24"/>
          <w:szCs w:val="24"/>
        </w:rPr>
        <w:fldChar w:fldCharType="end"/>
      </w:r>
    </w:p>
    <w:p w14:paraId="5D36C95A">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_Toc8174 </w:instrText>
      </w:r>
      <w:r>
        <w:rPr>
          <w:sz w:val="24"/>
          <w:szCs w:val="24"/>
        </w:rPr>
        <w:fldChar w:fldCharType="separate"/>
      </w:r>
      <w:r>
        <w:rPr>
          <w:rFonts w:hint="eastAsia"/>
          <w:sz w:val="24"/>
          <w:szCs w:val="24"/>
          <w:lang w:val="en-US" w:eastAsia="zh-CN"/>
        </w:rPr>
        <w:t>2.7.3防雷接地</w:t>
      </w:r>
      <w:r>
        <w:rPr>
          <w:sz w:val="24"/>
          <w:szCs w:val="24"/>
        </w:rPr>
        <w:tab/>
      </w:r>
      <w:r>
        <w:rPr>
          <w:sz w:val="24"/>
          <w:szCs w:val="24"/>
        </w:rPr>
        <w:fldChar w:fldCharType="begin"/>
      </w:r>
      <w:r>
        <w:rPr>
          <w:sz w:val="24"/>
          <w:szCs w:val="24"/>
        </w:rPr>
        <w:instrText xml:space="preserve"> PAGEREF _Toc8174 \h </w:instrText>
      </w:r>
      <w:r>
        <w:rPr>
          <w:sz w:val="24"/>
          <w:szCs w:val="24"/>
        </w:rPr>
        <w:fldChar w:fldCharType="separate"/>
      </w:r>
      <w:r>
        <w:rPr>
          <w:sz w:val="24"/>
          <w:szCs w:val="24"/>
        </w:rPr>
        <w:t>23</w:t>
      </w:r>
      <w:r>
        <w:rPr>
          <w:sz w:val="24"/>
          <w:szCs w:val="24"/>
        </w:rPr>
        <w:fldChar w:fldCharType="end"/>
      </w:r>
      <w:r>
        <w:rPr>
          <w:color w:val="auto"/>
          <w:sz w:val="24"/>
          <w:szCs w:val="24"/>
        </w:rPr>
        <w:fldChar w:fldCharType="end"/>
      </w:r>
    </w:p>
    <w:p w14:paraId="30BB47FA">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_Toc28106 </w:instrText>
      </w:r>
      <w:r>
        <w:rPr>
          <w:sz w:val="24"/>
          <w:szCs w:val="24"/>
        </w:rPr>
        <w:fldChar w:fldCharType="separate"/>
      </w:r>
      <w:r>
        <w:rPr>
          <w:rFonts w:hint="eastAsia"/>
          <w:sz w:val="24"/>
          <w:szCs w:val="24"/>
          <w:lang w:val="en-US" w:eastAsia="zh-CN"/>
        </w:rPr>
        <w:t>2.7.4给排水</w:t>
      </w:r>
      <w:r>
        <w:rPr>
          <w:sz w:val="24"/>
          <w:szCs w:val="24"/>
        </w:rPr>
        <w:tab/>
      </w:r>
      <w:r>
        <w:rPr>
          <w:sz w:val="24"/>
          <w:szCs w:val="24"/>
        </w:rPr>
        <w:fldChar w:fldCharType="begin"/>
      </w:r>
      <w:r>
        <w:rPr>
          <w:sz w:val="24"/>
          <w:szCs w:val="24"/>
        </w:rPr>
        <w:instrText xml:space="preserve"> PAGEREF _Toc28106 \h </w:instrText>
      </w:r>
      <w:r>
        <w:rPr>
          <w:sz w:val="24"/>
          <w:szCs w:val="24"/>
        </w:rPr>
        <w:fldChar w:fldCharType="separate"/>
      </w:r>
      <w:r>
        <w:rPr>
          <w:sz w:val="24"/>
          <w:szCs w:val="24"/>
        </w:rPr>
        <w:t>23</w:t>
      </w:r>
      <w:r>
        <w:rPr>
          <w:sz w:val="24"/>
          <w:szCs w:val="24"/>
        </w:rPr>
        <w:fldChar w:fldCharType="end"/>
      </w:r>
      <w:r>
        <w:rPr>
          <w:color w:val="auto"/>
          <w:sz w:val="24"/>
          <w:szCs w:val="24"/>
        </w:rPr>
        <w:fldChar w:fldCharType="end"/>
      </w:r>
    </w:p>
    <w:p w14:paraId="59CB0788">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_Toc5469 </w:instrText>
      </w:r>
      <w:r>
        <w:rPr>
          <w:sz w:val="24"/>
          <w:szCs w:val="24"/>
        </w:rPr>
        <w:fldChar w:fldCharType="separate"/>
      </w:r>
      <w:r>
        <w:rPr>
          <w:rFonts w:hint="eastAsia"/>
          <w:sz w:val="24"/>
          <w:szCs w:val="24"/>
          <w:lang w:val="en-US" w:eastAsia="zh-CN"/>
        </w:rPr>
        <w:t>2.7.5供气</w:t>
      </w:r>
      <w:r>
        <w:rPr>
          <w:sz w:val="24"/>
          <w:szCs w:val="24"/>
        </w:rPr>
        <w:tab/>
      </w:r>
      <w:r>
        <w:rPr>
          <w:sz w:val="24"/>
          <w:szCs w:val="24"/>
        </w:rPr>
        <w:fldChar w:fldCharType="begin"/>
      </w:r>
      <w:r>
        <w:rPr>
          <w:sz w:val="24"/>
          <w:szCs w:val="24"/>
        </w:rPr>
        <w:instrText xml:space="preserve"> PAGEREF _Toc5469 \h </w:instrText>
      </w:r>
      <w:r>
        <w:rPr>
          <w:sz w:val="24"/>
          <w:szCs w:val="24"/>
        </w:rPr>
        <w:fldChar w:fldCharType="separate"/>
      </w:r>
      <w:r>
        <w:rPr>
          <w:sz w:val="24"/>
          <w:szCs w:val="24"/>
        </w:rPr>
        <w:t>24</w:t>
      </w:r>
      <w:r>
        <w:rPr>
          <w:sz w:val="24"/>
          <w:szCs w:val="24"/>
        </w:rPr>
        <w:fldChar w:fldCharType="end"/>
      </w:r>
      <w:r>
        <w:rPr>
          <w:color w:val="auto"/>
          <w:sz w:val="24"/>
          <w:szCs w:val="24"/>
        </w:rPr>
        <w:fldChar w:fldCharType="end"/>
      </w:r>
    </w:p>
    <w:p w14:paraId="722AFEF4">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_Toc29597 </w:instrText>
      </w:r>
      <w:r>
        <w:rPr>
          <w:sz w:val="24"/>
          <w:szCs w:val="24"/>
        </w:rPr>
        <w:fldChar w:fldCharType="separate"/>
      </w:r>
      <w:r>
        <w:rPr>
          <w:rFonts w:hint="eastAsia"/>
          <w:sz w:val="24"/>
          <w:szCs w:val="24"/>
          <w:lang w:val="en-US" w:eastAsia="zh-CN"/>
        </w:rPr>
        <w:t>2.7.6采暖通风</w:t>
      </w:r>
      <w:r>
        <w:rPr>
          <w:sz w:val="24"/>
          <w:szCs w:val="24"/>
        </w:rPr>
        <w:tab/>
      </w:r>
      <w:r>
        <w:rPr>
          <w:sz w:val="24"/>
          <w:szCs w:val="24"/>
        </w:rPr>
        <w:fldChar w:fldCharType="begin"/>
      </w:r>
      <w:r>
        <w:rPr>
          <w:sz w:val="24"/>
          <w:szCs w:val="24"/>
        </w:rPr>
        <w:instrText xml:space="preserve"> PAGEREF _Toc29597 \h </w:instrText>
      </w:r>
      <w:r>
        <w:rPr>
          <w:sz w:val="24"/>
          <w:szCs w:val="24"/>
        </w:rPr>
        <w:fldChar w:fldCharType="separate"/>
      </w:r>
      <w:r>
        <w:rPr>
          <w:sz w:val="24"/>
          <w:szCs w:val="24"/>
        </w:rPr>
        <w:t>24</w:t>
      </w:r>
      <w:r>
        <w:rPr>
          <w:sz w:val="24"/>
          <w:szCs w:val="24"/>
        </w:rPr>
        <w:fldChar w:fldCharType="end"/>
      </w:r>
      <w:r>
        <w:rPr>
          <w:color w:val="auto"/>
          <w:sz w:val="24"/>
          <w:szCs w:val="24"/>
        </w:rPr>
        <w:fldChar w:fldCharType="end"/>
      </w:r>
    </w:p>
    <w:p w14:paraId="69274EB9">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_Toc159 </w:instrText>
      </w:r>
      <w:r>
        <w:rPr>
          <w:sz w:val="24"/>
          <w:szCs w:val="24"/>
        </w:rPr>
        <w:fldChar w:fldCharType="separate"/>
      </w:r>
      <w:r>
        <w:rPr>
          <w:rFonts w:hint="eastAsia"/>
          <w:sz w:val="24"/>
          <w:szCs w:val="24"/>
          <w:lang w:val="en-US" w:eastAsia="zh-CN"/>
        </w:rPr>
        <w:t>2.7.8视频监控</w:t>
      </w:r>
      <w:r>
        <w:rPr>
          <w:sz w:val="24"/>
          <w:szCs w:val="24"/>
        </w:rPr>
        <w:tab/>
      </w:r>
      <w:r>
        <w:rPr>
          <w:sz w:val="24"/>
          <w:szCs w:val="24"/>
        </w:rPr>
        <w:fldChar w:fldCharType="begin"/>
      </w:r>
      <w:r>
        <w:rPr>
          <w:sz w:val="24"/>
          <w:szCs w:val="24"/>
        </w:rPr>
        <w:instrText xml:space="preserve"> PAGEREF _Toc159 \h </w:instrText>
      </w:r>
      <w:r>
        <w:rPr>
          <w:sz w:val="24"/>
          <w:szCs w:val="24"/>
        </w:rPr>
        <w:fldChar w:fldCharType="separate"/>
      </w:r>
      <w:r>
        <w:rPr>
          <w:sz w:val="24"/>
          <w:szCs w:val="24"/>
        </w:rPr>
        <w:t>25</w:t>
      </w:r>
      <w:r>
        <w:rPr>
          <w:sz w:val="24"/>
          <w:szCs w:val="24"/>
        </w:rPr>
        <w:fldChar w:fldCharType="end"/>
      </w:r>
      <w:r>
        <w:rPr>
          <w:color w:val="auto"/>
          <w:sz w:val="24"/>
          <w:szCs w:val="24"/>
        </w:rPr>
        <w:fldChar w:fldCharType="end"/>
      </w:r>
    </w:p>
    <w:p w14:paraId="20E38CEF">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_Toc11843 </w:instrText>
      </w:r>
      <w:r>
        <w:rPr>
          <w:sz w:val="24"/>
          <w:szCs w:val="24"/>
        </w:rPr>
        <w:fldChar w:fldCharType="separate"/>
      </w:r>
      <w:r>
        <w:rPr>
          <w:rFonts w:hint="eastAsia"/>
          <w:sz w:val="24"/>
          <w:szCs w:val="24"/>
          <w:lang w:val="en-US" w:eastAsia="zh-CN"/>
        </w:rPr>
        <w:t>2.7.7三废处理</w:t>
      </w:r>
      <w:r>
        <w:rPr>
          <w:sz w:val="24"/>
          <w:szCs w:val="24"/>
        </w:rPr>
        <w:tab/>
      </w:r>
      <w:r>
        <w:rPr>
          <w:sz w:val="24"/>
          <w:szCs w:val="24"/>
        </w:rPr>
        <w:fldChar w:fldCharType="begin"/>
      </w:r>
      <w:r>
        <w:rPr>
          <w:sz w:val="24"/>
          <w:szCs w:val="24"/>
        </w:rPr>
        <w:instrText xml:space="preserve"> PAGEREF _Toc11843 \h </w:instrText>
      </w:r>
      <w:r>
        <w:rPr>
          <w:sz w:val="24"/>
          <w:szCs w:val="24"/>
        </w:rPr>
        <w:fldChar w:fldCharType="separate"/>
      </w:r>
      <w:r>
        <w:rPr>
          <w:sz w:val="24"/>
          <w:szCs w:val="24"/>
        </w:rPr>
        <w:t>25</w:t>
      </w:r>
      <w:r>
        <w:rPr>
          <w:sz w:val="24"/>
          <w:szCs w:val="24"/>
        </w:rPr>
        <w:fldChar w:fldCharType="end"/>
      </w:r>
      <w:r>
        <w:rPr>
          <w:color w:val="auto"/>
          <w:sz w:val="24"/>
          <w:szCs w:val="24"/>
        </w:rPr>
        <w:fldChar w:fldCharType="end"/>
      </w:r>
    </w:p>
    <w:p w14:paraId="688798B9">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_Toc906 </w:instrText>
      </w:r>
      <w:r>
        <w:rPr>
          <w:sz w:val="24"/>
          <w:szCs w:val="24"/>
        </w:rPr>
        <w:fldChar w:fldCharType="separate"/>
      </w:r>
      <w:r>
        <w:rPr>
          <w:rFonts w:hint="eastAsia"/>
          <w:sz w:val="24"/>
          <w:szCs w:val="24"/>
          <w:lang w:val="en-US" w:eastAsia="zh-CN"/>
        </w:rPr>
        <w:t>2.8</w:t>
      </w:r>
      <w:r>
        <w:rPr>
          <w:sz w:val="24"/>
          <w:szCs w:val="24"/>
        </w:rPr>
        <w:t>消防</w:t>
      </w:r>
      <w:r>
        <w:rPr>
          <w:sz w:val="24"/>
          <w:szCs w:val="24"/>
        </w:rPr>
        <w:tab/>
      </w:r>
      <w:r>
        <w:rPr>
          <w:sz w:val="24"/>
          <w:szCs w:val="24"/>
        </w:rPr>
        <w:fldChar w:fldCharType="begin"/>
      </w:r>
      <w:r>
        <w:rPr>
          <w:sz w:val="24"/>
          <w:szCs w:val="24"/>
        </w:rPr>
        <w:instrText xml:space="preserve"> PAGEREF _Toc906 \h </w:instrText>
      </w:r>
      <w:r>
        <w:rPr>
          <w:sz w:val="24"/>
          <w:szCs w:val="24"/>
        </w:rPr>
        <w:fldChar w:fldCharType="separate"/>
      </w:r>
      <w:r>
        <w:rPr>
          <w:sz w:val="24"/>
          <w:szCs w:val="24"/>
        </w:rPr>
        <w:t>26</w:t>
      </w:r>
      <w:r>
        <w:rPr>
          <w:sz w:val="24"/>
          <w:szCs w:val="24"/>
        </w:rPr>
        <w:fldChar w:fldCharType="end"/>
      </w:r>
      <w:r>
        <w:rPr>
          <w:color w:val="auto"/>
          <w:sz w:val="24"/>
          <w:szCs w:val="24"/>
        </w:rPr>
        <w:fldChar w:fldCharType="end"/>
      </w:r>
    </w:p>
    <w:p w14:paraId="10E28DF3">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_Toc5257 </w:instrText>
      </w:r>
      <w:r>
        <w:rPr>
          <w:sz w:val="24"/>
          <w:szCs w:val="24"/>
        </w:rPr>
        <w:fldChar w:fldCharType="separate"/>
      </w:r>
      <w:r>
        <w:rPr>
          <w:sz w:val="24"/>
          <w:szCs w:val="24"/>
        </w:rPr>
        <w:t>2.</w:t>
      </w:r>
      <w:r>
        <w:rPr>
          <w:rFonts w:hint="eastAsia"/>
          <w:sz w:val="24"/>
          <w:szCs w:val="24"/>
          <w:lang w:val="en-US" w:eastAsia="zh-CN"/>
        </w:rPr>
        <w:t>9</w:t>
      </w:r>
      <w:r>
        <w:rPr>
          <w:rFonts w:hint="eastAsia" w:ascii="宋体" w:hAnsi="宋体" w:eastAsia="宋体" w:cs="宋体"/>
          <w:sz w:val="24"/>
          <w:szCs w:val="24"/>
        </w:rPr>
        <w:t>安全管理体系</w:t>
      </w:r>
      <w:r>
        <w:rPr>
          <w:sz w:val="24"/>
          <w:szCs w:val="24"/>
        </w:rPr>
        <w:tab/>
      </w:r>
      <w:r>
        <w:rPr>
          <w:sz w:val="24"/>
          <w:szCs w:val="24"/>
        </w:rPr>
        <w:fldChar w:fldCharType="begin"/>
      </w:r>
      <w:r>
        <w:rPr>
          <w:sz w:val="24"/>
          <w:szCs w:val="24"/>
        </w:rPr>
        <w:instrText xml:space="preserve"> PAGEREF _Toc5257 \h </w:instrText>
      </w:r>
      <w:r>
        <w:rPr>
          <w:sz w:val="24"/>
          <w:szCs w:val="24"/>
        </w:rPr>
        <w:fldChar w:fldCharType="separate"/>
      </w:r>
      <w:r>
        <w:rPr>
          <w:sz w:val="24"/>
          <w:szCs w:val="24"/>
        </w:rPr>
        <w:t>27</w:t>
      </w:r>
      <w:r>
        <w:rPr>
          <w:sz w:val="24"/>
          <w:szCs w:val="24"/>
        </w:rPr>
        <w:fldChar w:fldCharType="end"/>
      </w:r>
      <w:r>
        <w:rPr>
          <w:color w:val="auto"/>
          <w:sz w:val="24"/>
          <w:szCs w:val="24"/>
        </w:rPr>
        <w:fldChar w:fldCharType="end"/>
      </w:r>
    </w:p>
    <w:p w14:paraId="2E9C1B61">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_Toc27842 </w:instrText>
      </w:r>
      <w:r>
        <w:rPr>
          <w:sz w:val="24"/>
          <w:szCs w:val="24"/>
        </w:rPr>
        <w:fldChar w:fldCharType="separate"/>
      </w:r>
      <w:r>
        <w:rPr>
          <w:rFonts w:hint="eastAsia"/>
          <w:sz w:val="24"/>
          <w:szCs w:val="24"/>
          <w:lang w:val="en-US" w:eastAsia="zh-CN"/>
        </w:rPr>
        <w:t>2.10安全投入</w:t>
      </w:r>
      <w:r>
        <w:rPr>
          <w:sz w:val="24"/>
          <w:szCs w:val="24"/>
        </w:rPr>
        <w:tab/>
      </w:r>
      <w:r>
        <w:rPr>
          <w:sz w:val="24"/>
          <w:szCs w:val="24"/>
        </w:rPr>
        <w:fldChar w:fldCharType="begin"/>
      </w:r>
      <w:r>
        <w:rPr>
          <w:sz w:val="24"/>
          <w:szCs w:val="24"/>
        </w:rPr>
        <w:instrText xml:space="preserve"> PAGEREF _Toc27842 \h </w:instrText>
      </w:r>
      <w:r>
        <w:rPr>
          <w:sz w:val="24"/>
          <w:szCs w:val="24"/>
        </w:rPr>
        <w:fldChar w:fldCharType="separate"/>
      </w:r>
      <w:r>
        <w:rPr>
          <w:sz w:val="24"/>
          <w:szCs w:val="24"/>
        </w:rPr>
        <w:t>27</w:t>
      </w:r>
      <w:r>
        <w:rPr>
          <w:sz w:val="24"/>
          <w:szCs w:val="24"/>
        </w:rPr>
        <w:fldChar w:fldCharType="end"/>
      </w:r>
      <w:r>
        <w:rPr>
          <w:color w:val="auto"/>
          <w:sz w:val="24"/>
          <w:szCs w:val="24"/>
        </w:rPr>
        <w:fldChar w:fldCharType="end"/>
      </w:r>
    </w:p>
    <w:p w14:paraId="6CB6C067">
      <w:pPr>
        <w:pStyle w:val="23"/>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_Toc18794 </w:instrText>
      </w:r>
      <w:r>
        <w:rPr>
          <w:sz w:val="24"/>
          <w:szCs w:val="24"/>
        </w:rPr>
        <w:fldChar w:fldCharType="separate"/>
      </w:r>
      <w:r>
        <w:rPr>
          <w:sz w:val="24"/>
          <w:szCs w:val="24"/>
        </w:rPr>
        <w:t>3</w:t>
      </w:r>
      <w:r>
        <w:rPr>
          <w:rFonts w:hint="eastAsia" w:ascii="宋体" w:hAnsi="宋体" w:eastAsia="宋体" w:cs="宋体"/>
          <w:sz w:val="24"/>
          <w:szCs w:val="24"/>
        </w:rPr>
        <w:t>主要危险、有害因素分析</w:t>
      </w:r>
      <w:r>
        <w:rPr>
          <w:sz w:val="24"/>
          <w:szCs w:val="24"/>
        </w:rPr>
        <w:tab/>
      </w:r>
      <w:r>
        <w:rPr>
          <w:sz w:val="24"/>
          <w:szCs w:val="24"/>
        </w:rPr>
        <w:fldChar w:fldCharType="begin"/>
      </w:r>
      <w:r>
        <w:rPr>
          <w:sz w:val="24"/>
          <w:szCs w:val="24"/>
        </w:rPr>
        <w:instrText xml:space="preserve"> PAGEREF _Toc18794 \h </w:instrText>
      </w:r>
      <w:r>
        <w:rPr>
          <w:sz w:val="24"/>
          <w:szCs w:val="24"/>
        </w:rPr>
        <w:fldChar w:fldCharType="separate"/>
      </w:r>
      <w:r>
        <w:rPr>
          <w:sz w:val="24"/>
          <w:szCs w:val="24"/>
        </w:rPr>
        <w:t>28</w:t>
      </w:r>
      <w:r>
        <w:rPr>
          <w:sz w:val="24"/>
          <w:szCs w:val="24"/>
        </w:rPr>
        <w:fldChar w:fldCharType="end"/>
      </w:r>
      <w:r>
        <w:rPr>
          <w:color w:val="auto"/>
          <w:sz w:val="24"/>
          <w:szCs w:val="24"/>
        </w:rPr>
        <w:fldChar w:fldCharType="end"/>
      </w:r>
    </w:p>
    <w:p w14:paraId="6176699E">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_Toc11949 </w:instrText>
      </w:r>
      <w:r>
        <w:rPr>
          <w:sz w:val="24"/>
          <w:szCs w:val="24"/>
        </w:rPr>
        <w:fldChar w:fldCharType="separate"/>
      </w:r>
      <w:r>
        <w:rPr>
          <w:sz w:val="24"/>
          <w:szCs w:val="24"/>
        </w:rPr>
        <w:t>3.1</w:t>
      </w:r>
      <w:r>
        <w:rPr>
          <w:rFonts w:hint="eastAsia" w:ascii="宋体" w:hAnsi="宋体" w:eastAsia="宋体" w:cs="宋体"/>
          <w:sz w:val="24"/>
          <w:szCs w:val="24"/>
          <w:lang w:val="en-US" w:eastAsia="zh-CN"/>
        </w:rPr>
        <w:t>危险有害因素辨识的依据</w:t>
      </w:r>
      <w:r>
        <w:rPr>
          <w:sz w:val="24"/>
          <w:szCs w:val="24"/>
        </w:rPr>
        <w:tab/>
      </w:r>
      <w:r>
        <w:rPr>
          <w:sz w:val="24"/>
          <w:szCs w:val="24"/>
        </w:rPr>
        <w:fldChar w:fldCharType="begin"/>
      </w:r>
      <w:r>
        <w:rPr>
          <w:sz w:val="24"/>
          <w:szCs w:val="24"/>
        </w:rPr>
        <w:instrText xml:space="preserve"> PAGEREF _Toc11949 \h </w:instrText>
      </w:r>
      <w:r>
        <w:rPr>
          <w:sz w:val="24"/>
          <w:szCs w:val="24"/>
        </w:rPr>
        <w:fldChar w:fldCharType="separate"/>
      </w:r>
      <w:r>
        <w:rPr>
          <w:sz w:val="24"/>
          <w:szCs w:val="24"/>
        </w:rPr>
        <w:t>28</w:t>
      </w:r>
      <w:r>
        <w:rPr>
          <w:sz w:val="24"/>
          <w:szCs w:val="24"/>
        </w:rPr>
        <w:fldChar w:fldCharType="end"/>
      </w:r>
      <w:r>
        <w:rPr>
          <w:color w:val="auto"/>
          <w:sz w:val="24"/>
          <w:szCs w:val="24"/>
        </w:rPr>
        <w:fldChar w:fldCharType="end"/>
      </w:r>
    </w:p>
    <w:p w14:paraId="69E003E6">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_Toc19357 </w:instrText>
      </w:r>
      <w:r>
        <w:rPr>
          <w:sz w:val="24"/>
          <w:szCs w:val="24"/>
        </w:rPr>
        <w:fldChar w:fldCharType="separate"/>
      </w:r>
      <w:r>
        <w:rPr>
          <w:rFonts w:hint="eastAsia"/>
          <w:sz w:val="24"/>
          <w:szCs w:val="24"/>
          <w:lang w:val="en-US" w:eastAsia="zh-CN"/>
        </w:rPr>
        <w:t>3.2</w:t>
      </w:r>
      <w:r>
        <w:rPr>
          <w:sz w:val="24"/>
          <w:szCs w:val="24"/>
        </w:rPr>
        <w:t>物料的危险、有害因素分析</w:t>
      </w:r>
      <w:r>
        <w:rPr>
          <w:sz w:val="24"/>
          <w:szCs w:val="24"/>
        </w:rPr>
        <w:tab/>
      </w:r>
      <w:r>
        <w:rPr>
          <w:sz w:val="24"/>
          <w:szCs w:val="24"/>
        </w:rPr>
        <w:fldChar w:fldCharType="begin"/>
      </w:r>
      <w:r>
        <w:rPr>
          <w:sz w:val="24"/>
          <w:szCs w:val="24"/>
        </w:rPr>
        <w:instrText xml:space="preserve"> PAGEREF _Toc19357 \h </w:instrText>
      </w:r>
      <w:r>
        <w:rPr>
          <w:sz w:val="24"/>
          <w:szCs w:val="24"/>
        </w:rPr>
        <w:fldChar w:fldCharType="separate"/>
      </w:r>
      <w:r>
        <w:rPr>
          <w:sz w:val="24"/>
          <w:szCs w:val="24"/>
        </w:rPr>
        <w:t>29</w:t>
      </w:r>
      <w:r>
        <w:rPr>
          <w:sz w:val="24"/>
          <w:szCs w:val="24"/>
        </w:rPr>
        <w:fldChar w:fldCharType="end"/>
      </w:r>
      <w:r>
        <w:rPr>
          <w:color w:val="auto"/>
          <w:sz w:val="24"/>
          <w:szCs w:val="24"/>
        </w:rPr>
        <w:fldChar w:fldCharType="end"/>
      </w:r>
    </w:p>
    <w:p w14:paraId="3F9E6D37">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_Toc4945 </w:instrText>
      </w:r>
      <w:r>
        <w:rPr>
          <w:sz w:val="24"/>
          <w:szCs w:val="24"/>
        </w:rPr>
        <w:fldChar w:fldCharType="separate"/>
      </w:r>
      <w:r>
        <w:rPr>
          <w:rFonts w:hint="eastAsia"/>
          <w:sz w:val="24"/>
          <w:szCs w:val="24"/>
          <w:lang w:val="en-US" w:eastAsia="zh-CN"/>
        </w:rPr>
        <w:t>3.3重大危险源辨识</w:t>
      </w:r>
      <w:r>
        <w:rPr>
          <w:sz w:val="24"/>
          <w:szCs w:val="24"/>
        </w:rPr>
        <w:tab/>
      </w:r>
      <w:r>
        <w:rPr>
          <w:sz w:val="24"/>
          <w:szCs w:val="24"/>
        </w:rPr>
        <w:fldChar w:fldCharType="begin"/>
      </w:r>
      <w:r>
        <w:rPr>
          <w:sz w:val="24"/>
          <w:szCs w:val="24"/>
        </w:rPr>
        <w:instrText xml:space="preserve"> PAGEREF _Toc4945 \h </w:instrText>
      </w:r>
      <w:r>
        <w:rPr>
          <w:sz w:val="24"/>
          <w:szCs w:val="24"/>
        </w:rPr>
        <w:fldChar w:fldCharType="separate"/>
      </w:r>
      <w:r>
        <w:rPr>
          <w:sz w:val="24"/>
          <w:szCs w:val="24"/>
        </w:rPr>
        <w:t>30</w:t>
      </w:r>
      <w:r>
        <w:rPr>
          <w:sz w:val="24"/>
          <w:szCs w:val="24"/>
        </w:rPr>
        <w:fldChar w:fldCharType="end"/>
      </w:r>
      <w:r>
        <w:rPr>
          <w:color w:val="auto"/>
          <w:sz w:val="24"/>
          <w:szCs w:val="24"/>
        </w:rPr>
        <w:fldChar w:fldCharType="end"/>
      </w:r>
    </w:p>
    <w:p w14:paraId="0E82E43C">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_Toc4762 </w:instrText>
      </w:r>
      <w:r>
        <w:rPr>
          <w:sz w:val="24"/>
          <w:szCs w:val="24"/>
        </w:rPr>
        <w:fldChar w:fldCharType="separate"/>
      </w:r>
      <w:r>
        <w:rPr>
          <w:sz w:val="24"/>
          <w:szCs w:val="24"/>
        </w:rPr>
        <w:t>3.</w:t>
      </w:r>
      <w:r>
        <w:rPr>
          <w:rFonts w:hint="eastAsia"/>
          <w:sz w:val="24"/>
          <w:szCs w:val="24"/>
          <w:lang w:val="en-US" w:eastAsia="zh-CN"/>
        </w:rPr>
        <w:t>4</w:t>
      </w:r>
      <w:r>
        <w:rPr>
          <w:rFonts w:hint="eastAsia" w:ascii="宋体" w:hAnsi="宋体" w:cs="宋体"/>
          <w:sz w:val="24"/>
          <w:szCs w:val="24"/>
          <w:lang w:val="en-US" w:eastAsia="zh-CN"/>
        </w:rPr>
        <w:t>主要</w:t>
      </w:r>
      <w:r>
        <w:rPr>
          <w:rFonts w:hint="eastAsia" w:ascii="宋体" w:hAnsi="宋体" w:eastAsia="宋体" w:cs="宋体"/>
          <w:sz w:val="24"/>
          <w:szCs w:val="24"/>
        </w:rPr>
        <w:t>危险</w:t>
      </w:r>
      <w:r>
        <w:rPr>
          <w:rFonts w:hint="eastAsia" w:ascii="宋体" w:hAnsi="宋体" w:cs="宋体"/>
          <w:sz w:val="24"/>
          <w:szCs w:val="24"/>
          <w:lang w:eastAsia="zh-CN"/>
        </w:rPr>
        <w:t>、</w:t>
      </w:r>
      <w:r>
        <w:rPr>
          <w:rFonts w:hint="eastAsia" w:ascii="宋体" w:hAnsi="宋体" w:eastAsia="宋体" w:cs="宋体"/>
          <w:sz w:val="24"/>
          <w:szCs w:val="24"/>
        </w:rPr>
        <w:t>有害因素分析</w:t>
      </w:r>
      <w:r>
        <w:rPr>
          <w:sz w:val="24"/>
          <w:szCs w:val="24"/>
        </w:rPr>
        <w:tab/>
      </w:r>
      <w:r>
        <w:rPr>
          <w:sz w:val="24"/>
          <w:szCs w:val="24"/>
        </w:rPr>
        <w:fldChar w:fldCharType="begin"/>
      </w:r>
      <w:r>
        <w:rPr>
          <w:sz w:val="24"/>
          <w:szCs w:val="24"/>
        </w:rPr>
        <w:instrText xml:space="preserve"> PAGEREF _Toc4762 \h </w:instrText>
      </w:r>
      <w:r>
        <w:rPr>
          <w:sz w:val="24"/>
          <w:szCs w:val="24"/>
        </w:rPr>
        <w:fldChar w:fldCharType="separate"/>
      </w:r>
      <w:r>
        <w:rPr>
          <w:sz w:val="24"/>
          <w:szCs w:val="24"/>
        </w:rPr>
        <w:t>32</w:t>
      </w:r>
      <w:r>
        <w:rPr>
          <w:sz w:val="24"/>
          <w:szCs w:val="24"/>
        </w:rPr>
        <w:fldChar w:fldCharType="end"/>
      </w:r>
      <w:r>
        <w:rPr>
          <w:color w:val="auto"/>
          <w:sz w:val="24"/>
          <w:szCs w:val="24"/>
        </w:rPr>
        <w:fldChar w:fldCharType="end"/>
      </w:r>
    </w:p>
    <w:p w14:paraId="6151C3DF">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_Toc15296 </w:instrText>
      </w:r>
      <w:r>
        <w:rPr>
          <w:sz w:val="24"/>
          <w:szCs w:val="24"/>
        </w:rPr>
        <w:fldChar w:fldCharType="separate"/>
      </w:r>
      <w:r>
        <w:rPr>
          <w:rFonts w:hint="eastAsia"/>
          <w:sz w:val="24"/>
          <w:szCs w:val="24"/>
          <w:lang w:val="en-US" w:eastAsia="zh-CN"/>
        </w:rPr>
        <w:t>3.5经营</w:t>
      </w:r>
      <w:r>
        <w:rPr>
          <w:sz w:val="24"/>
          <w:szCs w:val="24"/>
        </w:rPr>
        <w:t>过程中的危险、有害因素分析</w:t>
      </w:r>
      <w:r>
        <w:rPr>
          <w:sz w:val="24"/>
          <w:szCs w:val="24"/>
        </w:rPr>
        <w:tab/>
      </w:r>
      <w:r>
        <w:rPr>
          <w:sz w:val="24"/>
          <w:szCs w:val="24"/>
        </w:rPr>
        <w:fldChar w:fldCharType="begin"/>
      </w:r>
      <w:r>
        <w:rPr>
          <w:sz w:val="24"/>
          <w:szCs w:val="24"/>
        </w:rPr>
        <w:instrText xml:space="preserve"> PAGEREF _Toc15296 \h </w:instrText>
      </w:r>
      <w:r>
        <w:rPr>
          <w:sz w:val="24"/>
          <w:szCs w:val="24"/>
        </w:rPr>
        <w:fldChar w:fldCharType="separate"/>
      </w:r>
      <w:r>
        <w:rPr>
          <w:sz w:val="24"/>
          <w:szCs w:val="24"/>
        </w:rPr>
        <w:t>33</w:t>
      </w:r>
      <w:r>
        <w:rPr>
          <w:sz w:val="24"/>
          <w:szCs w:val="24"/>
        </w:rPr>
        <w:fldChar w:fldCharType="end"/>
      </w:r>
      <w:r>
        <w:rPr>
          <w:color w:val="auto"/>
          <w:sz w:val="24"/>
          <w:szCs w:val="24"/>
        </w:rPr>
        <w:fldChar w:fldCharType="end"/>
      </w:r>
    </w:p>
    <w:p w14:paraId="020AD634">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_Toc3258 </w:instrText>
      </w:r>
      <w:r>
        <w:rPr>
          <w:sz w:val="24"/>
          <w:szCs w:val="24"/>
        </w:rPr>
        <w:fldChar w:fldCharType="separate"/>
      </w:r>
      <w:r>
        <w:rPr>
          <w:sz w:val="24"/>
          <w:szCs w:val="24"/>
        </w:rPr>
        <w:t>3.</w:t>
      </w:r>
      <w:r>
        <w:rPr>
          <w:rFonts w:hint="eastAsia"/>
          <w:sz w:val="24"/>
          <w:szCs w:val="24"/>
          <w:lang w:val="en-US" w:eastAsia="zh-CN"/>
        </w:rPr>
        <w:t>6</w:t>
      </w:r>
      <w:r>
        <w:rPr>
          <w:rFonts w:hint="eastAsia"/>
          <w:sz w:val="24"/>
          <w:szCs w:val="24"/>
        </w:rPr>
        <w:t>自然环境条件影响分析</w:t>
      </w:r>
      <w:r>
        <w:rPr>
          <w:sz w:val="24"/>
          <w:szCs w:val="24"/>
        </w:rPr>
        <w:tab/>
      </w:r>
      <w:r>
        <w:rPr>
          <w:sz w:val="24"/>
          <w:szCs w:val="24"/>
        </w:rPr>
        <w:fldChar w:fldCharType="begin"/>
      </w:r>
      <w:r>
        <w:rPr>
          <w:sz w:val="24"/>
          <w:szCs w:val="24"/>
        </w:rPr>
        <w:instrText xml:space="preserve"> PAGEREF _Toc3258 \h </w:instrText>
      </w:r>
      <w:r>
        <w:rPr>
          <w:sz w:val="24"/>
          <w:szCs w:val="24"/>
        </w:rPr>
        <w:fldChar w:fldCharType="separate"/>
      </w:r>
      <w:r>
        <w:rPr>
          <w:sz w:val="24"/>
          <w:szCs w:val="24"/>
        </w:rPr>
        <w:t>38</w:t>
      </w:r>
      <w:r>
        <w:rPr>
          <w:sz w:val="24"/>
          <w:szCs w:val="24"/>
        </w:rPr>
        <w:fldChar w:fldCharType="end"/>
      </w:r>
      <w:r>
        <w:rPr>
          <w:color w:val="auto"/>
          <w:sz w:val="24"/>
          <w:szCs w:val="24"/>
        </w:rPr>
        <w:fldChar w:fldCharType="end"/>
      </w:r>
    </w:p>
    <w:p w14:paraId="138EE34C">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_Toc12348 </w:instrText>
      </w:r>
      <w:r>
        <w:rPr>
          <w:sz w:val="24"/>
          <w:szCs w:val="24"/>
        </w:rPr>
        <w:fldChar w:fldCharType="separate"/>
      </w:r>
      <w:r>
        <w:rPr>
          <w:rFonts w:hint="default"/>
          <w:sz w:val="24"/>
          <w:szCs w:val="24"/>
          <w:lang w:val="en-US" w:eastAsia="zh-CN"/>
        </w:rPr>
        <w:t>3</w:t>
      </w:r>
      <w:r>
        <w:rPr>
          <w:rFonts w:hint="eastAsia"/>
          <w:sz w:val="24"/>
          <w:szCs w:val="24"/>
          <w:lang w:val="en-US" w:eastAsia="zh-CN"/>
        </w:rPr>
        <w:t>.7</w:t>
      </w:r>
      <w:r>
        <w:rPr>
          <w:rFonts w:hint="default"/>
          <w:sz w:val="24"/>
          <w:szCs w:val="24"/>
          <w:lang w:val="en-US" w:eastAsia="zh-CN"/>
        </w:rPr>
        <w:t>典型</w:t>
      </w:r>
      <w:r>
        <w:rPr>
          <w:rFonts w:hint="eastAsia"/>
          <w:sz w:val="24"/>
          <w:szCs w:val="24"/>
          <w:lang w:val="en-US" w:eastAsia="zh-CN"/>
        </w:rPr>
        <w:t>事</w:t>
      </w:r>
      <w:r>
        <w:rPr>
          <w:rFonts w:hint="default"/>
          <w:sz w:val="24"/>
          <w:szCs w:val="24"/>
          <w:lang w:val="en-US" w:eastAsia="zh-CN"/>
        </w:rPr>
        <w:t>故案例分析</w:t>
      </w:r>
      <w:r>
        <w:rPr>
          <w:sz w:val="24"/>
          <w:szCs w:val="24"/>
        </w:rPr>
        <w:tab/>
      </w:r>
      <w:r>
        <w:rPr>
          <w:sz w:val="24"/>
          <w:szCs w:val="24"/>
        </w:rPr>
        <w:fldChar w:fldCharType="begin"/>
      </w:r>
      <w:r>
        <w:rPr>
          <w:sz w:val="24"/>
          <w:szCs w:val="24"/>
        </w:rPr>
        <w:instrText xml:space="preserve"> PAGEREF _Toc12348 \h </w:instrText>
      </w:r>
      <w:r>
        <w:rPr>
          <w:sz w:val="24"/>
          <w:szCs w:val="24"/>
        </w:rPr>
        <w:fldChar w:fldCharType="separate"/>
      </w:r>
      <w:r>
        <w:rPr>
          <w:sz w:val="24"/>
          <w:szCs w:val="24"/>
        </w:rPr>
        <w:t>39</w:t>
      </w:r>
      <w:r>
        <w:rPr>
          <w:sz w:val="24"/>
          <w:szCs w:val="24"/>
        </w:rPr>
        <w:fldChar w:fldCharType="end"/>
      </w:r>
      <w:r>
        <w:rPr>
          <w:color w:val="auto"/>
          <w:sz w:val="24"/>
          <w:szCs w:val="24"/>
        </w:rPr>
        <w:fldChar w:fldCharType="end"/>
      </w:r>
    </w:p>
    <w:p w14:paraId="637FE93B">
      <w:pPr>
        <w:pStyle w:val="23"/>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_Toc20314 </w:instrText>
      </w:r>
      <w:r>
        <w:rPr>
          <w:sz w:val="24"/>
          <w:szCs w:val="24"/>
        </w:rPr>
        <w:fldChar w:fldCharType="separate"/>
      </w:r>
      <w:r>
        <w:rPr>
          <w:sz w:val="24"/>
          <w:szCs w:val="24"/>
        </w:rPr>
        <w:t>4</w:t>
      </w:r>
      <w:r>
        <w:rPr>
          <w:rFonts w:hint="eastAsia" w:ascii="宋体" w:hAnsi="宋体" w:eastAsia="宋体" w:cs="宋体"/>
          <w:sz w:val="24"/>
          <w:szCs w:val="24"/>
        </w:rPr>
        <w:t>评价单元的确定及评价方法选择</w:t>
      </w:r>
      <w:r>
        <w:rPr>
          <w:sz w:val="24"/>
          <w:szCs w:val="24"/>
        </w:rPr>
        <w:tab/>
      </w:r>
      <w:r>
        <w:rPr>
          <w:sz w:val="24"/>
          <w:szCs w:val="24"/>
        </w:rPr>
        <w:fldChar w:fldCharType="begin"/>
      </w:r>
      <w:r>
        <w:rPr>
          <w:sz w:val="24"/>
          <w:szCs w:val="24"/>
        </w:rPr>
        <w:instrText xml:space="preserve"> PAGEREF _Toc20314 \h </w:instrText>
      </w:r>
      <w:r>
        <w:rPr>
          <w:sz w:val="24"/>
          <w:szCs w:val="24"/>
        </w:rPr>
        <w:fldChar w:fldCharType="separate"/>
      </w:r>
      <w:r>
        <w:rPr>
          <w:sz w:val="24"/>
          <w:szCs w:val="24"/>
        </w:rPr>
        <w:t>42</w:t>
      </w:r>
      <w:r>
        <w:rPr>
          <w:sz w:val="24"/>
          <w:szCs w:val="24"/>
        </w:rPr>
        <w:fldChar w:fldCharType="end"/>
      </w:r>
      <w:r>
        <w:rPr>
          <w:color w:val="auto"/>
          <w:sz w:val="24"/>
          <w:szCs w:val="24"/>
        </w:rPr>
        <w:fldChar w:fldCharType="end"/>
      </w:r>
    </w:p>
    <w:p w14:paraId="73D985C3">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_Toc11842 </w:instrText>
      </w:r>
      <w:r>
        <w:rPr>
          <w:sz w:val="24"/>
          <w:szCs w:val="24"/>
        </w:rPr>
        <w:fldChar w:fldCharType="separate"/>
      </w:r>
      <w:r>
        <w:rPr>
          <w:sz w:val="24"/>
          <w:szCs w:val="24"/>
        </w:rPr>
        <w:t>4.1</w:t>
      </w:r>
      <w:r>
        <w:rPr>
          <w:rFonts w:hint="eastAsia" w:ascii="宋体" w:hAnsi="宋体" w:eastAsia="宋体" w:cs="宋体"/>
          <w:sz w:val="24"/>
          <w:szCs w:val="24"/>
        </w:rPr>
        <w:t>评价单元的确定</w:t>
      </w:r>
      <w:r>
        <w:rPr>
          <w:sz w:val="24"/>
          <w:szCs w:val="24"/>
        </w:rPr>
        <w:tab/>
      </w:r>
      <w:r>
        <w:rPr>
          <w:sz w:val="24"/>
          <w:szCs w:val="24"/>
        </w:rPr>
        <w:fldChar w:fldCharType="begin"/>
      </w:r>
      <w:r>
        <w:rPr>
          <w:sz w:val="24"/>
          <w:szCs w:val="24"/>
        </w:rPr>
        <w:instrText xml:space="preserve"> PAGEREF _Toc11842 \h </w:instrText>
      </w:r>
      <w:r>
        <w:rPr>
          <w:sz w:val="24"/>
          <w:szCs w:val="24"/>
        </w:rPr>
        <w:fldChar w:fldCharType="separate"/>
      </w:r>
      <w:r>
        <w:rPr>
          <w:sz w:val="24"/>
          <w:szCs w:val="24"/>
        </w:rPr>
        <w:t>42</w:t>
      </w:r>
      <w:r>
        <w:rPr>
          <w:sz w:val="24"/>
          <w:szCs w:val="24"/>
        </w:rPr>
        <w:fldChar w:fldCharType="end"/>
      </w:r>
      <w:r>
        <w:rPr>
          <w:color w:val="auto"/>
          <w:sz w:val="24"/>
          <w:szCs w:val="24"/>
        </w:rPr>
        <w:fldChar w:fldCharType="end"/>
      </w:r>
    </w:p>
    <w:p w14:paraId="18150A2C">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_Toc4403 </w:instrText>
      </w:r>
      <w:r>
        <w:rPr>
          <w:sz w:val="24"/>
          <w:szCs w:val="24"/>
        </w:rPr>
        <w:fldChar w:fldCharType="separate"/>
      </w:r>
      <w:r>
        <w:rPr>
          <w:sz w:val="24"/>
          <w:szCs w:val="24"/>
        </w:rPr>
        <w:t>4.1.1</w:t>
      </w:r>
      <w:r>
        <w:rPr>
          <w:rFonts w:hint="eastAsia" w:ascii="宋体" w:hAnsi="宋体" w:eastAsia="宋体" w:cs="宋体"/>
          <w:sz w:val="24"/>
          <w:szCs w:val="24"/>
        </w:rPr>
        <w:t>评价单元划分原则</w:t>
      </w:r>
      <w:r>
        <w:rPr>
          <w:sz w:val="24"/>
          <w:szCs w:val="24"/>
        </w:rPr>
        <w:tab/>
      </w:r>
      <w:r>
        <w:rPr>
          <w:sz w:val="24"/>
          <w:szCs w:val="24"/>
        </w:rPr>
        <w:fldChar w:fldCharType="begin"/>
      </w:r>
      <w:r>
        <w:rPr>
          <w:sz w:val="24"/>
          <w:szCs w:val="24"/>
        </w:rPr>
        <w:instrText xml:space="preserve"> PAGEREF _Toc4403 \h </w:instrText>
      </w:r>
      <w:r>
        <w:rPr>
          <w:sz w:val="24"/>
          <w:szCs w:val="24"/>
        </w:rPr>
        <w:fldChar w:fldCharType="separate"/>
      </w:r>
      <w:r>
        <w:rPr>
          <w:sz w:val="24"/>
          <w:szCs w:val="24"/>
        </w:rPr>
        <w:t>42</w:t>
      </w:r>
      <w:r>
        <w:rPr>
          <w:sz w:val="24"/>
          <w:szCs w:val="24"/>
        </w:rPr>
        <w:fldChar w:fldCharType="end"/>
      </w:r>
      <w:r>
        <w:rPr>
          <w:color w:val="auto"/>
          <w:sz w:val="24"/>
          <w:szCs w:val="24"/>
        </w:rPr>
        <w:fldChar w:fldCharType="end"/>
      </w:r>
    </w:p>
    <w:p w14:paraId="460940CC">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_Toc3094 </w:instrText>
      </w:r>
      <w:r>
        <w:rPr>
          <w:sz w:val="24"/>
          <w:szCs w:val="24"/>
        </w:rPr>
        <w:fldChar w:fldCharType="separate"/>
      </w:r>
      <w:r>
        <w:rPr>
          <w:sz w:val="24"/>
          <w:szCs w:val="24"/>
        </w:rPr>
        <w:t>4.1.2</w:t>
      </w:r>
      <w:r>
        <w:rPr>
          <w:rFonts w:hint="eastAsia" w:ascii="宋体" w:hAnsi="宋体" w:eastAsia="宋体" w:cs="宋体"/>
          <w:sz w:val="24"/>
          <w:szCs w:val="24"/>
        </w:rPr>
        <w:t>确定评价单元</w:t>
      </w:r>
      <w:r>
        <w:rPr>
          <w:sz w:val="24"/>
          <w:szCs w:val="24"/>
        </w:rPr>
        <w:tab/>
      </w:r>
      <w:r>
        <w:rPr>
          <w:sz w:val="24"/>
          <w:szCs w:val="24"/>
        </w:rPr>
        <w:fldChar w:fldCharType="begin"/>
      </w:r>
      <w:r>
        <w:rPr>
          <w:sz w:val="24"/>
          <w:szCs w:val="24"/>
        </w:rPr>
        <w:instrText xml:space="preserve"> PAGEREF _Toc3094 \h </w:instrText>
      </w:r>
      <w:r>
        <w:rPr>
          <w:sz w:val="24"/>
          <w:szCs w:val="24"/>
        </w:rPr>
        <w:fldChar w:fldCharType="separate"/>
      </w:r>
      <w:r>
        <w:rPr>
          <w:sz w:val="24"/>
          <w:szCs w:val="24"/>
        </w:rPr>
        <w:t>42</w:t>
      </w:r>
      <w:r>
        <w:rPr>
          <w:sz w:val="24"/>
          <w:szCs w:val="24"/>
        </w:rPr>
        <w:fldChar w:fldCharType="end"/>
      </w:r>
      <w:r>
        <w:rPr>
          <w:color w:val="auto"/>
          <w:sz w:val="24"/>
          <w:szCs w:val="24"/>
        </w:rPr>
        <w:fldChar w:fldCharType="end"/>
      </w:r>
    </w:p>
    <w:p w14:paraId="1AE995C1">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_Toc2108 </w:instrText>
      </w:r>
      <w:r>
        <w:rPr>
          <w:sz w:val="24"/>
          <w:szCs w:val="24"/>
        </w:rPr>
        <w:fldChar w:fldCharType="separate"/>
      </w:r>
      <w:r>
        <w:rPr>
          <w:sz w:val="24"/>
          <w:szCs w:val="24"/>
        </w:rPr>
        <w:t>4.2</w:t>
      </w:r>
      <w:r>
        <w:rPr>
          <w:rFonts w:hint="eastAsia" w:ascii="宋体" w:hAnsi="宋体" w:eastAsia="宋体" w:cs="宋体"/>
          <w:sz w:val="24"/>
          <w:szCs w:val="24"/>
        </w:rPr>
        <w:t>评价方法简介</w:t>
      </w:r>
      <w:r>
        <w:rPr>
          <w:sz w:val="24"/>
          <w:szCs w:val="24"/>
        </w:rPr>
        <w:tab/>
      </w:r>
      <w:r>
        <w:rPr>
          <w:sz w:val="24"/>
          <w:szCs w:val="24"/>
        </w:rPr>
        <w:fldChar w:fldCharType="begin"/>
      </w:r>
      <w:r>
        <w:rPr>
          <w:sz w:val="24"/>
          <w:szCs w:val="24"/>
        </w:rPr>
        <w:instrText xml:space="preserve"> PAGEREF _Toc2108 \h </w:instrText>
      </w:r>
      <w:r>
        <w:rPr>
          <w:sz w:val="24"/>
          <w:szCs w:val="24"/>
        </w:rPr>
        <w:fldChar w:fldCharType="separate"/>
      </w:r>
      <w:r>
        <w:rPr>
          <w:sz w:val="24"/>
          <w:szCs w:val="24"/>
        </w:rPr>
        <w:t>42</w:t>
      </w:r>
      <w:r>
        <w:rPr>
          <w:sz w:val="24"/>
          <w:szCs w:val="24"/>
        </w:rPr>
        <w:fldChar w:fldCharType="end"/>
      </w:r>
      <w:r>
        <w:rPr>
          <w:color w:val="auto"/>
          <w:sz w:val="24"/>
          <w:szCs w:val="24"/>
        </w:rPr>
        <w:fldChar w:fldCharType="end"/>
      </w:r>
    </w:p>
    <w:p w14:paraId="69E963AA">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_Toc1418 </w:instrText>
      </w:r>
      <w:r>
        <w:rPr>
          <w:sz w:val="24"/>
          <w:szCs w:val="24"/>
        </w:rPr>
        <w:fldChar w:fldCharType="separate"/>
      </w:r>
      <w:r>
        <w:rPr>
          <w:sz w:val="24"/>
          <w:szCs w:val="24"/>
        </w:rPr>
        <w:t>4.2.1</w:t>
      </w:r>
      <w:r>
        <w:rPr>
          <w:rFonts w:hint="eastAsia" w:ascii="宋体" w:hAnsi="宋体" w:eastAsia="宋体" w:cs="宋体"/>
          <w:sz w:val="24"/>
          <w:szCs w:val="24"/>
        </w:rPr>
        <w:t>安全检查表分析法</w:t>
      </w:r>
      <w:r>
        <w:rPr>
          <w:sz w:val="24"/>
          <w:szCs w:val="24"/>
        </w:rPr>
        <w:tab/>
      </w:r>
      <w:r>
        <w:rPr>
          <w:sz w:val="24"/>
          <w:szCs w:val="24"/>
        </w:rPr>
        <w:fldChar w:fldCharType="begin"/>
      </w:r>
      <w:r>
        <w:rPr>
          <w:sz w:val="24"/>
          <w:szCs w:val="24"/>
        </w:rPr>
        <w:instrText xml:space="preserve"> PAGEREF _Toc1418 \h </w:instrText>
      </w:r>
      <w:r>
        <w:rPr>
          <w:sz w:val="24"/>
          <w:szCs w:val="24"/>
        </w:rPr>
        <w:fldChar w:fldCharType="separate"/>
      </w:r>
      <w:r>
        <w:rPr>
          <w:sz w:val="24"/>
          <w:szCs w:val="24"/>
        </w:rPr>
        <w:t>42</w:t>
      </w:r>
      <w:r>
        <w:rPr>
          <w:sz w:val="24"/>
          <w:szCs w:val="24"/>
        </w:rPr>
        <w:fldChar w:fldCharType="end"/>
      </w:r>
      <w:r>
        <w:rPr>
          <w:color w:val="auto"/>
          <w:sz w:val="24"/>
          <w:szCs w:val="24"/>
        </w:rPr>
        <w:fldChar w:fldCharType="end"/>
      </w:r>
    </w:p>
    <w:p w14:paraId="0F011CEE">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_Toc20435 </w:instrText>
      </w:r>
      <w:r>
        <w:rPr>
          <w:sz w:val="24"/>
          <w:szCs w:val="24"/>
        </w:rPr>
        <w:fldChar w:fldCharType="separate"/>
      </w:r>
      <w:r>
        <w:rPr>
          <w:rFonts w:hint="default"/>
          <w:sz w:val="24"/>
          <w:szCs w:val="24"/>
        </w:rPr>
        <w:t>4.2.</w:t>
      </w:r>
      <w:r>
        <w:rPr>
          <w:rFonts w:hint="eastAsia"/>
          <w:sz w:val="24"/>
          <w:szCs w:val="24"/>
          <w:lang w:val="en-US" w:eastAsia="zh-CN"/>
        </w:rPr>
        <w:t>2</w:t>
      </w:r>
      <w:r>
        <w:rPr>
          <w:rFonts w:hint="default"/>
          <w:sz w:val="24"/>
          <w:szCs w:val="24"/>
        </w:rPr>
        <w:t>预先危险性分析评价（PHA）</w:t>
      </w:r>
      <w:r>
        <w:rPr>
          <w:sz w:val="24"/>
          <w:szCs w:val="24"/>
        </w:rPr>
        <w:tab/>
      </w:r>
      <w:r>
        <w:rPr>
          <w:sz w:val="24"/>
          <w:szCs w:val="24"/>
        </w:rPr>
        <w:fldChar w:fldCharType="begin"/>
      </w:r>
      <w:r>
        <w:rPr>
          <w:sz w:val="24"/>
          <w:szCs w:val="24"/>
        </w:rPr>
        <w:instrText xml:space="preserve"> PAGEREF _Toc20435 \h </w:instrText>
      </w:r>
      <w:r>
        <w:rPr>
          <w:sz w:val="24"/>
          <w:szCs w:val="24"/>
        </w:rPr>
        <w:fldChar w:fldCharType="separate"/>
      </w:r>
      <w:r>
        <w:rPr>
          <w:sz w:val="24"/>
          <w:szCs w:val="24"/>
        </w:rPr>
        <w:t>43</w:t>
      </w:r>
      <w:r>
        <w:rPr>
          <w:sz w:val="24"/>
          <w:szCs w:val="24"/>
        </w:rPr>
        <w:fldChar w:fldCharType="end"/>
      </w:r>
      <w:r>
        <w:rPr>
          <w:color w:val="auto"/>
          <w:sz w:val="24"/>
          <w:szCs w:val="24"/>
        </w:rPr>
        <w:fldChar w:fldCharType="end"/>
      </w:r>
    </w:p>
    <w:p w14:paraId="0198DA15">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_Toc9230 </w:instrText>
      </w:r>
      <w:r>
        <w:rPr>
          <w:sz w:val="24"/>
          <w:szCs w:val="24"/>
        </w:rPr>
        <w:fldChar w:fldCharType="separate"/>
      </w:r>
      <w:r>
        <w:rPr>
          <w:sz w:val="24"/>
          <w:szCs w:val="24"/>
        </w:rPr>
        <w:t>4.</w:t>
      </w:r>
      <w:r>
        <w:rPr>
          <w:rFonts w:hint="eastAsia"/>
          <w:sz w:val="24"/>
          <w:szCs w:val="24"/>
          <w:lang w:val="en-US" w:eastAsia="zh-CN"/>
        </w:rPr>
        <w:t>2</w:t>
      </w:r>
      <w:r>
        <w:rPr>
          <w:sz w:val="24"/>
          <w:szCs w:val="24"/>
        </w:rPr>
        <w:t>.</w:t>
      </w:r>
      <w:r>
        <w:rPr>
          <w:rFonts w:hint="eastAsia"/>
          <w:sz w:val="24"/>
          <w:szCs w:val="24"/>
        </w:rPr>
        <w:t>3</w:t>
      </w:r>
      <w:r>
        <w:rPr>
          <w:sz w:val="24"/>
          <w:szCs w:val="24"/>
        </w:rPr>
        <w:t>作业条件危险性评价法</w:t>
      </w:r>
      <w:r>
        <w:rPr>
          <w:sz w:val="24"/>
          <w:szCs w:val="24"/>
        </w:rPr>
        <w:tab/>
      </w:r>
      <w:r>
        <w:rPr>
          <w:sz w:val="24"/>
          <w:szCs w:val="24"/>
        </w:rPr>
        <w:fldChar w:fldCharType="begin"/>
      </w:r>
      <w:r>
        <w:rPr>
          <w:sz w:val="24"/>
          <w:szCs w:val="24"/>
        </w:rPr>
        <w:instrText xml:space="preserve"> PAGEREF _Toc9230 \h </w:instrText>
      </w:r>
      <w:r>
        <w:rPr>
          <w:sz w:val="24"/>
          <w:szCs w:val="24"/>
        </w:rPr>
        <w:fldChar w:fldCharType="separate"/>
      </w:r>
      <w:r>
        <w:rPr>
          <w:sz w:val="24"/>
          <w:szCs w:val="24"/>
        </w:rPr>
        <w:t>44</w:t>
      </w:r>
      <w:r>
        <w:rPr>
          <w:sz w:val="24"/>
          <w:szCs w:val="24"/>
        </w:rPr>
        <w:fldChar w:fldCharType="end"/>
      </w:r>
      <w:r>
        <w:rPr>
          <w:color w:val="auto"/>
          <w:sz w:val="24"/>
          <w:szCs w:val="24"/>
        </w:rPr>
        <w:fldChar w:fldCharType="end"/>
      </w:r>
    </w:p>
    <w:p w14:paraId="33BA6D8D">
      <w:pPr>
        <w:pStyle w:val="23"/>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_Toc24837 </w:instrText>
      </w:r>
      <w:r>
        <w:rPr>
          <w:sz w:val="24"/>
          <w:szCs w:val="24"/>
        </w:rPr>
        <w:fldChar w:fldCharType="separate"/>
      </w:r>
      <w:r>
        <w:rPr>
          <w:rFonts w:hint="eastAsia"/>
          <w:sz w:val="24"/>
          <w:szCs w:val="24"/>
        </w:rPr>
        <w:t>5 危险性分析评价</w:t>
      </w:r>
      <w:r>
        <w:rPr>
          <w:sz w:val="24"/>
          <w:szCs w:val="24"/>
        </w:rPr>
        <w:tab/>
      </w:r>
      <w:r>
        <w:rPr>
          <w:sz w:val="24"/>
          <w:szCs w:val="24"/>
        </w:rPr>
        <w:fldChar w:fldCharType="begin"/>
      </w:r>
      <w:r>
        <w:rPr>
          <w:sz w:val="24"/>
          <w:szCs w:val="24"/>
        </w:rPr>
        <w:instrText xml:space="preserve"> PAGEREF _Toc24837 \h </w:instrText>
      </w:r>
      <w:r>
        <w:rPr>
          <w:sz w:val="24"/>
          <w:szCs w:val="24"/>
        </w:rPr>
        <w:fldChar w:fldCharType="separate"/>
      </w:r>
      <w:r>
        <w:rPr>
          <w:sz w:val="24"/>
          <w:szCs w:val="24"/>
        </w:rPr>
        <w:t>47</w:t>
      </w:r>
      <w:r>
        <w:rPr>
          <w:sz w:val="24"/>
          <w:szCs w:val="24"/>
        </w:rPr>
        <w:fldChar w:fldCharType="end"/>
      </w:r>
      <w:r>
        <w:rPr>
          <w:color w:val="auto"/>
          <w:sz w:val="24"/>
          <w:szCs w:val="24"/>
        </w:rPr>
        <w:fldChar w:fldCharType="end"/>
      </w:r>
    </w:p>
    <w:p w14:paraId="02D7DEF4">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_Toc17498 </w:instrText>
      </w:r>
      <w:r>
        <w:rPr>
          <w:sz w:val="24"/>
          <w:szCs w:val="24"/>
        </w:rPr>
        <w:fldChar w:fldCharType="separate"/>
      </w:r>
      <w:r>
        <w:rPr>
          <w:sz w:val="24"/>
          <w:szCs w:val="24"/>
        </w:rPr>
        <w:t>5.1预先危险性分析评价（PHA）</w:t>
      </w:r>
      <w:r>
        <w:rPr>
          <w:sz w:val="24"/>
          <w:szCs w:val="24"/>
        </w:rPr>
        <w:tab/>
      </w:r>
      <w:r>
        <w:rPr>
          <w:sz w:val="24"/>
          <w:szCs w:val="24"/>
        </w:rPr>
        <w:fldChar w:fldCharType="begin"/>
      </w:r>
      <w:r>
        <w:rPr>
          <w:sz w:val="24"/>
          <w:szCs w:val="24"/>
        </w:rPr>
        <w:instrText xml:space="preserve"> PAGEREF _Toc17498 \h </w:instrText>
      </w:r>
      <w:r>
        <w:rPr>
          <w:sz w:val="24"/>
          <w:szCs w:val="24"/>
        </w:rPr>
        <w:fldChar w:fldCharType="separate"/>
      </w:r>
      <w:r>
        <w:rPr>
          <w:sz w:val="24"/>
          <w:szCs w:val="24"/>
        </w:rPr>
        <w:t>47</w:t>
      </w:r>
      <w:r>
        <w:rPr>
          <w:sz w:val="24"/>
          <w:szCs w:val="24"/>
        </w:rPr>
        <w:fldChar w:fldCharType="end"/>
      </w:r>
      <w:r>
        <w:rPr>
          <w:color w:val="auto"/>
          <w:sz w:val="24"/>
          <w:szCs w:val="24"/>
        </w:rPr>
        <w:fldChar w:fldCharType="end"/>
      </w:r>
    </w:p>
    <w:p w14:paraId="7AFDA3ED">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_Toc13858 </w:instrText>
      </w:r>
      <w:r>
        <w:rPr>
          <w:sz w:val="24"/>
          <w:szCs w:val="24"/>
        </w:rPr>
        <w:fldChar w:fldCharType="separate"/>
      </w:r>
      <w:r>
        <w:rPr>
          <w:sz w:val="24"/>
          <w:szCs w:val="24"/>
          <w:highlight w:val="none"/>
        </w:rPr>
        <w:t>5.</w:t>
      </w:r>
      <w:r>
        <w:rPr>
          <w:rFonts w:hint="eastAsia"/>
          <w:sz w:val="24"/>
          <w:szCs w:val="24"/>
          <w:highlight w:val="none"/>
          <w:lang w:val="en-US" w:eastAsia="zh-CN"/>
        </w:rPr>
        <w:t>2</w:t>
      </w:r>
      <w:r>
        <w:rPr>
          <w:sz w:val="24"/>
          <w:szCs w:val="24"/>
          <w:highlight w:val="none"/>
        </w:rPr>
        <w:t>作业条件危险性评价法（LEC）</w:t>
      </w:r>
      <w:r>
        <w:rPr>
          <w:sz w:val="24"/>
          <w:szCs w:val="24"/>
        </w:rPr>
        <w:tab/>
      </w:r>
      <w:r>
        <w:rPr>
          <w:sz w:val="24"/>
          <w:szCs w:val="24"/>
        </w:rPr>
        <w:fldChar w:fldCharType="begin"/>
      </w:r>
      <w:r>
        <w:rPr>
          <w:sz w:val="24"/>
          <w:szCs w:val="24"/>
        </w:rPr>
        <w:instrText xml:space="preserve"> PAGEREF _Toc13858 \h </w:instrText>
      </w:r>
      <w:r>
        <w:rPr>
          <w:sz w:val="24"/>
          <w:szCs w:val="24"/>
        </w:rPr>
        <w:fldChar w:fldCharType="separate"/>
      </w:r>
      <w:r>
        <w:rPr>
          <w:sz w:val="24"/>
          <w:szCs w:val="24"/>
        </w:rPr>
        <w:t>50</w:t>
      </w:r>
      <w:r>
        <w:rPr>
          <w:sz w:val="24"/>
          <w:szCs w:val="24"/>
        </w:rPr>
        <w:fldChar w:fldCharType="end"/>
      </w:r>
      <w:r>
        <w:rPr>
          <w:color w:val="auto"/>
          <w:sz w:val="24"/>
          <w:szCs w:val="24"/>
        </w:rPr>
        <w:fldChar w:fldCharType="end"/>
      </w:r>
    </w:p>
    <w:p w14:paraId="79FC0B7C">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_Toc3618 </w:instrText>
      </w:r>
      <w:r>
        <w:rPr>
          <w:sz w:val="24"/>
          <w:szCs w:val="24"/>
        </w:rPr>
        <w:fldChar w:fldCharType="separate"/>
      </w:r>
      <w:r>
        <w:rPr>
          <w:sz w:val="24"/>
          <w:szCs w:val="24"/>
        </w:rPr>
        <w:t>5.</w:t>
      </w:r>
      <w:r>
        <w:rPr>
          <w:rFonts w:hint="eastAsia"/>
          <w:sz w:val="24"/>
          <w:szCs w:val="24"/>
          <w:lang w:val="en-US" w:eastAsia="zh-CN"/>
        </w:rPr>
        <w:t>2</w:t>
      </w:r>
      <w:r>
        <w:rPr>
          <w:sz w:val="24"/>
          <w:szCs w:val="24"/>
        </w:rPr>
        <w:t>.1评价单元</w:t>
      </w:r>
      <w:r>
        <w:rPr>
          <w:sz w:val="24"/>
          <w:szCs w:val="24"/>
        </w:rPr>
        <w:tab/>
      </w:r>
      <w:r>
        <w:rPr>
          <w:sz w:val="24"/>
          <w:szCs w:val="24"/>
        </w:rPr>
        <w:fldChar w:fldCharType="begin"/>
      </w:r>
      <w:r>
        <w:rPr>
          <w:sz w:val="24"/>
          <w:szCs w:val="24"/>
        </w:rPr>
        <w:instrText xml:space="preserve"> PAGEREF _Toc3618 \h </w:instrText>
      </w:r>
      <w:r>
        <w:rPr>
          <w:sz w:val="24"/>
          <w:szCs w:val="24"/>
        </w:rPr>
        <w:fldChar w:fldCharType="separate"/>
      </w:r>
      <w:r>
        <w:rPr>
          <w:sz w:val="24"/>
          <w:szCs w:val="24"/>
        </w:rPr>
        <w:t>50</w:t>
      </w:r>
      <w:r>
        <w:rPr>
          <w:sz w:val="24"/>
          <w:szCs w:val="24"/>
        </w:rPr>
        <w:fldChar w:fldCharType="end"/>
      </w:r>
      <w:r>
        <w:rPr>
          <w:color w:val="auto"/>
          <w:sz w:val="24"/>
          <w:szCs w:val="24"/>
        </w:rPr>
        <w:fldChar w:fldCharType="end"/>
      </w:r>
    </w:p>
    <w:p w14:paraId="12344C07">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_Toc15373 </w:instrText>
      </w:r>
      <w:r>
        <w:rPr>
          <w:sz w:val="24"/>
          <w:szCs w:val="24"/>
        </w:rPr>
        <w:fldChar w:fldCharType="separate"/>
      </w:r>
      <w:r>
        <w:rPr>
          <w:sz w:val="24"/>
          <w:szCs w:val="24"/>
        </w:rPr>
        <w:t>5.</w:t>
      </w:r>
      <w:r>
        <w:rPr>
          <w:rFonts w:hint="eastAsia"/>
          <w:sz w:val="24"/>
          <w:szCs w:val="24"/>
          <w:lang w:val="en-US" w:eastAsia="zh-CN"/>
        </w:rPr>
        <w:t>2</w:t>
      </w:r>
      <w:r>
        <w:rPr>
          <w:sz w:val="24"/>
          <w:szCs w:val="24"/>
        </w:rPr>
        <w:t>.2作业条件危险性评价法的计算结果</w:t>
      </w:r>
      <w:r>
        <w:rPr>
          <w:sz w:val="24"/>
          <w:szCs w:val="24"/>
        </w:rPr>
        <w:tab/>
      </w:r>
      <w:r>
        <w:rPr>
          <w:sz w:val="24"/>
          <w:szCs w:val="24"/>
        </w:rPr>
        <w:fldChar w:fldCharType="begin"/>
      </w:r>
      <w:r>
        <w:rPr>
          <w:sz w:val="24"/>
          <w:szCs w:val="24"/>
        </w:rPr>
        <w:instrText xml:space="preserve"> PAGEREF _Toc15373 \h </w:instrText>
      </w:r>
      <w:r>
        <w:rPr>
          <w:sz w:val="24"/>
          <w:szCs w:val="24"/>
        </w:rPr>
        <w:fldChar w:fldCharType="separate"/>
      </w:r>
      <w:r>
        <w:rPr>
          <w:sz w:val="24"/>
          <w:szCs w:val="24"/>
        </w:rPr>
        <w:t>50</w:t>
      </w:r>
      <w:r>
        <w:rPr>
          <w:sz w:val="24"/>
          <w:szCs w:val="24"/>
        </w:rPr>
        <w:fldChar w:fldCharType="end"/>
      </w:r>
      <w:r>
        <w:rPr>
          <w:color w:val="auto"/>
          <w:sz w:val="24"/>
          <w:szCs w:val="24"/>
        </w:rPr>
        <w:fldChar w:fldCharType="end"/>
      </w:r>
    </w:p>
    <w:p w14:paraId="7DBBC5F4">
      <w:pPr>
        <w:pStyle w:val="23"/>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_Toc5815 </w:instrText>
      </w:r>
      <w:r>
        <w:rPr>
          <w:sz w:val="24"/>
          <w:szCs w:val="24"/>
        </w:rPr>
        <w:fldChar w:fldCharType="separate"/>
      </w:r>
      <w:r>
        <w:rPr>
          <w:rFonts w:hint="eastAsia"/>
          <w:bCs/>
          <w:sz w:val="24"/>
          <w:szCs w:val="24"/>
          <w:lang w:val="en-US" w:eastAsia="zh-CN"/>
        </w:rPr>
        <w:t>6建设项目设施和条件符合性评价</w:t>
      </w:r>
      <w:r>
        <w:rPr>
          <w:sz w:val="24"/>
          <w:szCs w:val="24"/>
        </w:rPr>
        <w:tab/>
      </w:r>
      <w:r>
        <w:rPr>
          <w:sz w:val="24"/>
          <w:szCs w:val="24"/>
        </w:rPr>
        <w:fldChar w:fldCharType="begin"/>
      </w:r>
      <w:r>
        <w:rPr>
          <w:sz w:val="24"/>
          <w:szCs w:val="24"/>
        </w:rPr>
        <w:instrText xml:space="preserve"> PAGEREF _Toc5815 \h </w:instrText>
      </w:r>
      <w:r>
        <w:rPr>
          <w:sz w:val="24"/>
          <w:szCs w:val="24"/>
        </w:rPr>
        <w:fldChar w:fldCharType="separate"/>
      </w:r>
      <w:r>
        <w:rPr>
          <w:sz w:val="24"/>
          <w:szCs w:val="24"/>
        </w:rPr>
        <w:t>53</w:t>
      </w:r>
      <w:r>
        <w:rPr>
          <w:sz w:val="24"/>
          <w:szCs w:val="24"/>
        </w:rPr>
        <w:fldChar w:fldCharType="end"/>
      </w:r>
      <w:r>
        <w:rPr>
          <w:color w:val="auto"/>
          <w:sz w:val="24"/>
          <w:szCs w:val="24"/>
        </w:rPr>
        <w:fldChar w:fldCharType="end"/>
      </w:r>
    </w:p>
    <w:p w14:paraId="3DC4509E">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_Toc1764 </w:instrText>
      </w:r>
      <w:r>
        <w:rPr>
          <w:sz w:val="24"/>
          <w:szCs w:val="24"/>
        </w:rPr>
        <w:fldChar w:fldCharType="separate"/>
      </w:r>
      <w:r>
        <w:rPr>
          <w:rFonts w:hint="eastAsia"/>
          <w:sz w:val="24"/>
          <w:szCs w:val="24"/>
          <w:lang w:val="en-US" w:eastAsia="zh-CN"/>
        </w:rPr>
        <w:t>6.1选址及总平面布置评价单元</w:t>
      </w:r>
      <w:r>
        <w:rPr>
          <w:sz w:val="24"/>
          <w:szCs w:val="24"/>
        </w:rPr>
        <w:tab/>
      </w:r>
      <w:r>
        <w:rPr>
          <w:sz w:val="24"/>
          <w:szCs w:val="24"/>
        </w:rPr>
        <w:fldChar w:fldCharType="begin"/>
      </w:r>
      <w:r>
        <w:rPr>
          <w:sz w:val="24"/>
          <w:szCs w:val="24"/>
        </w:rPr>
        <w:instrText xml:space="preserve"> PAGEREF _Toc1764 \h </w:instrText>
      </w:r>
      <w:r>
        <w:rPr>
          <w:sz w:val="24"/>
          <w:szCs w:val="24"/>
        </w:rPr>
        <w:fldChar w:fldCharType="separate"/>
      </w:r>
      <w:r>
        <w:rPr>
          <w:sz w:val="24"/>
          <w:szCs w:val="24"/>
        </w:rPr>
        <w:t>53</w:t>
      </w:r>
      <w:r>
        <w:rPr>
          <w:sz w:val="24"/>
          <w:szCs w:val="24"/>
        </w:rPr>
        <w:fldChar w:fldCharType="end"/>
      </w:r>
      <w:r>
        <w:rPr>
          <w:color w:val="auto"/>
          <w:sz w:val="24"/>
          <w:szCs w:val="24"/>
        </w:rPr>
        <w:fldChar w:fldCharType="end"/>
      </w:r>
    </w:p>
    <w:p w14:paraId="508F14EE">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_Toc28047 </w:instrText>
      </w:r>
      <w:r>
        <w:rPr>
          <w:sz w:val="24"/>
          <w:szCs w:val="24"/>
        </w:rPr>
        <w:fldChar w:fldCharType="separate"/>
      </w:r>
      <w:r>
        <w:rPr>
          <w:rFonts w:hint="eastAsia"/>
          <w:sz w:val="24"/>
          <w:szCs w:val="24"/>
          <w:lang w:val="en-US" w:eastAsia="zh-CN"/>
        </w:rPr>
        <w:t>6.2建筑设施及设备设施符合性评价</w:t>
      </w:r>
      <w:r>
        <w:rPr>
          <w:sz w:val="24"/>
          <w:szCs w:val="24"/>
        </w:rPr>
        <w:tab/>
      </w:r>
      <w:r>
        <w:rPr>
          <w:sz w:val="24"/>
          <w:szCs w:val="24"/>
        </w:rPr>
        <w:fldChar w:fldCharType="begin"/>
      </w:r>
      <w:r>
        <w:rPr>
          <w:sz w:val="24"/>
          <w:szCs w:val="24"/>
        </w:rPr>
        <w:instrText xml:space="preserve"> PAGEREF _Toc28047 \h </w:instrText>
      </w:r>
      <w:r>
        <w:rPr>
          <w:sz w:val="24"/>
          <w:szCs w:val="24"/>
        </w:rPr>
        <w:fldChar w:fldCharType="separate"/>
      </w:r>
      <w:r>
        <w:rPr>
          <w:sz w:val="24"/>
          <w:szCs w:val="24"/>
        </w:rPr>
        <w:t>55</w:t>
      </w:r>
      <w:r>
        <w:rPr>
          <w:sz w:val="24"/>
          <w:szCs w:val="24"/>
        </w:rPr>
        <w:fldChar w:fldCharType="end"/>
      </w:r>
      <w:r>
        <w:rPr>
          <w:color w:val="auto"/>
          <w:sz w:val="24"/>
          <w:szCs w:val="24"/>
        </w:rPr>
        <w:fldChar w:fldCharType="end"/>
      </w:r>
    </w:p>
    <w:p w14:paraId="11DFD1AC">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_Toc11497 </w:instrText>
      </w:r>
      <w:r>
        <w:rPr>
          <w:sz w:val="24"/>
          <w:szCs w:val="24"/>
        </w:rPr>
        <w:fldChar w:fldCharType="separate"/>
      </w:r>
      <w:r>
        <w:rPr>
          <w:rFonts w:hint="eastAsia"/>
          <w:sz w:val="24"/>
          <w:szCs w:val="24"/>
          <w:lang w:val="en-US" w:eastAsia="zh-CN"/>
        </w:rPr>
        <w:t>6.3公用工程符合性评价</w:t>
      </w:r>
      <w:r>
        <w:rPr>
          <w:sz w:val="24"/>
          <w:szCs w:val="24"/>
        </w:rPr>
        <w:tab/>
      </w:r>
      <w:r>
        <w:rPr>
          <w:sz w:val="24"/>
          <w:szCs w:val="24"/>
        </w:rPr>
        <w:fldChar w:fldCharType="begin"/>
      </w:r>
      <w:r>
        <w:rPr>
          <w:sz w:val="24"/>
          <w:szCs w:val="24"/>
        </w:rPr>
        <w:instrText xml:space="preserve"> PAGEREF _Toc11497 \h </w:instrText>
      </w:r>
      <w:r>
        <w:rPr>
          <w:sz w:val="24"/>
          <w:szCs w:val="24"/>
        </w:rPr>
        <w:fldChar w:fldCharType="separate"/>
      </w:r>
      <w:r>
        <w:rPr>
          <w:sz w:val="24"/>
          <w:szCs w:val="24"/>
        </w:rPr>
        <w:t>57</w:t>
      </w:r>
      <w:r>
        <w:rPr>
          <w:sz w:val="24"/>
          <w:szCs w:val="24"/>
        </w:rPr>
        <w:fldChar w:fldCharType="end"/>
      </w:r>
      <w:r>
        <w:rPr>
          <w:color w:val="auto"/>
          <w:sz w:val="24"/>
          <w:szCs w:val="24"/>
        </w:rPr>
        <w:fldChar w:fldCharType="end"/>
      </w:r>
    </w:p>
    <w:p w14:paraId="08A2D74A">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_Toc2552 </w:instrText>
      </w:r>
      <w:r>
        <w:rPr>
          <w:sz w:val="24"/>
          <w:szCs w:val="24"/>
        </w:rPr>
        <w:fldChar w:fldCharType="separate"/>
      </w:r>
      <w:r>
        <w:rPr>
          <w:rFonts w:hint="eastAsia"/>
          <w:sz w:val="24"/>
          <w:szCs w:val="24"/>
          <w:lang w:val="en-US" w:eastAsia="zh-CN"/>
        </w:rPr>
        <w:t>6.4安全管理符合性评价</w:t>
      </w:r>
      <w:r>
        <w:rPr>
          <w:sz w:val="24"/>
          <w:szCs w:val="24"/>
        </w:rPr>
        <w:tab/>
      </w:r>
      <w:r>
        <w:rPr>
          <w:sz w:val="24"/>
          <w:szCs w:val="24"/>
        </w:rPr>
        <w:fldChar w:fldCharType="begin"/>
      </w:r>
      <w:r>
        <w:rPr>
          <w:sz w:val="24"/>
          <w:szCs w:val="24"/>
        </w:rPr>
        <w:instrText xml:space="preserve"> PAGEREF _Toc2552 \h </w:instrText>
      </w:r>
      <w:r>
        <w:rPr>
          <w:sz w:val="24"/>
          <w:szCs w:val="24"/>
        </w:rPr>
        <w:fldChar w:fldCharType="separate"/>
      </w:r>
      <w:r>
        <w:rPr>
          <w:sz w:val="24"/>
          <w:szCs w:val="24"/>
        </w:rPr>
        <w:t>61</w:t>
      </w:r>
      <w:r>
        <w:rPr>
          <w:sz w:val="24"/>
          <w:szCs w:val="24"/>
        </w:rPr>
        <w:fldChar w:fldCharType="end"/>
      </w:r>
      <w:r>
        <w:rPr>
          <w:color w:val="auto"/>
          <w:sz w:val="24"/>
          <w:szCs w:val="24"/>
        </w:rPr>
        <w:fldChar w:fldCharType="end"/>
      </w:r>
    </w:p>
    <w:p w14:paraId="0D6A5BAC">
      <w:pPr>
        <w:pStyle w:val="23"/>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_Toc483 </w:instrText>
      </w:r>
      <w:r>
        <w:rPr>
          <w:sz w:val="24"/>
          <w:szCs w:val="24"/>
        </w:rPr>
        <w:fldChar w:fldCharType="separate"/>
      </w:r>
      <w:r>
        <w:rPr>
          <w:rFonts w:hint="eastAsia"/>
          <w:sz w:val="24"/>
          <w:szCs w:val="24"/>
          <w:lang w:eastAsia="zh-CN"/>
        </w:rPr>
        <w:t xml:space="preserve">7 </w:t>
      </w:r>
      <w:r>
        <w:rPr>
          <w:sz w:val="24"/>
          <w:szCs w:val="24"/>
          <w:lang w:eastAsia="zh-CN"/>
        </w:rPr>
        <w:t>安全对策措施</w:t>
      </w:r>
      <w:r>
        <w:rPr>
          <w:rFonts w:hint="eastAsia"/>
          <w:sz w:val="24"/>
          <w:szCs w:val="24"/>
          <w:lang w:eastAsia="zh-CN"/>
        </w:rPr>
        <w:t>建议</w:t>
      </w:r>
      <w:r>
        <w:rPr>
          <w:sz w:val="24"/>
          <w:szCs w:val="24"/>
        </w:rPr>
        <w:tab/>
      </w:r>
      <w:r>
        <w:rPr>
          <w:sz w:val="24"/>
          <w:szCs w:val="24"/>
        </w:rPr>
        <w:fldChar w:fldCharType="begin"/>
      </w:r>
      <w:r>
        <w:rPr>
          <w:sz w:val="24"/>
          <w:szCs w:val="24"/>
        </w:rPr>
        <w:instrText xml:space="preserve"> PAGEREF _Toc483 \h </w:instrText>
      </w:r>
      <w:r>
        <w:rPr>
          <w:sz w:val="24"/>
          <w:szCs w:val="24"/>
        </w:rPr>
        <w:fldChar w:fldCharType="separate"/>
      </w:r>
      <w:r>
        <w:rPr>
          <w:sz w:val="24"/>
          <w:szCs w:val="24"/>
        </w:rPr>
        <w:t>62</w:t>
      </w:r>
      <w:r>
        <w:rPr>
          <w:sz w:val="24"/>
          <w:szCs w:val="24"/>
        </w:rPr>
        <w:fldChar w:fldCharType="end"/>
      </w:r>
      <w:r>
        <w:rPr>
          <w:color w:val="auto"/>
          <w:sz w:val="24"/>
          <w:szCs w:val="24"/>
        </w:rPr>
        <w:fldChar w:fldCharType="end"/>
      </w:r>
    </w:p>
    <w:p w14:paraId="24086A02">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_Toc2956 </w:instrText>
      </w:r>
      <w:r>
        <w:rPr>
          <w:sz w:val="24"/>
          <w:szCs w:val="24"/>
        </w:rPr>
        <w:fldChar w:fldCharType="separate"/>
      </w:r>
      <w:r>
        <w:rPr>
          <w:rFonts w:hint="eastAsia"/>
          <w:sz w:val="24"/>
          <w:szCs w:val="24"/>
        </w:rPr>
        <w:t>7.</w:t>
      </w:r>
      <w:r>
        <w:rPr>
          <w:sz w:val="24"/>
          <w:szCs w:val="24"/>
        </w:rPr>
        <w:t>1总平面布置安全对策措施建议</w:t>
      </w:r>
      <w:r>
        <w:rPr>
          <w:sz w:val="24"/>
          <w:szCs w:val="24"/>
        </w:rPr>
        <w:tab/>
      </w:r>
      <w:r>
        <w:rPr>
          <w:sz w:val="24"/>
          <w:szCs w:val="24"/>
        </w:rPr>
        <w:fldChar w:fldCharType="begin"/>
      </w:r>
      <w:r>
        <w:rPr>
          <w:sz w:val="24"/>
          <w:szCs w:val="24"/>
        </w:rPr>
        <w:instrText xml:space="preserve"> PAGEREF _Toc2956 \h </w:instrText>
      </w:r>
      <w:r>
        <w:rPr>
          <w:sz w:val="24"/>
          <w:szCs w:val="24"/>
        </w:rPr>
        <w:fldChar w:fldCharType="separate"/>
      </w:r>
      <w:r>
        <w:rPr>
          <w:sz w:val="24"/>
          <w:szCs w:val="24"/>
        </w:rPr>
        <w:t>62</w:t>
      </w:r>
      <w:r>
        <w:rPr>
          <w:sz w:val="24"/>
          <w:szCs w:val="24"/>
        </w:rPr>
        <w:fldChar w:fldCharType="end"/>
      </w:r>
      <w:r>
        <w:rPr>
          <w:color w:val="auto"/>
          <w:sz w:val="24"/>
          <w:szCs w:val="24"/>
        </w:rPr>
        <w:fldChar w:fldCharType="end"/>
      </w:r>
    </w:p>
    <w:p w14:paraId="036295F0">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_Toc32328 </w:instrText>
      </w:r>
      <w:r>
        <w:rPr>
          <w:sz w:val="24"/>
          <w:szCs w:val="24"/>
        </w:rPr>
        <w:fldChar w:fldCharType="separate"/>
      </w:r>
      <w:r>
        <w:rPr>
          <w:rFonts w:hint="eastAsia"/>
          <w:sz w:val="24"/>
          <w:szCs w:val="24"/>
        </w:rPr>
        <w:t>7.2</w:t>
      </w:r>
      <w:r>
        <w:rPr>
          <w:rFonts w:hint="eastAsia"/>
          <w:sz w:val="24"/>
          <w:szCs w:val="24"/>
          <w:lang w:val="en-US" w:eastAsia="zh-CN"/>
        </w:rPr>
        <w:t>建筑布置</w:t>
      </w:r>
      <w:r>
        <w:rPr>
          <w:sz w:val="24"/>
          <w:szCs w:val="24"/>
        </w:rPr>
        <w:t>及设</w:t>
      </w:r>
      <w:r>
        <w:rPr>
          <w:rFonts w:hint="eastAsia"/>
          <w:sz w:val="24"/>
          <w:szCs w:val="24"/>
        </w:rPr>
        <w:t>备</w:t>
      </w:r>
      <w:r>
        <w:rPr>
          <w:rFonts w:hint="eastAsia"/>
          <w:sz w:val="24"/>
          <w:szCs w:val="24"/>
          <w:lang w:val="en-US" w:eastAsia="zh-CN"/>
        </w:rPr>
        <w:t>设施</w:t>
      </w:r>
      <w:r>
        <w:rPr>
          <w:sz w:val="24"/>
          <w:szCs w:val="24"/>
        </w:rPr>
        <w:t>安全对策措施建议</w:t>
      </w:r>
      <w:r>
        <w:rPr>
          <w:sz w:val="24"/>
          <w:szCs w:val="24"/>
        </w:rPr>
        <w:tab/>
      </w:r>
      <w:r>
        <w:rPr>
          <w:sz w:val="24"/>
          <w:szCs w:val="24"/>
        </w:rPr>
        <w:fldChar w:fldCharType="begin"/>
      </w:r>
      <w:r>
        <w:rPr>
          <w:sz w:val="24"/>
          <w:szCs w:val="24"/>
        </w:rPr>
        <w:instrText xml:space="preserve"> PAGEREF _Toc32328 \h </w:instrText>
      </w:r>
      <w:r>
        <w:rPr>
          <w:sz w:val="24"/>
          <w:szCs w:val="24"/>
        </w:rPr>
        <w:fldChar w:fldCharType="separate"/>
      </w:r>
      <w:r>
        <w:rPr>
          <w:sz w:val="24"/>
          <w:szCs w:val="24"/>
        </w:rPr>
        <w:t>62</w:t>
      </w:r>
      <w:r>
        <w:rPr>
          <w:sz w:val="24"/>
          <w:szCs w:val="24"/>
        </w:rPr>
        <w:fldChar w:fldCharType="end"/>
      </w:r>
      <w:r>
        <w:rPr>
          <w:color w:val="auto"/>
          <w:sz w:val="24"/>
          <w:szCs w:val="24"/>
        </w:rPr>
        <w:fldChar w:fldCharType="end"/>
      </w:r>
    </w:p>
    <w:p w14:paraId="640677FA">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_Toc2846 </w:instrText>
      </w:r>
      <w:r>
        <w:rPr>
          <w:sz w:val="24"/>
          <w:szCs w:val="24"/>
        </w:rPr>
        <w:fldChar w:fldCharType="separate"/>
      </w:r>
      <w:r>
        <w:rPr>
          <w:rFonts w:hint="eastAsia"/>
          <w:sz w:val="24"/>
          <w:szCs w:val="24"/>
          <w:lang w:val="en-US" w:eastAsia="zh-CN"/>
        </w:rPr>
        <w:t>7.2.1建筑布置</w:t>
      </w:r>
      <w:r>
        <w:rPr>
          <w:sz w:val="24"/>
          <w:szCs w:val="24"/>
        </w:rPr>
        <w:tab/>
      </w:r>
      <w:r>
        <w:rPr>
          <w:sz w:val="24"/>
          <w:szCs w:val="24"/>
        </w:rPr>
        <w:fldChar w:fldCharType="begin"/>
      </w:r>
      <w:r>
        <w:rPr>
          <w:sz w:val="24"/>
          <w:szCs w:val="24"/>
        </w:rPr>
        <w:instrText xml:space="preserve"> PAGEREF _Toc2846 \h </w:instrText>
      </w:r>
      <w:r>
        <w:rPr>
          <w:sz w:val="24"/>
          <w:szCs w:val="24"/>
        </w:rPr>
        <w:fldChar w:fldCharType="separate"/>
      </w:r>
      <w:r>
        <w:rPr>
          <w:sz w:val="24"/>
          <w:szCs w:val="24"/>
        </w:rPr>
        <w:t>62</w:t>
      </w:r>
      <w:r>
        <w:rPr>
          <w:sz w:val="24"/>
          <w:szCs w:val="24"/>
        </w:rPr>
        <w:fldChar w:fldCharType="end"/>
      </w:r>
      <w:r>
        <w:rPr>
          <w:color w:val="auto"/>
          <w:sz w:val="24"/>
          <w:szCs w:val="24"/>
        </w:rPr>
        <w:fldChar w:fldCharType="end"/>
      </w:r>
    </w:p>
    <w:p w14:paraId="222008FC">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_Toc14574 </w:instrText>
      </w:r>
      <w:r>
        <w:rPr>
          <w:sz w:val="24"/>
          <w:szCs w:val="24"/>
        </w:rPr>
        <w:fldChar w:fldCharType="separate"/>
      </w:r>
      <w:r>
        <w:rPr>
          <w:rFonts w:hint="eastAsia"/>
          <w:sz w:val="24"/>
          <w:szCs w:val="24"/>
          <w:lang w:val="en-US" w:eastAsia="zh-CN"/>
        </w:rPr>
        <w:t>7.2.2道路交通</w:t>
      </w:r>
      <w:r>
        <w:rPr>
          <w:sz w:val="24"/>
          <w:szCs w:val="24"/>
        </w:rPr>
        <w:tab/>
      </w:r>
      <w:r>
        <w:rPr>
          <w:sz w:val="24"/>
          <w:szCs w:val="24"/>
        </w:rPr>
        <w:fldChar w:fldCharType="begin"/>
      </w:r>
      <w:r>
        <w:rPr>
          <w:sz w:val="24"/>
          <w:szCs w:val="24"/>
        </w:rPr>
        <w:instrText xml:space="preserve"> PAGEREF _Toc14574 \h </w:instrText>
      </w:r>
      <w:r>
        <w:rPr>
          <w:sz w:val="24"/>
          <w:szCs w:val="24"/>
        </w:rPr>
        <w:fldChar w:fldCharType="separate"/>
      </w:r>
      <w:r>
        <w:rPr>
          <w:sz w:val="24"/>
          <w:szCs w:val="24"/>
        </w:rPr>
        <w:t>67</w:t>
      </w:r>
      <w:r>
        <w:rPr>
          <w:sz w:val="24"/>
          <w:szCs w:val="24"/>
        </w:rPr>
        <w:fldChar w:fldCharType="end"/>
      </w:r>
      <w:r>
        <w:rPr>
          <w:color w:val="auto"/>
          <w:sz w:val="24"/>
          <w:szCs w:val="24"/>
        </w:rPr>
        <w:fldChar w:fldCharType="end"/>
      </w:r>
    </w:p>
    <w:p w14:paraId="4A81499F">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_Toc26679 </w:instrText>
      </w:r>
      <w:r>
        <w:rPr>
          <w:sz w:val="24"/>
          <w:szCs w:val="24"/>
        </w:rPr>
        <w:fldChar w:fldCharType="separate"/>
      </w:r>
      <w:r>
        <w:rPr>
          <w:rFonts w:hint="eastAsia"/>
          <w:sz w:val="24"/>
          <w:szCs w:val="24"/>
        </w:rPr>
        <w:t>7.</w:t>
      </w:r>
      <w:r>
        <w:rPr>
          <w:rFonts w:hint="eastAsia"/>
          <w:sz w:val="24"/>
          <w:szCs w:val="24"/>
          <w:lang w:val="en-US" w:eastAsia="zh-CN"/>
        </w:rPr>
        <w:t>2</w:t>
      </w:r>
      <w:r>
        <w:rPr>
          <w:sz w:val="24"/>
          <w:szCs w:val="24"/>
        </w:rPr>
        <w:t>.</w:t>
      </w:r>
      <w:r>
        <w:rPr>
          <w:rFonts w:hint="eastAsia"/>
          <w:sz w:val="24"/>
          <w:szCs w:val="24"/>
          <w:lang w:val="en-US" w:eastAsia="zh-CN"/>
        </w:rPr>
        <w:t>3充电设施</w:t>
      </w:r>
      <w:r>
        <w:rPr>
          <w:sz w:val="24"/>
          <w:szCs w:val="24"/>
        </w:rPr>
        <w:tab/>
      </w:r>
      <w:r>
        <w:rPr>
          <w:sz w:val="24"/>
          <w:szCs w:val="24"/>
        </w:rPr>
        <w:fldChar w:fldCharType="begin"/>
      </w:r>
      <w:r>
        <w:rPr>
          <w:sz w:val="24"/>
          <w:szCs w:val="24"/>
        </w:rPr>
        <w:instrText xml:space="preserve"> PAGEREF _Toc26679 \h </w:instrText>
      </w:r>
      <w:r>
        <w:rPr>
          <w:sz w:val="24"/>
          <w:szCs w:val="24"/>
        </w:rPr>
        <w:fldChar w:fldCharType="separate"/>
      </w:r>
      <w:r>
        <w:rPr>
          <w:sz w:val="24"/>
          <w:szCs w:val="24"/>
        </w:rPr>
        <w:t>69</w:t>
      </w:r>
      <w:r>
        <w:rPr>
          <w:sz w:val="24"/>
          <w:szCs w:val="24"/>
        </w:rPr>
        <w:fldChar w:fldCharType="end"/>
      </w:r>
      <w:r>
        <w:rPr>
          <w:color w:val="auto"/>
          <w:sz w:val="24"/>
          <w:szCs w:val="24"/>
        </w:rPr>
        <w:fldChar w:fldCharType="end"/>
      </w:r>
    </w:p>
    <w:p w14:paraId="3D45111C">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_Toc20251 </w:instrText>
      </w:r>
      <w:r>
        <w:rPr>
          <w:sz w:val="24"/>
          <w:szCs w:val="24"/>
        </w:rPr>
        <w:fldChar w:fldCharType="separate"/>
      </w:r>
      <w:r>
        <w:rPr>
          <w:rFonts w:hint="eastAsia"/>
          <w:sz w:val="24"/>
          <w:szCs w:val="24"/>
          <w:lang w:val="en-US" w:eastAsia="zh-CN"/>
        </w:rPr>
        <w:t>7.2.4其它</w:t>
      </w:r>
      <w:r>
        <w:rPr>
          <w:sz w:val="24"/>
          <w:szCs w:val="24"/>
        </w:rPr>
        <w:tab/>
      </w:r>
      <w:r>
        <w:rPr>
          <w:sz w:val="24"/>
          <w:szCs w:val="24"/>
        </w:rPr>
        <w:fldChar w:fldCharType="begin"/>
      </w:r>
      <w:r>
        <w:rPr>
          <w:sz w:val="24"/>
          <w:szCs w:val="24"/>
        </w:rPr>
        <w:instrText xml:space="preserve"> PAGEREF _Toc20251 \h </w:instrText>
      </w:r>
      <w:r>
        <w:rPr>
          <w:sz w:val="24"/>
          <w:szCs w:val="24"/>
        </w:rPr>
        <w:fldChar w:fldCharType="separate"/>
      </w:r>
      <w:r>
        <w:rPr>
          <w:sz w:val="24"/>
          <w:szCs w:val="24"/>
        </w:rPr>
        <w:t>77</w:t>
      </w:r>
      <w:r>
        <w:rPr>
          <w:sz w:val="24"/>
          <w:szCs w:val="24"/>
        </w:rPr>
        <w:fldChar w:fldCharType="end"/>
      </w:r>
      <w:r>
        <w:rPr>
          <w:color w:val="auto"/>
          <w:sz w:val="24"/>
          <w:szCs w:val="24"/>
        </w:rPr>
        <w:fldChar w:fldCharType="end"/>
      </w:r>
    </w:p>
    <w:p w14:paraId="2523E0B2">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_Toc8035 </w:instrText>
      </w:r>
      <w:r>
        <w:rPr>
          <w:sz w:val="24"/>
          <w:szCs w:val="24"/>
        </w:rPr>
        <w:fldChar w:fldCharType="separate"/>
      </w:r>
      <w:r>
        <w:rPr>
          <w:rFonts w:hint="eastAsia"/>
          <w:sz w:val="24"/>
          <w:szCs w:val="24"/>
        </w:rPr>
        <w:t>7.</w:t>
      </w:r>
      <w:r>
        <w:rPr>
          <w:rFonts w:hint="eastAsia"/>
          <w:sz w:val="24"/>
          <w:szCs w:val="24"/>
          <w:lang w:val="en-US" w:eastAsia="zh-CN"/>
        </w:rPr>
        <w:t>3</w:t>
      </w:r>
      <w:r>
        <w:rPr>
          <w:sz w:val="24"/>
          <w:szCs w:val="24"/>
        </w:rPr>
        <w:t>公用工程安全对策措施建议</w:t>
      </w:r>
      <w:r>
        <w:rPr>
          <w:sz w:val="24"/>
          <w:szCs w:val="24"/>
        </w:rPr>
        <w:tab/>
      </w:r>
      <w:r>
        <w:rPr>
          <w:sz w:val="24"/>
          <w:szCs w:val="24"/>
        </w:rPr>
        <w:fldChar w:fldCharType="begin"/>
      </w:r>
      <w:r>
        <w:rPr>
          <w:sz w:val="24"/>
          <w:szCs w:val="24"/>
        </w:rPr>
        <w:instrText xml:space="preserve"> PAGEREF _Toc8035 \h </w:instrText>
      </w:r>
      <w:r>
        <w:rPr>
          <w:sz w:val="24"/>
          <w:szCs w:val="24"/>
        </w:rPr>
        <w:fldChar w:fldCharType="separate"/>
      </w:r>
      <w:r>
        <w:rPr>
          <w:sz w:val="24"/>
          <w:szCs w:val="24"/>
        </w:rPr>
        <w:t>80</w:t>
      </w:r>
      <w:r>
        <w:rPr>
          <w:sz w:val="24"/>
          <w:szCs w:val="24"/>
        </w:rPr>
        <w:fldChar w:fldCharType="end"/>
      </w:r>
      <w:r>
        <w:rPr>
          <w:color w:val="auto"/>
          <w:sz w:val="24"/>
          <w:szCs w:val="24"/>
        </w:rPr>
        <w:fldChar w:fldCharType="end"/>
      </w:r>
    </w:p>
    <w:p w14:paraId="2E8375AD">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_Toc22480 </w:instrText>
      </w:r>
      <w:r>
        <w:rPr>
          <w:sz w:val="24"/>
          <w:szCs w:val="24"/>
        </w:rPr>
        <w:fldChar w:fldCharType="separate"/>
      </w:r>
      <w:r>
        <w:rPr>
          <w:sz w:val="24"/>
          <w:szCs w:val="24"/>
        </w:rPr>
        <w:t>7.</w:t>
      </w:r>
      <w:r>
        <w:rPr>
          <w:rFonts w:hint="eastAsia"/>
          <w:sz w:val="24"/>
          <w:szCs w:val="24"/>
          <w:lang w:val="en-US" w:eastAsia="zh-CN"/>
        </w:rPr>
        <w:t>3</w:t>
      </w:r>
      <w:r>
        <w:rPr>
          <w:sz w:val="24"/>
          <w:szCs w:val="24"/>
        </w:rPr>
        <w:t>.1给排水</w:t>
      </w:r>
      <w:r>
        <w:rPr>
          <w:sz w:val="24"/>
          <w:szCs w:val="24"/>
        </w:rPr>
        <w:tab/>
      </w:r>
      <w:r>
        <w:rPr>
          <w:sz w:val="24"/>
          <w:szCs w:val="24"/>
        </w:rPr>
        <w:fldChar w:fldCharType="begin"/>
      </w:r>
      <w:r>
        <w:rPr>
          <w:sz w:val="24"/>
          <w:szCs w:val="24"/>
        </w:rPr>
        <w:instrText xml:space="preserve"> PAGEREF _Toc22480 \h </w:instrText>
      </w:r>
      <w:r>
        <w:rPr>
          <w:sz w:val="24"/>
          <w:szCs w:val="24"/>
        </w:rPr>
        <w:fldChar w:fldCharType="separate"/>
      </w:r>
      <w:r>
        <w:rPr>
          <w:sz w:val="24"/>
          <w:szCs w:val="24"/>
        </w:rPr>
        <w:t>80</w:t>
      </w:r>
      <w:r>
        <w:rPr>
          <w:sz w:val="24"/>
          <w:szCs w:val="24"/>
        </w:rPr>
        <w:fldChar w:fldCharType="end"/>
      </w:r>
      <w:r>
        <w:rPr>
          <w:color w:val="auto"/>
          <w:sz w:val="24"/>
          <w:szCs w:val="24"/>
        </w:rPr>
        <w:fldChar w:fldCharType="end"/>
      </w:r>
    </w:p>
    <w:p w14:paraId="506FB546">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_Toc2809 </w:instrText>
      </w:r>
      <w:r>
        <w:rPr>
          <w:sz w:val="24"/>
          <w:szCs w:val="24"/>
        </w:rPr>
        <w:fldChar w:fldCharType="separate"/>
      </w:r>
      <w:r>
        <w:rPr>
          <w:rFonts w:hint="eastAsia"/>
          <w:sz w:val="24"/>
          <w:szCs w:val="24"/>
          <w:lang w:val="en-US" w:eastAsia="zh-CN"/>
        </w:rPr>
        <w:t>7.3.2采暖通风</w:t>
      </w:r>
      <w:r>
        <w:rPr>
          <w:sz w:val="24"/>
          <w:szCs w:val="24"/>
        </w:rPr>
        <w:tab/>
      </w:r>
      <w:r>
        <w:rPr>
          <w:sz w:val="24"/>
          <w:szCs w:val="24"/>
        </w:rPr>
        <w:fldChar w:fldCharType="begin"/>
      </w:r>
      <w:r>
        <w:rPr>
          <w:sz w:val="24"/>
          <w:szCs w:val="24"/>
        </w:rPr>
        <w:instrText xml:space="preserve"> PAGEREF _Toc2809 \h </w:instrText>
      </w:r>
      <w:r>
        <w:rPr>
          <w:sz w:val="24"/>
          <w:szCs w:val="24"/>
        </w:rPr>
        <w:fldChar w:fldCharType="separate"/>
      </w:r>
      <w:r>
        <w:rPr>
          <w:sz w:val="24"/>
          <w:szCs w:val="24"/>
        </w:rPr>
        <w:t>81</w:t>
      </w:r>
      <w:r>
        <w:rPr>
          <w:sz w:val="24"/>
          <w:szCs w:val="24"/>
        </w:rPr>
        <w:fldChar w:fldCharType="end"/>
      </w:r>
      <w:r>
        <w:rPr>
          <w:color w:val="auto"/>
          <w:sz w:val="24"/>
          <w:szCs w:val="24"/>
        </w:rPr>
        <w:fldChar w:fldCharType="end"/>
      </w:r>
    </w:p>
    <w:p w14:paraId="33884498">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_Toc2838 </w:instrText>
      </w:r>
      <w:r>
        <w:rPr>
          <w:sz w:val="24"/>
          <w:szCs w:val="24"/>
        </w:rPr>
        <w:fldChar w:fldCharType="separate"/>
      </w:r>
      <w:r>
        <w:rPr>
          <w:rFonts w:hint="eastAsia"/>
          <w:sz w:val="24"/>
          <w:szCs w:val="24"/>
          <w:lang w:val="en-US" w:eastAsia="zh-CN"/>
        </w:rPr>
        <w:t>7.3.3供配电</w:t>
      </w:r>
      <w:r>
        <w:rPr>
          <w:sz w:val="24"/>
          <w:szCs w:val="24"/>
        </w:rPr>
        <w:tab/>
      </w:r>
      <w:r>
        <w:rPr>
          <w:sz w:val="24"/>
          <w:szCs w:val="24"/>
        </w:rPr>
        <w:fldChar w:fldCharType="begin"/>
      </w:r>
      <w:r>
        <w:rPr>
          <w:sz w:val="24"/>
          <w:szCs w:val="24"/>
        </w:rPr>
        <w:instrText xml:space="preserve"> PAGEREF _Toc2838 \h </w:instrText>
      </w:r>
      <w:r>
        <w:rPr>
          <w:sz w:val="24"/>
          <w:szCs w:val="24"/>
        </w:rPr>
        <w:fldChar w:fldCharType="separate"/>
      </w:r>
      <w:r>
        <w:rPr>
          <w:sz w:val="24"/>
          <w:szCs w:val="24"/>
        </w:rPr>
        <w:t>82</w:t>
      </w:r>
      <w:r>
        <w:rPr>
          <w:sz w:val="24"/>
          <w:szCs w:val="24"/>
        </w:rPr>
        <w:fldChar w:fldCharType="end"/>
      </w:r>
      <w:r>
        <w:rPr>
          <w:color w:val="auto"/>
          <w:sz w:val="24"/>
          <w:szCs w:val="24"/>
        </w:rPr>
        <w:fldChar w:fldCharType="end"/>
      </w:r>
    </w:p>
    <w:p w14:paraId="382FF630">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_Toc22376 </w:instrText>
      </w:r>
      <w:r>
        <w:rPr>
          <w:sz w:val="24"/>
          <w:szCs w:val="24"/>
        </w:rPr>
        <w:fldChar w:fldCharType="separate"/>
      </w:r>
      <w:r>
        <w:rPr>
          <w:rFonts w:hint="eastAsia"/>
          <w:sz w:val="24"/>
          <w:szCs w:val="24"/>
          <w:lang w:val="en-US" w:eastAsia="zh-CN"/>
        </w:rPr>
        <w:t>7.3.4消防</w:t>
      </w:r>
      <w:r>
        <w:rPr>
          <w:sz w:val="24"/>
          <w:szCs w:val="24"/>
        </w:rPr>
        <w:tab/>
      </w:r>
      <w:r>
        <w:rPr>
          <w:sz w:val="24"/>
          <w:szCs w:val="24"/>
        </w:rPr>
        <w:fldChar w:fldCharType="begin"/>
      </w:r>
      <w:r>
        <w:rPr>
          <w:sz w:val="24"/>
          <w:szCs w:val="24"/>
        </w:rPr>
        <w:instrText xml:space="preserve"> PAGEREF _Toc22376 \h </w:instrText>
      </w:r>
      <w:r>
        <w:rPr>
          <w:sz w:val="24"/>
          <w:szCs w:val="24"/>
        </w:rPr>
        <w:fldChar w:fldCharType="separate"/>
      </w:r>
      <w:r>
        <w:rPr>
          <w:sz w:val="24"/>
          <w:szCs w:val="24"/>
        </w:rPr>
        <w:t>86</w:t>
      </w:r>
      <w:r>
        <w:rPr>
          <w:sz w:val="24"/>
          <w:szCs w:val="24"/>
        </w:rPr>
        <w:fldChar w:fldCharType="end"/>
      </w:r>
      <w:r>
        <w:rPr>
          <w:color w:val="auto"/>
          <w:sz w:val="24"/>
          <w:szCs w:val="24"/>
        </w:rPr>
        <w:fldChar w:fldCharType="end"/>
      </w:r>
    </w:p>
    <w:p w14:paraId="574668FC">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_Toc37 </w:instrText>
      </w:r>
      <w:r>
        <w:rPr>
          <w:sz w:val="24"/>
          <w:szCs w:val="24"/>
        </w:rPr>
        <w:fldChar w:fldCharType="separate"/>
      </w:r>
      <w:r>
        <w:rPr>
          <w:rFonts w:hint="eastAsia"/>
          <w:sz w:val="24"/>
          <w:szCs w:val="24"/>
        </w:rPr>
        <w:t>7.</w:t>
      </w:r>
      <w:r>
        <w:rPr>
          <w:rFonts w:hint="eastAsia"/>
          <w:sz w:val="24"/>
          <w:szCs w:val="24"/>
          <w:lang w:val="en-US" w:eastAsia="zh-CN"/>
        </w:rPr>
        <w:t>4</w:t>
      </w:r>
      <w:r>
        <w:rPr>
          <w:sz w:val="24"/>
          <w:szCs w:val="24"/>
        </w:rPr>
        <w:t>安全管理对策措施建议</w:t>
      </w:r>
      <w:r>
        <w:rPr>
          <w:sz w:val="24"/>
          <w:szCs w:val="24"/>
        </w:rPr>
        <w:tab/>
      </w:r>
      <w:r>
        <w:rPr>
          <w:sz w:val="24"/>
          <w:szCs w:val="24"/>
        </w:rPr>
        <w:fldChar w:fldCharType="begin"/>
      </w:r>
      <w:r>
        <w:rPr>
          <w:sz w:val="24"/>
          <w:szCs w:val="24"/>
        </w:rPr>
        <w:instrText xml:space="preserve"> PAGEREF _Toc37 \h </w:instrText>
      </w:r>
      <w:r>
        <w:rPr>
          <w:sz w:val="24"/>
          <w:szCs w:val="24"/>
        </w:rPr>
        <w:fldChar w:fldCharType="separate"/>
      </w:r>
      <w:r>
        <w:rPr>
          <w:sz w:val="24"/>
          <w:szCs w:val="24"/>
        </w:rPr>
        <w:t>89</w:t>
      </w:r>
      <w:r>
        <w:rPr>
          <w:sz w:val="24"/>
          <w:szCs w:val="24"/>
        </w:rPr>
        <w:fldChar w:fldCharType="end"/>
      </w:r>
      <w:r>
        <w:rPr>
          <w:color w:val="auto"/>
          <w:sz w:val="24"/>
          <w:szCs w:val="24"/>
        </w:rPr>
        <w:fldChar w:fldCharType="end"/>
      </w:r>
    </w:p>
    <w:p w14:paraId="0248FAF8">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_Toc16833 </w:instrText>
      </w:r>
      <w:r>
        <w:rPr>
          <w:sz w:val="24"/>
          <w:szCs w:val="24"/>
        </w:rPr>
        <w:fldChar w:fldCharType="separate"/>
      </w:r>
      <w:r>
        <w:rPr>
          <w:rFonts w:hint="eastAsia"/>
          <w:sz w:val="24"/>
          <w:szCs w:val="24"/>
        </w:rPr>
        <w:t>7.</w:t>
      </w:r>
      <w:r>
        <w:rPr>
          <w:sz w:val="24"/>
          <w:szCs w:val="24"/>
        </w:rPr>
        <w:t>5施工</w:t>
      </w:r>
      <w:r>
        <w:rPr>
          <w:rFonts w:hint="eastAsia"/>
          <w:sz w:val="24"/>
          <w:szCs w:val="24"/>
          <w:lang w:val="en-US" w:eastAsia="zh-CN"/>
        </w:rPr>
        <w:t>过程</w:t>
      </w:r>
      <w:r>
        <w:rPr>
          <w:sz w:val="24"/>
          <w:szCs w:val="24"/>
        </w:rPr>
        <w:t>安全对策措施建议</w:t>
      </w:r>
      <w:r>
        <w:rPr>
          <w:sz w:val="24"/>
          <w:szCs w:val="24"/>
        </w:rPr>
        <w:tab/>
      </w:r>
      <w:r>
        <w:rPr>
          <w:sz w:val="24"/>
          <w:szCs w:val="24"/>
        </w:rPr>
        <w:fldChar w:fldCharType="begin"/>
      </w:r>
      <w:r>
        <w:rPr>
          <w:sz w:val="24"/>
          <w:szCs w:val="24"/>
        </w:rPr>
        <w:instrText xml:space="preserve"> PAGEREF _Toc16833 \h </w:instrText>
      </w:r>
      <w:r>
        <w:rPr>
          <w:sz w:val="24"/>
          <w:szCs w:val="24"/>
        </w:rPr>
        <w:fldChar w:fldCharType="separate"/>
      </w:r>
      <w:r>
        <w:rPr>
          <w:sz w:val="24"/>
          <w:szCs w:val="24"/>
        </w:rPr>
        <w:t>91</w:t>
      </w:r>
      <w:r>
        <w:rPr>
          <w:sz w:val="24"/>
          <w:szCs w:val="24"/>
        </w:rPr>
        <w:fldChar w:fldCharType="end"/>
      </w:r>
      <w:r>
        <w:rPr>
          <w:color w:val="auto"/>
          <w:sz w:val="24"/>
          <w:szCs w:val="24"/>
        </w:rPr>
        <w:fldChar w:fldCharType="end"/>
      </w:r>
    </w:p>
    <w:p w14:paraId="72F06F5B">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_Toc23205 </w:instrText>
      </w:r>
      <w:r>
        <w:rPr>
          <w:sz w:val="24"/>
          <w:szCs w:val="24"/>
        </w:rPr>
        <w:fldChar w:fldCharType="separate"/>
      </w:r>
      <w:r>
        <w:rPr>
          <w:rFonts w:hint="eastAsia"/>
          <w:sz w:val="24"/>
          <w:szCs w:val="24"/>
          <w:lang w:val="en-US" w:eastAsia="zh-CN"/>
        </w:rPr>
        <w:t>7.5.1基础、主体工程施工</w:t>
      </w:r>
      <w:r>
        <w:rPr>
          <w:sz w:val="24"/>
          <w:szCs w:val="24"/>
        </w:rPr>
        <w:tab/>
      </w:r>
      <w:r>
        <w:rPr>
          <w:sz w:val="24"/>
          <w:szCs w:val="24"/>
        </w:rPr>
        <w:fldChar w:fldCharType="begin"/>
      </w:r>
      <w:r>
        <w:rPr>
          <w:sz w:val="24"/>
          <w:szCs w:val="24"/>
        </w:rPr>
        <w:instrText xml:space="preserve"> PAGEREF _Toc23205 \h </w:instrText>
      </w:r>
      <w:r>
        <w:rPr>
          <w:sz w:val="24"/>
          <w:szCs w:val="24"/>
        </w:rPr>
        <w:fldChar w:fldCharType="separate"/>
      </w:r>
      <w:r>
        <w:rPr>
          <w:sz w:val="24"/>
          <w:szCs w:val="24"/>
        </w:rPr>
        <w:t>93</w:t>
      </w:r>
      <w:r>
        <w:rPr>
          <w:sz w:val="24"/>
          <w:szCs w:val="24"/>
        </w:rPr>
        <w:fldChar w:fldCharType="end"/>
      </w:r>
      <w:r>
        <w:rPr>
          <w:color w:val="auto"/>
          <w:sz w:val="24"/>
          <w:szCs w:val="24"/>
        </w:rPr>
        <w:fldChar w:fldCharType="end"/>
      </w:r>
    </w:p>
    <w:p w14:paraId="43E2BFA6">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_Toc831 </w:instrText>
      </w:r>
      <w:r>
        <w:rPr>
          <w:sz w:val="24"/>
          <w:szCs w:val="24"/>
        </w:rPr>
        <w:fldChar w:fldCharType="separate"/>
      </w:r>
      <w:r>
        <w:rPr>
          <w:rFonts w:hint="eastAsia"/>
          <w:sz w:val="24"/>
          <w:szCs w:val="24"/>
          <w:lang w:val="en-US" w:eastAsia="zh-CN"/>
        </w:rPr>
        <w:t>7.5.2装饰工程施工</w:t>
      </w:r>
      <w:r>
        <w:rPr>
          <w:sz w:val="24"/>
          <w:szCs w:val="24"/>
        </w:rPr>
        <w:tab/>
      </w:r>
      <w:r>
        <w:rPr>
          <w:sz w:val="24"/>
          <w:szCs w:val="24"/>
        </w:rPr>
        <w:fldChar w:fldCharType="begin"/>
      </w:r>
      <w:r>
        <w:rPr>
          <w:sz w:val="24"/>
          <w:szCs w:val="24"/>
        </w:rPr>
        <w:instrText xml:space="preserve"> PAGEREF _Toc831 \h </w:instrText>
      </w:r>
      <w:r>
        <w:rPr>
          <w:sz w:val="24"/>
          <w:szCs w:val="24"/>
        </w:rPr>
        <w:fldChar w:fldCharType="separate"/>
      </w:r>
      <w:r>
        <w:rPr>
          <w:sz w:val="24"/>
          <w:szCs w:val="24"/>
        </w:rPr>
        <w:t>95</w:t>
      </w:r>
      <w:r>
        <w:rPr>
          <w:sz w:val="24"/>
          <w:szCs w:val="24"/>
        </w:rPr>
        <w:fldChar w:fldCharType="end"/>
      </w:r>
      <w:r>
        <w:rPr>
          <w:color w:val="auto"/>
          <w:sz w:val="24"/>
          <w:szCs w:val="24"/>
        </w:rPr>
        <w:fldChar w:fldCharType="end"/>
      </w:r>
    </w:p>
    <w:p w14:paraId="5F4CD8A9">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_Toc19021 </w:instrText>
      </w:r>
      <w:r>
        <w:rPr>
          <w:sz w:val="24"/>
          <w:szCs w:val="24"/>
        </w:rPr>
        <w:fldChar w:fldCharType="separate"/>
      </w:r>
      <w:r>
        <w:rPr>
          <w:rFonts w:hint="eastAsia"/>
          <w:sz w:val="24"/>
          <w:szCs w:val="24"/>
          <w:lang w:val="en-US" w:eastAsia="zh-CN"/>
        </w:rPr>
        <w:t>7.5.3安装工程施工</w:t>
      </w:r>
      <w:r>
        <w:rPr>
          <w:sz w:val="24"/>
          <w:szCs w:val="24"/>
        </w:rPr>
        <w:tab/>
      </w:r>
      <w:r>
        <w:rPr>
          <w:sz w:val="24"/>
          <w:szCs w:val="24"/>
        </w:rPr>
        <w:fldChar w:fldCharType="begin"/>
      </w:r>
      <w:r>
        <w:rPr>
          <w:sz w:val="24"/>
          <w:szCs w:val="24"/>
        </w:rPr>
        <w:instrText xml:space="preserve"> PAGEREF _Toc19021 \h </w:instrText>
      </w:r>
      <w:r>
        <w:rPr>
          <w:sz w:val="24"/>
          <w:szCs w:val="24"/>
        </w:rPr>
        <w:fldChar w:fldCharType="separate"/>
      </w:r>
      <w:r>
        <w:rPr>
          <w:sz w:val="24"/>
          <w:szCs w:val="24"/>
        </w:rPr>
        <w:t>95</w:t>
      </w:r>
      <w:r>
        <w:rPr>
          <w:sz w:val="24"/>
          <w:szCs w:val="24"/>
        </w:rPr>
        <w:fldChar w:fldCharType="end"/>
      </w:r>
      <w:r>
        <w:rPr>
          <w:color w:val="auto"/>
          <w:sz w:val="24"/>
          <w:szCs w:val="24"/>
        </w:rPr>
        <w:fldChar w:fldCharType="end"/>
      </w:r>
    </w:p>
    <w:p w14:paraId="0B7A21B7">
      <w:pPr>
        <w:pStyle w:val="16"/>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_Toc8833 </w:instrText>
      </w:r>
      <w:r>
        <w:rPr>
          <w:sz w:val="24"/>
          <w:szCs w:val="24"/>
        </w:rPr>
        <w:fldChar w:fldCharType="separate"/>
      </w:r>
      <w:r>
        <w:rPr>
          <w:rFonts w:hint="eastAsia"/>
          <w:sz w:val="24"/>
          <w:szCs w:val="24"/>
          <w:lang w:val="en-US" w:eastAsia="zh-CN"/>
        </w:rPr>
        <w:t>7.5.4电气工程施工</w:t>
      </w:r>
      <w:r>
        <w:rPr>
          <w:sz w:val="24"/>
          <w:szCs w:val="24"/>
        </w:rPr>
        <w:tab/>
      </w:r>
      <w:r>
        <w:rPr>
          <w:sz w:val="24"/>
          <w:szCs w:val="24"/>
        </w:rPr>
        <w:fldChar w:fldCharType="begin"/>
      </w:r>
      <w:r>
        <w:rPr>
          <w:sz w:val="24"/>
          <w:szCs w:val="24"/>
        </w:rPr>
        <w:instrText xml:space="preserve"> PAGEREF _Toc8833 \h </w:instrText>
      </w:r>
      <w:r>
        <w:rPr>
          <w:sz w:val="24"/>
          <w:szCs w:val="24"/>
        </w:rPr>
        <w:fldChar w:fldCharType="separate"/>
      </w:r>
      <w:r>
        <w:rPr>
          <w:sz w:val="24"/>
          <w:szCs w:val="24"/>
        </w:rPr>
        <w:t>96</w:t>
      </w:r>
      <w:r>
        <w:rPr>
          <w:sz w:val="24"/>
          <w:szCs w:val="24"/>
        </w:rPr>
        <w:fldChar w:fldCharType="end"/>
      </w:r>
      <w:r>
        <w:rPr>
          <w:color w:val="auto"/>
          <w:sz w:val="24"/>
          <w:szCs w:val="24"/>
        </w:rPr>
        <w:fldChar w:fldCharType="end"/>
      </w:r>
    </w:p>
    <w:p w14:paraId="0DCECAB5">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_Toc508 </w:instrText>
      </w:r>
      <w:r>
        <w:rPr>
          <w:sz w:val="24"/>
          <w:szCs w:val="24"/>
        </w:rPr>
        <w:fldChar w:fldCharType="separate"/>
      </w:r>
      <w:r>
        <w:rPr>
          <w:rFonts w:hint="eastAsia"/>
          <w:sz w:val="24"/>
          <w:szCs w:val="24"/>
          <w:lang w:val="en-US" w:eastAsia="zh-CN"/>
        </w:rPr>
        <w:t>7.6项目运营期间的安全对策措施</w:t>
      </w:r>
      <w:r>
        <w:rPr>
          <w:sz w:val="24"/>
          <w:szCs w:val="24"/>
        </w:rPr>
        <w:tab/>
      </w:r>
      <w:r>
        <w:rPr>
          <w:sz w:val="24"/>
          <w:szCs w:val="24"/>
        </w:rPr>
        <w:fldChar w:fldCharType="begin"/>
      </w:r>
      <w:r>
        <w:rPr>
          <w:sz w:val="24"/>
          <w:szCs w:val="24"/>
        </w:rPr>
        <w:instrText xml:space="preserve"> PAGEREF _Toc508 \h </w:instrText>
      </w:r>
      <w:r>
        <w:rPr>
          <w:sz w:val="24"/>
          <w:szCs w:val="24"/>
        </w:rPr>
        <w:fldChar w:fldCharType="separate"/>
      </w:r>
      <w:r>
        <w:rPr>
          <w:sz w:val="24"/>
          <w:szCs w:val="24"/>
        </w:rPr>
        <w:t>97</w:t>
      </w:r>
      <w:r>
        <w:rPr>
          <w:sz w:val="24"/>
          <w:szCs w:val="24"/>
        </w:rPr>
        <w:fldChar w:fldCharType="end"/>
      </w:r>
      <w:r>
        <w:rPr>
          <w:color w:val="auto"/>
          <w:sz w:val="24"/>
          <w:szCs w:val="24"/>
        </w:rPr>
        <w:fldChar w:fldCharType="end"/>
      </w:r>
    </w:p>
    <w:p w14:paraId="7F72007F">
      <w:pPr>
        <w:pStyle w:val="23"/>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_Toc6844 </w:instrText>
      </w:r>
      <w:r>
        <w:rPr>
          <w:sz w:val="24"/>
          <w:szCs w:val="24"/>
        </w:rPr>
        <w:fldChar w:fldCharType="separate"/>
      </w:r>
      <w:r>
        <w:rPr>
          <w:rFonts w:hint="eastAsia"/>
          <w:sz w:val="24"/>
          <w:szCs w:val="24"/>
          <w:lang w:eastAsia="zh-CN"/>
        </w:rPr>
        <w:t xml:space="preserve">8 </w:t>
      </w:r>
      <w:r>
        <w:rPr>
          <w:sz w:val="24"/>
          <w:szCs w:val="24"/>
          <w:lang w:eastAsia="zh-CN"/>
        </w:rPr>
        <w:t>评价结论及建议</w:t>
      </w:r>
      <w:r>
        <w:rPr>
          <w:sz w:val="24"/>
          <w:szCs w:val="24"/>
        </w:rPr>
        <w:tab/>
      </w:r>
      <w:r>
        <w:rPr>
          <w:sz w:val="24"/>
          <w:szCs w:val="24"/>
        </w:rPr>
        <w:fldChar w:fldCharType="begin"/>
      </w:r>
      <w:r>
        <w:rPr>
          <w:sz w:val="24"/>
          <w:szCs w:val="24"/>
        </w:rPr>
        <w:instrText xml:space="preserve"> PAGEREF _Toc6844 \h </w:instrText>
      </w:r>
      <w:r>
        <w:rPr>
          <w:sz w:val="24"/>
          <w:szCs w:val="24"/>
        </w:rPr>
        <w:fldChar w:fldCharType="separate"/>
      </w:r>
      <w:r>
        <w:rPr>
          <w:sz w:val="24"/>
          <w:szCs w:val="24"/>
        </w:rPr>
        <w:t>101</w:t>
      </w:r>
      <w:r>
        <w:rPr>
          <w:sz w:val="24"/>
          <w:szCs w:val="24"/>
        </w:rPr>
        <w:fldChar w:fldCharType="end"/>
      </w:r>
      <w:r>
        <w:rPr>
          <w:color w:val="auto"/>
          <w:sz w:val="24"/>
          <w:szCs w:val="24"/>
        </w:rPr>
        <w:fldChar w:fldCharType="end"/>
      </w:r>
    </w:p>
    <w:p w14:paraId="2C52B201">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_Toc7321 </w:instrText>
      </w:r>
      <w:r>
        <w:rPr>
          <w:sz w:val="24"/>
          <w:szCs w:val="24"/>
        </w:rPr>
        <w:fldChar w:fldCharType="separate"/>
      </w:r>
      <w:r>
        <w:rPr>
          <w:rFonts w:hint="eastAsia"/>
          <w:sz w:val="24"/>
          <w:szCs w:val="24"/>
        </w:rPr>
        <w:t>8</w:t>
      </w:r>
      <w:r>
        <w:rPr>
          <w:sz w:val="24"/>
          <w:szCs w:val="24"/>
        </w:rPr>
        <w:t>.1</w:t>
      </w:r>
      <w:r>
        <w:rPr>
          <w:rFonts w:hint="eastAsia"/>
          <w:sz w:val="24"/>
          <w:szCs w:val="24"/>
        </w:rPr>
        <w:t>项目评价综述</w:t>
      </w:r>
      <w:r>
        <w:rPr>
          <w:sz w:val="24"/>
          <w:szCs w:val="24"/>
        </w:rPr>
        <w:tab/>
      </w:r>
      <w:r>
        <w:rPr>
          <w:sz w:val="24"/>
          <w:szCs w:val="24"/>
        </w:rPr>
        <w:fldChar w:fldCharType="begin"/>
      </w:r>
      <w:r>
        <w:rPr>
          <w:sz w:val="24"/>
          <w:szCs w:val="24"/>
        </w:rPr>
        <w:instrText xml:space="preserve"> PAGEREF _Toc7321 \h </w:instrText>
      </w:r>
      <w:r>
        <w:rPr>
          <w:sz w:val="24"/>
          <w:szCs w:val="24"/>
        </w:rPr>
        <w:fldChar w:fldCharType="separate"/>
      </w:r>
      <w:r>
        <w:rPr>
          <w:sz w:val="24"/>
          <w:szCs w:val="24"/>
        </w:rPr>
        <w:t>101</w:t>
      </w:r>
      <w:r>
        <w:rPr>
          <w:sz w:val="24"/>
          <w:szCs w:val="24"/>
        </w:rPr>
        <w:fldChar w:fldCharType="end"/>
      </w:r>
      <w:r>
        <w:rPr>
          <w:color w:val="auto"/>
          <w:sz w:val="24"/>
          <w:szCs w:val="24"/>
        </w:rPr>
        <w:fldChar w:fldCharType="end"/>
      </w:r>
    </w:p>
    <w:p w14:paraId="7B30AB33">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_Toc7574 </w:instrText>
      </w:r>
      <w:r>
        <w:rPr>
          <w:sz w:val="24"/>
          <w:szCs w:val="24"/>
        </w:rPr>
        <w:fldChar w:fldCharType="separate"/>
      </w:r>
      <w:r>
        <w:rPr>
          <w:sz w:val="24"/>
          <w:szCs w:val="24"/>
        </w:rPr>
        <w:t>8.</w:t>
      </w:r>
      <w:r>
        <w:rPr>
          <w:rFonts w:hint="eastAsia"/>
          <w:sz w:val="24"/>
          <w:szCs w:val="24"/>
          <w:lang w:val="en-US" w:eastAsia="zh-CN"/>
        </w:rPr>
        <w:t>2</w:t>
      </w:r>
      <w:r>
        <w:rPr>
          <w:sz w:val="24"/>
          <w:szCs w:val="24"/>
        </w:rPr>
        <w:t>建议</w:t>
      </w:r>
      <w:r>
        <w:rPr>
          <w:sz w:val="24"/>
          <w:szCs w:val="24"/>
        </w:rPr>
        <w:tab/>
      </w:r>
      <w:r>
        <w:rPr>
          <w:sz w:val="24"/>
          <w:szCs w:val="24"/>
        </w:rPr>
        <w:fldChar w:fldCharType="begin"/>
      </w:r>
      <w:r>
        <w:rPr>
          <w:sz w:val="24"/>
          <w:szCs w:val="24"/>
        </w:rPr>
        <w:instrText xml:space="preserve"> PAGEREF _Toc7574 \h </w:instrText>
      </w:r>
      <w:r>
        <w:rPr>
          <w:sz w:val="24"/>
          <w:szCs w:val="24"/>
        </w:rPr>
        <w:fldChar w:fldCharType="separate"/>
      </w:r>
      <w:r>
        <w:rPr>
          <w:sz w:val="24"/>
          <w:szCs w:val="24"/>
        </w:rPr>
        <w:t>101</w:t>
      </w:r>
      <w:r>
        <w:rPr>
          <w:sz w:val="24"/>
          <w:szCs w:val="24"/>
        </w:rPr>
        <w:fldChar w:fldCharType="end"/>
      </w:r>
      <w:r>
        <w:rPr>
          <w:color w:val="auto"/>
          <w:sz w:val="24"/>
          <w:szCs w:val="24"/>
        </w:rPr>
        <w:fldChar w:fldCharType="end"/>
      </w:r>
    </w:p>
    <w:p w14:paraId="2BF4B3BC">
      <w:pPr>
        <w:pStyle w:val="27"/>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_Toc1549 </w:instrText>
      </w:r>
      <w:r>
        <w:rPr>
          <w:sz w:val="24"/>
          <w:szCs w:val="24"/>
        </w:rPr>
        <w:fldChar w:fldCharType="separate"/>
      </w:r>
      <w:r>
        <w:rPr>
          <w:rFonts w:hint="eastAsia"/>
          <w:sz w:val="24"/>
          <w:szCs w:val="24"/>
        </w:rPr>
        <w:t>8</w:t>
      </w:r>
      <w:r>
        <w:rPr>
          <w:sz w:val="24"/>
          <w:szCs w:val="24"/>
        </w:rPr>
        <w:t>.</w:t>
      </w:r>
      <w:r>
        <w:rPr>
          <w:rFonts w:hint="eastAsia"/>
          <w:sz w:val="24"/>
          <w:szCs w:val="24"/>
          <w:lang w:val="en-US" w:eastAsia="zh-CN"/>
        </w:rPr>
        <w:t>3</w:t>
      </w:r>
      <w:r>
        <w:rPr>
          <w:sz w:val="24"/>
          <w:szCs w:val="24"/>
        </w:rPr>
        <w:t>评价结论</w:t>
      </w:r>
      <w:r>
        <w:rPr>
          <w:sz w:val="24"/>
          <w:szCs w:val="24"/>
        </w:rPr>
        <w:tab/>
      </w:r>
      <w:r>
        <w:rPr>
          <w:sz w:val="24"/>
          <w:szCs w:val="24"/>
        </w:rPr>
        <w:fldChar w:fldCharType="begin"/>
      </w:r>
      <w:r>
        <w:rPr>
          <w:sz w:val="24"/>
          <w:szCs w:val="24"/>
        </w:rPr>
        <w:instrText xml:space="preserve"> PAGEREF _Toc1549 \h </w:instrText>
      </w:r>
      <w:r>
        <w:rPr>
          <w:sz w:val="24"/>
          <w:szCs w:val="24"/>
        </w:rPr>
        <w:fldChar w:fldCharType="separate"/>
      </w:r>
      <w:r>
        <w:rPr>
          <w:sz w:val="24"/>
          <w:szCs w:val="24"/>
        </w:rPr>
        <w:t>102</w:t>
      </w:r>
      <w:r>
        <w:rPr>
          <w:sz w:val="24"/>
          <w:szCs w:val="24"/>
        </w:rPr>
        <w:fldChar w:fldCharType="end"/>
      </w:r>
      <w:r>
        <w:rPr>
          <w:color w:val="auto"/>
          <w:sz w:val="24"/>
          <w:szCs w:val="24"/>
        </w:rPr>
        <w:fldChar w:fldCharType="end"/>
      </w:r>
    </w:p>
    <w:p w14:paraId="753371FA">
      <w:pPr>
        <w:pStyle w:val="23"/>
        <w:keepNext w:val="0"/>
        <w:keepLines w:val="0"/>
        <w:pageBreakBefore w:val="0"/>
        <w:widowControl w:val="0"/>
        <w:tabs>
          <w:tab w:val="right" w:leader="dot" w:pos="9070"/>
        </w:tabs>
        <w:kinsoku/>
        <w:wordWrap/>
        <w:overflowPunct/>
        <w:topLinePunct w:val="0"/>
        <w:autoSpaceDE/>
        <w:autoSpaceDN/>
        <w:bidi w:val="0"/>
        <w:spacing w:line="440" w:lineRule="exact"/>
        <w:rPr>
          <w:sz w:val="24"/>
          <w:szCs w:val="24"/>
        </w:rPr>
      </w:pPr>
      <w:r>
        <w:rPr>
          <w:color w:val="auto"/>
          <w:sz w:val="24"/>
          <w:szCs w:val="24"/>
        </w:rPr>
        <w:fldChar w:fldCharType="begin"/>
      </w:r>
      <w:r>
        <w:rPr>
          <w:sz w:val="24"/>
          <w:szCs w:val="24"/>
        </w:rPr>
        <w:instrText xml:space="preserve"> HYPERLINK \l _Toc19662 </w:instrText>
      </w:r>
      <w:r>
        <w:rPr>
          <w:sz w:val="24"/>
          <w:szCs w:val="24"/>
        </w:rPr>
        <w:fldChar w:fldCharType="separate"/>
      </w:r>
      <w:r>
        <w:rPr>
          <w:rFonts w:hint="eastAsia"/>
          <w:bCs/>
          <w:sz w:val="24"/>
          <w:szCs w:val="24"/>
        </w:rPr>
        <w:t>附件</w:t>
      </w:r>
      <w:r>
        <w:rPr>
          <w:rFonts w:hint="eastAsia"/>
          <w:bCs/>
          <w:sz w:val="24"/>
          <w:szCs w:val="24"/>
          <w:lang w:eastAsia="zh-CN"/>
        </w:rPr>
        <w:t>：</w:t>
      </w:r>
      <w:r>
        <w:rPr>
          <w:sz w:val="24"/>
          <w:szCs w:val="24"/>
        </w:rPr>
        <w:tab/>
      </w:r>
      <w:r>
        <w:rPr>
          <w:sz w:val="24"/>
          <w:szCs w:val="24"/>
        </w:rPr>
        <w:fldChar w:fldCharType="begin"/>
      </w:r>
      <w:r>
        <w:rPr>
          <w:sz w:val="24"/>
          <w:szCs w:val="24"/>
        </w:rPr>
        <w:instrText xml:space="preserve"> PAGEREF _Toc19662 \h </w:instrText>
      </w:r>
      <w:r>
        <w:rPr>
          <w:sz w:val="24"/>
          <w:szCs w:val="24"/>
        </w:rPr>
        <w:fldChar w:fldCharType="separate"/>
      </w:r>
      <w:r>
        <w:rPr>
          <w:sz w:val="24"/>
          <w:szCs w:val="24"/>
        </w:rPr>
        <w:t>103</w:t>
      </w:r>
      <w:r>
        <w:rPr>
          <w:sz w:val="24"/>
          <w:szCs w:val="24"/>
        </w:rPr>
        <w:fldChar w:fldCharType="end"/>
      </w:r>
      <w:r>
        <w:rPr>
          <w:color w:val="auto"/>
          <w:sz w:val="24"/>
          <w:szCs w:val="24"/>
        </w:rPr>
        <w:fldChar w:fldCharType="end"/>
      </w:r>
    </w:p>
    <w:p w14:paraId="5DC86F3E">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center"/>
        <w:rPr>
          <w:color w:val="auto"/>
          <w:sz w:val="24"/>
          <w:szCs w:val="24"/>
        </w:rPr>
        <w:sectPr>
          <w:pgSz w:w="11906" w:h="16838"/>
          <w:pgMar w:top="1418" w:right="1418" w:bottom="1418" w:left="1418" w:header="851" w:footer="992" w:gutter="0"/>
          <w:pgNumType w:fmt="upperRoman"/>
          <w:cols w:space="720" w:num="1"/>
          <w:docGrid w:type="lines" w:linePitch="312" w:charSpace="0"/>
        </w:sectPr>
      </w:pPr>
      <w:r>
        <w:rPr>
          <w:color w:val="auto"/>
          <w:sz w:val="24"/>
          <w:szCs w:val="24"/>
        </w:rPr>
        <w:fldChar w:fldCharType="end"/>
      </w:r>
    </w:p>
    <w:p w14:paraId="001B1F8B">
      <w:pPr>
        <w:adjustRightInd w:val="0"/>
        <w:snapToGrid w:val="0"/>
        <w:spacing w:line="600" w:lineRule="exact"/>
        <w:jc w:val="center"/>
        <w:textAlignment w:val="center"/>
        <w:rPr>
          <w:rFonts w:hint="eastAsia" w:eastAsia="宋体"/>
          <w:b/>
          <w:bCs/>
          <w:color w:val="auto"/>
          <w:sz w:val="36"/>
          <w:szCs w:val="36"/>
          <w:lang w:eastAsia="zh-CN"/>
        </w:rPr>
      </w:pPr>
      <w:r>
        <w:rPr>
          <w:rFonts w:hint="eastAsia"/>
          <w:b/>
          <w:bCs/>
          <w:color w:val="auto"/>
          <w:sz w:val="36"/>
          <w:szCs w:val="36"/>
          <w:lang w:eastAsia="zh-CN"/>
        </w:rPr>
        <w:t>江西省交通投资集团有限责任公司</w:t>
      </w:r>
    </w:p>
    <w:p w14:paraId="5BB1366C">
      <w:pPr>
        <w:adjustRightInd w:val="0"/>
        <w:snapToGrid w:val="0"/>
        <w:spacing w:line="600" w:lineRule="exact"/>
        <w:jc w:val="center"/>
        <w:textAlignment w:val="center"/>
        <w:rPr>
          <w:rFonts w:hint="eastAsia" w:eastAsia="宋体"/>
          <w:b/>
          <w:bCs/>
          <w:color w:val="auto"/>
          <w:sz w:val="36"/>
          <w:szCs w:val="36"/>
          <w:lang w:val="en-US" w:eastAsia="zh-CN"/>
        </w:rPr>
      </w:pPr>
      <w:r>
        <w:rPr>
          <w:rFonts w:hint="eastAsia"/>
          <w:b/>
          <w:bCs/>
          <w:color w:val="auto"/>
          <w:sz w:val="36"/>
          <w:szCs w:val="36"/>
          <w:lang w:eastAsia="zh-CN"/>
        </w:rPr>
        <w:t>大广高速修水服务区提质升级改造项目</w:t>
      </w:r>
    </w:p>
    <w:p w14:paraId="4B02380B">
      <w:pPr>
        <w:adjustRightInd w:val="0"/>
        <w:snapToGrid w:val="0"/>
        <w:spacing w:line="600" w:lineRule="exact"/>
        <w:jc w:val="center"/>
        <w:textAlignment w:val="center"/>
        <w:rPr>
          <w:rFonts w:hint="eastAsia" w:ascii="宋体" w:hAnsi="宋体" w:eastAsia="宋体"/>
          <w:b/>
          <w:bCs/>
          <w:color w:val="auto"/>
          <w:sz w:val="36"/>
          <w:szCs w:val="36"/>
          <w:lang w:eastAsia="zh-CN"/>
        </w:rPr>
      </w:pPr>
      <w:r>
        <w:rPr>
          <w:rFonts w:hint="eastAsia" w:ascii="宋体" w:hAnsi="宋体"/>
          <w:b/>
          <w:bCs/>
          <w:color w:val="auto"/>
          <w:sz w:val="36"/>
          <w:szCs w:val="36"/>
          <w:lang w:eastAsia="zh-CN"/>
        </w:rPr>
        <w:t>安全评估报告</w:t>
      </w:r>
    </w:p>
    <w:p w14:paraId="0F201E7C">
      <w:pPr>
        <w:adjustRightInd w:val="0"/>
        <w:snapToGrid w:val="0"/>
        <w:spacing w:line="600" w:lineRule="exact"/>
        <w:jc w:val="center"/>
        <w:textAlignment w:val="center"/>
        <w:rPr>
          <w:rFonts w:hint="eastAsia" w:ascii="宋体" w:hAnsi="宋体"/>
          <w:b/>
          <w:bCs/>
          <w:color w:val="auto"/>
          <w:sz w:val="36"/>
          <w:szCs w:val="36"/>
        </w:rPr>
      </w:pPr>
    </w:p>
    <w:p w14:paraId="2A8195B9">
      <w:pPr>
        <w:pStyle w:val="4"/>
        <w:rPr>
          <w:color w:val="auto"/>
        </w:rPr>
      </w:pPr>
      <w:bookmarkStart w:id="0" w:name="_Toc29311"/>
      <w:bookmarkStart w:id="1" w:name="_Toc350517370"/>
      <w:bookmarkStart w:id="2" w:name="_Toc21123"/>
      <w:r>
        <w:rPr>
          <w:color w:val="auto"/>
          <w:szCs w:val="32"/>
        </w:rPr>
        <w:t>1</w:t>
      </w:r>
      <w:r>
        <w:rPr>
          <w:rFonts w:hint="eastAsia" w:ascii="宋体" w:hAnsi="宋体" w:eastAsia="宋体" w:cs="宋体"/>
          <w:color w:val="auto"/>
          <w:szCs w:val="32"/>
        </w:rPr>
        <w:t>评价概述</w:t>
      </w:r>
      <w:bookmarkEnd w:id="0"/>
      <w:bookmarkEnd w:id="1"/>
      <w:bookmarkEnd w:id="2"/>
    </w:p>
    <w:p w14:paraId="6AF578CC">
      <w:pPr>
        <w:pStyle w:val="5"/>
        <w:spacing w:line="416" w:lineRule="auto"/>
        <w:rPr>
          <w:color w:val="auto"/>
        </w:rPr>
      </w:pPr>
      <w:bookmarkStart w:id="3" w:name="_Toc350517371"/>
      <w:bookmarkStart w:id="4" w:name="_Toc10195"/>
      <w:r>
        <w:rPr>
          <w:color w:val="auto"/>
        </w:rPr>
        <w:t>1.1</w:t>
      </w:r>
      <w:r>
        <w:rPr>
          <w:rFonts w:hint="eastAsia" w:ascii="宋体" w:hAnsi="宋体" w:eastAsia="宋体" w:cs="宋体"/>
          <w:color w:val="auto"/>
        </w:rPr>
        <w:t>评价的目的</w:t>
      </w:r>
      <w:bookmarkEnd w:id="3"/>
      <w:bookmarkEnd w:id="4"/>
    </w:p>
    <w:p w14:paraId="3E06DF2C">
      <w:pPr>
        <w:wordWrap w:val="0"/>
        <w:adjustRightInd w:val="0"/>
        <w:snapToGrid w:val="0"/>
        <w:spacing w:line="600" w:lineRule="exact"/>
        <w:ind w:firstLine="560" w:firstLineChars="200"/>
        <w:jc w:val="left"/>
        <w:textAlignment w:val="center"/>
        <w:rPr>
          <w:color w:val="auto"/>
          <w:sz w:val="28"/>
          <w:szCs w:val="28"/>
        </w:rPr>
      </w:pPr>
      <w:r>
        <w:rPr>
          <w:color w:val="auto"/>
          <w:sz w:val="28"/>
          <w:szCs w:val="28"/>
        </w:rPr>
        <w:t>1、</w:t>
      </w:r>
      <w:r>
        <w:rPr>
          <w:rFonts w:hint="eastAsia"/>
          <w:color w:val="auto"/>
          <w:sz w:val="28"/>
          <w:szCs w:val="28"/>
          <w:lang w:val="en-US" w:eastAsia="zh-CN"/>
        </w:rPr>
        <w:t>贯彻执行</w:t>
      </w:r>
      <w:r>
        <w:rPr>
          <w:color w:val="auto"/>
          <w:sz w:val="28"/>
          <w:szCs w:val="28"/>
        </w:rPr>
        <w:t>《中华人民共和国安全生产法》</w:t>
      </w:r>
      <w:r>
        <w:rPr>
          <w:rFonts w:hint="eastAsia"/>
          <w:color w:val="auto"/>
          <w:sz w:val="28"/>
          <w:szCs w:val="28"/>
          <w:lang w:val="en-US" w:eastAsia="zh-CN"/>
        </w:rPr>
        <w:t>第三十一条“生产经营单位新建、改建、扩建工程项目的安全设施，必须与主体工程同时设计、同时施工、同时投入生产和使用，安全设施投资应当纳入建设项目概算”及《建设项目安全设施“三同时”监督管理办法》的相关规定，该项目应进行安全预评价</w:t>
      </w:r>
      <w:r>
        <w:rPr>
          <w:color w:val="auto"/>
          <w:sz w:val="28"/>
          <w:szCs w:val="28"/>
        </w:rPr>
        <w:t>。</w:t>
      </w:r>
    </w:p>
    <w:p w14:paraId="4F10C3CF">
      <w:pPr>
        <w:pStyle w:val="14"/>
        <w:tabs>
          <w:tab w:val="left" w:pos="5940"/>
        </w:tabs>
        <w:wordWrap w:val="0"/>
        <w:adjustRightInd w:val="0"/>
        <w:snapToGrid w:val="0"/>
        <w:spacing w:after="0" w:line="600" w:lineRule="exact"/>
        <w:ind w:left="0" w:leftChars="0" w:firstLine="537" w:firstLineChars="192"/>
        <w:jc w:val="left"/>
        <w:textAlignment w:val="center"/>
        <w:rPr>
          <w:color w:val="auto"/>
          <w:sz w:val="28"/>
          <w:szCs w:val="28"/>
        </w:rPr>
      </w:pPr>
      <w:r>
        <w:rPr>
          <w:color w:val="auto"/>
          <w:sz w:val="28"/>
          <w:szCs w:val="28"/>
        </w:rPr>
        <w:t>2、</w:t>
      </w:r>
      <w:r>
        <w:rPr>
          <w:rFonts w:hint="eastAsia"/>
          <w:color w:val="auto"/>
          <w:sz w:val="28"/>
          <w:szCs w:val="28"/>
          <w:lang w:val="en-US" w:eastAsia="zh-CN"/>
        </w:rPr>
        <w:t>确保该项目符合国家法律、法规和相关标准、规范要求，在设计时实现本质安全，防止项目建成后留下安全隐患</w:t>
      </w:r>
      <w:r>
        <w:rPr>
          <w:color w:val="auto"/>
          <w:sz w:val="28"/>
          <w:szCs w:val="28"/>
        </w:rPr>
        <w:t>。</w:t>
      </w:r>
    </w:p>
    <w:p w14:paraId="34C1CD88">
      <w:pPr>
        <w:pStyle w:val="14"/>
        <w:tabs>
          <w:tab w:val="left" w:pos="5940"/>
        </w:tabs>
        <w:wordWrap w:val="0"/>
        <w:adjustRightInd w:val="0"/>
        <w:snapToGrid w:val="0"/>
        <w:spacing w:after="0" w:line="600" w:lineRule="exact"/>
        <w:ind w:left="0" w:leftChars="0" w:firstLine="537" w:firstLineChars="192"/>
        <w:jc w:val="left"/>
        <w:textAlignment w:val="center"/>
        <w:rPr>
          <w:rFonts w:hint="eastAsia"/>
          <w:color w:val="auto"/>
          <w:sz w:val="28"/>
          <w:szCs w:val="28"/>
          <w:lang w:val="en-US" w:eastAsia="zh-CN"/>
        </w:rPr>
      </w:pPr>
      <w:r>
        <w:rPr>
          <w:rFonts w:hint="eastAsia"/>
          <w:color w:val="auto"/>
          <w:sz w:val="28"/>
          <w:szCs w:val="28"/>
          <w:lang w:val="en-US" w:eastAsia="zh-CN"/>
        </w:rPr>
        <w:t>3、通过预评价，对该项目所存在的危险性、有害性进行辨识并运用系统安全评价方法对所存在的危险性、有害性进行定性和定量分析。</w:t>
      </w:r>
    </w:p>
    <w:p w14:paraId="4222017F">
      <w:pPr>
        <w:pStyle w:val="14"/>
        <w:tabs>
          <w:tab w:val="left" w:pos="5940"/>
        </w:tabs>
        <w:wordWrap w:val="0"/>
        <w:adjustRightInd w:val="0"/>
        <w:snapToGrid w:val="0"/>
        <w:spacing w:after="0" w:line="600" w:lineRule="exact"/>
        <w:ind w:left="0" w:leftChars="0" w:firstLine="537" w:firstLineChars="192"/>
        <w:jc w:val="left"/>
        <w:textAlignment w:val="center"/>
        <w:rPr>
          <w:rFonts w:hint="default"/>
          <w:color w:val="auto"/>
          <w:sz w:val="28"/>
          <w:szCs w:val="28"/>
          <w:lang w:val="en-US" w:eastAsia="zh-CN"/>
        </w:rPr>
      </w:pPr>
      <w:r>
        <w:rPr>
          <w:rFonts w:hint="eastAsia"/>
          <w:color w:val="auto"/>
          <w:sz w:val="28"/>
          <w:szCs w:val="28"/>
          <w:lang w:val="en-US" w:eastAsia="zh-CN"/>
        </w:rPr>
        <w:t>评价该项目发生危险、危害的可能性及其事故后果危害程度，针对事故发生的各种原因和条件，从设计上提出应采取相应的安全对策措施，为安全设计单位、建设单位在安全设施“三同时”中提供决策参考。</w:t>
      </w:r>
    </w:p>
    <w:p w14:paraId="1ABA6BB7">
      <w:pPr>
        <w:wordWrap w:val="0"/>
        <w:adjustRightInd w:val="0"/>
        <w:snapToGrid w:val="0"/>
        <w:spacing w:line="600" w:lineRule="exact"/>
        <w:ind w:left="0" w:leftChars="0" w:firstLine="0" w:firstLineChars="0"/>
        <w:jc w:val="left"/>
        <w:textAlignment w:val="center"/>
        <w:outlineLvl w:val="1"/>
        <w:rPr>
          <w:b/>
          <w:color w:val="auto"/>
          <w:sz w:val="30"/>
          <w:szCs w:val="30"/>
        </w:rPr>
      </w:pPr>
      <w:bookmarkStart w:id="5" w:name="_Toc1913"/>
      <w:r>
        <w:rPr>
          <w:rStyle w:val="44"/>
          <w:rFonts w:ascii="Times New Roman" w:hAnsi="Times New Roman"/>
          <w:color w:val="auto"/>
          <w:sz w:val="30"/>
          <w:szCs w:val="30"/>
        </w:rPr>
        <w:t>1.2</w:t>
      </w:r>
      <w:r>
        <w:rPr>
          <w:rStyle w:val="44"/>
          <w:rFonts w:hint="eastAsia" w:ascii="宋体" w:hAnsi="宋体" w:eastAsia="宋体" w:cs="宋体"/>
          <w:color w:val="auto"/>
          <w:sz w:val="30"/>
          <w:szCs w:val="30"/>
        </w:rPr>
        <w:t>评价的原则</w:t>
      </w:r>
      <w:bookmarkEnd w:id="5"/>
    </w:p>
    <w:p w14:paraId="2784DF58">
      <w:pPr>
        <w:bidi w:val="0"/>
        <w:rPr>
          <w:rFonts w:hint="eastAsia"/>
          <w:color w:val="auto"/>
          <w:lang w:val="en-US" w:eastAsia="zh-CN"/>
        </w:rPr>
      </w:pPr>
      <w:r>
        <w:rPr>
          <w:rFonts w:hint="eastAsia"/>
          <w:color w:val="auto"/>
          <w:lang w:val="en-US" w:eastAsia="zh-CN"/>
        </w:rPr>
        <w:t>本安全预评价报告严格按照国家现行有关安全生产的法律、法规和标准要求，同时遵循下列原则：</w:t>
      </w:r>
    </w:p>
    <w:p w14:paraId="62A7E5C6">
      <w:pPr>
        <w:bidi w:val="0"/>
        <w:rPr>
          <w:rFonts w:hint="eastAsia"/>
          <w:color w:val="auto"/>
          <w:lang w:val="en-US" w:eastAsia="zh-CN"/>
        </w:rPr>
      </w:pPr>
      <w:r>
        <w:rPr>
          <w:rFonts w:hint="eastAsia"/>
          <w:color w:val="auto"/>
          <w:lang w:val="en-US" w:eastAsia="zh-CN"/>
        </w:rPr>
        <w:t>1、严格执行国家、地方与行业现行有关安全生产方面的法律、法规和标准，遵循科学公正、独立客观、安全准确、诚实守信的原则和执业准则，最终做出客观的评价。</w:t>
      </w:r>
    </w:p>
    <w:p w14:paraId="586AC108">
      <w:pPr>
        <w:bidi w:val="0"/>
        <w:rPr>
          <w:rFonts w:hint="default"/>
          <w:color w:val="auto"/>
          <w:lang w:val="en-US" w:eastAsia="zh-CN"/>
        </w:rPr>
      </w:pPr>
      <w:r>
        <w:rPr>
          <w:rFonts w:hint="default"/>
          <w:color w:val="auto"/>
          <w:lang w:val="en-US" w:eastAsia="zh-CN"/>
        </w:rPr>
        <w:t>2、</w:t>
      </w:r>
      <w:r>
        <w:rPr>
          <w:rFonts w:hint="eastAsia"/>
          <w:color w:val="auto"/>
          <w:lang w:val="en-US" w:eastAsia="zh-CN"/>
        </w:rPr>
        <w:t>采用可靠、先进、适用的评价技术，确保评价质量，突出重点。</w:t>
      </w:r>
    </w:p>
    <w:p w14:paraId="5FF92059">
      <w:pPr>
        <w:pStyle w:val="5"/>
        <w:bidi w:val="0"/>
        <w:rPr>
          <w:color w:val="auto"/>
        </w:rPr>
      </w:pPr>
      <w:bookmarkStart w:id="6" w:name="_Toc350517372"/>
      <w:bookmarkStart w:id="7" w:name="_Toc15348"/>
      <w:r>
        <w:rPr>
          <w:color w:val="auto"/>
        </w:rPr>
        <w:t>1.3</w:t>
      </w:r>
      <w:r>
        <w:rPr>
          <w:rFonts w:hint="eastAsia" w:ascii="宋体" w:hAnsi="宋体" w:eastAsia="宋体" w:cs="宋体"/>
          <w:color w:val="auto"/>
        </w:rPr>
        <w:t>评价依据</w:t>
      </w:r>
      <w:bookmarkEnd w:id="6"/>
      <w:bookmarkEnd w:id="7"/>
    </w:p>
    <w:p w14:paraId="4136D9BF">
      <w:pPr>
        <w:pStyle w:val="6"/>
        <w:bidi w:val="0"/>
        <w:rPr>
          <w:color w:val="auto"/>
        </w:rPr>
      </w:pPr>
      <w:bookmarkStart w:id="8" w:name="_Toc3502"/>
      <w:r>
        <w:rPr>
          <w:color w:val="auto"/>
        </w:rPr>
        <w:t>1.</w:t>
      </w:r>
      <w:r>
        <w:rPr>
          <w:rFonts w:hint="eastAsia"/>
          <w:color w:val="auto"/>
        </w:rPr>
        <w:t>3</w:t>
      </w:r>
      <w:r>
        <w:rPr>
          <w:color w:val="auto"/>
        </w:rPr>
        <w:t>.1法律、法规、规定、规范性文件</w:t>
      </w:r>
      <w:bookmarkEnd w:id="8"/>
    </w:p>
    <w:p w14:paraId="51EAF548">
      <w:pPr>
        <w:numPr>
          <w:ilvl w:val="0"/>
          <w:numId w:val="1"/>
        </w:numPr>
        <w:ind w:left="0" w:leftChars="0" w:firstLine="420" w:firstLineChars="0"/>
        <w:rPr>
          <w:rFonts w:hint="eastAsia"/>
          <w:color w:val="auto"/>
          <w:sz w:val="28"/>
          <w:lang w:val="en-US" w:eastAsia="zh-CN"/>
        </w:rPr>
      </w:pPr>
      <w:bookmarkStart w:id="9" w:name="_Toc419190466"/>
      <w:bookmarkStart w:id="10" w:name="_Toc418843772"/>
      <w:r>
        <w:rPr>
          <w:rFonts w:hint="eastAsia"/>
          <w:color w:val="auto"/>
          <w:sz w:val="28"/>
          <w:lang w:val="en-US" w:eastAsia="zh-CN"/>
        </w:rPr>
        <w:t>《中华人民共和国安全生产法》国家主席令【2002】第70号发布，【2021】第88号令修订</w:t>
      </w:r>
    </w:p>
    <w:p w14:paraId="008C6BE0">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《中华人民共和国消防法》国家主席令【1998】第4号发布，【2021】第81号修订</w:t>
      </w:r>
    </w:p>
    <w:p w14:paraId="567F3B84">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《中华人民共和国劳动法》国家主席令【1994】第28号发布，【2018】第24号令修订</w:t>
      </w:r>
    </w:p>
    <w:p w14:paraId="2E4995D7">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《中华人民共和国职业病防治法》国家主席令【2002】第60号发布，【2018】第24号令修订</w:t>
      </w:r>
    </w:p>
    <w:p w14:paraId="7CC6663E">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《建设工程安全生产管理条例》国务院令第393号</w:t>
      </w:r>
    </w:p>
    <w:p w14:paraId="40A63C43">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《特种设备安全监察条例》国务院令第549号</w:t>
      </w:r>
    </w:p>
    <w:p w14:paraId="701A9748">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《工伤保险条例》国务院令第586号</w:t>
      </w:r>
    </w:p>
    <w:p w14:paraId="72E9E53D">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《生产安全事故报告和调查处理条例》国务院第498号</w:t>
      </w:r>
    </w:p>
    <w:p w14:paraId="5837293E">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《生产安全事故应急条例》国务院令第708号</w:t>
      </w:r>
    </w:p>
    <w:p w14:paraId="45E26DD7">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《建设工程抗震管理条例》公安部令第120号</w:t>
      </w:r>
    </w:p>
    <w:p w14:paraId="5F1602FF">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《安全生产事故隐患排查治理暂行规定》安监总局令第16号</w:t>
      </w:r>
    </w:p>
    <w:p w14:paraId="029B7468">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《生产安全事故信息报告和处置办法》安监总局令第21号</w:t>
      </w:r>
    </w:p>
    <w:p w14:paraId="71F9A9F8">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《建设项目职业病防护设施“三同时”监督管理办法》安监总局令第90号</w:t>
      </w:r>
    </w:p>
    <w:p w14:paraId="7122E1DA">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《建设项目安全设施“三同时”监督管理办法》安监总局令第36号发布，第77号令修订</w:t>
      </w:r>
    </w:p>
    <w:p w14:paraId="428DBA99">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《产业结构调整指导目录（2024年本）》发改委令第7号</w:t>
      </w:r>
    </w:p>
    <w:p w14:paraId="10411226">
      <w:pPr>
        <w:numPr>
          <w:ilvl w:val="0"/>
          <w:numId w:val="1"/>
        </w:numPr>
        <w:ind w:left="0" w:leftChars="0" w:firstLine="420" w:firstLineChars="0"/>
        <w:rPr>
          <w:rFonts w:hint="eastAsia"/>
          <w:color w:val="auto"/>
          <w:spacing w:val="-6"/>
          <w:sz w:val="28"/>
          <w:lang w:val="en-US" w:eastAsia="zh-CN"/>
        </w:rPr>
      </w:pPr>
      <w:r>
        <w:rPr>
          <w:rFonts w:hint="eastAsia"/>
          <w:color w:val="auto"/>
          <w:spacing w:val="-6"/>
          <w:sz w:val="28"/>
          <w:lang w:val="en-US" w:eastAsia="zh-CN"/>
        </w:rPr>
        <w:t>《机关、团体、企业、事业单位消防安全管理规定》公安部令第61号</w:t>
      </w:r>
    </w:p>
    <w:p w14:paraId="74438BB4">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《工作场所职业卫生监督管理规定》安监总局令第47号</w:t>
      </w:r>
    </w:p>
    <w:p w14:paraId="7FB57D77">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《用人单位职业健康监护监督管理办法》安监总局令第49号</w:t>
      </w:r>
    </w:p>
    <w:p w14:paraId="38A51F9F">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《生产经营单位安全培训规定》安监总局令第3号发布，第80号修订</w:t>
      </w:r>
    </w:p>
    <w:p w14:paraId="7555AF8A">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《生产安全事故应急预案管理办法》安监总局令第88号发布，应急管理部令第2号修订</w:t>
      </w:r>
    </w:p>
    <w:p w14:paraId="3FCA1A9F">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《特种作业人员安全技术培训考核管理规定》安监总局令第30号发布，第80号修订</w:t>
      </w:r>
    </w:p>
    <w:p w14:paraId="51F1A814">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《企业安全生产费用提取和使用管理办法》财资【2022】136号</w:t>
      </w:r>
    </w:p>
    <w:p w14:paraId="46950F95">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《江西省安全生产条例》2023年7月26日江西省第十四届人大常委会第三次会议第二次修订</w:t>
      </w:r>
    </w:p>
    <w:p w14:paraId="372739D3">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《江西省消防条例》2020年11月25日江西省第十三届人民代表大会常务委员会第二十五次会议第六次修正</w:t>
      </w:r>
    </w:p>
    <w:p w14:paraId="6DF36309">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《生产经营单位安全培训规定》2015年5月29日国家安全生产监督管理总局令第80号修正</w:t>
      </w:r>
    </w:p>
    <w:p w14:paraId="05DEF701">
      <w:pPr>
        <w:numPr>
          <w:ilvl w:val="0"/>
          <w:numId w:val="1"/>
        </w:numPr>
        <w:ind w:left="0" w:leftChars="0" w:firstLine="420" w:firstLineChars="0"/>
        <w:rPr>
          <w:color w:val="auto"/>
          <w:sz w:val="28"/>
        </w:rPr>
      </w:pPr>
      <w:r>
        <w:rPr>
          <w:rFonts w:hint="eastAsia"/>
          <w:color w:val="auto"/>
          <w:sz w:val="28"/>
          <w:lang w:val="en-US" w:eastAsia="zh-CN"/>
        </w:rPr>
        <w:t>《关于印发江西省安全生产专项整治三年行动“十大攻坚战”工作方案的通知》（江西省安全生产委员会，赣安[2021]2号）</w:t>
      </w:r>
    </w:p>
    <w:bookmarkEnd w:id="9"/>
    <w:bookmarkEnd w:id="10"/>
    <w:p w14:paraId="1B6A104F">
      <w:pPr>
        <w:numPr>
          <w:ilvl w:val="0"/>
          <w:numId w:val="1"/>
        </w:numPr>
        <w:ind w:left="0" w:leftChars="0" w:firstLine="420" w:firstLineChars="0"/>
        <w:rPr>
          <w:rFonts w:hint="eastAsia"/>
          <w:color w:val="auto"/>
          <w:sz w:val="28"/>
        </w:rPr>
      </w:pPr>
      <w:r>
        <w:rPr>
          <w:rFonts w:hint="eastAsia"/>
          <w:color w:val="auto"/>
          <w:sz w:val="28"/>
        </w:rPr>
        <w:t>《消防监督检查规定》（中华人民共和国公安部令</w:t>
      </w:r>
      <w:r>
        <w:rPr>
          <w:rFonts w:hint="eastAsia"/>
          <w:color w:val="auto"/>
          <w:sz w:val="28"/>
          <w:lang w:val="en-US" w:eastAsia="zh-CN"/>
        </w:rPr>
        <w:t>[</w:t>
      </w:r>
      <w:r>
        <w:rPr>
          <w:rFonts w:hint="eastAsia"/>
          <w:color w:val="auto"/>
          <w:sz w:val="28"/>
          <w:lang w:val="zh-CN"/>
        </w:rPr>
        <w:t>20</w:t>
      </w:r>
      <w:r>
        <w:rPr>
          <w:rFonts w:hint="eastAsia"/>
          <w:color w:val="auto"/>
          <w:sz w:val="28"/>
        </w:rPr>
        <w:t>12</w:t>
      </w:r>
      <w:r>
        <w:rPr>
          <w:rFonts w:hint="eastAsia"/>
          <w:color w:val="auto"/>
          <w:sz w:val="28"/>
          <w:lang w:val="en-US" w:eastAsia="zh-CN"/>
        </w:rPr>
        <w:t>]</w:t>
      </w:r>
      <w:r>
        <w:rPr>
          <w:rFonts w:hint="eastAsia"/>
          <w:color w:val="auto"/>
          <w:sz w:val="28"/>
        </w:rPr>
        <w:t>第120号修订）</w:t>
      </w:r>
    </w:p>
    <w:p w14:paraId="34DA0F1E">
      <w:pPr>
        <w:numPr>
          <w:ilvl w:val="0"/>
          <w:numId w:val="1"/>
        </w:numPr>
        <w:ind w:left="0" w:leftChars="0" w:firstLine="420" w:firstLineChars="0"/>
        <w:rPr>
          <w:color w:val="auto"/>
          <w:sz w:val="28"/>
        </w:rPr>
      </w:pPr>
      <w:r>
        <w:rPr>
          <w:rFonts w:hint="eastAsia"/>
          <w:color w:val="auto"/>
          <w:sz w:val="28"/>
        </w:rPr>
        <w:t>《江西省生产安全事故隐患排查治理办法》（2018年</w:t>
      </w:r>
      <w:r>
        <w:rPr>
          <w:rFonts w:hint="eastAsia"/>
          <w:color w:val="auto"/>
          <w:sz w:val="28"/>
          <w:lang w:val="en-US" w:eastAsia="zh-CN"/>
        </w:rPr>
        <w:t>10</w:t>
      </w:r>
      <w:r>
        <w:rPr>
          <w:rFonts w:hint="eastAsia"/>
          <w:color w:val="auto"/>
          <w:sz w:val="28"/>
        </w:rPr>
        <w:t>月</w:t>
      </w:r>
      <w:r>
        <w:rPr>
          <w:rFonts w:hint="eastAsia"/>
          <w:color w:val="auto"/>
          <w:sz w:val="28"/>
          <w:lang w:val="en-US" w:eastAsia="zh-CN"/>
        </w:rPr>
        <w:t>10</w:t>
      </w:r>
      <w:r>
        <w:rPr>
          <w:rFonts w:hint="eastAsia"/>
          <w:color w:val="auto"/>
          <w:sz w:val="28"/>
        </w:rPr>
        <w:t>日省人民政府令第238号</w:t>
      </w:r>
      <w:r>
        <w:rPr>
          <w:rFonts w:hint="eastAsia"/>
          <w:color w:val="auto"/>
          <w:sz w:val="28"/>
          <w:lang w:val="en-US" w:eastAsia="zh-CN"/>
        </w:rPr>
        <w:t>发布，2021年6月9日省人民政府令第250号第一次修正</w:t>
      </w:r>
      <w:r>
        <w:rPr>
          <w:rFonts w:hint="eastAsia"/>
          <w:color w:val="auto"/>
          <w:sz w:val="28"/>
        </w:rPr>
        <w:t>）</w:t>
      </w:r>
    </w:p>
    <w:p w14:paraId="4B756024">
      <w:pPr>
        <w:numPr>
          <w:ilvl w:val="0"/>
          <w:numId w:val="1"/>
        </w:numPr>
        <w:ind w:left="0" w:leftChars="0" w:firstLine="420" w:firstLineChars="0"/>
        <w:rPr>
          <w:color w:val="auto"/>
          <w:sz w:val="28"/>
        </w:rPr>
      </w:pPr>
      <w:r>
        <w:rPr>
          <w:rFonts w:hint="eastAsia"/>
          <w:color w:val="auto"/>
          <w:sz w:val="28"/>
          <w:lang w:eastAsia="zh-CN"/>
        </w:rPr>
        <w:t>《</w:t>
      </w:r>
      <w:r>
        <w:rPr>
          <w:rFonts w:hint="eastAsia"/>
          <w:color w:val="auto"/>
          <w:sz w:val="28"/>
          <w:lang w:val="en-US" w:eastAsia="zh-CN"/>
        </w:rPr>
        <w:t>江西省应急管理厅关于切实做好工贸行业安全生产专项整治三年行动2020年工作的通知</w:t>
      </w:r>
      <w:r>
        <w:rPr>
          <w:rFonts w:hint="eastAsia"/>
          <w:color w:val="auto"/>
          <w:sz w:val="28"/>
          <w:lang w:eastAsia="zh-CN"/>
        </w:rPr>
        <w:t>》（</w:t>
      </w:r>
      <w:r>
        <w:rPr>
          <w:rFonts w:hint="eastAsia"/>
          <w:color w:val="auto"/>
          <w:sz w:val="28"/>
          <w:lang w:val="en-US" w:eastAsia="zh-CN"/>
        </w:rPr>
        <w:t>赣应急字[2020]78号</w:t>
      </w:r>
      <w:r>
        <w:rPr>
          <w:rFonts w:hint="eastAsia"/>
          <w:color w:val="auto"/>
          <w:sz w:val="28"/>
          <w:lang w:eastAsia="zh-CN"/>
        </w:rPr>
        <w:t>）</w:t>
      </w:r>
    </w:p>
    <w:p w14:paraId="30E17726">
      <w:pPr>
        <w:numPr>
          <w:ilvl w:val="0"/>
          <w:numId w:val="1"/>
        </w:numPr>
        <w:ind w:left="0" w:leftChars="0" w:firstLine="420" w:firstLineChars="0"/>
        <w:rPr>
          <w:rFonts w:hint="eastAsia"/>
          <w:color w:val="auto"/>
          <w:sz w:val="28"/>
        </w:rPr>
      </w:pPr>
      <w:r>
        <w:rPr>
          <w:rFonts w:hint="eastAsia"/>
          <w:color w:val="auto"/>
          <w:sz w:val="28"/>
        </w:rPr>
        <w:t>《江西省安委会办公室关于推动生产经营单位构建安全风险分级管控和隐患排查治理双重预防机制的指导意见》（江西省安委会办公室 2023年3月3日）</w:t>
      </w:r>
    </w:p>
    <w:p w14:paraId="5873F990">
      <w:pPr>
        <w:numPr>
          <w:ilvl w:val="0"/>
          <w:numId w:val="1"/>
        </w:numPr>
        <w:ind w:left="0" w:leftChars="0" w:firstLine="420" w:firstLineChars="0"/>
        <w:rPr>
          <w:color w:val="auto"/>
          <w:sz w:val="28"/>
        </w:rPr>
      </w:pPr>
      <w:r>
        <w:rPr>
          <w:rFonts w:hint="eastAsia"/>
          <w:color w:val="auto"/>
          <w:sz w:val="28"/>
          <w:lang w:val="en-US" w:eastAsia="zh-CN"/>
        </w:rPr>
        <w:t>江西省应急管理厅办公室关于印发《全省特种作业人员职业资格认定工作实施方案》的通知（赣应急办字[2023]26号）</w:t>
      </w:r>
    </w:p>
    <w:p w14:paraId="244F61E7">
      <w:pPr>
        <w:numPr>
          <w:ilvl w:val="0"/>
          <w:numId w:val="1"/>
        </w:numPr>
        <w:ind w:left="0" w:leftChars="0" w:firstLine="420" w:firstLineChars="0"/>
        <w:rPr>
          <w:color w:val="auto"/>
          <w:sz w:val="28"/>
        </w:rPr>
      </w:pPr>
      <w:r>
        <w:rPr>
          <w:rFonts w:hint="eastAsia"/>
          <w:color w:val="auto"/>
          <w:sz w:val="28"/>
          <w:lang w:val="en-US" w:eastAsia="zh-CN"/>
        </w:rPr>
        <w:t>《关于印发江西省安全生产专项整治三年行动“十大攻坚战”工作方案的通知》（江西省安全生产委员会，赣安[2021]2号）</w:t>
      </w:r>
    </w:p>
    <w:p w14:paraId="0B6D2D06">
      <w:pPr>
        <w:numPr>
          <w:ilvl w:val="0"/>
          <w:numId w:val="1"/>
        </w:numPr>
        <w:ind w:left="0" w:leftChars="0" w:firstLine="420" w:firstLineChars="0"/>
        <w:rPr>
          <w:color w:val="auto"/>
          <w:sz w:val="28"/>
        </w:rPr>
      </w:pPr>
      <w:r>
        <w:rPr>
          <w:rFonts w:hint="eastAsia"/>
          <w:color w:val="auto"/>
          <w:sz w:val="28"/>
          <w:lang w:eastAsia="zh-CN"/>
        </w:rPr>
        <w:t>《</w:t>
      </w:r>
      <w:r>
        <w:rPr>
          <w:rFonts w:hint="eastAsia"/>
          <w:color w:val="auto"/>
          <w:sz w:val="28"/>
        </w:rPr>
        <w:t>江西省交通运输厅 江西省公安厅关于开展高速公路服务区警务室和交通执法服务室建设的通知</w:t>
      </w:r>
      <w:r>
        <w:rPr>
          <w:rFonts w:hint="eastAsia"/>
          <w:color w:val="auto"/>
          <w:sz w:val="28"/>
          <w:lang w:eastAsia="zh-CN"/>
        </w:rPr>
        <w:t>》（</w:t>
      </w:r>
      <w:r>
        <w:rPr>
          <w:rFonts w:hint="eastAsia"/>
          <w:color w:val="auto"/>
          <w:sz w:val="28"/>
          <w:lang w:val="en-US" w:eastAsia="zh-CN"/>
        </w:rPr>
        <w:t>赣交高速字[2021]14号</w:t>
      </w:r>
      <w:r>
        <w:rPr>
          <w:rFonts w:hint="eastAsia"/>
          <w:color w:val="auto"/>
          <w:sz w:val="28"/>
          <w:lang w:eastAsia="zh-CN"/>
        </w:rPr>
        <w:t>）</w:t>
      </w:r>
    </w:p>
    <w:p w14:paraId="174FF54A">
      <w:pPr>
        <w:pStyle w:val="6"/>
        <w:bidi w:val="0"/>
        <w:rPr>
          <w:color w:val="auto"/>
        </w:rPr>
      </w:pPr>
      <w:bookmarkStart w:id="11" w:name="_Toc20137"/>
      <w:r>
        <w:rPr>
          <w:color w:val="auto"/>
        </w:rPr>
        <w:t>1.</w:t>
      </w:r>
      <w:r>
        <w:rPr>
          <w:rFonts w:hint="eastAsia"/>
          <w:color w:val="auto"/>
        </w:rPr>
        <w:t>3</w:t>
      </w:r>
      <w:r>
        <w:rPr>
          <w:color w:val="auto"/>
        </w:rPr>
        <w:t>.2</w:t>
      </w:r>
      <w:r>
        <w:rPr>
          <w:rFonts w:hint="eastAsia" w:ascii="宋体" w:hAnsi="宋体" w:eastAsia="宋体" w:cs="宋体"/>
          <w:color w:val="auto"/>
        </w:rPr>
        <w:t>评价标准、规范</w:t>
      </w:r>
      <w:bookmarkEnd w:id="11"/>
    </w:p>
    <w:p w14:paraId="3934BCE8">
      <w:pPr>
        <w:numPr>
          <w:ilvl w:val="0"/>
          <w:numId w:val="1"/>
        </w:numPr>
        <w:ind w:left="0" w:leftChars="0" w:firstLine="420" w:firstLineChars="0"/>
        <w:rPr>
          <w:rFonts w:hint="eastAsia"/>
          <w:color w:val="auto"/>
          <w:sz w:val="28"/>
          <w:lang w:eastAsia="zh-CN"/>
        </w:rPr>
      </w:pPr>
      <w:r>
        <w:rPr>
          <w:rFonts w:hint="eastAsia"/>
          <w:color w:val="auto"/>
          <w:sz w:val="28"/>
          <w:szCs w:val="28"/>
          <w:lang w:val="en-US" w:eastAsia="zh-CN"/>
        </w:rPr>
        <w:t>《高速公路服务区设计规范》DB36T698-2017</w:t>
      </w:r>
    </w:p>
    <w:p w14:paraId="566A21F0">
      <w:pPr>
        <w:numPr>
          <w:ilvl w:val="0"/>
          <w:numId w:val="1"/>
        </w:numPr>
        <w:ind w:left="0" w:leftChars="0" w:firstLine="420" w:firstLineChars="0"/>
        <w:rPr>
          <w:rFonts w:hint="eastAsia"/>
          <w:color w:val="auto"/>
          <w:sz w:val="28"/>
          <w:lang w:eastAsia="zh-CN"/>
        </w:rPr>
      </w:pPr>
      <w:r>
        <w:rPr>
          <w:rFonts w:hint="eastAsia"/>
          <w:color w:val="auto"/>
          <w:sz w:val="28"/>
          <w:lang w:eastAsia="zh-CN"/>
        </w:rPr>
        <w:t>《高速公路交通工程及沿线设施设计通用规范》JTG D80-2006</w:t>
      </w:r>
    </w:p>
    <w:p w14:paraId="7A899492">
      <w:pPr>
        <w:numPr>
          <w:ilvl w:val="0"/>
          <w:numId w:val="1"/>
        </w:numPr>
        <w:ind w:left="0" w:leftChars="0" w:firstLine="420" w:firstLineChars="0"/>
        <w:rPr>
          <w:rFonts w:hint="eastAsia"/>
          <w:color w:val="auto"/>
          <w:sz w:val="28"/>
          <w:lang w:eastAsia="zh-CN"/>
        </w:rPr>
      </w:pPr>
      <w:r>
        <w:rPr>
          <w:rFonts w:hint="eastAsia"/>
          <w:color w:val="auto"/>
          <w:sz w:val="28"/>
          <w:lang w:eastAsia="zh-CN"/>
        </w:rPr>
        <w:t>《公路路线设计规范》JTG D20-2017</w:t>
      </w:r>
    </w:p>
    <w:p w14:paraId="262AD37A">
      <w:pPr>
        <w:numPr>
          <w:ilvl w:val="0"/>
          <w:numId w:val="1"/>
        </w:numPr>
        <w:ind w:left="0" w:leftChars="0" w:firstLine="420" w:firstLineChars="0"/>
        <w:rPr>
          <w:rFonts w:hint="eastAsia"/>
          <w:color w:val="auto"/>
          <w:sz w:val="28"/>
          <w:lang w:eastAsia="zh-CN"/>
        </w:rPr>
      </w:pPr>
      <w:r>
        <w:rPr>
          <w:rFonts w:hint="eastAsia"/>
          <w:color w:val="auto"/>
          <w:sz w:val="28"/>
          <w:lang w:eastAsia="zh-CN"/>
        </w:rPr>
        <w:t>《建筑设计防火通用规范》GB 5503</w:t>
      </w:r>
      <w:r>
        <w:rPr>
          <w:rFonts w:hint="eastAsia"/>
          <w:color w:val="auto"/>
          <w:sz w:val="28"/>
          <w:lang w:val="en-US" w:eastAsia="zh-CN"/>
        </w:rPr>
        <w:t>6</w:t>
      </w:r>
      <w:r>
        <w:rPr>
          <w:rFonts w:hint="eastAsia"/>
          <w:color w:val="auto"/>
          <w:sz w:val="28"/>
          <w:lang w:eastAsia="zh-CN"/>
        </w:rPr>
        <w:t>-2022</w:t>
      </w:r>
    </w:p>
    <w:p w14:paraId="5F5D50AE">
      <w:pPr>
        <w:numPr>
          <w:ilvl w:val="0"/>
          <w:numId w:val="1"/>
        </w:numPr>
        <w:ind w:left="0" w:leftChars="0" w:firstLine="420" w:firstLineChars="0"/>
        <w:rPr>
          <w:rFonts w:hint="eastAsia"/>
          <w:color w:val="auto"/>
          <w:sz w:val="28"/>
          <w:lang w:val="en-US" w:eastAsia="zh-CN"/>
        </w:rPr>
      </w:pPr>
      <w:r>
        <w:rPr>
          <w:rFonts w:hint="eastAsia"/>
          <w:color w:val="auto"/>
          <w:sz w:val="28"/>
          <w:lang w:eastAsia="zh-CN"/>
        </w:rPr>
        <w:t>《建筑设计防火规范》</w:t>
      </w:r>
      <w:r>
        <w:rPr>
          <w:rFonts w:hint="eastAsia"/>
          <w:color w:val="auto"/>
          <w:sz w:val="28"/>
          <w:lang w:val="en-US" w:eastAsia="zh-CN"/>
        </w:rPr>
        <w:t>GB50016-2014（2018年版）</w:t>
      </w:r>
    </w:p>
    <w:p w14:paraId="1A9E30A2">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《建筑内部装修设计防火规范》GB 50222-2017</w:t>
      </w:r>
    </w:p>
    <w:p w14:paraId="72723940">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《建筑灭火器配置设计规范》GB50140-2005</w:t>
      </w:r>
    </w:p>
    <w:p w14:paraId="18B5DF66">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《建筑物防雷设计规范》GB50057-2010</w:t>
      </w:r>
    </w:p>
    <w:p w14:paraId="6DA0B718">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《建筑抗震设计标准（2024年版）》GB/T 50011-2010</w:t>
      </w:r>
    </w:p>
    <w:p w14:paraId="1A541C41">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《构筑物抗震设计规范》GB50191-2012</w:t>
      </w:r>
    </w:p>
    <w:p w14:paraId="6DDAAC95">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《建筑照明设计标准》GB50034-2024</w:t>
      </w:r>
    </w:p>
    <w:p w14:paraId="66B85483">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《建筑采光设计标准》GB50033-2013</w:t>
      </w:r>
    </w:p>
    <w:p w14:paraId="4297956D">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《建设工程施工现场供用电安全规范》GB 50194-2014</w:t>
      </w:r>
    </w:p>
    <w:p w14:paraId="5A33E6DD">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《建设工程施工现场消防安全技术规范》GB 50720-2011</w:t>
      </w:r>
    </w:p>
    <w:p w14:paraId="544BC60E">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《电动汽车充电站设计规范》GB50966-2014</w:t>
      </w:r>
    </w:p>
    <w:p w14:paraId="5B1F8913">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《电动汽车充电站通用要求》GB/T29781-2013</w:t>
      </w:r>
    </w:p>
    <w:p w14:paraId="52680B57">
      <w:pPr>
        <w:numPr>
          <w:ilvl w:val="0"/>
          <w:numId w:val="1"/>
        </w:numPr>
        <w:ind w:left="0" w:leftChars="0" w:firstLine="420" w:firstLineChars="0"/>
        <w:rPr>
          <w:rFonts w:hint="eastAsia"/>
          <w:color w:val="auto"/>
          <w:sz w:val="28"/>
          <w:lang w:val="en-US" w:eastAsia="zh-CN"/>
        </w:rPr>
      </w:pPr>
      <w:r>
        <w:rPr>
          <w:rFonts w:hint="eastAsia"/>
          <w:color w:val="auto"/>
          <w:sz w:val="28"/>
          <w:lang w:eastAsia="zh-CN"/>
        </w:rPr>
        <w:t>《</w:t>
      </w:r>
      <w:r>
        <w:rPr>
          <w:rFonts w:hint="eastAsia"/>
          <w:color w:val="auto"/>
          <w:sz w:val="28"/>
          <w:lang w:val="en-US" w:eastAsia="zh-CN"/>
        </w:rPr>
        <w:t>电动汽车分散充电设施工程技术标准</w:t>
      </w:r>
      <w:r>
        <w:rPr>
          <w:rFonts w:hint="eastAsia"/>
          <w:color w:val="auto"/>
          <w:sz w:val="28"/>
          <w:lang w:eastAsia="zh-CN"/>
        </w:rPr>
        <w:t>》GB</w:t>
      </w:r>
      <w:r>
        <w:rPr>
          <w:rFonts w:hint="eastAsia"/>
          <w:color w:val="auto"/>
          <w:sz w:val="28"/>
          <w:lang w:val="en-US" w:eastAsia="zh-CN"/>
        </w:rPr>
        <w:t>/T</w:t>
      </w:r>
      <w:r>
        <w:rPr>
          <w:rFonts w:hint="eastAsia"/>
          <w:color w:val="auto"/>
          <w:sz w:val="28"/>
          <w:lang w:eastAsia="zh-CN"/>
        </w:rPr>
        <w:t>5</w:t>
      </w:r>
      <w:r>
        <w:rPr>
          <w:rFonts w:hint="eastAsia"/>
          <w:color w:val="auto"/>
          <w:sz w:val="28"/>
          <w:lang w:val="en-US" w:eastAsia="zh-CN"/>
        </w:rPr>
        <w:t>1313</w:t>
      </w:r>
      <w:r>
        <w:rPr>
          <w:rFonts w:hint="eastAsia"/>
          <w:color w:val="auto"/>
          <w:sz w:val="28"/>
          <w:lang w:eastAsia="zh-CN"/>
        </w:rPr>
        <w:t>-20</w:t>
      </w:r>
      <w:r>
        <w:rPr>
          <w:rFonts w:hint="eastAsia"/>
          <w:color w:val="auto"/>
          <w:sz w:val="28"/>
          <w:lang w:val="en-US" w:eastAsia="zh-CN"/>
        </w:rPr>
        <w:t>18</w:t>
      </w:r>
    </w:p>
    <w:p w14:paraId="26AD08CB">
      <w:pPr>
        <w:numPr>
          <w:ilvl w:val="0"/>
          <w:numId w:val="1"/>
        </w:numPr>
        <w:ind w:left="0" w:leftChars="0" w:firstLine="420" w:firstLineChars="0"/>
        <w:rPr>
          <w:rFonts w:hint="eastAsia"/>
          <w:color w:val="auto"/>
          <w:sz w:val="28"/>
          <w:lang w:eastAsia="zh-CN"/>
        </w:rPr>
      </w:pPr>
      <w:r>
        <w:rPr>
          <w:rFonts w:hint="eastAsia"/>
          <w:color w:val="auto"/>
          <w:sz w:val="28"/>
          <w:lang w:eastAsia="zh-CN"/>
        </w:rPr>
        <w:t>《</w:t>
      </w:r>
      <w:r>
        <w:rPr>
          <w:rFonts w:hint="eastAsia"/>
          <w:color w:val="auto"/>
          <w:sz w:val="28"/>
          <w:lang w:val="en-US" w:eastAsia="zh-CN"/>
        </w:rPr>
        <w:t>电动汽车充换电设施工程事故和竣工验收规范</w:t>
      </w:r>
      <w:r>
        <w:rPr>
          <w:rFonts w:hint="eastAsia"/>
          <w:color w:val="auto"/>
          <w:sz w:val="28"/>
          <w:lang w:eastAsia="zh-CN"/>
        </w:rPr>
        <w:t>》</w:t>
      </w:r>
      <w:r>
        <w:rPr>
          <w:rFonts w:hint="eastAsia"/>
          <w:color w:val="auto"/>
          <w:sz w:val="28"/>
          <w:lang w:val="en-US" w:eastAsia="zh-CN"/>
        </w:rPr>
        <w:t>NB</w:t>
      </w:r>
      <w:r>
        <w:rPr>
          <w:rFonts w:hint="eastAsia"/>
          <w:color w:val="auto"/>
          <w:sz w:val="28"/>
          <w:lang w:eastAsia="zh-CN"/>
        </w:rPr>
        <w:t>/T3004-2020</w:t>
      </w:r>
    </w:p>
    <w:p w14:paraId="7CEC5EBE">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《电动汽车用动力蓄电池安全要求》GB38031-2020</w:t>
      </w:r>
    </w:p>
    <w:p w14:paraId="1F55E055">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《电动汽车传导充电系统 第1部分：通用要求》 GB/T18487.1-2023</w:t>
      </w:r>
    </w:p>
    <w:p w14:paraId="01FECF6B">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《电动汽车供电设备安全要求及试验规范》GB/T39725-2021</w:t>
      </w:r>
    </w:p>
    <w:p w14:paraId="2F765CCD">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《通用用电设备配电设计规范》GB50055-2011</w:t>
      </w:r>
    </w:p>
    <w:p w14:paraId="4CBFFF4A">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《电动汽车充电站及电池更换站监控系统技术规范》NB/T33005-2013</w:t>
      </w:r>
    </w:p>
    <w:p w14:paraId="25601595">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《图形标志 电动汽车充换电设施标志》 GB/T31525-2015</w:t>
      </w:r>
    </w:p>
    <w:p w14:paraId="4CC85E53">
      <w:pPr>
        <w:numPr>
          <w:ilvl w:val="0"/>
          <w:numId w:val="1"/>
        </w:numPr>
        <w:ind w:left="0" w:leftChars="0" w:firstLine="420" w:firstLineChars="0"/>
        <w:rPr>
          <w:rFonts w:hint="eastAsia"/>
          <w:color w:val="auto"/>
          <w:sz w:val="28"/>
          <w:lang w:val="en-US" w:eastAsia="zh-CN"/>
        </w:rPr>
      </w:pPr>
      <w:r>
        <w:rPr>
          <w:rFonts w:hint="eastAsia"/>
          <w:color w:val="auto"/>
          <w:sz w:val="28"/>
          <w:lang w:eastAsia="zh-CN"/>
        </w:rPr>
        <w:t>《</w:t>
      </w:r>
      <w:r>
        <w:rPr>
          <w:rFonts w:hint="eastAsia"/>
          <w:color w:val="auto"/>
          <w:sz w:val="28"/>
          <w:lang w:val="en-US" w:eastAsia="zh-CN"/>
        </w:rPr>
        <w:t>电力工程电缆设计标准</w:t>
      </w:r>
      <w:r>
        <w:rPr>
          <w:rFonts w:hint="eastAsia"/>
          <w:color w:val="auto"/>
          <w:sz w:val="28"/>
          <w:lang w:eastAsia="zh-CN"/>
        </w:rPr>
        <w:t>》GB50</w:t>
      </w:r>
      <w:r>
        <w:rPr>
          <w:rFonts w:hint="eastAsia"/>
          <w:color w:val="auto"/>
          <w:sz w:val="28"/>
          <w:lang w:val="en-US" w:eastAsia="zh-CN"/>
        </w:rPr>
        <w:t>217</w:t>
      </w:r>
      <w:r>
        <w:rPr>
          <w:rFonts w:hint="eastAsia"/>
          <w:color w:val="auto"/>
          <w:sz w:val="28"/>
          <w:lang w:eastAsia="zh-CN"/>
        </w:rPr>
        <w:t>-201</w:t>
      </w:r>
      <w:r>
        <w:rPr>
          <w:rFonts w:hint="eastAsia"/>
          <w:color w:val="auto"/>
          <w:sz w:val="28"/>
          <w:lang w:val="en-US" w:eastAsia="zh-CN"/>
        </w:rPr>
        <w:t>8</w:t>
      </w:r>
    </w:p>
    <w:p w14:paraId="50A27BE1">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《低压配电设计规范》GB50054-2011</w:t>
      </w:r>
    </w:p>
    <w:p w14:paraId="23E29A14">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《供配电系统设计规范》GB50052-2009</w:t>
      </w:r>
    </w:p>
    <w:p w14:paraId="37A4B416">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《20kv及以下变电所设计规范》 GB50053-2013</w:t>
      </w:r>
    </w:p>
    <w:p w14:paraId="6FE37BD0">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《用电安全导则》GB/T13869-2017</w:t>
      </w:r>
    </w:p>
    <w:p w14:paraId="60F2F632">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《剩余电流动作保护装置安装和运行》GB/T13955-2017</w:t>
      </w:r>
    </w:p>
    <w:p w14:paraId="1ECED1DA">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《生产过程安全卫生要求总则》GB/T12801-2008</w:t>
      </w:r>
    </w:p>
    <w:p w14:paraId="7CB295BE">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《消防给水及消火栓系统技术规范》GB 50974-2014</w:t>
      </w:r>
    </w:p>
    <w:p w14:paraId="68045202">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《自动喷水灭火系统设计规范》GB50084-2017</w:t>
      </w:r>
    </w:p>
    <w:p w14:paraId="1E31B601">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《消防安全标志 第1部分：标志》GB 13495.1-2015</w:t>
      </w:r>
    </w:p>
    <w:p w14:paraId="7A64BB10">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《消防安全标志设置要求》GB 15630-1995</w:t>
      </w:r>
    </w:p>
    <w:p w14:paraId="264F8A49">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《消防应急照明和疏散指示系统》GB 17945-2010</w:t>
      </w:r>
    </w:p>
    <w:p w14:paraId="30520EBE">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《消防应急灯具》GB 17945-2000</w:t>
      </w:r>
    </w:p>
    <w:p w14:paraId="393AFDF3">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《消防控制室通用技术要求》GB 25506-2010</w:t>
      </w:r>
    </w:p>
    <w:p w14:paraId="5BB17E25">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《手动火灾报警按钮》GB 19880-2005</w:t>
      </w:r>
    </w:p>
    <w:p w14:paraId="52E1F1F4">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《独立式感烟火灾探测报警器》GB 20517-2006</w:t>
      </w:r>
    </w:p>
    <w:p w14:paraId="081F794B">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《安全色》GB2893-2008</w:t>
      </w:r>
    </w:p>
    <w:p w14:paraId="441694B7">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《安全标志及其使用导则》GB2894-2008</w:t>
      </w:r>
    </w:p>
    <w:p w14:paraId="643ADF8E">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《机械安全 防护装置 固定式和活动式防护装置的设计与制造一般要求》GB/T8196-2018</w:t>
      </w:r>
    </w:p>
    <w:p w14:paraId="35823DD2">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《机械安全 安全防护的实施准则》GB/T30574-2014</w:t>
      </w:r>
    </w:p>
    <w:p w14:paraId="121904D6">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《机械安全 急停功能 设计原则》GB/T16754-2021</w:t>
      </w:r>
    </w:p>
    <w:p w14:paraId="1FE54961">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《机械安全  防止人体部位挤压的最小间距》 GB/T12265-2021</w:t>
      </w:r>
    </w:p>
    <w:p w14:paraId="47AEB620">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《企业职工伤亡事故分类》GB6441-1986</w:t>
      </w:r>
    </w:p>
    <w:p w14:paraId="6DAA15A4">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《生产过程危险和有害因素分类与代码》GB/T13861-2022</w:t>
      </w:r>
    </w:p>
    <w:p w14:paraId="49F61D49">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《个体防护装备选用规范》GB/T11651-2008</w:t>
      </w:r>
    </w:p>
    <w:p w14:paraId="09B495E9">
      <w:pPr>
        <w:numPr>
          <w:ilvl w:val="0"/>
          <w:numId w:val="1"/>
        </w:numPr>
        <w:ind w:left="0" w:leftChars="0" w:firstLine="420" w:firstLineChars="0"/>
        <w:rPr>
          <w:rFonts w:hint="eastAsia"/>
          <w:color w:val="auto"/>
          <w:sz w:val="28"/>
          <w:lang w:eastAsia="zh-CN"/>
        </w:rPr>
      </w:pPr>
      <w:r>
        <w:rPr>
          <w:rFonts w:hint="eastAsia"/>
          <w:color w:val="auto"/>
          <w:sz w:val="28"/>
          <w:lang w:eastAsia="zh-CN"/>
        </w:rPr>
        <w:t>《个体防护装备配备规范 第1部分：总则》GB39800.1-2020</w:t>
      </w:r>
    </w:p>
    <w:p w14:paraId="53D129D4">
      <w:pPr>
        <w:numPr>
          <w:ilvl w:val="0"/>
          <w:numId w:val="1"/>
        </w:numPr>
        <w:ind w:left="0" w:leftChars="0" w:firstLine="420" w:firstLineChars="0"/>
        <w:rPr>
          <w:rFonts w:hint="eastAsia"/>
          <w:color w:val="auto"/>
          <w:sz w:val="28"/>
          <w:lang w:val="en-US" w:eastAsia="zh-CN"/>
        </w:rPr>
      </w:pPr>
      <w:r>
        <w:rPr>
          <w:rFonts w:hint="eastAsia"/>
          <w:color w:val="auto"/>
          <w:sz w:val="28"/>
          <w:lang w:val="en-US" w:eastAsia="zh-CN"/>
        </w:rPr>
        <w:t>《生产经营单位安全生产事故应急预案编制导则》GB/T20639-2020</w:t>
      </w:r>
    </w:p>
    <w:p w14:paraId="7F9C2F03">
      <w:pPr>
        <w:numPr>
          <w:ilvl w:val="0"/>
          <w:numId w:val="1"/>
        </w:numPr>
        <w:ind w:left="0" w:leftChars="0" w:firstLine="420" w:firstLineChars="0"/>
        <w:rPr>
          <w:rFonts w:hint="eastAsia"/>
          <w:color w:val="auto"/>
          <w:sz w:val="28"/>
          <w:lang w:eastAsia="zh-CN"/>
        </w:rPr>
      </w:pPr>
      <w:r>
        <w:rPr>
          <w:rFonts w:hint="eastAsia"/>
          <w:color w:val="auto"/>
          <w:sz w:val="28"/>
          <w:lang w:eastAsia="zh-CN"/>
        </w:rPr>
        <w:t>《防止静电事故通用导则》GB12158-2006</w:t>
      </w:r>
    </w:p>
    <w:p w14:paraId="4C93A446">
      <w:pPr>
        <w:numPr>
          <w:ilvl w:val="0"/>
          <w:numId w:val="1"/>
        </w:numPr>
        <w:ind w:left="0" w:leftChars="0" w:firstLine="420" w:firstLineChars="0"/>
        <w:rPr>
          <w:rFonts w:hint="eastAsia"/>
          <w:color w:val="auto"/>
          <w:sz w:val="28"/>
        </w:rPr>
      </w:pPr>
      <w:r>
        <w:rPr>
          <w:rFonts w:hint="eastAsia"/>
          <w:color w:val="auto"/>
          <w:sz w:val="28"/>
          <w:lang w:eastAsia="zh-CN"/>
        </w:rPr>
        <w:t>《</w:t>
      </w:r>
      <w:r>
        <w:rPr>
          <w:rFonts w:hint="eastAsia"/>
          <w:color w:val="auto"/>
          <w:sz w:val="28"/>
          <w:lang w:val="en-US" w:eastAsia="zh-CN"/>
        </w:rPr>
        <w:t>中国地震动参数区划图</w:t>
      </w:r>
      <w:r>
        <w:rPr>
          <w:rFonts w:hint="eastAsia"/>
          <w:color w:val="auto"/>
          <w:sz w:val="28"/>
          <w:lang w:eastAsia="zh-CN"/>
        </w:rPr>
        <w:t>》</w:t>
      </w:r>
      <w:r>
        <w:rPr>
          <w:rFonts w:hint="eastAsia"/>
          <w:color w:val="auto"/>
          <w:sz w:val="28"/>
          <w:lang w:val="en-US" w:eastAsia="zh-CN"/>
        </w:rPr>
        <w:t>GB18306-2015</w:t>
      </w:r>
    </w:p>
    <w:p w14:paraId="7487DFC8">
      <w:pPr>
        <w:numPr>
          <w:ilvl w:val="0"/>
          <w:numId w:val="1"/>
        </w:numPr>
        <w:ind w:left="0" w:leftChars="0" w:firstLine="420" w:firstLineChars="0"/>
        <w:rPr>
          <w:rFonts w:hint="eastAsia"/>
          <w:color w:val="auto"/>
          <w:sz w:val="28"/>
          <w:lang w:eastAsia="zh-CN"/>
        </w:rPr>
      </w:pPr>
      <w:r>
        <w:rPr>
          <w:rFonts w:hint="eastAsia"/>
          <w:color w:val="auto"/>
          <w:sz w:val="28"/>
          <w:lang w:eastAsia="zh-CN"/>
        </w:rPr>
        <w:t>《</w:t>
      </w:r>
      <w:r>
        <w:rPr>
          <w:rFonts w:hint="eastAsia"/>
          <w:color w:val="auto"/>
          <w:sz w:val="28"/>
          <w:lang w:val="en-US" w:eastAsia="zh-CN"/>
        </w:rPr>
        <w:t>安全预评价导则</w:t>
      </w:r>
      <w:r>
        <w:rPr>
          <w:rFonts w:hint="eastAsia"/>
          <w:color w:val="auto"/>
          <w:sz w:val="28"/>
          <w:lang w:eastAsia="zh-CN"/>
        </w:rPr>
        <w:t>》AQ800</w:t>
      </w:r>
      <w:r>
        <w:rPr>
          <w:rFonts w:hint="eastAsia"/>
          <w:color w:val="auto"/>
          <w:sz w:val="28"/>
          <w:lang w:val="en-US" w:eastAsia="zh-CN"/>
        </w:rPr>
        <w:t>2</w:t>
      </w:r>
      <w:r>
        <w:rPr>
          <w:rFonts w:hint="eastAsia"/>
          <w:color w:val="auto"/>
          <w:sz w:val="28"/>
          <w:lang w:eastAsia="zh-CN"/>
        </w:rPr>
        <w:t>-2007</w:t>
      </w:r>
    </w:p>
    <w:p w14:paraId="701A2D58">
      <w:pPr>
        <w:numPr>
          <w:ilvl w:val="0"/>
          <w:numId w:val="1"/>
        </w:numPr>
        <w:ind w:left="0" w:leftChars="0" w:firstLine="420" w:firstLineChars="0"/>
        <w:rPr>
          <w:rFonts w:hint="eastAsia"/>
          <w:color w:val="auto"/>
          <w:sz w:val="28"/>
          <w:lang w:eastAsia="zh-CN"/>
        </w:rPr>
      </w:pPr>
      <w:r>
        <w:rPr>
          <w:rFonts w:hint="eastAsia"/>
          <w:color w:val="auto"/>
          <w:sz w:val="28"/>
          <w:lang w:eastAsia="zh-CN"/>
        </w:rPr>
        <w:t>《安全评价通则》AQ8001-2007</w:t>
      </w:r>
    </w:p>
    <w:p w14:paraId="2C4B6AA2">
      <w:pPr>
        <w:numPr>
          <w:ilvl w:val="0"/>
          <w:numId w:val="1"/>
        </w:numPr>
        <w:ind w:left="0" w:leftChars="0" w:firstLine="420" w:firstLineChars="0"/>
        <w:rPr>
          <w:rFonts w:hint="eastAsia"/>
          <w:color w:val="auto"/>
          <w:sz w:val="28"/>
          <w:lang w:eastAsia="zh-CN"/>
        </w:rPr>
      </w:pPr>
      <w:r>
        <w:rPr>
          <w:rFonts w:hint="eastAsia"/>
          <w:color w:val="auto"/>
          <w:sz w:val="28"/>
          <w:lang w:eastAsia="zh-CN"/>
        </w:rPr>
        <w:t>相关的专业性国家标准、行业标准和地方标准及规定。</w:t>
      </w:r>
    </w:p>
    <w:p w14:paraId="2807C6F9">
      <w:pPr>
        <w:pStyle w:val="6"/>
        <w:bidi w:val="0"/>
        <w:rPr>
          <w:color w:val="auto"/>
        </w:rPr>
      </w:pPr>
      <w:bookmarkStart w:id="12" w:name="_Toc7729"/>
      <w:r>
        <w:rPr>
          <w:color w:val="auto"/>
        </w:rPr>
        <w:t>1.</w:t>
      </w:r>
      <w:r>
        <w:rPr>
          <w:rFonts w:hint="eastAsia"/>
          <w:color w:val="auto"/>
        </w:rPr>
        <w:t>3</w:t>
      </w:r>
      <w:r>
        <w:rPr>
          <w:color w:val="auto"/>
        </w:rPr>
        <w:t>.3</w:t>
      </w:r>
      <w:r>
        <w:rPr>
          <w:rFonts w:hint="eastAsia" w:ascii="宋体" w:hAnsi="宋体" w:eastAsia="宋体" w:cs="宋体"/>
          <w:color w:val="auto"/>
        </w:rPr>
        <w:t>其他相关资料</w:t>
      </w:r>
      <w:bookmarkEnd w:id="12"/>
    </w:p>
    <w:p w14:paraId="44D52920">
      <w:pPr>
        <w:bidi w:val="0"/>
        <w:rPr>
          <w:color w:val="auto"/>
        </w:rPr>
      </w:pPr>
      <w:r>
        <w:rPr>
          <w:color w:val="auto"/>
        </w:rPr>
        <w:t>营业执照、产权证明、</w:t>
      </w:r>
      <w:r>
        <w:rPr>
          <w:rFonts w:hint="eastAsia"/>
          <w:color w:val="auto"/>
          <w:lang w:val="en-US" w:eastAsia="zh-CN"/>
        </w:rPr>
        <w:t>立项文件、总平面布置图</w:t>
      </w:r>
      <w:r>
        <w:rPr>
          <w:color w:val="auto"/>
        </w:rPr>
        <w:t>、</w:t>
      </w:r>
      <w:r>
        <w:rPr>
          <w:rFonts w:hint="eastAsia"/>
          <w:color w:val="auto"/>
          <w:lang w:val="en-US" w:eastAsia="zh-CN"/>
        </w:rPr>
        <w:t>企业提供的其他相关资料</w:t>
      </w:r>
      <w:r>
        <w:rPr>
          <w:color w:val="auto"/>
        </w:rPr>
        <w:t>等。</w:t>
      </w:r>
    </w:p>
    <w:p w14:paraId="6DA8AB7B">
      <w:pPr>
        <w:pStyle w:val="5"/>
        <w:bidi w:val="0"/>
        <w:rPr>
          <w:color w:val="auto"/>
        </w:rPr>
      </w:pPr>
      <w:bookmarkStart w:id="13" w:name="_Toc350517373"/>
      <w:bookmarkStart w:id="14" w:name="_Toc6501"/>
      <w:r>
        <w:rPr>
          <w:color w:val="auto"/>
        </w:rPr>
        <w:t>1.4</w:t>
      </w:r>
      <w:r>
        <w:rPr>
          <w:rFonts w:hint="eastAsia" w:ascii="宋体" w:hAnsi="宋体" w:eastAsia="宋体" w:cs="宋体"/>
          <w:color w:val="auto"/>
        </w:rPr>
        <w:t>评价范围</w:t>
      </w:r>
      <w:bookmarkEnd w:id="13"/>
      <w:bookmarkEnd w:id="14"/>
    </w:p>
    <w:p w14:paraId="34690C14">
      <w:pPr>
        <w:bidi w:val="0"/>
        <w:rPr>
          <w:rFonts w:hint="eastAsia" w:hAnsi="宋体"/>
          <w:color w:val="auto"/>
          <w:sz w:val="28"/>
          <w:szCs w:val="28"/>
          <w:lang w:eastAsia="zh-CN"/>
        </w:rPr>
      </w:pPr>
      <w:r>
        <w:rPr>
          <w:rFonts w:hint="eastAsia"/>
          <w:color w:val="auto"/>
          <w:sz w:val="28"/>
          <w:szCs w:val="28"/>
          <w:lang w:val="en-US" w:eastAsia="zh-CN"/>
        </w:rPr>
        <w:t>该项目主要建设内容为：在修水东（西）服务区的原址进行改扩建，拆除服务区原有建构筑物，重建东（西）服务区综合楼、东（西）服务区修车库、东（西）服务区设备房以及配套的公用辅助设施；新建西区两室、西区办公配套用房、东（西）服务区污水处理设施；重建东（西）服务区停车场，新增东（西）服务区充电桩（共4个240kw充电桩、4个120kw充电桩）等</w:t>
      </w:r>
      <w:r>
        <w:rPr>
          <w:rFonts w:hint="eastAsia" w:hAnsi="宋体"/>
          <w:color w:val="auto"/>
          <w:sz w:val="28"/>
          <w:szCs w:val="28"/>
          <w:lang w:eastAsia="zh-CN"/>
        </w:rPr>
        <w:t>。</w:t>
      </w:r>
    </w:p>
    <w:p w14:paraId="19FE33E9">
      <w:pPr>
        <w:bidi w:val="0"/>
        <w:rPr>
          <w:rFonts w:hint="eastAsia"/>
          <w:color w:val="auto"/>
          <w:lang w:val="en-US" w:eastAsia="zh-CN"/>
        </w:rPr>
      </w:pPr>
      <w:r>
        <w:rPr>
          <w:color w:val="auto"/>
        </w:rPr>
        <w:t>本</w:t>
      </w:r>
      <w:r>
        <w:rPr>
          <w:rFonts w:hint="eastAsia"/>
          <w:color w:val="auto"/>
          <w:lang w:val="en-US" w:eastAsia="zh-CN"/>
        </w:rPr>
        <w:t>次</w:t>
      </w:r>
      <w:r>
        <w:rPr>
          <w:color w:val="auto"/>
        </w:rPr>
        <w:t>评价</w:t>
      </w:r>
      <w:r>
        <w:rPr>
          <w:rFonts w:hint="eastAsia"/>
          <w:color w:val="auto"/>
          <w:lang w:val="en-US" w:eastAsia="zh-CN"/>
        </w:rPr>
        <w:t>对该项目建设方案设计的相关内容进行安全评价，</w:t>
      </w:r>
      <w:r>
        <w:rPr>
          <w:color w:val="auto"/>
        </w:rPr>
        <w:t>主要包括</w:t>
      </w:r>
      <w:r>
        <w:rPr>
          <w:rFonts w:hint="eastAsia"/>
          <w:color w:val="auto"/>
          <w:lang w:val="en-US" w:eastAsia="zh-CN"/>
        </w:rPr>
        <w:t>该项目涉及的</w:t>
      </w:r>
      <w:r>
        <w:rPr>
          <w:color w:val="auto"/>
        </w:rPr>
        <w:t>周边环境，平面布置，</w:t>
      </w:r>
      <w:r>
        <w:rPr>
          <w:rFonts w:hint="eastAsia"/>
          <w:color w:val="auto"/>
          <w:lang w:val="en-US" w:eastAsia="zh-CN"/>
        </w:rPr>
        <w:t>服务区</w:t>
      </w:r>
      <w:r>
        <w:rPr>
          <w:color w:val="auto"/>
        </w:rPr>
        <w:t>内建（构）筑物，</w:t>
      </w:r>
      <w:r>
        <w:rPr>
          <w:rFonts w:hint="eastAsia"/>
          <w:color w:val="auto"/>
          <w:lang w:val="en-US" w:eastAsia="zh-CN"/>
        </w:rPr>
        <w:t>设备设施</w:t>
      </w:r>
      <w:r>
        <w:rPr>
          <w:color w:val="auto"/>
        </w:rPr>
        <w:t>，</w:t>
      </w:r>
      <w:r>
        <w:rPr>
          <w:rFonts w:hint="eastAsia"/>
          <w:color w:val="auto"/>
          <w:lang w:val="en-US" w:eastAsia="zh-CN"/>
        </w:rPr>
        <w:t>配套公用辅助设施及施工过程危险有害因素</w:t>
      </w:r>
      <w:r>
        <w:rPr>
          <w:color w:val="auto"/>
        </w:rPr>
        <w:t>，</w:t>
      </w:r>
      <w:r>
        <w:rPr>
          <w:rFonts w:hint="eastAsia"/>
          <w:color w:val="auto"/>
          <w:lang w:val="en-US" w:eastAsia="zh-CN"/>
        </w:rPr>
        <w:t>具体内容包括：</w:t>
      </w:r>
    </w:p>
    <w:p w14:paraId="148277A2">
      <w:pPr>
        <w:bidi w:val="0"/>
        <w:rPr>
          <w:rFonts w:hint="eastAsia"/>
          <w:color w:val="auto"/>
          <w:lang w:val="en-US" w:eastAsia="zh-CN"/>
        </w:rPr>
      </w:pPr>
      <w:r>
        <w:rPr>
          <w:rFonts w:hint="eastAsia"/>
          <w:color w:val="auto"/>
          <w:lang w:val="en-US" w:eastAsia="zh-CN"/>
        </w:rPr>
        <w:t>1、选址、总平面布置安全评价；</w:t>
      </w:r>
    </w:p>
    <w:p w14:paraId="28544010">
      <w:pPr>
        <w:bidi w:val="0"/>
        <w:rPr>
          <w:rFonts w:hint="default"/>
          <w:color w:val="auto"/>
          <w:lang w:val="en-US" w:eastAsia="zh-CN"/>
        </w:rPr>
      </w:pPr>
      <w:r>
        <w:rPr>
          <w:rFonts w:hint="default"/>
          <w:color w:val="auto"/>
          <w:lang w:val="en-US" w:eastAsia="zh-CN"/>
        </w:rPr>
        <w:t>2、</w:t>
      </w:r>
      <w:r>
        <w:rPr>
          <w:rFonts w:hint="eastAsia"/>
          <w:color w:val="auto"/>
          <w:lang w:val="en-US" w:eastAsia="zh-CN"/>
        </w:rPr>
        <w:t>建筑及设备设施安全评价；</w:t>
      </w:r>
    </w:p>
    <w:p w14:paraId="007668F1">
      <w:pPr>
        <w:bidi w:val="0"/>
        <w:rPr>
          <w:rFonts w:hint="default"/>
          <w:color w:val="auto"/>
          <w:lang w:val="en-US" w:eastAsia="zh-CN"/>
        </w:rPr>
      </w:pPr>
      <w:r>
        <w:rPr>
          <w:rFonts w:hint="default"/>
          <w:color w:val="auto"/>
          <w:lang w:val="en-US" w:eastAsia="zh-CN"/>
        </w:rPr>
        <w:t>3、</w:t>
      </w:r>
      <w:r>
        <w:rPr>
          <w:rFonts w:hint="eastAsia"/>
          <w:color w:val="auto"/>
          <w:lang w:val="en-US" w:eastAsia="zh-CN"/>
        </w:rPr>
        <w:t>配套的公用工程安全评价；</w:t>
      </w:r>
    </w:p>
    <w:p w14:paraId="618F1209">
      <w:pPr>
        <w:bidi w:val="0"/>
        <w:rPr>
          <w:rFonts w:hint="eastAsia"/>
          <w:color w:val="auto"/>
          <w:lang w:val="en-US" w:eastAsia="zh-CN"/>
        </w:rPr>
      </w:pPr>
      <w:r>
        <w:rPr>
          <w:rFonts w:hint="default"/>
          <w:color w:val="auto"/>
          <w:lang w:val="en-US" w:eastAsia="zh-CN"/>
        </w:rPr>
        <w:t>4、</w:t>
      </w:r>
      <w:r>
        <w:rPr>
          <w:rFonts w:hint="eastAsia"/>
          <w:color w:val="auto"/>
          <w:lang w:val="en-US" w:eastAsia="zh-CN"/>
        </w:rPr>
        <w:t>安全管理安全评价。</w:t>
      </w:r>
    </w:p>
    <w:p w14:paraId="5BFB8A14">
      <w:pPr>
        <w:bidi w:val="0"/>
        <w:rPr>
          <w:rFonts w:hint="default"/>
          <w:color w:val="auto"/>
          <w:szCs w:val="28"/>
          <w:lang w:val="en-US" w:eastAsia="zh-CN"/>
        </w:rPr>
      </w:pPr>
      <w:r>
        <w:rPr>
          <w:rFonts w:hint="eastAsia"/>
          <w:color w:val="auto"/>
          <w:lang w:val="en-US" w:eastAsia="zh-CN"/>
        </w:rPr>
        <w:t>本次评价不涉及服务区内车辆以及车辆的道路行驶，服务区原有建构筑物的拆除工程以及服务区原有的加油站不在本次评价范围内。该项目所涉及的环境保护、职业卫生等方面的内容，以相关主管部门批准或认可的技术文件为准。消防安全设施的设置，本评价报告仅提出建议措施，其具体实施以当地消防管理部门的审批为准。</w:t>
      </w:r>
    </w:p>
    <w:p w14:paraId="73AF8AB5">
      <w:pPr>
        <w:pStyle w:val="5"/>
        <w:bidi w:val="0"/>
        <w:rPr>
          <w:color w:val="auto"/>
        </w:rPr>
      </w:pPr>
      <w:bookmarkStart w:id="15" w:name="_Toc18130"/>
      <w:bookmarkStart w:id="16" w:name="_Toc350517374"/>
      <w:r>
        <w:rPr>
          <w:color w:val="auto"/>
        </w:rPr>
        <w:t>1.5</w:t>
      </w:r>
      <w:r>
        <w:rPr>
          <w:rFonts w:hint="eastAsia" w:ascii="宋体" w:hAnsi="宋体" w:eastAsia="宋体" w:cs="宋体"/>
          <w:color w:val="auto"/>
        </w:rPr>
        <w:t>评价程序</w:t>
      </w:r>
      <w:bookmarkEnd w:id="15"/>
      <w:bookmarkEnd w:id="16"/>
    </w:p>
    <w:p w14:paraId="0BEB7226">
      <w:pPr>
        <w:bidi w:val="0"/>
        <w:rPr>
          <w:color w:val="auto"/>
        </w:rPr>
      </w:pPr>
      <w:r>
        <w:rPr>
          <w:color w:val="auto"/>
        </w:rPr>
        <w:t>评价程序见图1</w:t>
      </w:r>
      <w:r>
        <w:rPr>
          <w:rFonts w:hint="eastAsia"/>
          <w:color w:val="auto"/>
          <w:lang w:val="en-US" w:eastAsia="zh-CN"/>
        </w:rPr>
        <w:t>.5</w:t>
      </w:r>
      <w:r>
        <w:rPr>
          <w:color w:val="auto"/>
        </w:rPr>
        <w:t>-1。</w:t>
      </w:r>
    </w:p>
    <w:p w14:paraId="4E8A4434">
      <w:pPr>
        <w:pStyle w:val="51"/>
        <w:rPr>
          <w:color w:val="auto"/>
        </w:rPr>
      </w:pPr>
    </w:p>
    <w:p w14:paraId="2B616C66">
      <w:pPr>
        <w:pStyle w:val="49"/>
        <w:bidi w:val="0"/>
        <w:rPr>
          <w:bCs/>
          <w:color w:val="auto"/>
          <w:szCs w:val="28"/>
        </w:rPr>
      </w:pPr>
      <w:r>
        <w:rPr>
          <w:rFonts w:ascii="宋体" w:hAnsi="宋体" w:eastAsia="宋体" w:cs="宋体"/>
          <w:color w:val="auto"/>
          <w:sz w:val="24"/>
          <w:szCs w:val="24"/>
        </w:rPr>
        <w:drawing>
          <wp:anchor distT="0" distB="0" distL="114300" distR="114300" simplePos="0" relativeHeight="251661312" behindDoc="0" locked="0" layoutInCell="1" allowOverlap="1">
            <wp:simplePos x="0" y="0"/>
            <wp:positionH relativeFrom="column">
              <wp:posOffset>1619250</wp:posOffset>
            </wp:positionH>
            <wp:positionV relativeFrom="paragraph">
              <wp:posOffset>71755</wp:posOffset>
            </wp:positionV>
            <wp:extent cx="2818130" cy="5594985"/>
            <wp:effectExtent l="0" t="0" r="1270" b="5715"/>
            <wp:wrapTopAndBottom/>
            <wp:docPr id="1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IMG_256"/>
                    <pic:cNvPicPr>
                      <a:picLocks noChangeAspect="1"/>
                    </pic:cNvPicPr>
                  </pic:nvPicPr>
                  <pic:blipFill>
                    <a:blip r:embed="rId13"/>
                    <a:stretch>
                      <a:fillRect/>
                    </a:stretch>
                  </pic:blipFill>
                  <pic:spPr>
                    <a:xfrm>
                      <a:off x="0" y="0"/>
                      <a:ext cx="2818130" cy="5594985"/>
                    </a:xfrm>
                    <a:prstGeom prst="rect">
                      <a:avLst/>
                    </a:prstGeom>
                    <a:noFill/>
                    <a:ln w="9525">
                      <a:noFill/>
                    </a:ln>
                  </pic:spPr>
                </pic:pic>
              </a:graphicData>
            </a:graphic>
          </wp:anchor>
        </w:drawing>
      </w:r>
      <w:r>
        <w:rPr>
          <w:color w:val="auto"/>
        </w:rPr>
        <w:t>图1</w:t>
      </w:r>
      <w:r>
        <w:rPr>
          <w:rFonts w:hint="eastAsia"/>
          <w:color w:val="auto"/>
          <w:lang w:val="en-US" w:eastAsia="zh-CN"/>
        </w:rPr>
        <w:t>.5</w:t>
      </w:r>
      <w:r>
        <w:rPr>
          <w:rFonts w:hint="eastAsia"/>
          <w:color w:val="auto"/>
        </w:rPr>
        <w:t>-</w:t>
      </w:r>
      <w:r>
        <w:rPr>
          <w:color w:val="auto"/>
        </w:rPr>
        <w:t>1　评价工作程序图</w:t>
      </w:r>
      <w:bookmarkStart w:id="17" w:name="_Toc7344"/>
      <w:bookmarkStart w:id="18" w:name="_Toc350517375"/>
    </w:p>
    <w:p w14:paraId="3B5C3F3F">
      <w:pPr>
        <w:rPr>
          <w:color w:val="auto"/>
          <w:szCs w:val="32"/>
        </w:rPr>
      </w:pPr>
      <w:r>
        <w:rPr>
          <w:color w:val="auto"/>
          <w:szCs w:val="32"/>
        </w:rPr>
        <w:br w:type="page"/>
      </w:r>
    </w:p>
    <w:p w14:paraId="5960B0D1">
      <w:pPr>
        <w:pStyle w:val="4"/>
        <w:bidi w:val="0"/>
        <w:rPr>
          <w:rFonts w:hint="default" w:eastAsia="黑体"/>
          <w:b w:val="0"/>
          <w:color w:val="auto"/>
          <w:szCs w:val="32"/>
          <w:lang w:val="en-US" w:eastAsia="zh-CN"/>
        </w:rPr>
      </w:pPr>
      <w:bookmarkStart w:id="19" w:name="_Toc3098"/>
      <w:r>
        <w:rPr>
          <w:color w:val="auto"/>
          <w:szCs w:val="32"/>
        </w:rPr>
        <w:t>2</w:t>
      </w:r>
      <w:bookmarkEnd w:id="17"/>
      <w:bookmarkEnd w:id="18"/>
      <w:r>
        <w:rPr>
          <w:rFonts w:hint="eastAsia" w:ascii="宋体" w:hAnsi="宋体" w:cs="宋体"/>
          <w:color w:val="auto"/>
          <w:szCs w:val="32"/>
          <w:lang w:val="en-US" w:eastAsia="zh-CN"/>
        </w:rPr>
        <w:t>工程</w:t>
      </w:r>
      <w:r>
        <w:rPr>
          <w:rFonts w:hint="eastAsia" w:ascii="宋体" w:hAnsi="宋体" w:eastAsia="宋体" w:cs="宋体"/>
          <w:color w:val="auto"/>
          <w:szCs w:val="32"/>
          <w:lang w:val="en-US" w:eastAsia="zh-CN"/>
        </w:rPr>
        <w:t>概况</w:t>
      </w:r>
      <w:bookmarkEnd w:id="19"/>
    </w:p>
    <w:p w14:paraId="07A4ABE5">
      <w:pPr>
        <w:pStyle w:val="5"/>
        <w:bidi w:val="0"/>
        <w:rPr>
          <w:rFonts w:hint="eastAsia" w:ascii="宋体" w:hAnsi="宋体" w:eastAsia="宋体" w:cs="宋体"/>
          <w:color w:val="auto"/>
          <w:lang w:val="en-US" w:eastAsia="zh-CN"/>
        </w:rPr>
      </w:pPr>
      <w:bookmarkStart w:id="20" w:name="_Toc350517376"/>
      <w:bookmarkStart w:id="21" w:name="_Toc4998"/>
      <w:r>
        <w:rPr>
          <w:color w:val="auto"/>
        </w:rPr>
        <w:t>2.1</w:t>
      </w:r>
      <w:bookmarkEnd w:id="20"/>
      <w:r>
        <w:rPr>
          <w:rFonts w:hint="eastAsia" w:ascii="宋体" w:hAnsi="宋体" w:eastAsia="宋体" w:cs="宋体"/>
          <w:color w:val="auto"/>
          <w:lang w:val="en-US" w:eastAsia="zh-CN"/>
        </w:rPr>
        <w:t>建设单位基本情况</w:t>
      </w:r>
      <w:bookmarkEnd w:id="21"/>
    </w:p>
    <w:p w14:paraId="5F3F5034">
      <w:pPr>
        <w:bidi w:val="0"/>
        <w:rPr>
          <w:rFonts w:hint="eastAsia"/>
          <w:color w:val="auto"/>
          <w:lang w:eastAsia="zh-CN"/>
        </w:rPr>
      </w:pPr>
      <w:bookmarkStart w:id="22" w:name="_Toc350517377"/>
      <w:r>
        <w:rPr>
          <w:rFonts w:hint="eastAsia"/>
          <w:color w:val="auto"/>
          <w:lang w:val="en-US" w:eastAsia="zh-CN"/>
        </w:rPr>
        <w:t>建设单位：</w:t>
      </w:r>
      <w:r>
        <w:rPr>
          <w:rFonts w:hint="eastAsia"/>
          <w:color w:val="auto"/>
          <w:lang w:eastAsia="zh-CN"/>
        </w:rPr>
        <w:t>江西省交通投资集团有限责任公司</w:t>
      </w:r>
    </w:p>
    <w:p w14:paraId="3502E218">
      <w:pPr>
        <w:bidi w:val="0"/>
        <w:rPr>
          <w:rFonts w:hint="eastAsia"/>
          <w:color w:val="auto"/>
          <w:lang w:val="en-US" w:eastAsia="zh-CN"/>
        </w:rPr>
      </w:pPr>
      <w:r>
        <w:rPr>
          <w:rFonts w:hint="eastAsia"/>
          <w:color w:val="auto"/>
          <w:lang w:val="en-US" w:eastAsia="zh-CN"/>
        </w:rPr>
        <w:t>企业类型：其他有限责任公司</w:t>
      </w:r>
    </w:p>
    <w:p w14:paraId="0CB67D49">
      <w:pPr>
        <w:bidi w:val="0"/>
        <w:rPr>
          <w:rFonts w:hint="default"/>
          <w:color w:val="auto"/>
          <w:lang w:val="en-US" w:eastAsia="zh-CN"/>
        </w:rPr>
      </w:pPr>
      <w:r>
        <w:rPr>
          <w:rFonts w:hint="eastAsia"/>
          <w:color w:val="auto"/>
          <w:lang w:val="en-US" w:eastAsia="zh-CN"/>
        </w:rPr>
        <w:t>法定代表人：谢兼法</w:t>
      </w:r>
    </w:p>
    <w:p w14:paraId="06BC5E70">
      <w:pPr>
        <w:bidi w:val="0"/>
        <w:rPr>
          <w:rFonts w:hint="default"/>
          <w:color w:val="auto"/>
          <w:lang w:val="en-US" w:eastAsia="zh-CN"/>
        </w:rPr>
      </w:pPr>
      <w:r>
        <w:rPr>
          <w:rFonts w:hint="eastAsia"/>
          <w:color w:val="auto"/>
          <w:lang w:val="en-US" w:eastAsia="zh-CN"/>
        </w:rPr>
        <w:t>注册资本：玖拾伍亿零伍万壹仟贰佰零伍元玖角捌分</w:t>
      </w:r>
    </w:p>
    <w:p w14:paraId="27A08B59">
      <w:pPr>
        <w:bidi w:val="0"/>
        <w:rPr>
          <w:rFonts w:hint="eastAsia"/>
          <w:color w:val="auto"/>
          <w:lang w:val="en-US" w:eastAsia="zh-CN"/>
        </w:rPr>
      </w:pPr>
      <w:r>
        <w:rPr>
          <w:rFonts w:hint="eastAsia"/>
          <w:color w:val="auto"/>
          <w:lang w:val="en-US" w:eastAsia="zh-CN"/>
        </w:rPr>
        <w:t>成立时间：1997年10月20日</w:t>
      </w:r>
    </w:p>
    <w:p w14:paraId="77108EB5">
      <w:pPr>
        <w:bidi w:val="0"/>
        <w:rPr>
          <w:rFonts w:hint="default"/>
          <w:color w:val="auto"/>
          <w:lang w:val="en-US" w:eastAsia="zh-CN"/>
        </w:rPr>
      </w:pPr>
      <w:r>
        <w:rPr>
          <w:rFonts w:hint="default"/>
          <w:color w:val="auto"/>
          <w:lang w:val="en-US" w:eastAsia="zh-CN"/>
        </w:rPr>
        <w:t>住    所：</w:t>
      </w:r>
      <w:r>
        <w:rPr>
          <w:rFonts w:hint="eastAsia"/>
          <w:color w:val="auto"/>
          <w:lang w:val="en-US" w:eastAsia="zh-CN"/>
        </w:rPr>
        <w:t>江西省南昌市西湖区朝阳洲中路367号</w:t>
      </w:r>
    </w:p>
    <w:p w14:paraId="71436F65">
      <w:pPr>
        <w:bidi w:val="0"/>
        <w:rPr>
          <w:rFonts w:hint="default"/>
          <w:color w:val="auto"/>
          <w:lang w:val="en-US" w:eastAsia="zh-CN"/>
        </w:rPr>
      </w:pPr>
      <w:r>
        <w:rPr>
          <w:rFonts w:hint="eastAsia"/>
          <w:color w:val="auto"/>
          <w:lang w:val="en-US" w:eastAsia="zh-CN"/>
        </w:rPr>
        <w:t>营业执照：统一社会信用代码913600007055116528</w:t>
      </w:r>
    </w:p>
    <w:p w14:paraId="558C4475">
      <w:pPr>
        <w:bidi w:val="0"/>
        <w:rPr>
          <w:rFonts w:hint="default"/>
          <w:color w:val="auto"/>
          <w:lang w:val="en-US" w:eastAsia="zh-CN"/>
        </w:rPr>
      </w:pPr>
      <w:r>
        <w:rPr>
          <w:rFonts w:hint="default"/>
          <w:color w:val="auto"/>
          <w:lang w:val="en-US" w:eastAsia="zh-CN"/>
        </w:rPr>
        <w:t>企业主营业务：</w:t>
      </w:r>
      <w:r>
        <w:rPr>
          <w:rFonts w:hint="eastAsia"/>
          <w:color w:val="auto"/>
          <w:lang w:val="en-US" w:eastAsia="zh-CN"/>
        </w:rPr>
        <w:t>高速公路及其他重大基础设施的投资、建设、服务、经营，服务区经营以及交通基础设施的建设，建设工程施工、机械设备租赁、建筑材料批发、代购、现代物流、广告、房地产开放经营，道路清障、车辆救援与抢修、停车、货物装运与仓储服务业务（危化品除外）。</w:t>
      </w:r>
    </w:p>
    <w:p w14:paraId="636FF9C2">
      <w:pPr>
        <w:pStyle w:val="5"/>
        <w:bidi w:val="0"/>
        <w:rPr>
          <w:rFonts w:hint="default" w:eastAsia="楷体"/>
          <w:color w:val="auto"/>
          <w:lang w:val="en-US" w:eastAsia="zh-CN"/>
        </w:rPr>
      </w:pPr>
      <w:bookmarkStart w:id="23" w:name="_Toc30635"/>
      <w:r>
        <w:rPr>
          <w:color w:val="auto"/>
        </w:rPr>
        <w:t>2.2</w:t>
      </w:r>
      <w:bookmarkEnd w:id="22"/>
      <w:r>
        <w:rPr>
          <w:rFonts w:hint="eastAsia" w:ascii="宋体" w:hAnsi="宋体" w:eastAsia="宋体" w:cs="宋体"/>
          <w:color w:val="auto"/>
          <w:lang w:val="en-US" w:eastAsia="zh-CN"/>
        </w:rPr>
        <w:t>建设项目概况</w:t>
      </w:r>
      <w:bookmarkEnd w:id="23"/>
    </w:p>
    <w:p w14:paraId="7AB5F63C">
      <w:pPr>
        <w:tabs>
          <w:tab w:val="left" w:pos="7845"/>
        </w:tabs>
        <w:spacing w:line="620" w:lineRule="atLeast"/>
        <w:ind w:firstLine="560" w:firstLineChars="200"/>
        <w:jc w:val="left"/>
        <w:rPr>
          <w:rFonts w:hint="eastAsia" w:eastAsia="宋体"/>
          <w:color w:val="auto"/>
          <w:spacing w:val="-8"/>
          <w:sz w:val="28"/>
          <w:szCs w:val="28"/>
          <w:lang w:eastAsia="zh-CN"/>
        </w:rPr>
      </w:pPr>
      <w:r>
        <w:rPr>
          <w:color w:val="auto"/>
          <w:sz w:val="28"/>
          <w:szCs w:val="28"/>
        </w:rPr>
        <w:t>项目名称：</w:t>
      </w:r>
      <w:r>
        <w:rPr>
          <w:rFonts w:hint="eastAsia"/>
          <w:color w:val="auto"/>
          <w:sz w:val="28"/>
          <w:szCs w:val="28"/>
          <w:lang w:eastAsia="zh-CN"/>
        </w:rPr>
        <w:t>江西省交通投资集团有限责任公司大广高速修水服务区提质升级改造项目</w:t>
      </w:r>
    </w:p>
    <w:p w14:paraId="7A459948">
      <w:pPr>
        <w:bidi w:val="0"/>
        <w:rPr>
          <w:rFonts w:hint="eastAsia" w:hAnsi="宋体"/>
          <w:color w:val="auto"/>
          <w:sz w:val="28"/>
          <w:szCs w:val="28"/>
          <w:lang w:eastAsia="zh-CN"/>
        </w:rPr>
      </w:pPr>
      <w:r>
        <w:rPr>
          <w:rFonts w:hint="eastAsia"/>
          <w:color w:val="auto"/>
          <w:sz w:val="28"/>
          <w:szCs w:val="28"/>
          <w:lang w:val="en-US" w:eastAsia="zh-CN"/>
        </w:rPr>
        <w:t>该项目主要建设内容为：在修水东（西）服务区的原址进行改扩建，拆除服务区原有建构筑物，重建东（西）服务区综合楼、东（西）服务区修车库、东（西）服务区设备房以及配套的公用辅助设施；新建西区两室、西区办公配套用房、东（西）服务区污水处理设施；重建东（西）服务区停车场，新增东（西）服务区充电桩（共4个240kw充电桩、4个120kw充电桩）等</w:t>
      </w:r>
      <w:r>
        <w:rPr>
          <w:rFonts w:hint="eastAsia" w:hAnsi="宋体"/>
          <w:color w:val="auto"/>
          <w:sz w:val="28"/>
          <w:szCs w:val="28"/>
          <w:lang w:eastAsia="zh-CN"/>
        </w:rPr>
        <w:t>。</w:t>
      </w:r>
    </w:p>
    <w:p w14:paraId="7DAEDA6B">
      <w:pPr>
        <w:tabs>
          <w:tab w:val="left" w:pos="7845"/>
        </w:tabs>
        <w:spacing w:line="620" w:lineRule="atLeast"/>
        <w:ind w:firstLine="560" w:firstLineChars="200"/>
        <w:jc w:val="left"/>
        <w:rPr>
          <w:rFonts w:hint="default" w:eastAsia="宋体"/>
          <w:color w:val="auto"/>
          <w:sz w:val="28"/>
          <w:lang w:val="en-US" w:eastAsia="zh-CN"/>
        </w:rPr>
      </w:pPr>
      <w:r>
        <w:rPr>
          <w:color w:val="auto"/>
          <w:sz w:val="28"/>
          <w:szCs w:val="28"/>
        </w:rPr>
        <w:t>项目地址：</w:t>
      </w:r>
      <w:r>
        <w:rPr>
          <w:rFonts w:hint="eastAsia"/>
          <w:color w:val="auto"/>
          <w:sz w:val="28"/>
          <w:szCs w:val="28"/>
          <w:lang w:val="en-US" w:eastAsia="zh-CN"/>
        </w:rPr>
        <w:t>修水县太阳升镇大广高速服务区</w:t>
      </w:r>
    </w:p>
    <w:p w14:paraId="73D8F0C1">
      <w:pPr>
        <w:tabs>
          <w:tab w:val="left" w:pos="2670"/>
        </w:tabs>
        <w:spacing w:line="620" w:lineRule="atLeast"/>
        <w:ind w:firstLine="560" w:firstLineChars="200"/>
        <w:rPr>
          <w:color w:val="auto"/>
          <w:sz w:val="28"/>
          <w:szCs w:val="28"/>
        </w:rPr>
      </w:pPr>
      <w:r>
        <w:rPr>
          <w:color w:val="auto"/>
          <w:sz w:val="28"/>
          <w:szCs w:val="28"/>
        </w:rPr>
        <w:t>项目性质：</w:t>
      </w:r>
      <w:r>
        <w:rPr>
          <w:rFonts w:hint="eastAsia"/>
          <w:color w:val="auto"/>
          <w:sz w:val="28"/>
          <w:szCs w:val="28"/>
          <w:lang w:val="en-US" w:eastAsia="zh-CN"/>
        </w:rPr>
        <w:t>改扩建</w:t>
      </w:r>
    </w:p>
    <w:p w14:paraId="6ADBB3DF">
      <w:pPr>
        <w:spacing w:line="620" w:lineRule="atLeast"/>
        <w:ind w:firstLine="560" w:firstLineChars="200"/>
        <w:rPr>
          <w:rFonts w:hint="default"/>
          <w:color w:val="auto"/>
          <w:sz w:val="28"/>
          <w:lang w:val="en-US" w:eastAsia="zh-CN"/>
        </w:rPr>
      </w:pPr>
      <w:r>
        <w:rPr>
          <w:rFonts w:hint="eastAsia"/>
          <w:color w:val="auto"/>
          <w:sz w:val="28"/>
          <w:lang w:val="en-US" w:eastAsia="zh-CN"/>
        </w:rPr>
        <w:t>项目资本金：24779万元</w:t>
      </w:r>
    </w:p>
    <w:p w14:paraId="44782B41">
      <w:pPr>
        <w:spacing w:line="620" w:lineRule="atLeast"/>
        <w:ind w:firstLine="560" w:firstLineChars="200"/>
        <w:rPr>
          <w:rFonts w:hint="default" w:eastAsia="宋体"/>
          <w:color w:val="auto"/>
          <w:sz w:val="28"/>
          <w:lang w:val="en-US" w:eastAsia="zh-CN"/>
        </w:rPr>
      </w:pPr>
      <w:r>
        <w:rPr>
          <w:rFonts w:hint="eastAsia"/>
          <w:color w:val="auto"/>
          <w:sz w:val="28"/>
          <w:lang w:val="en-US" w:eastAsia="zh-CN"/>
        </w:rPr>
        <w:t>新征土地面积：82089m</w:t>
      </w:r>
      <w:r>
        <w:rPr>
          <w:rFonts w:hint="eastAsia"/>
          <w:color w:val="auto"/>
          <w:sz w:val="28"/>
          <w:vertAlign w:val="superscript"/>
          <w:lang w:val="en-US" w:eastAsia="zh-CN"/>
        </w:rPr>
        <w:t>2</w:t>
      </w:r>
      <w:r>
        <w:rPr>
          <w:rFonts w:hint="eastAsia"/>
          <w:color w:val="auto"/>
          <w:sz w:val="28"/>
          <w:vertAlign w:val="baseline"/>
          <w:lang w:val="en-US" w:eastAsia="zh-CN"/>
        </w:rPr>
        <w:t>，</w:t>
      </w:r>
      <w:r>
        <w:rPr>
          <w:rFonts w:hint="eastAsia"/>
          <w:color w:val="auto"/>
          <w:sz w:val="28"/>
          <w:lang w:val="en-US" w:eastAsia="zh-CN"/>
        </w:rPr>
        <w:t>约123.25亩，已取得《不动产权证》：赣（2024）修水县不动产权第0009443号，详见附件。</w:t>
      </w:r>
    </w:p>
    <w:p w14:paraId="105F6C2B">
      <w:pPr>
        <w:spacing w:line="620" w:lineRule="atLeast"/>
        <w:ind w:firstLine="560" w:firstLineChars="200"/>
        <w:rPr>
          <w:rFonts w:hint="default"/>
          <w:color w:val="auto"/>
          <w:sz w:val="28"/>
          <w:lang w:val="en-US" w:eastAsia="zh-CN"/>
        </w:rPr>
      </w:pPr>
      <w:r>
        <w:rPr>
          <w:rFonts w:hint="eastAsia"/>
          <w:color w:val="auto"/>
          <w:sz w:val="28"/>
          <w:lang w:val="en-US" w:eastAsia="zh-CN"/>
        </w:rPr>
        <w:t>2023年6月2日，该项目取得由修水县发展和改革委员会审批备案的《江西省企业投资项目备案通知书》（项目统一代码：2102-360424-04-01-233592），详见附件。</w:t>
      </w:r>
    </w:p>
    <w:p w14:paraId="35127E38">
      <w:pPr>
        <w:spacing w:line="620" w:lineRule="atLeast"/>
        <w:ind w:firstLine="560" w:firstLineChars="200"/>
        <w:rPr>
          <w:rFonts w:hint="eastAsia"/>
          <w:color w:val="auto"/>
          <w:sz w:val="28"/>
          <w:highlight w:val="yellow"/>
          <w:lang w:val="en-US" w:eastAsia="zh-CN"/>
        </w:rPr>
      </w:pPr>
      <w:r>
        <w:rPr>
          <w:color w:val="auto"/>
          <w:sz w:val="28"/>
        </w:rPr>
        <w:t>设计单位：</w:t>
      </w:r>
      <w:r>
        <w:rPr>
          <w:rFonts w:hint="eastAsia"/>
          <w:color w:val="auto"/>
          <w:sz w:val="28"/>
          <w:lang w:val="en-US" w:eastAsia="zh-CN"/>
        </w:rPr>
        <w:t>江西省交通设计研究院集团有限责任公司，</w:t>
      </w:r>
      <w:r>
        <w:rPr>
          <w:rFonts w:hint="eastAsia"/>
          <w:color w:val="auto"/>
          <w:sz w:val="28"/>
          <w:highlight w:val="none"/>
          <w:lang w:val="en-US" w:eastAsia="zh-CN"/>
        </w:rPr>
        <w:t>资质：市政行业（道路工程）专业甲级；建筑行业（建筑工程）甲级；风景园林工程设计专项甲级。</w:t>
      </w:r>
    </w:p>
    <w:p w14:paraId="50D3FDDE">
      <w:pPr>
        <w:ind w:firstLine="560" w:firstLineChars="200"/>
        <w:rPr>
          <w:rFonts w:hint="default" w:hAnsi="宋体"/>
          <w:color w:val="auto"/>
          <w:sz w:val="28"/>
          <w:lang w:val="en-US" w:eastAsia="zh-CN"/>
        </w:rPr>
      </w:pPr>
      <w:r>
        <w:rPr>
          <w:rFonts w:hint="eastAsia" w:hAnsi="宋体"/>
          <w:color w:val="auto"/>
          <w:sz w:val="28"/>
          <w:lang w:val="en-US" w:eastAsia="zh-CN"/>
        </w:rPr>
        <w:t>该项目建设内容一览见表2.2-1。</w:t>
      </w:r>
    </w:p>
    <w:p w14:paraId="4760FFF1">
      <w:pPr>
        <w:pStyle w:val="42"/>
        <w:rPr>
          <w:rFonts w:hint="eastAsia" w:hAnsi="宋体"/>
          <w:color w:val="auto"/>
          <w:sz w:val="28"/>
          <w:lang w:val="en-US" w:eastAsia="zh-CN"/>
        </w:rPr>
      </w:pPr>
      <w:r>
        <w:rPr>
          <w:rFonts w:hint="eastAsia" w:hAnsi="宋体"/>
          <w:color w:val="auto"/>
          <w:sz w:val="28"/>
          <w:lang w:val="en-US" w:eastAsia="zh-CN"/>
        </w:rPr>
        <w:t>表2.2-</w:t>
      </w:r>
      <w:r>
        <w:rPr>
          <w:rFonts w:hint="eastAsia"/>
          <w:color w:val="auto"/>
          <w:sz w:val="28"/>
          <w:lang w:val="en-US" w:eastAsia="zh-CN"/>
        </w:rPr>
        <w:t xml:space="preserve">1 </w:t>
      </w:r>
      <w:r>
        <w:rPr>
          <w:rFonts w:hint="eastAsia" w:hAnsi="宋体"/>
          <w:color w:val="auto"/>
          <w:sz w:val="28"/>
          <w:lang w:val="en-US" w:eastAsia="zh-CN"/>
        </w:rPr>
        <w:t>项目组成一览表</w:t>
      </w:r>
    </w:p>
    <w:tbl>
      <w:tblPr>
        <w:tblStyle w:val="80"/>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572"/>
        <w:gridCol w:w="5720"/>
        <w:gridCol w:w="1293"/>
      </w:tblGrid>
      <w:tr w14:paraId="289710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4" w:type="pct"/>
            <w:tcBorders>
              <w:tl2br w:val="nil"/>
              <w:tr2bl w:val="nil"/>
            </w:tcBorders>
            <w:vAlign w:val="center"/>
          </w:tcPr>
          <w:p w14:paraId="29C509FF">
            <w:pPr>
              <w:pStyle w:val="78"/>
              <w:rPr>
                <w:b/>
                <w:bCs/>
                <w:color w:val="auto"/>
              </w:rPr>
            </w:pPr>
            <w:r>
              <w:rPr>
                <w:b/>
                <w:bCs/>
                <w:color w:val="auto"/>
              </w:rPr>
              <w:t>名称</w:t>
            </w:r>
          </w:p>
        </w:tc>
        <w:tc>
          <w:tcPr>
            <w:tcW w:w="847" w:type="pct"/>
            <w:tcBorders>
              <w:tl2br w:val="nil"/>
              <w:tr2bl w:val="nil"/>
            </w:tcBorders>
            <w:vAlign w:val="center"/>
          </w:tcPr>
          <w:p w14:paraId="071D4D50">
            <w:pPr>
              <w:pStyle w:val="78"/>
              <w:rPr>
                <w:rFonts w:hint="default" w:eastAsia="宋体"/>
                <w:b/>
                <w:bCs/>
                <w:color w:val="auto"/>
                <w:lang w:val="en-US" w:eastAsia="zh-CN"/>
              </w:rPr>
            </w:pPr>
            <w:r>
              <w:rPr>
                <w:rFonts w:hint="eastAsia"/>
                <w:b/>
                <w:bCs/>
                <w:color w:val="auto"/>
                <w:lang w:val="en-US" w:eastAsia="zh-CN"/>
              </w:rPr>
              <w:t>分项工程</w:t>
            </w:r>
          </w:p>
        </w:tc>
        <w:tc>
          <w:tcPr>
            <w:tcW w:w="3082" w:type="pct"/>
            <w:tcBorders>
              <w:tl2br w:val="nil"/>
              <w:tr2bl w:val="nil"/>
            </w:tcBorders>
            <w:vAlign w:val="center"/>
          </w:tcPr>
          <w:p w14:paraId="0A2BA918">
            <w:pPr>
              <w:pStyle w:val="78"/>
              <w:rPr>
                <w:rFonts w:hint="eastAsia" w:eastAsia="宋体"/>
                <w:b/>
                <w:bCs/>
                <w:color w:val="auto"/>
                <w:lang w:val="en-US" w:eastAsia="zh-CN"/>
              </w:rPr>
            </w:pPr>
            <w:r>
              <w:rPr>
                <w:b/>
                <w:bCs/>
                <w:color w:val="auto"/>
              </w:rPr>
              <w:t>建设</w:t>
            </w:r>
            <w:r>
              <w:rPr>
                <w:rFonts w:hint="eastAsia"/>
                <w:b/>
                <w:bCs/>
                <w:color w:val="auto"/>
                <w:lang w:val="en-US" w:eastAsia="zh-CN"/>
              </w:rPr>
              <w:t>内容</w:t>
            </w:r>
          </w:p>
        </w:tc>
        <w:tc>
          <w:tcPr>
            <w:tcW w:w="696" w:type="pct"/>
            <w:tcBorders>
              <w:tl2br w:val="nil"/>
              <w:tr2bl w:val="nil"/>
            </w:tcBorders>
            <w:vAlign w:val="center"/>
          </w:tcPr>
          <w:p w14:paraId="4802A595">
            <w:pPr>
              <w:pStyle w:val="78"/>
              <w:rPr>
                <w:b/>
                <w:bCs/>
                <w:color w:val="auto"/>
              </w:rPr>
            </w:pPr>
            <w:r>
              <w:rPr>
                <w:b/>
                <w:bCs/>
                <w:color w:val="auto"/>
              </w:rPr>
              <w:t>备注</w:t>
            </w:r>
          </w:p>
        </w:tc>
      </w:tr>
      <w:tr w14:paraId="055281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4"/>
            <w:tcBorders>
              <w:tl2br w:val="nil"/>
              <w:tr2bl w:val="nil"/>
            </w:tcBorders>
            <w:vAlign w:val="center"/>
          </w:tcPr>
          <w:p w14:paraId="7C616A6B">
            <w:pPr>
              <w:pStyle w:val="78"/>
              <w:rPr>
                <w:rFonts w:hint="default" w:eastAsia="宋体"/>
                <w:b/>
                <w:bCs/>
                <w:color w:val="auto"/>
                <w:lang w:val="en-US" w:eastAsia="zh-CN"/>
              </w:rPr>
            </w:pPr>
            <w:r>
              <w:rPr>
                <w:rFonts w:hint="eastAsia"/>
                <w:b/>
                <w:bCs/>
                <w:color w:val="auto"/>
                <w:lang w:val="en-US" w:eastAsia="zh-CN"/>
              </w:rPr>
              <w:t>东服务区</w:t>
            </w:r>
          </w:p>
        </w:tc>
      </w:tr>
      <w:tr w14:paraId="45789E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374" w:type="pct"/>
            <w:tcBorders>
              <w:tl2br w:val="nil"/>
              <w:tr2bl w:val="nil"/>
            </w:tcBorders>
            <w:vAlign w:val="center"/>
          </w:tcPr>
          <w:p w14:paraId="466F7A14">
            <w:pPr>
              <w:pStyle w:val="78"/>
              <w:rPr>
                <w:color w:val="auto"/>
              </w:rPr>
            </w:pPr>
            <w:r>
              <w:rPr>
                <w:color w:val="auto"/>
              </w:rPr>
              <w:t>主体工程</w:t>
            </w:r>
          </w:p>
        </w:tc>
        <w:tc>
          <w:tcPr>
            <w:tcW w:w="847" w:type="pct"/>
            <w:tcBorders>
              <w:tl2br w:val="nil"/>
              <w:tr2bl w:val="nil"/>
            </w:tcBorders>
            <w:vAlign w:val="center"/>
          </w:tcPr>
          <w:p w14:paraId="3DAB3226">
            <w:pPr>
              <w:pStyle w:val="78"/>
              <w:rPr>
                <w:rFonts w:hint="eastAsia" w:eastAsia="宋体"/>
                <w:color w:val="auto"/>
                <w:lang w:eastAsia="zh-CN"/>
              </w:rPr>
            </w:pPr>
            <w:r>
              <w:rPr>
                <w:rFonts w:hint="eastAsia"/>
                <w:snapToGrid w:val="0"/>
                <w:color w:val="auto"/>
                <w:lang w:val="en-US" w:eastAsia="zh-CN"/>
              </w:rPr>
              <w:t>综合楼</w:t>
            </w:r>
          </w:p>
        </w:tc>
        <w:tc>
          <w:tcPr>
            <w:tcW w:w="3082" w:type="pct"/>
            <w:tcBorders>
              <w:tl2br w:val="nil"/>
              <w:tr2bl w:val="nil"/>
            </w:tcBorders>
            <w:vAlign w:val="center"/>
          </w:tcPr>
          <w:p w14:paraId="6BAFB052">
            <w:pPr>
              <w:pStyle w:val="78"/>
              <w:jc w:val="both"/>
              <w:rPr>
                <w:rFonts w:hint="default" w:eastAsia="宋体"/>
                <w:color w:val="auto"/>
                <w:lang w:val="en-US" w:eastAsia="zh-CN"/>
              </w:rPr>
            </w:pPr>
            <w:r>
              <w:rPr>
                <w:rFonts w:hint="eastAsia"/>
                <w:color w:val="auto"/>
                <w:lang w:val="en-US" w:eastAsia="zh-CN"/>
              </w:rPr>
              <w:t>拟设餐厅、客服中心、开水间、消防控制及监控室、通信机房、配电间、厨房、超市、卫生间等功能分区</w:t>
            </w:r>
          </w:p>
        </w:tc>
        <w:tc>
          <w:tcPr>
            <w:tcW w:w="696" w:type="pct"/>
            <w:tcBorders>
              <w:tl2br w:val="nil"/>
              <w:tr2bl w:val="nil"/>
            </w:tcBorders>
            <w:vAlign w:val="center"/>
          </w:tcPr>
          <w:p w14:paraId="4E0C35CB">
            <w:pPr>
              <w:pStyle w:val="78"/>
              <w:rPr>
                <w:rFonts w:hint="eastAsia" w:eastAsia="宋体"/>
                <w:color w:val="auto"/>
                <w:lang w:eastAsia="zh-CN"/>
              </w:rPr>
            </w:pPr>
            <w:r>
              <w:rPr>
                <w:rFonts w:hint="eastAsia"/>
                <w:color w:val="auto"/>
                <w:lang w:val="en-US" w:eastAsia="zh-CN"/>
              </w:rPr>
              <w:t>重建</w:t>
            </w:r>
          </w:p>
        </w:tc>
      </w:tr>
      <w:tr w14:paraId="547669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restart"/>
            <w:tcBorders>
              <w:tl2br w:val="nil"/>
              <w:tr2bl w:val="nil"/>
            </w:tcBorders>
            <w:vAlign w:val="center"/>
          </w:tcPr>
          <w:p w14:paraId="712A47AD">
            <w:pPr>
              <w:pStyle w:val="78"/>
              <w:rPr>
                <w:color w:val="auto"/>
              </w:rPr>
            </w:pPr>
            <w:r>
              <w:rPr>
                <w:color w:val="auto"/>
              </w:rPr>
              <w:t>辅助工程</w:t>
            </w:r>
          </w:p>
        </w:tc>
        <w:tc>
          <w:tcPr>
            <w:tcW w:w="847" w:type="pct"/>
            <w:tcBorders>
              <w:tl2br w:val="nil"/>
              <w:tr2bl w:val="nil"/>
            </w:tcBorders>
            <w:shd w:val="clear" w:color="auto" w:fill="auto"/>
            <w:vAlign w:val="center"/>
          </w:tcPr>
          <w:p w14:paraId="7E0C9F8C">
            <w:pPr>
              <w:pStyle w:val="78"/>
              <w:rPr>
                <w:rFonts w:hint="eastAsia" w:ascii="Times New Roman" w:hAnsi="Times New Roman" w:eastAsia="宋体" w:cs="Times New Roman"/>
                <w:color w:val="auto"/>
                <w:sz w:val="21"/>
                <w:szCs w:val="24"/>
                <w:lang w:val="en-US" w:eastAsia="zh-CN" w:bidi="ar-SA"/>
              </w:rPr>
            </w:pPr>
            <w:r>
              <w:rPr>
                <w:rFonts w:hint="eastAsia"/>
                <w:snapToGrid w:val="0"/>
                <w:color w:val="auto"/>
                <w:lang w:val="en-US" w:eastAsia="zh-CN"/>
              </w:rPr>
              <w:t>修车库</w:t>
            </w:r>
          </w:p>
        </w:tc>
        <w:tc>
          <w:tcPr>
            <w:tcW w:w="3082" w:type="pct"/>
            <w:tcBorders>
              <w:tl2br w:val="nil"/>
              <w:tr2bl w:val="nil"/>
            </w:tcBorders>
            <w:shd w:val="clear" w:color="auto" w:fill="auto"/>
            <w:vAlign w:val="center"/>
          </w:tcPr>
          <w:p w14:paraId="4551A6AF">
            <w:pPr>
              <w:pStyle w:val="78"/>
              <w:jc w:val="both"/>
              <w:rPr>
                <w:rFonts w:hint="default" w:ascii="Times New Roman" w:hAnsi="Times New Roman" w:eastAsia="宋体" w:cs="Times New Roman"/>
                <w:color w:val="auto"/>
                <w:sz w:val="21"/>
                <w:szCs w:val="24"/>
                <w:lang w:val="en-US" w:eastAsia="zh-CN" w:bidi="ar-SA"/>
              </w:rPr>
            </w:pPr>
            <w:r>
              <w:rPr>
                <w:rFonts w:hint="eastAsia"/>
                <w:color w:val="auto"/>
                <w:lang w:val="en-US" w:eastAsia="zh-CN"/>
              </w:rPr>
              <w:t>拟设置修理车间、机加间、休息间、配件库等功能开间</w:t>
            </w:r>
          </w:p>
        </w:tc>
        <w:tc>
          <w:tcPr>
            <w:tcW w:w="696" w:type="pct"/>
            <w:tcBorders>
              <w:tl2br w:val="nil"/>
              <w:tr2bl w:val="nil"/>
            </w:tcBorders>
            <w:shd w:val="clear" w:color="auto" w:fill="auto"/>
            <w:vAlign w:val="center"/>
          </w:tcPr>
          <w:p w14:paraId="687465E8">
            <w:pPr>
              <w:pStyle w:val="78"/>
              <w:rPr>
                <w:rFonts w:ascii="Times New Roman" w:hAnsi="Times New Roman" w:eastAsia="宋体" w:cs="Times New Roman"/>
                <w:color w:val="auto"/>
                <w:sz w:val="21"/>
                <w:szCs w:val="24"/>
                <w:lang w:val="en-US" w:eastAsia="zh-CN" w:bidi="ar-SA"/>
              </w:rPr>
            </w:pPr>
            <w:r>
              <w:rPr>
                <w:rFonts w:hint="eastAsia"/>
                <w:color w:val="auto"/>
                <w:lang w:val="en-US" w:eastAsia="zh-CN"/>
              </w:rPr>
              <w:t>重建</w:t>
            </w:r>
          </w:p>
        </w:tc>
      </w:tr>
      <w:tr w14:paraId="5B45B4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5DB71C8A">
            <w:pPr>
              <w:pStyle w:val="78"/>
              <w:rPr>
                <w:color w:val="auto"/>
              </w:rPr>
            </w:pPr>
          </w:p>
        </w:tc>
        <w:tc>
          <w:tcPr>
            <w:tcW w:w="847" w:type="pct"/>
            <w:tcBorders>
              <w:tl2br w:val="nil"/>
              <w:tr2bl w:val="nil"/>
            </w:tcBorders>
            <w:shd w:val="clear" w:color="auto" w:fill="auto"/>
            <w:vAlign w:val="center"/>
          </w:tcPr>
          <w:p w14:paraId="54CEBED6">
            <w:pPr>
              <w:pStyle w:val="78"/>
              <w:rPr>
                <w:rFonts w:hint="default" w:ascii="Times New Roman" w:hAnsi="Times New Roman" w:eastAsia="宋体" w:cs="Times New Roman"/>
                <w:snapToGrid w:val="0"/>
                <w:color w:val="auto"/>
                <w:sz w:val="21"/>
                <w:szCs w:val="24"/>
                <w:lang w:val="en-US" w:eastAsia="zh-CN" w:bidi="ar-SA"/>
              </w:rPr>
            </w:pPr>
            <w:r>
              <w:rPr>
                <w:rFonts w:hint="eastAsia"/>
                <w:snapToGrid w:val="0"/>
                <w:color w:val="auto"/>
                <w:lang w:val="en-US" w:eastAsia="zh-CN"/>
              </w:rPr>
              <w:t>设备房</w:t>
            </w:r>
          </w:p>
        </w:tc>
        <w:tc>
          <w:tcPr>
            <w:tcW w:w="3082" w:type="pct"/>
            <w:tcBorders>
              <w:tl2br w:val="nil"/>
              <w:tr2bl w:val="nil"/>
            </w:tcBorders>
            <w:shd w:val="clear" w:color="auto" w:fill="auto"/>
            <w:vAlign w:val="center"/>
          </w:tcPr>
          <w:p w14:paraId="1A7BF661">
            <w:pPr>
              <w:pStyle w:val="78"/>
              <w:jc w:val="both"/>
              <w:rPr>
                <w:rFonts w:hint="default" w:ascii="Times New Roman" w:hAnsi="Times New Roman" w:eastAsia="宋体" w:cs="Times New Roman"/>
                <w:color w:val="auto"/>
                <w:sz w:val="21"/>
                <w:szCs w:val="24"/>
                <w:lang w:val="en-US" w:eastAsia="zh-CN" w:bidi="ar-SA"/>
              </w:rPr>
            </w:pPr>
            <w:r>
              <w:rPr>
                <w:rFonts w:hint="eastAsia"/>
                <w:color w:val="auto"/>
                <w:lang w:val="en-US" w:eastAsia="zh-CN"/>
              </w:rPr>
              <w:t>拟设置发电机房及储油间、变电房、生活水泵房及45m</w:t>
            </w:r>
            <w:r>
              <w:rPr>
                <w:rFonts w:hint="eastAsia"/>
                <w:color w:val="auto"/>
                <w:vertAlign w:val="superscript"/>
                <w:lang w:val="en-US" w:eastAsia="zh-CN"/>
              </w:rPr>
              <w:t>3</w:t>
            </w:r>
            <w:r>
              <w:rPr>
                <w:rFonts w:hint="eastAsia"/>
                <w:color w:val="auto"/>
                <w:vertAlign w:val="baseline"/>
                <w:lang w:val="en-US" w:eastAsia="zh-CN"/>
              </w:rPr>
              <w:t>生活水池、消防泵房及有效容积为506m</w:t>
            </w:r>
            <w:r>
              <w:rPr>
                <w:rFonts w:hint="eastAsia"/>
                <w:color w:val="auto"/>
                <w:vertAlign w:val="superscript"/>
                <w:lang w:val="en-US" w:eastAsia="zh-CN"/>
              </w:rPr>
              <w:t>3</w:t>
            </w:r>
            <w:r>
              <w:rPr>
                <w:rFonts w:hint="eastAsia"/>
                <w:color w:val="auto"/>
                <w:vertAlign w:val="baseline"/>
                <w:lang w:val="en-US" w:eastAsia="zh-CN"/>
              </w:rPr>
              <w:t>的消防水池等</w:t>
            </w:r>
          </w:p>
        </w:tc>
        <w:tc>
          <w:tcPr>
            <w:tcW w:w="696" w:type="pct"/>
            <w:tcBorders>
              <w:tl2br w:val="nil"/>
              <w:tr2bl w:val="nil"/>
            </w:tcBorders>
            <w:shd w:val="clear" w:color="auto" w:fill="auto"/>
            <w:vAlign w:val="center"/>
          </w:tcPr>
          <w:p w14:paraId="20A7AA87">
            <w:pPr>
              <w:pStyle w:val="78"/>
              <w:rPr>
                <w:rFonts w:hint="default" w:ascii="Times New Roman" w:hAnsi="Times New Roman" w:eastAsia="宋体" w:cs="Times New Roman"/>
                <w:color w:val="auto"/>
                <w:sz w:val="21"/>
                <w:szCs w:val="24"/>
                <w:lang w:val="en-US" w:eastAsia="zh-CN" w:bidi="ar-SA"/>
              </w:rPr>
            </w:pPr>
            <w:r>
              <w:rPr>
                <w:rFonts w:hint="eastAsia"/>
                <w:color w:val="auto"/>
                <w:lang w:val="en-US" w:eastAsia="zh-CN"/>
              </w:rPr>
              <w:t>重建</w:t>
            </w:r>
          </w:p>
        </w:tc>
      </w:tr>
      <w:tr w14:paraId="311334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6BF1B030">
            <w:pPr>
              <w:pStyle w:val="78"/>
              <w:rPr>
                <w:color w:val="auto"/>
              </w:rPr>
            </w:pPr>
          </w:p>
        </w:tc>
        <w:tc>
          <w:tcPr>
            <w:tcW w:w="847" w:type="pct"/>
            <w:vMerge w:val="restart"/>
            <w:tcBorders>
              <w:tl2br w:val="nil"/>
              <w:tr2bl w:val="nil"/>
            </w:tcBorders>
            <w:vAlign w:val="center"/>
          </w:tcPr>
          <w:p w14:paraId="3B0D53F5">
            <w:pPr>
              <w:pStyle w:val="78"/>
              <w:rPr>
                <w:rFonts w:hint="eastAsia" w:eastAsia="宋体"/>
                <w:snapToGrid w:val="0"/>
                <w:color w:val="auto"/>
                <w:lang w:val="en-US" w:eastAsia="zh-CN"/>
              </w:rPr>
            </w:pPr>
            <w:r>
              <w:rPr>
                <w:rFonts w:hint="eastAsia"/>
                <w:snapToGrid w:val="0"/>
                <w:color w:val="auto"/>
                <w:lang w:val="en-US" w:eastAsia="zh-CN"/>
              </w:rPr>
              <w:t>停车位</w:t>
            </w:r>
          </w:p>
        </w:tc>
        <w:tc>
          <w:tcPr>
            <w:tcW w:w="3082" w:type="pct"/>
            <w:tcBorders>
              <w:tl2br w:val="nil"/>
              <w:tr2bl w:val="nil"/>
            </w:tcBorders>
            <w:vAlign w:val="center"/>
          </w:tcPr>
          <w:p w14:paraId="095AC1F6">
            <w:pPr>
              <w:pStyle w:val="78"/>
              <w:jc w:val="left"/>
              <w:rPr>
                <w:rFonts w:hint="default" w:eastAsia="宋体"/>
                <w:color w:val="auto"/>
                <w:lang w:val="en-US" w:eastAsia="zh-CN"/>
              </w:rPr>
            </w:pPr>
            <w:r>
              <w:rPr>
                <w:rFonts w:hint="eastAsia"/>
                <w:color w:val="auto"/>
                <w:lang w:val="en-US" w:eastAsia="zh-CN"/>
              </w:rPr>
              <w:t>东：小客车停车位154个；西：小客车停车位153个</w:t>
            </w:r>
          </w:p>
        </w:tc>
        <w:tc>
          <w:tcPr>
            <w:tcW w:w="696" w:type="pct"/>
            <w:tcBorders>
              <w:tl2br w:val="nil"/>
              <w:tr2bl w:val="nil"/>
            </w:tcBorders>
            <w:vAlign w:val="center"/>
          </w:tcPr>
          <w:p w14:paraId="79CFB9AE">
            <w:pPr>
              <w:pStyle w:val="78"/>
              <w:rPr>
                <w:rFonts w:hint="eastAsia" w:eastAsia="宋体"/>
                <w:color w:val="auto"/>
                <w:lang w:val="en-US" w:eastAsia="zh-CN"/>
              </w:rPr>
            </w:pPr>
            <w:r>
              <w:rPr>
                <w:rFonts w:hint="eastAsia"/>
                <w:color w:val="auto"/>
                <w:lang w:val="en-US" w:eastAsia="zh-CN"/>
              </w:rPr>
              <w:t>重新划设</w:t>
            </w:r>
          </w:p>
        </w:tc>
      </w:tr>
      <w:tr w14:paraId="36611A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48D9DE31">
            <w:pPr>
              <w:pStyle w:val="78"/>
              <w:rPr>
                <w:color w:val="auto"/>
              </w:rPr>
            </w:pPr>
          </w:p>
        </w:tc>
        <w:tc>
          <w:tcPr>
            <w:tcW w:w="847" w:type="pct"/>
            <w:vMerge w:val="continue"/>
            <w:tcBorders>
              <w:tl2br w:val="nil"/>
              <w:tr2bl w:val="nil"/>
            </w:tcBorders>
            <w:vAlign w:val="center"/>
          </w:tcPr>
          <w:p w14:paraId="692DE0DB">
            <w:pPr>
              <w:pStyle w:val="78"/>
              <w:rPr>
                <w:snapToGrid w:val="0"/>
                <w:color w:val="auto"/>
              </w:rPr>
            </w:pPr>
          </w:p>
        </w:tc>
        <w:tc>
          <w:tcPr>
            <w:tcW w:w="3082" w:type="pct"/>
            <w:tcBorders>
              <w:tl2br w:val="nil"/>
              <w:tr2bl w:val="nil"/>
            </w:tcBorders>
            <w:vAlign w:val="center"/>
          </w:tcPr>
          <w:p w14:paraId="20181058">
            <w:pPr>
              <w:pStyle w:val="78"/>
              <w:jc w:val="left"/>
              <w:rPr>
                <w:rFonts w:hint="default" w:eastAsia="宋体"/>
                <w:color w:val="auto"/>
                <w:lang w:val="en-US" w:eastAsia="zh-CN"/>
              </w:rPr>
            </w:pPr>
            <w:r>
              <w:rPr>
                <w:rFonts w:hint="eastAsia"/>
                <w:color w:val="auto"/>
                <w:lang w:val="en-US" w:eastAsia="zh-CN"/>
              </w:rPr>
              <w:t>东：大客车停车位11个；西：大客车停车位8个</w:t>
            </w:r>
          </w:p>
        </w:tc>
        <w:tc>
          <w:tcPr>
            <w:tcW w:w="696" w:type="pct"/>
            <w:tcBorders>
              <w:tl2br w:val="nil"/>
              <w:tr2bl w:val="nil"/>
            </w:tcBorders>
            <w:vAlign w:val="center"/>
          </w:tcPr>
          <w:p w14:paraId="5637D1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重新划设</w:t>
            </w:r>
          </w:p>
        </w:tc>
      </w:tr>
      <w:tr w14:paraId="4A782B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464BD1FA">
            <w:pPr>
              <w:pStyle w:val="78"/>
              <w:rPr>
                <w:color w:val="auto"/>
              </w:rPr>
            </w:pPr>
          </w:p>
        </w:tc>
        <w:tc>
          <w:tcPr>
            <w:tcW w:w="847" w:type="pct"/>
            <w:vMerge w:val="continue"/>
            <w:tcBorders>
              <w:tl2br w:val="nil"/>
              <w:tr2bl w:val="nil"/>
            </w:tcBorders>
            <w:vAlign w:val="center"/>
          </w:tcPr>
          <w:p w14:paraId="65C32D53">
            <w:pPr>
              <w:pStyle w:val="78"/>
              <w:rPr>
                <w:snapToGrid w:val="0"/>
                <w:color w:val="auto"/>
              </w:rPr>
            </w:pPr>
          </w:p>
        </w:tc>
        <w:tc>
          <w:tcPr>
            <w:tcW w:w="3082" w:type="pct"/>
            <w:tcBorders>
              <w:tl2br w:val="nil"/>
              <w:tr2bl w:val="nil"/>
            </w:tcBorders>
            <w:vAlign w:val="center"/>
          </w:tcPr>
          <w:p w14:paraId="0BAEAA43">
            <w:pPr>
              <w:pStyle w:val="78"/>
              <w:jc w:val="left"/>
              <w:rPr>
                <w:rFonts w:hint="default" w:eastAsia="宋体"/>
                <w:color w:val="auto"/>
                <w:lang w:val="en-US" w:eastAsia="zh-CN"/>
              </w:rPr>
            </w:pPr>
            <w:r>
              <w:rPr>
                <w:rFonts w:hint="eastAsia"/>
                <w:color w:val="auto"/>
                <w:lang w:val="en-US" w:eastAsia="zh-CN"/>
              </w:rPr>
              <w:t>货车停车位72个</w:t>
            </w:r>
          </w:p>
        </w:tc>
        <w:tc>
          <w:tcPr>
            <w:tcW w:w="696" w:type="pct"/>
            <w:tcBorders>
              <w:tl2br w:val="nil"/>
              <w:tr2bl w:val="nil"/>
            </w:tcBorders>
            <w:vAlign w:val="center"/>
          </w:tcPr>
          <w:p w14:paraId="46C68F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重新划设</w:t>
            </w:r>
          </w:p>
        </w:tc>
      </w:tr>
      <w:tr w14:paraId="6F4CFF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7773ECAA">
            <w:pPr>
              <w:pStyle w:val="78"/>
              <w:rPr>
                <w:color w:val="auto"/>
              </w:rPr>
            </w:pPr>
          </w:p>
        </w:tc>
        <w:tc>
          <w:tcPr>
            <w:tcW w:w="847" w:type="pct"/>
            <w:vMerge w:val="continue"/>
            <w:tcBorders>
              <w:tl2br w:val="nil"/>
              <w:tr2bl w:val="nil"/>
            </w:tcBorders>
            <w:vAlign w:val="center"/>
          </w:tcPr>
          <w:p w14:paraId="57F05798">
            <w:pPr>
              <w:pStyle w:val="78"/>
              <w:rPr>
                <w:snapToGrid w:val="0"/>
                <w:color w:val="auto"/>
              </w:rPr>
            </w:pPr>
          </w:p>
        </w:tc>
        <w:tc>
          <w:tcPr>
            <w:tcW w:w="3082" w:type="pct"/>
            <w:tcBorders>
              <w:tl2br w:val="nil"/>
              <w:tr2bl w:val="nil"/>
            </w:tcBorders>
            <w:vAlign w:val="center"/>
          </w:tcPr>
          <w:p w14:paraId="26095F7A">
            <w:pPr>
              <w:pStyle w:val="78"/>
              <w:jc w:val="left"/>
              <w:rPr>
                <w:rFonts w:hint="eastAsia"/>
                <w:color w:val="auto"/>
                <w:lang w:val="en-US" w:eastAsia="zh-CN"/>
              </w:rPr>
            </w:pPr>
            <w:r>
              <w:rPr>
                <w:rFonts w:hint="eastAsia"/>
                <w:color w:val="auto"/>
                <w:lang w:val="en-US" w:eastAsia="zh-CN"/>
              </w:rPr>
              <w:t>超长停车位6个</w:t>
            </w:r>
          </w:p>
        </w:tc>
        <w:tc>
          <w:tcPr>
            <w:tcW w:w="696" w:type="pct"/>
            <w:tcBorders>
              <w:tl2br w:val="nil"/>
              <w:tr2bl w:val="nil"/>
            </w:tcBorders>
            <w:vAlign w:val="center"/>
          </w:tcPr>
          <w:p w14:paraId="76501C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重新划设</w:t>
            </w:r>
          </w:p>
        </w:tc>
      </w:tr>
      <w:tr w14:paraId="77C8EB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46533C83">
            <w:pPr>
              <w:pStyle w:val="78"/>
              <w:rPr>
                <w:color w:val="auto"/>
              </w:rPr>
            </w:pPr>
          </w:p>
        </w:tc>
        <w:tc>
          <w:tcPr>
            <w:tcW w:w="847" w:type="pct"/>
            <w:vMerge w:val="continue"/>
            <w:tcBorders>
              <w:tl2br w:val="nil"/>
              <w:tr2bl w:val="nil"/>
            </w:tcBorders>
            <w:vAlign w:val="center"/>
          </w:tcPr>
          <w:p w14:paraId="6F882FF9">
            <w:pPr>
              <w:pStyle w:val="78"/>
              <w:rPr>
                <w:snapToGrid w:val="0"/>
                <w:color w:val="auto"/>
              </w:rPr>
            </w:pPr>
          </w:p>
        </w:tc>
        <w:tc>
          <w:tcPr>
            <w:tcW w:w="3082" w:type="pct"/>
            <w:tcBorders>
              <w:tl2br w:val="nil"/>
              <w:tr2bl w:val="nil"/>
            </w:tcBorders>
            <w:vAlign w:val="center"/>
          </w:tcPr>
          <w:p w14:paraId="7E9DC938">
            <w:pPr>
              <w:pStyle w:val="78"/>
              <w:jc w:val="left"/>
              <w:rPr>
                <w:rFonts w:hint="default"/>
                <w:color w:val="auto"/>
                <w:lang w:val="en-US" w:eastAsia="zh-CN"/>
              </w:rPr>
            </w:pPr>
            <w:r>
              <w:rPr>
                <w:rFonts w:hint="eastAsia"/>
                <w:color w:val="auto"/>
                <w:lang w:val="en-US" w:eastAsia="zh-CN"/>
              </w:rPr>
              <w:t>危化品/畜牧车位6个</w:t>
            </w:r>
          </w:p>
        </w:tc>
        <w:tc>
          <w:tcPr>
            <w:tcW w:w="696" w:type="pct"/>
            <w:tcBorders>
              <w:tl2br w:val="nil"/>
              <w:tr2bl w:val="nil"/>
            </w:tcBorders>
            <w:vAlign w:val="center"/>
          </w:tcPr>
          <w:p w14:paraId="398E4E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重新划设</w:t>
            </w:r>
          </w:p>
        </w:tc>
      </w:tr>
      <w:tr w14:paraId="0D80C4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5A292DA7">
            <w:pPr>
              <w:pStyle w:val="78"/>
              <w:rPr>
                <w:color w:val="auto"/>
              </w:rPr>
            </w:pPr>
          </w:p>
        </w:tc>
        <w:tc>
          <w:tcPr>
            <w:tcW w:w="847" w:type="pct"/>
            <w:tcBorders>
              <w:tl2br w:val="nil"/>
              <w:tr2bl w:val="nil"/>
            </w:tcBorders>
            <w:vAlign w:val="center"/>
          </w:tcPr>
          <w:p w14:paraId="35CD5BB0">
            <w:pPr>
              <w:pStyle w:val="78"/>
              <w:rPr>
                <w:rFonts w:hint="default" w:eastAsia="宋体"/>
                <w:snapToGrid w:val="0"/>
                <w:color w:val="auto"/>
                <w:lang w:val="en-US" w:eastAsia="zh-CN"/>
              </w:rPr>
            </w:pPr>
            <w:r>
              <w:rPr>
                <w:rFonts w:hint="eastAsia"/>
                <w:snapToGrid w:val="0"/>
                <w:color w:val="auto"/>
                <w:lang w:val="en-US" w:eastAsia="zh-CN"/>
              </w:rPr>
              <w:t>充电停车位</w:t>
            </w:r>
          </w:p>
        </w:tc>
        <w:tc>
          <w:tcPr>
            <w:tcW w:w="3082" w:type="pct"/>
            <w:tcBorders>
              <w:tl2br w:val="nil"/>
              <w:tr2bl w:val="nil"/>
            </w:tcBorders>
            <w:shd w:val="clear" w:color="auto" w:fill="auto"/>
            <w:vAlign w:val="center"/>
          </w:tcPr>
          <w:p w14:paraId="62CC0733">
            <w:pPr>
              <w:pStyle w:val="78"/>
              <w:rPr>
                <w:rFonts w:hint="default" w:ascii="Times New Roman" w:hAnsi="Times New Roman" w:eastAsia="宋体" w:cs="Times New Roman"/>
                <w:color w:val="auto"/>
                <w:sz w:val="21"/>
                <w:szCs w:val="24"/>
                <w:lang w:val="en-US" w:eastAsia="zh-CN" w:bidi="ar-SA"/>
              </w:rPr>
            </w:pPr>
            <w:r>
              <w:rPr>
                <w:rFonts w:hint="eastAsia"/>
                <w:color w:val="auto"/>
                <w:lang w:val="en-US" w:eastAsia="zh-CN"/>
              </w:rPr>
              <w:t>充电停车位11个，含2个240kw充电桩，2个120kw充电桩</w:t>
            </w:r>
          </w:p>
        </w:tc>
        <w:tc>
          <w:tcPr>
            <w:tcW w:w="696" w:type="pct"/>
            <w:tcBorders>
              <w:tl2br w:val="nil"/>
              <w:tr2bl w:val="nil"/>
            </w:tcBorders>
            <w:shd w:val="clear" w:color="auto" w:fill="auto"/>
            <w:vAlign w:val="center"/>
          </w:tcPr>
          <w:p w14:paraId="4073C9AF">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新建</w:t>
            </w:r>
          </w:p>
        </w:tc>
      </w:tr>
      <w:tr w14:paraId="215EBD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6D278AE0">
            <w:pPr>
              <w:pStyle w:val="78"/>
              <w:rPr>
                <w:color w:val="auto"/>
              </w:rPr>
            </w:pPr>
          </w:p>
        </w:tc>
        <w:tc>
          <w:tcPr>
            <w:tcW w:w="847" w:type="pct"/>
            <w:tcBorders>
              <w:tl2br w:val="nil"/>
              <w:tr2bl w:val="nil"/>
            </w:tcBorders>
            <w:shd w:val="clear" w:color="auto" w:fill="auto"/>
            <w:vAlign w:val="center"/>
          </w:tcPr>
          <w:p w14:paraId="78787E39">
            <w:pPr>
              <w:pStyle w:val="78"/>
              <w:rPr>
                <w:rFonts w:hint="eastAsia" w:ascii="Times New Roman" w:hAnsi="Times New Roman" w:eastAsia="宋体" w:cs="Times New Roman"/>
                <w:snapToGrid w:val="0"/>
                <w:color w:val="auto"/>
                <w:sz w:val="21"/>
                <w:szCs w:val="24"/>
                <w:lang w:val="en-US" w:eastAsia="zh-CN" w:bidi="ar-SA"/>
              </w:rPr>
            </w:pPr>
            <w:r>
              <w:rPr>
                <w:rFonts w:hint="eastAsia"/>
                <w:snapToGrid w:val="0"/>
                <w:color w:val="auto"/>
                <w:lang w:val="en-US" w:eastAsia="zh-CN"/>
              </w:rPr>
              <w:t>货车充电车位</w:t>
            </w:r>
          </w:p>
        </w:tc>
        <w:tc>
          <w:tcPr>
            <w:tcW w:w="3082" w:type="pct"/>
            <w:tcBorders>
              <w:tl2br w:val="nil"/>
              <w:tr2bl w:val="nil"/>
            </w:tcBorders>
            <w:shd w:val="clear" w:color="auto" w:fill="auto"/>
            <w:vAlign w:val="center"/>
          </w:tcPr>
          <w:p w14:paraId="5CC4F2C0">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w:t>
            </w:r>
          </w:p>
        </w:tc>
        <w:tc>
          <w:tcPr>
            <w:tcW w:w="696" w:type="pct"/>
            <w:tcBorders>
              <w:tl2br w:val="nil"/>
              <w:tr2bl w:val="nil"/>
            </w:tcBorders>
            <w:shd w:val="clear" w:color="auto" w:fill="auto"/>
            <w:vAlign w:val="center"/>
          </w:tcPr>
          <w:p w14:paraId="16133291">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预留</w:t>
            </w:r>
          </w:p>
        </w:tc>
      </w:tr>
      <w:tr w14:paraId="0B9E74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20263443">
            <w:pPr>
              <w:pStyle w:val="78"/>
              <w:rPr>
                <w:color w:val="auto"/>
              </w:rPr>
            </w:pPr>
          </w:p>
        </w:tc>
        <w:tc>
          <w:tcPr>
            <w:tcW w:w="847" w:type="pct"/>
            <w:tcBorders>
              <w:tl2br w:val="nil"/>
              <w:tr2bl w:val="nil"/>
            </w:tcBorders>
            <w:shd w:val="clear" w:color="auto" w:fill="auto"/>
            <w:vAlign w:val="center"/>
          </w:tcPr>
          <w:p w14:paraId="49C32AA7">
            <w:pPr>
              <w:pStyle w:val="78"/>
              <w:rPr>
                <w:rFonts w:hint="eastAsia" w:ascii="Times New Roman" w:hAnsi="Times New Roman" w:eastAsia="宋体" w:cs="Times New Roman"/>
                <w:snapToGrid w:val="0"/>
                <w:color w:val="auto"/>
                <w:sz w:val="21"/>
                <w:szCs w:val="24"/>
                <w:lang w:val="en-US" w:eastAsia="zh-CN" w:bidi="ar-SA"/>
              </w:rPr>
            </w:pPr>
            <w:r>
              <w:rPr>
                <w:rFonts w:hint="eastAsia"/>
                <w:snapToGrid w:val="0"/>
                <w:color w:val="auto"/>
                <w:lang w:val="en-US" w:eastAsia="zh-CN"/>
              </w:rPr>
              <w:t>换电站</w:t>
            </w:r>
          </w:p>
        </w:tc>
        <w:tc>
          <w:tcPr>
            <w:tcW w:w="3082" w:type="pct"/>
            <w:tcBorders>
              <w:tl2br w:val="nil"/>
              <w:tr2bl w:val="nil"/>
            </w:tcBorders>
            <w:shd w:val="clear" w:color="auto" w:fill="auto"/>
            <w:vAlign w:val="center"/>
          </w:tcPr>
          <w:p w14:paraId="4A801D2F">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w:t>
            </w:r>
          </w:p>
        </w:tc>
        <w:tc>
          <w:tcPr>
            <w:tcW w:w="696" w:type="pct"/>
            <w:tcBorders>
              <w:tl2br w:val="nil"/>
              <w:tr2bl w:val="nil"/>
            </w:tcBorders>
            <w:shd w:val="clear" w:color="auto" w:fill="auto"/>
            <w:vAlign w:val="center"/>
          </w:tcPr>
          <w:p w14:paraId="6A5B9746">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预留</w:t>
            </w:r>
          </w:p>
        </w:tc>
      </w:tr>
      <w:tr w14:paraId="53848A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0A791E11">
            <w:pPr>
              <w:pStyle w:val="78"/>
              <w:rPr>
                <w:color w:val="auto"/>
              </w:rPr>
            </w:pPr>
          </w:p>
        </w:tc>
        <w:tc>
          <w:tcPr>
            <w:tcW w:w="847" w:type="pct"/>
            <w:tcBorders>
              <w:tl2br w:val="nil"/>
              <w:tr2bl w:val="nil"/>
            </w:tcBorders>
            <w:vAlign w:val="center"/>
          </w:tcPr>
          <w:p w14:paraId="557A0AF6">
            <w:pPr>
              <w:pStyle w:val="78"/>
              <w:rPr>
                <w:rFonts w:hint="default"/>
                <w:snapToGrid w:val="0"/>
                <w:color w:val="auto"/>
                <w:lang w:val="en-US" w:eastAsia="zh-CN"/>
              </w:rPr>
            </w:pPr>
            <w:r>
              <w:rPr>
                <w:rFonts w:hint="eastAsia"/>
                <w:snapToGrid w:val="0"/>
                <w:color w:val="auto"/>
                <w:lang w:val="en-US" w:eastAsia="zh-CN"/>
              </w:rPr>
              <w:t>尿素站</w:t>
            </w:r>
          </w:p>
        </w:tc>
        <w:tc>
          <w:tcPr>
            <w:tcW w:w="3082" w:type="pct"/>
            <w:tcBorders>
              <w:tl2br w:val="nil"/>
              <w:tr2bl w:val="nil"/>
            </w:tcBorders>
            <w:shd w:val="clear" w:color="auto" w:fill="auto"/>
            <w:vAlign w:val="center"/>
          </w:tcPr>
          <w:p w14:paraId="3A76CA41">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w:t>
            </w:r>
          </w:p>
        </w:tc>
        <w:tc>
          <w:tcPr>
            <w:tcW w:w="696" w:type="pct"/>
            <w:tcBorders>
              <w:tl2br w:val="nil"/>
              <w:tr2bl w:val="nil"/>
            </w:tcBorders>
            <w:shd w:val="clear" w:color="auto" w:fill="auto"/>
            <w:vAlign w:val="center"/>
          </w:tcPr>
          <w:p w14:paraId="475A7E3C">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预留</w:t>
            </w:r>
          </w:p>
        </w:tc>
      </w:tr>
      <w:tr w14:paraId="68DA88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restart"/>
            <w:tcBorders>
              <w:tl2br w:val="nil"/>
              <w:tr2bl w:val="nil"/>
            </w:tcBorders>
            <w:vAlign w:val="center"/>
          </w:tcPr>
          <w:p w14:paraId="47E6A8A1">
            <w:pPr>
              <w:pStyle w:val="78"/>
              <w:rPr>
                <w:color w:val="auto"/>
              </w:rPr>
            </w:pPr>
            <w:r>
              <w:rPr>
                <w:color w:val="auto"/>
              </w:rPr>
              <w:t>公用工程</w:t>
            </w:r>
          </w:p>
        </w:tc>
        <w:tc>
          <w:tcPr>
            <w:tcW w:w="847" w:type="pct"/>
            <w:tcBorders>
              <w:tl2br w:val="nil"/>
              <w:tr2bl w:val="nil"/>
            </w:tcBorders>
            <w:vAlign w:val="center"/>
          </w:tcPr>
          <w:p w14:paraId="76E014AF">
            <w:pPr>
              <w:pStyle w:val="78"/>
              <w:rPr>
                <w:rFonts w:hint="default" w:eastAsia="宋体"/>
                <w:color w:val="auto"/>
                <w:lang w:val="en-US" w:eastAsia="zh-CN"/>
              </w:rPr>
            </w:pPr>
            <w:r>
              <w:rPr>
                <w:rFonts w:hint="eastAsia"/>
                <w:color w:val="auto"/>
                <w:lang w:val="en-US" w:eastAsia="zh-CN"/>
              </w:rPr>
              <w:t>给排水</w:t>
            </w:r>
          </w:p>
        </w:tc>
        <w:tc>
          <w:tcPr>
            <w:tcW w:w="3082" w:type="pct"/>
            <w:tcBorders>
              <w:tl2br w:val="nil"/>
              <w:tr2bl w:val="nil"/>
            </w:tcBorders>
            <w:vAlign w:val="center"/>
          </w:tcPr>
          <w:p w14:paraId="4E257318">
            <w:pPr>
              <w:pStyle w:val="78"/>
              <w:jc w:val="both"/>
              <w:rPr>
                <w:rFonts w:hint="default" w:eastAsia="宋体"/>
                <w:color w:val="auto"/>
                <w:lang w:val="en-US" w:eastAsia="zh-CN"/>
              </w:rPr>
            </w:pPr>
            <w:r>
              <w:rPr>
                <w:rFonts w:hint="eastAsia"/>
                <w:color w:val="auto"/>
                <w:lang w:val="en-US" w:eastAsia="zh-CN"/>
              </w:rPr>
              <w:t>拟重新规划布设给、排水管线</w:t>
            </w:r>
          </w:p>
        </w:tc>
        <w:tc>
          <w:tcPr>
            <w:tcW w:w="696" w:type="pct"/>
            <w:vMerge w:val="restart"/>
            <w:tcBorders>
              <w:tl2br w:val="nil"/>
              <w:tr2bl w:val="nil"/>
            </w:tcBorders>
            <w:vAlign w:val="center"/>
          </w:tcPr>
          <w:p w14:paraId="2DA688CA">
            <w:pPr>
              <w:pStyle w:val="78"/>
              <w:rPr>
                <w:rFonts w:hint="eastAsia" w:eastAsia="宋体"/>
                <w:color w:val="auto"/>
                <w:lang w:eastAsia="zh-CN"/>
              </w:rPr>
            </w:pPr>
            <w:r>
              <w:rPr>
                <w:rFonts w:hint="eastAsia"/>
                <w:color w:val="auto"/>
                <w:lang w:val="en-US" w:eastAsia="zh-CN"/>
              </w:rPr>
              <w:t>重建</w:t>
            </w:r>
          </w:p>
        </w:tc>
      </w:tr>
      <w:tr w14:paraId="545ECD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3E2A6B36">
            <w:pPr>
              <w:pStyle w:val="78"/>
              <w:rPr>
                <w:color w:val="auto"/>
              </w:rPr>
            </w:pPr>
          </w:p>
        </w:tc>
        <w:tc>
          <w:tcPr>
            <w:tcW w:w="847" w:type="pct"/>
            <w:tcBorders>
              <w:tl2br w:val="nil"/>
              <w:tr2bl w:val="nil"/>
            </w:tcBorders>
            <w:vAlign w:val="center"/>
          </w:tcPr>
          <w:p w14:paraId="10C5F83F">
            <w:pPr>
              <w:pStyle w:val="78"/>
              <w:rPr>
                <w:rFonts w:hint="default" w:eastAsia="宋体"/>
                <w:color w:val="auto"/>
                <w:lang w:val="en-US" w:eastAsia="zh-CN"/>
              </w:rPr>
            </w:pPr>
            <w:r>
              <w:rPr>
                <w:rFonts w:hint="eastAsia"/>
                <w:color w:val="auto"/>
                <w:lang w:val="en-US" w:eastAsia="zh-CN"/>
              </w:rPr>
              <w:t>污水处理</w:t>
            </w:r>
          </w:p>
        </w:tc>
        <w:tc>
          <w:tcPr>
            <w:tcW w:w="3082" w:type="pct"/>
            <w:tcBorders>
              <w:tl2br w:val="nil"/>
              <w:tr2bl w:val="nil"/>
            </w:tcBorders>
            <w:vAlign w:val="center"/>
          </w:tcPr>
          <w:p w14:paraId="60704B26">
            <w:pPr>
              <w:pStyle w:val="78"/>
              <w:jc w:val="both"/>
              <w:rPr>
                <w:rFonts w:hint="default" w:eastAsia="宋体"/>
                <w:color w:val="auto"/>
                <w:lang w:val="en-US" w:eastAsia="zh-CN"/>
              </w:rPr>
            </w:pPr>
            <w:r>
              <w:rPr>
                <w:rFonts w:hint="eastAsia"/>
                <w:color w:val="auto"/>
                <w:lang w:val="en-US" w:eastAsia="zh-CN"/>
              </w:rPr>
              <w:t>拟设置污水处理设施</w:t>
            </w:r>
          </w:p>
        </w:tc>
        <w:tc>
          <w:tcPr>
            <w:tcW w:w="696" w:type="pct"/>
            <w:vMerge w:val="continue"/>
            <w:tcBorders>
              <w:tl2br w:val="nil"/>
              <w:tr2bl w:val="nil"/>
            </w:tcBorders>
            <w:vAlign w:val="center"/>
          </w:tcPr>
          <w:p w14:paraId="22CEEDF0">
            <w:pPr>
              <w:pStyle w:val="78"/>
              <w:rPr>
                <w:rFonts w:hint="eastAsia"/>
                <w:color w:val="auto"/>
                <w:lang w:val="en-US" w:eastAsia="zh-CN"/>
              </w:rPr>
            </w:pPr>
          </w:p>
        </w:tc>
      </w:tr>
      <w:tr w14:paraId="316D27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44AFE17D">
            <w:pPr>
              <w:pStyle w:val="78"/>
              <w:rPr>
                <w:color w:val="auto"/>
              </w:rPr>
            </w:pPr>
          </w:p>
        </w:tc>
        <w:tc>
          <w:tcPr>
            <w:tcW w:w="847" w:type="pct"/>
            <w:tcBorders>
              <w:tl2br w:val="nil"/>
              <w:tr2bl w:val="nil"/>
            </w:tcBorders>
            <w:shd w:val="clear" w:color="auto" w:fill="auto"/>
            <w:vAlign w:val="center"/>
          </w:tcPr>
          <w:p w14:paraId="2A0BB2EE">
            <w:pPr>
              <w:pStyle w:val="78"/>
              <w:rPr>
                <w:rFonts w:ascii="Times New Roman" w:hAnsi="Times New Roman" w:eastAsia="宋体" w:cs="Times New Roman"/>
                <w:color w:val="auto"/>
                <w:sz w:val="21"/>
                <w:szCs w:val="24"/>
                <w:lang w:val="en-US" w:eastAsia="zh-CN" w:bidi="ar-SA"/>
              </w:rPr>
            </w:pPr>
            <w:r>
              <w:rPr>
                <w:color w:val="auto"/>
              </w:rPr>
              <w:t>供电系统</w:t>
            </w:r>
          </w:p>
        </w:tc>
        <w:tc>
          <w:tcPr>
            <w:tcW w:w="3082" w:type="pct"/>
            <w:tcBorders>
              <w:tl2br w:val="nil"/>
              <w:tr2bl w:val="nil"/>
            </w:tcBorders>
            <w:shd w:val="clear" w:color="auto" w:fill="auto"/>
            <w:vAlign w:val="center"/>
          </w:tcPr>
          <w:p w14:paraId="7ECBEA4A">
            <w:pPr>
              <w:pStyle w:val="78"/>
              <w:jc w:val="both"/>
              <w:rPr>
                <w:rFonts w:hint="eastAsia" w:ascii="Times New Roman" w:hAnsi="Times New Roman" w:eastAsia="宋体" w:cs="Times New Roman"/>
                <w:color w:val="auto"/>
                <w:sz w:val="21"/>
                <w:szCs w:val="24"/>
                <w:lang w:val="en-US" w:eastAsia="zh-CN" w:bidi="ar-SA"/>
              </w:rPr>
            </w:pPr>
            <w:r>
              <w:rPr>
                <w:color w:val="auto"/>
              </w:rPr>
              <w:t>由</w:t>
            </w:r>
            <w:r>
              <w:rPr>
                <w:rFonts w:hint="eastAsia"/>
                <w:color w:val="auto"/>
                <w:lang w:val="en-US" w:eastAsia="zh-CN"/>
              </w:rPr>
              <w:t>当地</w:t>
            </w:r>
            <w:r>
              <w:rPr>
                <w:color w:val="auto"/>
              </w:rPr>
              <w:t>110KV变电站引来两路10KV高压电源</w:t>
            </w:r>
            <w:r>
              <w:rPr>
                <w:rFonts w:hint="eastAsia"/>
                <w:color w:val="auto"/>
                <w:lang w:val="en-US" w:eastAsia="zh-CN"/>
              </w:rPr>
              <w:t>埋地敷设至公用工程间的变配电间高压配电柜，降压后埋地敷设至配电柜通过电缆埋地敷设至各用电点</w:t>
            </w:r>
          </w:p>
        </w:tc>
        <w:tc>
          <w:tcPr>
            <w:tcW w:w="696" w:type="pct"/>
            <w:vMerge w:val="continue"/>
            <w:tcBorders>
              <w:tl2br w:val="nil"/>
              <w:tr2bl w:val="nil"/>
            </w:tcBorders>
            <w:vAlign w:val="center"/>
          </w:tcPr>
          <w:p w14:paraId="6FAA80C5">
            <w:pPr>
              <w:pStyle w:val="78"/>
              <w:rPr>
                <w:rFonts w:hint="eastAsia"/>
                <w:color w:val="auto"/>
                <w:lang w:val="en-US" w:eastAsia="zh-CN"/>
              </w:rPr>
            </w:pPr>
          </w:p>
        </w:tc>
      </w:tr>
      <w:tr w14:paraId="602E51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7A4C9D6E">
            <w:pPr>
              <w:pStyle w:val="78"/>
              <w:rPr>
                <w:color w:val="auto"/>
              </w:rPr>
            </w:pPr>
          </w:p>
        </w:tc>
        <w:tc>
          <w:tcPr>
            <w:tcW w:w="847" w:type="pct"/>
            <w:tcBorders>
              <w:tl2br w:val="nil"/>
              <w:tr2bl w:val="nil"/>
            </w:tcBorders>
            <w:shd w:val="clear" w:color="auto" w:fill="auto"/>
            <w:vAlign w:val="center"/>
          </w:tcPr>
          <w:p w14:paraId="7FBA8005">
            <w:pPr>
              <w:pStyle w:val="78"/>
              <w:rPr>
                <w:rFonts w:hint="default" w:eastAsia="宋体"/>
                <w:color w:val="auto"/>
                <w:lang w:val="en-US" w:eastAsia="zh-CN"/>
              </w:rPr>
            </w:pPr>
            <w:r>
              <w:rPr>
                <w:rFonts w:hint="eastAsia"/>
                <w:color w:val="auto"/>
                <w:lang w:val="en-US" w:eastAsia="zh-CN"/>
              </w:rPr>
              <w:t>供气系统</w:t>
            </w:r>
          </w:p>
        </w:tc>
        <w:tc>
          <w:tcPr>
            <w:tcW w:w="3082" w:type="pct"/>
            <w:tcBorders>
              <w:tl2br w:val="nil"/>
              <w:tr2bl w:val="nil"/>
            </w:tcBorders>
            <w:shd w:val="clear" w:color="auto" w:fill="auto"/>
            <w:vAlign w:val="center"/>
          </w:tcPr>
          <w:p w14:paraId="5569B64E">
            <w:pPr>
              <w:pStyle w:val="78"/>
              <w:jc w:val="both"/>
              <w:rPr>
                <w:rFonts w:hint="default" w:eastAsia="宋体"/>
                <w:color w:val="auto"/>
                <w:lang w:val="en-US" w:eastAsia="zh-CN"/>
              </w:rPr>
            </w:pPr>
            <w:r>
              <w:rPr>
                <w:rFonts w:hint="eastAsia"/>
                <w:color w:val="auto"/>
                <w:lang w:val="en-US" w:eastAsia="zh-CN"/>
              </w:rPr>
              <w:t>该项目拟不设置燃气管网，综合楼餐饮拟采用电能。</w:t>
            </w:r>
          </w:p>
        </w:tc>
        <w:tc>
          <w:tcPr>
            <w:tcW w:w="696" w:type="pct"/>
            <w:tcBorders>
              <w:tl2br w:val="nil"/>
              <w:tr2bl w:val="nil"/>
            </w:tcBorders>
            <w:vAlign w:val="center"/>
          </w:tcPr>
          <w:p w14:paraId="7DAB553A">
            <w:pPr>
              <w:pStyle w:val="78"/>
              <w:rPr>
                <w:rFonts w:hint="default"/>
                <w:color w:val="auto"/>
                <w:lang w:val="en-US" w:eastAsia="zh-CN"/>
              </w:rPr>
            </w:pPr>
            <w:r>
              <w:rPr>
                <w:rFonts w:hint="eastAsia"/>
                <w:color w:val="auto"/>
                <w:lang w:val="en-US" w:eastAsia="zh-CN"/>
              </w:rPr>
              <w:t>-</w:t>
            </w:r>
          </w:p>
        </w:tc>
      </w:tr>
      <w:tr w14:paraId="368BFA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000" w:type="pct"/>
            <w:gridSpan w:val="4"/>
            <w:tcBorders>
              <w:tl2br w:val="nil"/>
              <w:tr2bl w:val="nil"/>
            </w:tcBorders>
            <w:vAlign w:val="center"/>
          </w:tcPr>
          <w:p w14:paraId="413FF850">
            <w:pPr>
              <w:pStyle w:val="78"/>
              <w:rPr>
                <w:rFonts w:hint="default" w:eastAsia="宋体"/>
                <w:b/>
                <w:bCs/>
                <w:color w:val="auto"/>
                <w:lang w:val="en-US" w:eastAsia="zh-CN"/>
              </w:rPr>
            </w:pPr>
            <w:r>
              <w:rPr>
                <w:rFonts w:hint="eastAsia"/>
                <w:b/>
                <w:bCs/>
                <w:color w:val="auto"/>
                <w:lang w:val="en-US" w:eastAsia="zh-CN"/>
              </w:rPr>
              <w:t>西服务区</w:t>
            </w:r>
          </w:p>
        </w:tc>
      </w:tr>
      <w:tr w14:paraId="22276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374" w:type="pct"/>
            <w:tcBorders>
              <w:tl2br w:val="nil"/>
              <w:tr2bl w:val="nil"/>
            </w:tcBorders>
            <w:vAlign w:val="center"/>
          </w:tcPr>
          <w:p w14:paraId="58C263EC">
            <w:pPr>
              <w:pStyle w:val="78"/>
              <w:rPr>
                <w:color w:val="auto"/>
              </w:rPr>
            </w:pPr>
            <w:r>
              <w:rPr>
                <w:color w:val="auto"/>
              </w:rPr>
              <w:t>主体工程</w:t>
            </w:r>
          </w:p>
        </w:tc>
        <w:tc>
          <w:tcPr>
            <w:tcW w:w="847" w:type="pct"/>
            <w:tcBorders>
              <w:tl2br w:val="nil"/>
              <w:tr2bl w:val="nil"/>
            </w:tcBorders>
            <w:vAlign w:val="center"/>
          </w:tcPr>
          <w:p w14:paraId="74DBF624">
            <w:pPr>
              <w:pStyle w:val="78"/>
              <w:rPr>
                <w:rFonts w:hint="eastAsia" w:eastAsia="宋体"/>
                <w:color w:val="auto"/>
                <w:lang w:eastAsia="zh-CN"/>
              </w:rPr>
            </w:pPr>
            <w:r>
              <w:rPr>
                <w:rFonts w:hint="eastAsia"/>
                <w:snapToGrid w:val="0"/>
                <w:color w:val="auto"/>
                <w:lang w:val="en-US" w:eastAsia="zh-CN"/>
              </w:rPr>
              <w:t>综合楼</w:t>
            </w:r>
          </w:p>
        </w:tc>
        <w:tc>
          <w:tcPr>
            <w:tcW w:w="3082" w:type="pct"/>
            <w:tcBorders>
              <w:tl2br w:val="nil"/>
              <w:tr2bl w:val="nil"/>
            </w:tcBorders>
            <w:vAlign w:val="center"/>
          </w:tcPr>
          <w:p w14:paraId="3CA6AAD8">
            <w:pPr>
              <w:pStyle w:val="78"/>
              <w:jc w:val="both"/>
              <w:rPr>
                <w:rFonts w:hint="default" w:eastAsia="宋体"/>
                <w:color w:val="auto"/>
                <w:lang w:val="en-US" w:eastAsia="zh-CN"/>
              </w:rPr>
            </w:pPr>
            <w:r>
              <w:rPr>
                <w:rFonts w:hint="eastAsia"/>
                <w:color w:val="auto"/>
                <w:lang w:val="en-US" w:eastAsia="zh-CN"/>
              </w:rPr>
              <w:t>拟设餐厅、客服中心、开水间、消防控制及监控室、通信机房、配电间、厨房、超市、卫生间等功能分区</w:t>
            </w:r>
          </w:p>
        </w:tc>
        <w:tc>
          <w:tcPr>
            <w:tcW w:w="696" w:type="pct"/>
            <w:tcBorders>
              <w:tl2br w:val="nil"/>
              <w:tr2bl w:val="nil"/>
            </w:tcBorders>
            <w:vAlign w:val="center"/>
          </w:tcPr>
          <w:p w14:paraId="0E99B3D4">
            <w:pPr>
              <w:pStyle w:val="78"/>
              <w:rPr>
                <w:rFonts w:hint="eastAsia" w:eastAsia="宋体"/>
                <w:color w:val="auto"/>
                <w:lang w:eastAsia="zh-CN"/>
              </w:rPr>
            </w:pPr>
            <w:r>
              <w:rPr>
                <w:rFonts w:hint="eastAsia"/>
                <w:color w:val="auto"/>
                <w:lang w:val="en-US" w:eastAsia="zh-CN"/>
              </w:rPr>
              <w:t>重建</w:t>
            </w:r>
          </w:p>
        </w:tc>
      </w:tr>
      <w:tr w14:paraId="1BAD6B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restart"/>
            <w:tcBorders>
              <w:tl2br w:val="nil"/>
              <w:tr2bl w:val="nil"/>
            </w:tcBorders>
            <w:vAlign w:val="center"/>
          </w:tcPr>
          <w:p w14:paraId="43C6561A">
            <w:pPr>
              <w:pStyle w:val="78"/>
              <w:rPr>
                <w:color w:val="auto"/>
              </w:rPr>
            </w:pPr>
            <w:r>
              <w:rPr>
                <w:color w:val="auto"/>
              </w:rPr>
              <w:t>辅助工程</w:t>
            </w:r>
          </w:p>
        </w:tc>
        <w:tc>
          <w:tcPr>
            <w:tcW w:w="847" w:type="pct"/>
            <w:tcBorders>
              <w:tl2br w:val="nil"/>
              <w:tr2bl w:val="nil"/>
            </w:tcBorders>
            <w:shd w:val="clear" w:color="auto" w:fill="auto"/>
            <w:vAlign w:val="center"/>
          </w:tcPr>
          <w:p w14:paraId="7C23A473">
            <w:pPr>
              <w:pStyle w:val="78"/>
              <w:rPr>
                <w:rFonts w:hint="eastAsia" w:ascii="Times New Roman" w:hAnsi="Times New Roman" w:eastAsia="宋体" w:cs="Times New Roman"/>
                <w:color w:val="auto"/>
                <w:sz w:val="21"/>
                <w:szCs w:val="24"/>
                <w:lang w:val="en-US" w:eastAsia="zh-CN" w:bidi="ar-SA"/>
              </w:rPr>
            </w:pPr>
            <w:r>
              <w:rPr>
                <w:rFonts w:hint="eastAsia"/>
                <w:snapToGrid w:val="0"/>
                <w:color w:val="auto"/>
                <w:lang w:val="en-US" w:eastAsia="zh-CN"/>
              </w:rPr>
              <w:t>修车库</w:t>
            </w:r>
          </w:p>
        </w:tc>
        <w:tc>
          <w:tcPr>
            <w:tcW w:w="3082" w:type="pct"/>
            <w:tcBorders>
              <w:tl2br w:val="nil"/>
              <w:tr2bl w:val="nil"/>
            </w:tcBorders>
            <w:shd w:val="clear" w:color="auto" w:fill="auto"/>
            <w:vAlign w:val="center"/>
          </w:tcPr>
          <w:p w14:paraId="71A2A29D">
            <w:pPr>
              <w:pStyle w:val="78"/>
              <w:jc w:val="both"/>
              <w:rPr>
                <w:rFonts w:hint="default" w:ascii="Times New Roman" w:hAnsi="Times New Roman" w:eastAsia="宋体" w:cs="Times New Roman"/>
                <w:color w:val="auto"/>
                <w:sz w:val="21"/>
                <w:szCs w:val="24"/>
                <w:lang w:val="en-US" w:eastAsia="zh-CN" w:bidi="ar-SA"/>
              </w:rPr>
            </w:pPr>
            <w:r>
              <w:rPr>
                <w:rFonts w:hint="eastAsia"/>
                <w:color w:val="auto"/>
                <w:lang w:val="en-US" w:eastAsia="zh-CN"/>
              </w:rPr>
              <w:t>拟设置修理车间、机加间、休息间、配件库等功能开间</w:t>
            </w:r>
          </w:p>
        </w:tc>
        <w:tc>
          <w:tcPr>
            <w:tcW w:w="696" w:type="pct"/>
            <w:tcBorders>
              <w:tl2br w:val="nil"/>
              <w:tr2bl w:val="nil"/>
            </w:tcBorders>
            <w:shd w:val="clear" w:color="auto" w:fill="auto"/>
            <w:vAlign w:val="center"/>
          </w:tcPr>
          <w:p w14:paraId="0D8C1185">
            <w:pPr>
              <w:pStyle w:val="78"/>
              <w:rPr>
                <w:rFonts w:ascii="Times New Roman" w:hAnsi="Times New Roman" w:eastAsia="宋体" w:cs="Times New Roman"/>
                <w:color w:val="auto"/>
                <w:sz w:val="21"/>
                <w:szCs w:val="24"/>
                <w:lang w:val="en-US" w:eastAsia="zh-CN" w:bidi="ar-SA"/>
              </w:rPr>
            </w:pPr>
            <w:r>
              <w:rPr>
                <w:rFonts w:hint="eastAsia"/>
                <w:color w:val="auto"/>
                <w:lang w:val="en-US" w:eastAsia="zh-CN"/>
              </w:rPr>
              <w:t>重建</w:t>
            </w:r>
          </w:p>
        </w:tc>
      </w:tr>
      <w:tr w14:paraId="4707D9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1036FCB7">
            <w:pPr>
              <w:pStyle w:val="78"/>
              <w:rPr>
                <w:color w:val="auto"/>
              </w:rPr>
            </w:pPr>
          </w:p>
        </w:tc>
        <w:tc>
          <w:tcPr>
            <w:tcW w:w="847" w:type="pct"/>
            <w:tcBorders>
              <w:tl2br w:val="nil"/>
              <w:tr2bl w:val="nil"/>
            </w:tcBorders>
            <w:shd w:val="clear" w:color="auto" w:fill="auto"/>
            <w:vAlign w:val="center"/>
          </w:tcPr>
          <w:p w14:paraId="69D29BF7">
            <w:pPr>
              <w:pStyle w:val="78"/>
              <w:rPr>
                <w:rFonts w:hint="default" w:ascii="Times New Roman" w:hAnsi="Times New Roman" w:eastAsia="宋体" w:cs="Times New Roman"/>
                <w:snapToGrid w:val="0"/>
                <w:color w:val="auto"/>
                <w:sz w:val="21"/>
                <w:szCs w:val="24"/>
                <w:lang w:val="en-US" w:eastAsia="zh-CN" w:bidi="ar-SA"/>
              </w:rPr>
            </w:pPr>
            <w:r>
              <w:rPr>
                <w:rFonts w:hint="eastAsia"/>
                <w:snapToGrid w:val="0"/>
                <w:color w:val="auto"/>
                <w:lang w:val="en-US" w:eastAsia="zh-CN"/>
              </w:rPr>
              <w:t>设备房</w:t>
            </w:r>
          </w:p>
        </w:tc>
        <w:tc>
          <w:tcPr>
            <w:tcW w:w="3082" w:type="pct"/>
            <w:tcBorders>
              <w:tl2br w:val="nil"/>
              <w:tr2bl w:val="nil"/>
            </w:tcBorders>
            <w:shd w:val="clear" w:color="auto" w:fill="auto"/>
            <w:vAlign w:val="center"/>
          </w:tcPr>
          <w:p w14:paraId="7FCAA188">
            <w:pPr>
              <w:pStyle w:val="78"/>
              <w:jc w:val="both"/>
              <w:rPr>
                <w:rFonts w:hint="default" w:ascii="Times New Roman" w:hAnsi="Times New Roman" w:eastAsia="宋体" w:cs="Times New Roman"/>
                <w:color w:val="auto"/>
                <w:sz w:val="21"/>
                <w:szCs w:val="24"/>
                <w:lang w:val="en-US" w:eastAsia="zh-CN" w:bidi="ar-SA"/>
              </w:rPr>
            </w:pPr>
            <w:r>
              <w:rPr>
                <w:rFonts w:hint="eastAsia"/>
                <w:color w:val="auto"/>
                <w:lang w:val="en-US" w:eastAsia="zh-CN"/>
              </w:rPr>
              <w:t>拟设置发电机房及储油间、变电房、生活水泵房及45m</w:t>
            </w:r>
            <w:r>
              <w:rPr>
                <w:rFonts w:hint="eastAsia"/>
                <w:color w:val="auto"/>
                <w:vertAlign w:val="superscript"/>
                <w:lang w:val="en-US" w:eastAsia="zh-CN"/>
              </w:rPr>
              <w:t>3</w:t>
            </w:r>
            <w:r>
              <w:rPr>
                <w:rFonts w:hint="eastAsia"/>
                <w:color w:val="auto"/>
                <w:vertAlign w:val="baseline"/>
                <w:lang w:val="en-US" w:eastAsia="zh-CN"/>
              </w:rPr>
              <w:t>生活水池、消防泵房及有效容积为506m</w:t>
            </w:r>
            <w:r>
              <w:rPr>
                <w:rFonts w:hint="eastAsia"/>
                <w:color w:val="auto"/>
                <w:vertAlign w:val="superscript"/>
                <w:lang w:val="en-US" w:eastAsia="zh-CN"/>
              </w:rPr>
              <w:t>3</w:t>
            </w:r>
            <w:r>
              <w:rPr>
                <w:rFonts w:hint="eastAsia"/>
                <w:color w:val="auto"/>
                <w:vertAlign w:val="baseline"/>
                <w:lang w:val="en-US" w:eastAsia="zh-CN"/>
              </w:rPr>
              <w:t>的消防水池等</w:t>
            </w:r>
          </w:p>
        </w:tc>
        <w:tc>
          <w:tcPr>
            <w:tcW w:w="696" w:type="pct"/>
            <w:tcBorders>
              <w:tl2br w:val="nil"/>
              <w:tr2bl w:val="nil"/>
            </w:tcBorders>
            <w:shd w:val="clear" w:color="auto" w:fill="auto"/>
            <w:vAlign w:val="center"/>
          </w:tcPr>
          <w:p w14:paraId="554D5E88">
            <w:pPr>
              <w:pStyle w:val="78"/>
              <w:rPr>
                <w:rFonts w:hint="default" w:ascii="Times New Roman" w:hAnsi="Times New Roman" w:eastAsia="宋体" w:cs="Times New Roman"/>
                <w:color w:val="auto"/>
                <w:sz w:val="21"/>
                <w:szCs w:val="24"/>
                <w:lang w:val="en-US" w:eastAsia="zh-CN" w:bidi="ar-SA"/>
              </w:rPr>
            </w:pPr>
            <w:r>
              <w:rPr>
                <w:rFonts w:hint="eastAsia"/>
                <w:color w:val="auto"/>
                <w:lang w:val="en-US" w:eastAsia="zh-CN"/>
              </w:rPr>
              <w:t>重建</w:t>
            </w:r>
          </w:p>
        </w:tc>
      </w:tr>
      <w:tr w14:paraId="712264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3A124B6B">
            <w:pPr>
              <w:pStyle w:val="78"/>
              <w:rPr>
                <w:color w:val="auto"/>
              </w:rPr>
            </w:pPr>
          </w:p>
        </w:tc>
        <w:tc>
          <w:tcPr>
            <w:tcW w:w="847" w:type="pct"/>
            <w:tcBorders>
              <w:tl2br w:val="nil"/>
              <w:tr2bl w:val="nil"/>
            </w:tcBorders>
            <w:shd w:val="clear" w:color="auto" w:fill="auto"/>
            <w:vAlign w:val="center"/>
          </w:tcPr>
          <w:p w14:paraId="68611FA2">
            <w:pPr>
              <w:pStyle w:val="78"/>
              <w:rPr>
                <w:rFonts w:hint="eastAsia" w:ascii="Times New Roman" w:hAnsi="Times New Roman" w:eastAsia="宋体" w:cs="Times New Roman"/>
                <w:snapToGrid w:val="0"/>
                <w:color w:val="auto"/>
                <w:sz w:val="21"/>
                <w:szCs w:val="24"/>
                <w:lang w:val="en-US" w:eastAsia="zh-CN" w:bidi="ar-SA"/>
              </w:rPr>
            </w:pPr>
            <w:r>
              <w:rPr>
                <w:rFonts w:hint="eastAsia"/>
                <w:snapToGrid w:val="0"/>
                <w:color w:val="auto"/>
                <w:lang w:val="en-US" w:eastAsia="zh-CN"/>
              </w:rPr>
              <w:t>两室</w:t>
            </w:r>
          </w:p>
        </w:tc>
        <w:tc>
          <w:tcPr>
            <w:tcW w:w="3082" w:type="pct"/>
            <w:tcBorders>
              <w:tl2br w:val="nil"/>
              <w:tr2bl w:val="nil"/>
            </w:tcBorders>
            <w:shd w:val="clear" w:color="auto" w:fill="auto"/>
            <w:vAlign w:val="center"/>
          </w:tcPr>
          <w:p w14:paraId="14A8B12D">
            <w:pPr>
              <w:pStyle w:val="78"/>
              <w:jc w:val="both"/>
              <w:rPr>
                <w:rFonts w:hint="eastAsia" w:ascii="Times New Roman" w:hAnsi="Times New Roman" w:eastAsia="宋体" w:cs="Times New Roman"/>
                <w:color w:val="auto"/>
                <w:sz w:val="21"/>
                <w:szCs w:val="24"/>
                <w:lang w:val="en-US" w:eastAsia="zh-CN" w:bidi="ar-SA"/>
              </w:rPr>
            </w:pPr>
            <w:r>
              <w:rPr>
                <w:rFonts w:hint="eastAsia"/>
                <w:color w:val="auto"/>
                <w:lang w:val="en-US" w:eastAsia="zh-CN"/>
              </w:rPr>
              <w:t>拟设置警务室、交通执法服务室</w:t>
            </w:r>
          </w:p>
        </w:tc>
        <w:tc>
          <w:tcPr>
            <w:tcW w:w="696" w:type="pct"/>
            <w:tcBorders>
              <w:tl2br w:val="nil"/>
              <w:tr2bl w:val="nil"/>
            </w:tcBorders>
            <w:shd w:val="clear" w:color="auto" w:fill="auto"/>
            <w:vAlign w:val="center"/>
          </w:tcPr>
          <w:p w14:paraId="04E04DAC">
            <w:pPr>
              <w:pStyle w:val="78"/>
              <w:rPr>
                <w:rFonts w:hint="default" w:ascii="Times New Roman" w:hAnsi="Times New Roman" w:eastAsia="宋体" w:cs="Times New Roman"/>
                <w:color w:val="auto"/>
                <w:sz w:val="21"/>
                <w:szCs w:val="24"/>
                <w:lang w:val="en-US" w:eastAsia="zh-CN" w:bidi="ar-SA"/>
              </w:rPr>
            </w:pPr>
            <w:r>
              <w:rPr>
                <w:color w:val="auto"/>
              </w:rPr>
              <w:t>新建</w:t>
            </w:r>
            <w:r>
              <w:rPr>
                <w:rFonts w:hint="eastAsia"/>
                <w:color w:val="auto"/>
                <w:lang w:eastAsia="zh-CN"/>
              </w:rPr>
              <w:t>，</w:t>
            </w:r>
            <w:r>
              <w:rPr>
                <w:rFonts w:hint="eastAsia"/>
                <w:color w:val="auto"/>
                <w:lang w:val="en-US" w:eastAsia="zh-CN"/>
              </w:rPr>
              <w:t>位于西区</w:t>
            </w:r>
          </w:p>
        </w:tc>
      </w:tr>
      <w:tr w14:paraId="4CAED7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65675AF6">
            <w:pPr>
              <w:pStyle w:val="78"/>
              <w:rPr>
                <w:color w:val="auto"/>
              </w:rPr>
            </w:pPr>
          </w:p>
        </w:tc>
        <w:tc>
          <w:tcPr>
            <w:tcW w:w="847" w:type="pct"/>
            <w:tcBorders>
              <w:tl2br w:val="nil"/>
              <w:tr2bl w:val="nil"/>
            </w:tcBorders>
            <w:shd w:val="clear" w:color="auto" w:fill="auto"/>
            <w:vAlign w:val="center"/>
          </w:tcPr>
          <w:p w14:paraId="5BE9976B">
            <w:pPr>
              <w:pStyle w:val="78"/>
              <w:rPr>
                <w:rFonts w:hint="eastAsia" w:ascii="Times New Roman" w:hAnsi="Times New Roman" w:eastAsia="宋体" w:cs="Times New Roman"/>
                <w:snapToGrid w:val="0"/>
                <w:color w:val="auto"/>
                <w:sz w:val="21"/>
                <w:szCs w:val="24"/>
                <w:lang w:val="en-US" w:eastAsia="zh-CN" w:bidi="ar-SA"/>
              </w:rPr>
            </w:pPr>
            <w:r>
              <w:rPr>
                <w:rFonts w:hint="eastAsia"/>
                <w:snapToGrid w:val="0"/>
                <w:color w:val="auto"/>
                <w:lang w:val="en-US" w:eastAsia="zh-CN"/>
              </w:rPr>
              <w:t>办公配套用房</w:t>
            </w:r>
          </w:p>
        </w:tc>
        <w:tc>
          <w:tcPr>
            <w:tcW w:w="3082" w:type="pct"/>
            <w:tcBorders>
              <w:tl2br w:val="nil"/>
              <w:tr2bl w:val="nil"/>
            </w:tcBorders>
            <w:shd w:val="clear" w:color="auto" w:fill="auto"/>
            <w:vAlign w:val="center"/>
          </w:tcPr>
          <w:p w14:paraId="0852D16E">
            <w:pPr>
              <w:pStyle w:val="78"/>
              <w:jc w:val="both"/>
              <w:rPr>
                <w:rFonts w:hint="default" w:ascii="Times New Roman" w:hAnsi="Times New Roman" w:eastAsia="宋体" w:cs="Times New Roman"/>
                <w:color w:val="auto"/>
                <w:sz w:val="21"/>
                <w:szCs w:val="24"/>
                <w:lang w:val="en-US" w:eastAsia="zh-CN" w:bidi="ar-SA"/>
              </w:rPr>
            </w:pPr>
            <w:r>
              <w:rPr>
                <w:rFonts w:hint="eastAsia"/>
                <w:color w:val="auto"/>
                <w:lang w:val="en-US" w:eastAsia="zh-CN"/>
              </w:rPr>
              <w:t>拟设置员工宿舍、员工食堂</w:t>
            </w:r>
          </w:p>
        </w:tc>
        <w:tc>
          <w:tcPr>
            <w:tcW w:w="696" w:type="pct"/>
            <w:tcBorders>
              <w:tl2br w:val="nil"/>
              <w:tr2bl w:val="nil"/>
            </w:tcBorders>
            <w:shd w:val="clear" w:color="auto" w:fill="auto"/>
            <w:vAlign w:val="center"/>
          </w:tcPr>
          <w:p w14:paraId="7100049D">
            <w:pPr>
              <w:pStyle w:val="78"/>
              <w:rPr>
                <w:rFonts w:hint="default" w:ascii="Times New Roman" w:hAnsi="Times New Roman" w:eastAsia="宋体" w:cs="Times New Roman"/>
                <w:color w:val="auto"/>
                <w:sz w:val="21"/>
                <w:szCs w:val="24"/>
                <w:lang w:val="en-US" w:eastAsia="zh-CN" w:bidi="ar-SA"/>
              </w:rPr>
            </w:pPr>
            <w:r>
              <w:rPr>
                <w:rFonts w:hint="eastAsia"/>
                <w:color w:val="auto"/>
                <w:lang w:val="en-US" w:eastAsia="zh-CN"/>
              </w:rPr>
              <w:t>新建</w:t>
            </w:r>
            <w:r>
              <w:rPr>
                <w:rFonts w:hint="eastAsia"/>
                <w:color w:val="auto"/>
                <w:lang w:eastAsia="zh-CN"/>
              </w:rPr>
              <w:t>，</w:t>
            </w:r>
            <w:r>
              <w:rPr>
                <w:rFonts w:hint="eastAsia"/>
                <w:color w:val="auto"/>
                <w:lang w:val="en-US" w:eastAsia="zh-CN"/>
              </w:rPr>
              <w:t>位于西区</w:t>
            </w:r>
          </w:p>
        </w:tc>
      </w:tr>
      <w:tr w14:paraId="75DCCC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3ABD57EA">
            <w:pPr>
              <w:pStyle w:val="78"/>
              <w:rPr>
                <w:color w:val="auto"/>
              </w:rPr>
            </w:pPr>
          </w:p>
        </w:tc>
        <w:tc>
          <w:tcPr>
            <w:tcW w:w="847" w:type="pct"/>
            <w:vMerge w:val="restart"/>
            <w:tcBorders>
              <w:tl2br w:val="nil"/>
              <w:tr2bl w:val="nil"/>
            </w:tcBorders>
            <w:vAlign w:val="center"/>
          </w:tcPr>
          <w:p w14:paraId="4BECB354">
            <w:pPr>
              <w:pStyle w:val="78"/>
              <w:rPr>
                <w:rFonts w:hint="eastAsia" w:eastAsia="宋体"/>
                <w:snapToGrid w:val="0"/>
                <w:color w:val="auto"/>
                <w:lang w:val="en-US" w:eastAsia="zh-CN"/>
              </w:rPr>
            </w:pPr>
            <w:r>
              <w:rPr>
                <w:rFonts w:hint="eastAsia"/>
                <w:snapToGrid w:val="0"/>
                <w:color w:val="auto"/>
                <w:lang w:val="en-US" w:eastAsia="zh-CN"/>
              </w:rPr>
              <w:t>停车位</w:t>
            </w:r>
          </w:p>
        </w:tc>
        <w:tc>
          <w:tcPr>
            <w:tcW w:w="3082" w:type="pct"/>
            <w:tcBorders>
              <w:tl2br w:val="nil"/>
              <w:tr2bl w:val="nil"/>
            </w:tcBorders>
            <w:vAlign w:val="center"/>
          </w:tcPr>
          <w:p w14:paraId="051BD6B8">
            <w:pPr>
              <w:pStyle w:val="78"/>
              <w:jc w:val="left"/>
              <w:rPr>
                <w:rFonts w:hint="default" w:eastAsia="宋体"/>
                <w:color w:val="auto"/>
                <w:lang w:val="en-US" w:eastAsia="zh-CN"/>
              </w:rPr>
            </w:pPr>
            <w:r>
              <w:rPr>
                <w:rFonts w:hint="eastAsia"/>
                <w:color w:val="auto"/>
                <w:lang w:val="en-US" w:eastAsia="zh-CN"/>
              </w:rPr>
              <w:t>小客车停车位153个</w:t>
            </w:r>
          </w:p>
        </w:tc>
        <w:tc>
          <w:tcPr>
            <w:tcW w:w="696" w:type="pct"/>
            <w:tcBorders>
              <w:tl2br w:val="nil"/>
              <w:tr2bl w:val="nil"/>
            </w:tcBorders>
            <w:vAlign w:val="center"/>
          </w:tcPr>
          <w:p w14:paraId="544E6819">
            <w:pPr>
              <w:pStyle w:val="78"/>
              <w:rPr>
                <w:rFonts w:hint="eastAsia" w:eastAsia="宋体"/>
                <w:color w:val="auto"/>
                <w:lang w:val="en-US" w:eastAsia="zh-CN"/>
              </w:rPr>
            </w:pPr>
            <w:r>
              <w:rPr>
                <w:rFonts w:hint="eastAsia"/>
                <w:color w:val="auto"/>
                <w:lang w:val="en-US" w:eastAsia="zh-CN"/>
              </w:rPr>
              <w:t>重新划设</w:t>
            </w:r>
          </w:p>
        </w:tc>
      </w:tr>
      <w:tr w14:paraId="0743B8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111B7F57">
            <w:pPr>
              <w:pStyle w:val="78"/>
              <w:rPr>
                <w:color w:val="auto"/>
              </w:rPr>
            </w:pPr>
          </w:p>
        </w:tc>
        <w:tc>
          <w:tcPr>
            <w:tcW w:w="847" w:type="pct"/>
            <w:vMerge w:val="continue"/>
            <w:tcBorders>
              <w:tl2br w:val="nil"/>
              <w:tr2bl w:val="nil"/>
            </w:tcBorders>
            <w:vAlign w:val="center"/>
          </w:tcPr>
          <w:p w14:paraId="67A31C0B">
            <w:pPr>
              <w:pStyle w:val="78"/>
              <w:rPr>
                <w:snapToGrid w:val="0"/>
                <w:color w:val="auto"/>
              </w:rPr>
            </w:pPr>
          </w:p>
        </w:tc>
        <w:tc>
          <w:tcPr>
            <w:tcW w:w="3082" w:type="pct"/>
            <w:tcBorders>
              <w:tl2br w:val="nil"/>
              <w:tr2bl w:val="nil"/>
            </w:tcBorders>
            <w:vAlign w:val="center"/>
          </w:tcPr>
          <w:p w14:paraId="7A02EE0C">
            <w:pPr>
              <w:pStyle w:val="78"/>
              <w:jc w:val="left"/>
              <w:rPr>
                <w:rFonts w:hint="default" w:eastAsia="宋体"/>
                <w:color w:val="auto"/>
                <w:lang w:val="en-US" w:eastAsia="zh-CN"/>
              </w:rPr>
            </w:pPr>
            <w:r>
              <w:rPr>
                <w:rFonts w:hint="eastAsia"/>
                <w:color w:val="auto"/>
                <w:lang w:val="en-US" w:eastAsia="zh-CN"/>
              </w:rPr>
              <w:t>大客车停车位8个</w:t>
            </w:r>
          </w:p>
        </w:tc>
        <w:tc>
          <w:tcPr>
            <w:tcW w:w="696" w:type="pct"/>
            <w:tcBorders>
              <w:tl2br w:val="nil"/>
              <w:tr2bl w:val="nil"/>
            </w:tcBorders>
            <w:vAlign w:val="center"/>
          </w:tcPr>
          <w:p w14:paraId="3BEAE8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重新划设</w:t>
            </w:r>
          </w:p>
        </w:tc>
      </w:tr>
      <w:tr w14:paraId="774DCB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24A4A670">
            <w:pPr>
              <w:pStyle w:val="78"/>
              <w:rPr>
                <w:color w:val="auto"/>
              </w:rPr>
            </w:pPr>
          </w:p>
        </w:tc>
        <w:tc>
          <w:tcPr>
            <w:tcW w:w="847" w:type="pct"/>
            <w:vMerge w:val="continue"/>
            <w:tcBorders>
              <w:tl2br w:val="nil"/>
              <w:tr2bl w:val="nil"/>
            </w:tcBorders>
            <w:vAlign w:val="center"/>
          </w:tcPr>
          <w:p w14:paraId="06828264">
            <w:pPr>
              <w:pStyle w:val="78"/>
              <w:rPr>
                <w:snapToGrid w:val="0"/>
                <w:color w:val="auto"/>
              </w:rPr>
            </w:pPr>
          </w:p>
        </w:tc>
        <w:tc>
          <w:tcPr>
            <w:tcW w:w="3082" w:type="pct"/>
            <w:tcBorders>
              <w:tl2br w:val="nil"/>
              <w:tr2bl w:val="nil"/>
            </w:tcBorders>
            <w:vAlign w:val="center"/>
          </w:tcPr>
          <w:p w14:paraId="35666D4C">
            <w:pPr>
              <w:pStyle w:val="78"/>
              <w:jc w:val="left"/>
              <w:rPr>
                <w:rFonts w:hint="default" w:eastAsia="宋体"/>
                <w:color w:val="auto"/>
                <w:lang w:val="en-US" w:eastAsia="zh-CN"/>
              </w:rPr>
            </w:pPr>
            <w:r>
              <w:rPr>
                <w:rFonts w:hint="eastAsia"/>
                <w:color w:val="auto"/>
                <w:lang w:val="en-US" w:eastAsia="zh-CN"/>
              </w:rPr>
              <w:t>货车停车位67个</w:t>
            </w:r>
          </w:p>
        </w:tc>
        <w:tc>
          <w:tcPr>
            <w:tcW w:w="696" w:type="pct"/>
            <w:tcBorders>
              <w:tl2br w:val="nil"/>
              <w:tr2bl w:val="nil"/>
            </w:tcBorders>
            <w:vAlign w:val="center"/>
          </w:tcPr>
          <w:p w14:paraId="5FC9BD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重新划设</w:t>
            </w:r>
          </w:p>
        </w:tc>
      </w:tr>
      <w:tr w14:paraId="116707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40D6B3AC">
            <w:pPr>
              <w:pStyle w:val="78"/>
              <w:rPr>
                <w:color w:val="auto"/>
              </w:rPr>
            </w:pPr>
          </w:p>
        </w:tc>
        <w:tc>
          <w:tcPr>
            <w:tcW w:w="847" w:type="pct"/>
            <w:vMerge w:val="continue"/>
            <w:tcBorders>
              <w:tl2br w:val="nil"/>
              <w:tr2bl w:val="nil"/>
            </w:tcBorders>
            <w:vAlign w:val="center"/>
          </w:tcPr>
          <w:p w14:paraId="0081813C">
            <w:pPr>
              <w:pStyle w:val="78"/>
              <w:rPr>
                <w:snapToGrid w:val="0"/>
                <w:color w:val="auto"/>
              </w:rPr>
            </w:pPr>
          </w:p>
        </w:tc>
        <w:tc>
          <w:tcPr>
            <w:tcW w:w="3082" w:type="pct"/>
            <w:tcBorders>
              <w:tl2br w:val="nil"/>
              <w:tr2bl w:val="nil"/>
            </w:tcBorders>
            <w:vAlign w:val="center"/>
          </w:tcPr>
          <w:p w14:paraId="2726F421">
            <w:pPr>
              <w:pStyle w:val="78"/>
              <w:jc w:val="left"/>
              <w:rPr>
                <w:rFonts w:hint="eastAsia"/>
                <w:color w:val="auto"/>
                <w:lang w:val="en-US" w:eastAsia="zh-CN"/>
              </w:rPr>
            </w:pPr>
            <w:r>
              <w:rPr>
                <w:rFonts w:hint="eastAsia"/>
                <w:color w:val="auto"/>
                <w:lang w:val="en-US" w:eastAsia="zh-CN"/>
              </w:rPr>
              <w:t>超长停车位6个</w:t>
            </w:r>
          </w:p>
        </w:tc>
        <w:tc>
          <w:tcPr>
            <w:tcW w:w="696" w:type="pct"/>
            <w:tcBorders>
              <w:tl2br w:val="nil"/>
              <w:tr2bl w:val="nil"/>
            </w:tcBorders>
            <w:vAlign w:val="center"/>
          </w:tcPr>
          <w:p w14:paraId="4778D5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重新划设</w:t>
            </w:r>
          </w:p>
        </w:tc>
      </w:tr>
      <w:tr w14:paraId="5371C8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0DC185AF">
            <w:pPr>
              <w:pStyle w:val="78"/>
              <w:rPr>
                <w:color w:val="auto"/>
              </w:rPr>
            </w:pPr>
          </w:p>
        </w:tc>
        <w:tc>
          <w:tcPr>
            <w:tcW w:w="847" w:type="pct"/>
            <w:vMerge w:val="continue"/>
            <w:tcBorders>
              <w:tl2br w:val="nil"/>
              <w:tr2bl w:val="nil"/>
            </w:tcBorders>
            <w:vAlign w:val="center"/>
          </w:tcPr>
          <w:p w14:paraId="2D1B73F4">
            <w:pPr>
              <w:pStyle w:val="78"/>
              <w:rPr>
                <w:snapToGrid w:val="0"/>
                <w:color w:val="auto"/>
              </w:rPr>
            </w:pPr>
          </w:p>
        </w:tc>
        <w:tc>
          <w:tcPr>
            <w:tcW w:w="3082" w:type="pct"/>
            <w:tcBorders>
              <w:tl2br w:val="nil"/>
              <w:tr2bl w:val="nil"/>
            </w:tcBorders>
            <w:vAlign w:val="center"/>
          </w:tcPr>
          <w:p w14:paraId="4FA81657">
            <w:pPr>
              <w:pStyle w:val="78"/>
              <w:jc w:val="left"/>
              <w:rPr>
                <w:rFonts w:hint="default"/>
                <w:color w:val="auto"/>
                <w:lang w:val="en-US" w:eastAsia="zh-CN"/>
              </w:rPr>
            </w:pPr>
            <w:r>
              <w:rPr>
                <w:rFonts w:hint="eastAsia"/>
                <w:color w:val="auto"/>
                <w:lang w:val="en-US" w:eastAsia="zh-CN"/>
              </w:rPr>
              <w:t>危化品/畜牧车位6个</w:t>
            </w:r>
          </w:p>
        </w:tc>
        <w:tc>
          <w:tcPr>
            <w:tcW w:w="696" w:type="pct"/>
            <w:tcBorders>
              <w:tl2br w:val="nil"/>
              <w:tr2bl w:val="nil"/>
            </w:tcBorders>
            <w:vAlign w:val="center"/>
          </w:tcPr>
          <w:p w14:paraId="53B8C0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重新划设</w:t>
            </w:r>
          </w:p>
        </w:tc>
      </w:tr>
      <w:tr w14:paraId="522E3C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2B8BA0FF">
            <w:pPr>
              <w:pStyle w:val="78"/>
              <w:rPr>
                <w:color w:val="auto"/>
              </w:rPr>
            </w:pPr>
          </w:p>
        </w:tc>
        <w:tc>
          <w:tcPr>
            <w:tcW w:w="847" w:type="pct"/>
            <w:tcBorders>
              <w:tl2br w:val="nil"/>
              <w:tr2bl w:val="nil"/>
            </w:tcBorders>
            <w:vAlign w:val="center"/>
          </w:tcPr>
          <w:p w14:paraId="24816A0B">
            <w:pPr>
              <w:pStyle w:val="78"/>
              <w:rPr>
                <w:rFonts w:hint="default" w:eastAsia="宋体"/>
                <w:snapToGrid w:val="0"/>
                <w:color w:val="auto"/>
                <w:lang w:val="en-US" w:eastAsia="zh-CN"/>
              </w:rPr>
            </w:pPr>
            <w:r>
              <w:rPr>
                <w:rFonts w:hint="eastAsia"/>
                <w:snapToGrid w:val="0"/>
                <w:color w:val="auto"/>
                <w:lang w:val="en-US" w:eastAsia="zh-CN"/>
              </w:rPr>
              <w:t>充电停车位</w:t>
            </w:r>
          </w:p>
        </w:tc>
        <w:tc>
          <w:tcPr>
            <w:tcW w:w="3082" w:type="pct"/>
            <w:tcBorders>
              <w:tl2br w:val="nil"/>
              <w:tr2bl w:val="nil"/>
            </w:tcBorders>
            <w:shd w:val="clear" w:color="auto" w:fill="auto"/>
            <w:vAlign w:val="center"/>
          </w:tcPr>
          <w:p w14:paraId="1DEE7ABD">
            <w:pPr>
              <w:pStyle w:val="78"/>
              <w:jc w:val="left"/>
              <w:rPr>
                <w:rFonts w:hint="default" w:ascii="Times New Roman" w:hAnsi="Times New Roman" w:eastAsia="宋体" w:cs="Times New Roman"/>
                <w:color w:val="auto"/>
                <w:sz w:val="21"/>
                <w:szCs w:val="24"/>
                <w:lang w:val="en-US" w:eastAsia="zh-CN" w:bidi="ar-SA"/>
              </w:rPr>
            </w:pPr>
            <w:r>
              <w:rPr>
                <w:rFonts w:hint="eastAsia"/>
                <w:color w:val="auto"/>
                <w:lang w:val="en-US" w:eastAsia="zh-CN"/>
              </w:rPr>
              <w:t>充电停车位11个，含2个240kw充电桩，2个120kw充电桩</w:t>
            </w:r>
          </w:p>
        </w:tc>
        <w:tc>
          <w:tcPr>
            <w:tcW w:w="696" w:type="pct"/>
            <w:tcBorders>
              <w:tl2br w:val="nil"/>
              <w:tr2bl w:val="nil"/>
            </w:tcBorders>
            <w:shd w:val="clear" w:color="auto" w:fill="auto"/>
            <w:vAlign w:val="center"/>
          </w:tcPr>
          <w:p w14:paraId="38E36B59">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新建</w:t>
            </w:r>
          </w:p>
        </w:tc>
      </w:tr>
      <w:tr w14:paraId="05E108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465F7672">
            <w:pPr>
              <w:pStyle w:val="78"/>
              <w:rPr>
                <w:color w:val="auto"/>
              </w:rPr>
            </w:pPr>
          </w:p>
        </w:tc>
        <w:tc>
          <w:tcPr>
            <w:tcW w:w="847" w:type="pct"/>
            <w:tcBorders>
              <w:tl2br w:val="nil"/>
              <w:tr2bl w:val="nil"/>
            </w:tcBorders>
            <w:shd w:val="clear" w:color="auto" w:fill="auto"/>
            <w:vAlign w:val="center"/>
          </w:tcPr>
          <w:p w14:paraId="7EDC2761">
            <w:pPr>
              <w:pStyle w:val="78"/>
              <w:rPr>
                <w:rFonts w:hint="eastAsia" w:ascii="Times New Roman" w:hAnsi="Times New Roman" w:eastAsia="宋体" w:cs="Times New Roman"/>
                <w:snapToGrid w:val="0"/>
                <w:color w:val="auto"/>
                <w:sz w:val="21"/>
                <w:szCs w:val="24"/>
                <w:lang w:val="en-US" w:eastAsia="zh-CN" w:bidi="ar-SA"/>
              </w:rPr>
            </w:pPr>
            <w:r>
              <w:rPr>
                <w:rFonts w:hint="eastAsia"/>
                <w:snapToGrid w:val="0"/>
                <w:color w:val="auto"/>
                <w:lang w:val="en-US" w:eastAsia="zh-CN"/>
              </w:rPr>
              <w:t>货车充电车位</w:t>
            </w:r>
          </w:p>
        </w:tc>
        <w:tc>
          <w:tcPr>
            <w:tcW w:w="3082" w:type="pct"/>
            <w:tcBorders>
              <w:tl2br w:val="nil"/>
              <w:tr2bl w:val="nil"/>
            </w:tcBorders>
            <w:shd w:val="clear" w:color="auto" w:fill="auto"/>
            <w:vAlign w:val="center"/>
          </w:tcPr>
          <w:p w14:paraId="29D8804C">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w:t>
            </w:r>
          </w:p>
        </w:tc>
        <w:tc>
          <w:tcPr>
            <w:tcW w:w="696" w:type="pct"/>
            <w:tcBorders>
              <w:tl2br w:val="nil"/>
              <w:tr2bl w:val="nil"/>
            </w:tcBorders>
            <w:shd w:val="clear" w:color="auto" w:fill="auto"/>
            <w:vAlign w:val="center"/>
          </w:tcPr>
          <w:p w14:paraId="31BC7DE6">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预留</w:t>
            </w:r>
          </w:p>
        </w:tc>
      </w:tr>
      <w:tr w14:paraId="6C298A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5C76FBD6">
            <w:pPr>
              <w:pStyle w:val="78"/>
              <w:rPr>
                <w:color w:val="auto"/>
              </w:rPr>
            </w:pPr>
          </w:p>
        </w:tc>
        <w:tc>
          <w:tcPr>
            <w:tcW w:w="847" w:type="pct"/>
            <w:tcBorders>
              <w:tl2br w:val="nil"/>
              <w:tr2bl w:val="nil"/>
            </w:tcBorders>
            <w:shd w:val="clear" w:color="auto" w:fill="auto"/>
            <w:vAlign w:val="center"/>
          </w:tcPr>
          <w:p w14:paraId="6C017B7A">
            <w:pPr>
              <w:pStyle w:val="78"/>
              <w:rPr>
                <w:rFonts w:hint="eastAsia" w:ascii="Times New Roman" w:hAnsi="Times New Roman" w:eastAsia="宋体" w:cs="Times New Roman"/>
                <w:snapToGrid w:val="0"/>
                <w:color w:val="auto"/>
                <w:sz w:val="21"/>
                <w:szCs w:val="24"/>
                <w:lang w:val="en-US" w:eastAsia="zh-CN" w:bidi="ar-SA"/>
              </w:rPr>
            </w:pPr>
            <w:r>
              <w:rPr>
                <w:rFonts w:hint="eastAsia"/>
                <w:snapToGrid w:val="0"/>
                <w:color w:val="auto"/>
                <w:lang w:val="en-US" w:eastAsia="zh-CN"/>
              </w:rPr>
              <w:t>换电站</w:t>
            </w:r>
          </w:p>
        </w:tc>
        <w:tc>
          <w:tcPr>
            <w:tcW w:w="3082" w:type="pct"/>
            <w:tcBorders>
              <w:tl2br w:val="nil"/>
              <w:tr2bl w:val="nil"/>
            </w:tcBorders>
            <w:shd w:val="clear" w:color="auto" w:fill="auto"/>
            <w:vAlign w:val="center"/>
          </w:tcPr>
          <w:p w14:paraId="19BDEABF">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w:t>
            </w:r>
          </w:p>
        </w:tc>
        <w:tc>
          <w:tcPr>
            <w:tcW w:w="696" w:type="pct"/>
            <w:tcBorders>
              <w:tl2br w:val="nil"/>
              <w:tr2bl w:val="nil"/>
            </w:tcBorders>
            <w:shd w:val="clear" w:color="auto" w:fill="auto"/>
            <w:vAlign w:val="center"/>
          </w:tcPr>
          <w:p w14:paraId="223593AA">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预留</w:t>
            </w:r>
          </w:p>
        </w:tc>
      </w:tr>
      <w:tr w14:paraId="6610E0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1A9EED6E">
            <w:pPr>
              <w:pStyle w:val="78"/>
              <w:rPr>
                <w:color w:val="auto"/>
              </w:rPr>
            </w:pPr>
          </w:p>
        </w:tc>
        <w:tc>
          <w:tcPr>
            <w:tcW w:w="847" w:type="pct"/>
            <w:tcBorders>
              <w:tl2br w:val="nil"/>
              <w:tr2bl w:val="nil"/>
            </w:tcBorders>
            <w:vAlign w:val="center"/>
          </w:tcPr>
          <w:p w14:paraId="63491CE1">
            <w:pPr>
              <w:pStyle w:val="78"/>
              <w:rPr>
                <w:rFonts w:hint="default"/>
                <w:snapToGrid w:val="0"/>
                <w:color w:val="auto"/>
                <w:lang w:val="en-US" w:eastAsia="zh-CN"/>
              </w:rPr>
            </w:pPr>
            <w:r>
              <w:rPr>
                <w:rFonts w:hint="eastAsia"/>
                <w:snapToGrid w:val="0"/>
                <w:color w:val="auto"/>
                <w:lang w:val="en-US" w:eastAsia="zh-CN"/>
              </w:rPr>
              <w:t>尿素站</w:t>
            </w:r>
          </w:p>
        </w:tc>
        <w:tc>
          <w:tcPr>
            <w:tcW w:w="3082" w:type="pct"/>
            <w:tcBorders>
              <w:tl2br w:val="nil"/>
              <w:tr2bl w:val="nil"/>
            </w:tcBorders>
            <w:shd w:val="clear" w:color="auto" w:fill="auto"/>
            <w:vAlign w:val="center"/>
          </w:tcPr>
          <w:p w14:paraId="338BFE15">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w:t>
            </w:r>
          </w:p>
        </w:tc>
        <w:tc>
          <w:tcPr>
            <w:tcW w:w="696" w:type="pct"/>
            <w:tcBorders>
              <w:tl2br w:val="nil"/>
              <w:tr2bl w:val="nil"/>
            </w:tcBorders>
            <w:shd w:val="clear" w:color="auto" w:fill="auto"/>
            <w:vAlign w:val="center"/>
          </w:tcPr>
          <w:p w14:paraId="369CACA3">
            <w:pPr>
              <w:pStyle w:val="78"/>
              <w:rPr>
                <w:rFonts w:hint="eastAsia" w:ascii="Times New Roman" w:hAnsi="Times New Roman" w:eastAsia="宋体" w:cs="Times New Roman"/>
                <w:color w:val="auto"/>
                <w:sz w:val="21"/>
                <w:szCs w:val="24"/>
                <w:lang w:val="en-US" w:eastAsia="zh-CN" w:bidi="ar-SA"/>
              </w:rPr>
            </w:pPr>
            <w:r>
              <w:rPr>
                <w:rFonts w:hint="eastAsia"/>
                <w:color w:val="auto"/>
                <w:lang w:val="en-US" w:eastAsia="zh-CN"/>
              </w:rPr>
              <w:t>预留</w:t>
            </w:r>
          </w:p>
        </w:tc>
      </w:tr>
      <w:tr w14:paraId="6E8D5C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restart"/>
            <w:tcBorders>
              <w:tl2br w:val="nil"/>
              <w:tr2bl w:val="nil"/>
            </w:tcBorders>
            <w:vAlign w:val="center"/>
          </w:tcPr>
          <w:p w14:paraId="5C8E514A">
            <w:pPr>
              <w:pStyle w:val="78"/>
              <w:rPr>
                <w:color w:val="auto"/>
              </w:rPr>
            </w:pPr>
            <w:r>
              <w:rPr>
                <w:color w:val="auto"/>
              </w:rPr>
              <w:t>公用工程</w:t>
            </w:r>
          </w:p>
        </w:tc>
        <w:tc>
          <w:tcPr>
            <w:tcW w:w="847" w:type="pct"/>
            <w:tcBorders>
              <w:tl2br w:val="nil"/>
              <w:tr2bl w:val="nil"/>
            </w:tcBorders>
            <w:vAlign w:val="center"/>
          </w:tcPr>
          <w:p w14:paraId="619046EE">
            <w:pPr>
              <w:pStyle w:val="78"/>
              <w:rPr>
                <w:rFonts w:hint="default" w:eastAsia="宋体"/>
                <w:color w:val="auto"/>
                <w:lang w:val="en-US" w:eastAsia="zh-CN"/>
              </w:rPr>
            </w:pPr>
            <w:r>
              <w:rPr>
                <w:rFonts w:hint="eastAsia"/>
                <w:color w:val="auto"/>
                <w:lang w:val="en-US" w:eastAsia="zh-CN"/>
              </w:rPr>
              <w:t>给排水</w:t>
            </w:r>
          </w:p>
        </w:tc>
        <w:tc>
          <w:tcPr>
            <w:tcW w:w="3082" w:type="pct"/>
            <w:tcBorders>
              <w:tl2br w:val="nil"/>
              <w:tr2bl w:val="nil"/>
            </w:tcBorders>
            <w:vAlign w:val="center"/>
          </w:tcPr>
          <w:p w14:paraId="7D11951E">
            <w:pPr>
              <w:pStyle w:val="78"/>
              <w:jc w:val="both"/>
              <w:rPr>
                <w:rFonts w:hint="default" w:eastAsia="宋体"/>
                <w:color w:val="auto"/>
                <w:lang w:val="en-US" w:eastAsia="zh-CN"/>
              </w:rPr>
            </w:pPr>
            <w:r>
              <w:rPr>
                <w:rFonts w:hint="eastAsia"/>
                <w:color w:val="auto"/>
                <w:lang w:val="en-US" w:eastAsia="zh-CN"/>
              </w:rPr>
              <w:t>拟重新规划布设给、排水管线</w:t>
            </w:r>
          </w:p>
        </w:tc>
        <w:tc>
          <w:tcPr>
            <w:tcW w:w="696" w:type="pct"/>
            <w:vMerge w:val="restart"/>
            <w:tcBorders>
              <w:tl2br w:val="nil"/>
              <w:tr2bl w:val="nil"/>
            </w:tcBorders>
            <w:vAlign w:val="center"/>
          </w:tcPr>
          <w:p w14:paraId="0EF50EC4">
            <w:pPr>
              <w:pStyle w:val="78"/>
              <w:rPr>
                <w:rFonts w:hint="eastAsia" w:eastAsia="宋体"/>
                <w:color w:val="auto"/>
                <w:lang w:eastAsia="zh-CN"/>
              </w:rPr>
            </w:pPr>
            <w:r>
              <w:rPr>
                <w:rFonts w:hint="eastAsia"/>
                <w:color w:val="auto"/>
                <w:lang w:val="en-US" w:eastAsia="zh-CN"/>
              </w:rPr>
              <w:t>重建</w:t>
            </w:r>
          </w:p>
        </w:tc>
      </w:tr>
      <w:tr w14:paraId="11CAB0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480C36D2">
            <w:pPr>
              <w:pStyle w:val="78"/>
              <w:rPr>
                <w:color w:val="auto"/>
              </w:rPr>
            </w:pPr>
          </w:p>
        </w:tc>
        <w:tc>
          <w:tcPr>
            <w:tcW w:w="847" w:type="pct"/>
            <w:tcBorders>
              <w:tl2br w:val="nil"/>
              <w:tr2bl w:val="nil"/>
            </w:tcBorders>
            <w:vAlign w:val="center"/>
          </w:tcPr>
          <w:p w14:paraId="1BE02802">
            <w:pPr>
              <w:pStyle w:val="78"/>
              <w:rPr>
                <w:rFonts w:hint="default" w:eastAsia="宋体"/>
                <w:color w:val="auto"/>
                <w:lang w:val="en-US" w:eastAsia="zh-CN"/>
              </w:rPr>
            </w:pPr>
            <w:r>
              <w:rPr>
                <w:rFonts w:hint="eastAsia"/>
                <w:color w:val="auto"/>
                <w:lang w:val="en-US" w:eastAsia="zh-CN"/>
              </w:rPr>
              <w:t>污水处理</w:t>
            </w:r>
          </w:p>
        </w:tc>
        <w:tc>
          <w:tcPr>
            <w:tcW w:w="3082" w:type="pct"/>
            <w:tcBorders>
              <w:tl2br w:val="nil"/>
              <w:tr2bl w:val="nil"/>
            </w:tcBorders>
            <w:vAlign w:val="center"/>
          </w:tcPr>
          <w:p w14:paraId="3F8D1592">
            <w:pPr>
              <w:pStyle w:val="78"/>
              <w:jc w:val="both"/>
              <w:rPr>
                <w:rFonts w:hint="default" w:eastAsia="宋体"/>
                <w:color w:val="auto"/>
                <w:lang w:val="en-US" w:eastAsia="zh-CN"/>
              </w:rPr>
            </w:pPr>
            <w:r>
              <w:rPr>
                <w:rFonts w:hint="eastAsia"/>
                <w:color w:val="auto"/>
                <w:lang w:val="en-US" w:eastAsia="zh-CN"/>
              </w:rPr>
              <w:t>拟设置污水处理设施</w:t>
            </w:r>
          </w:p>
        </w:tc>
        <w:tc>
          <w:tcPr>
            <w:tcW w:w="696" w:type="pct"/>
            <w:vMerge w:val="continue"/>
            <w:tcBorders>
              <w:tl2br w:val="nil"/>
              <w:tr2bl w:val="nil"/>
            </w:tcBorders>
            <w:vAlign w:val="center"/>
          </w:tcPr>
          <w:p w14:paraId="477E1693">
            <w:pPr>
              <w:pStyle w:val="78"/>
              <w:rPr>
                <w:rFonts w:hint="eastAsia"/>
                <w:color w:val="auto"/>
                <w:lang w:val="en-US" w:eastAsia="zh-CN"/>
              </w:rPr>
            </w:pPr>
          </w:p>
        </w:tc>
      </w:tr>
      <w:tr w14:paraId="3A19D2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165B9F48">
            <w:pPr>
              <w:pStyle w:val="78"/>
              <w:rPr>
                <w:color w:val="auto"/>
              </w:rPr>
            </w:pPr>
          </w:p>
        </w:tc>
        <w:tc>
          <w:tcPr>
            <w:tcW w:w="847" w:type="pct"/>
            <w:tcBorders>
              <w:tl2br w:val="nil"/>
              <w:tr2bl w:val="nil"/>
            </w:tcBorders>
            <w:shd w:val="clear" w:color="auto" w:fill="auto"/>
            <w:vAlign w:val="center"/>
          </w:tcPr>
          <w:p w14:paraId="71F3FFD2">
            <w:pPr>
              <w:pStyle w:val="78"/>
              <w:rPr>
                <w:rFonts w:ascii="Times New Roman" w:hAnsi="Times New Roman" w:eastAsia="宋体" w:cs="Times New Roman"/>
                <w:color w:val="auto"/>
                <w:sz w:val="21"/>
                <w:szCs w:val="24"/>
                <w:lang w:val="en-US" w:eastAsia="zh-CN" w:bidi="ar-SA"/>
              </w:rPr>
            </w:pPr>
            <w:r>
              <w:rPr>
                <w:color w:val="auto"/>
              </w:rPr>
              <w:t>供电系统</w:t>
            </w:r>
          </w:p>
        </w:tc>
        <w:tc>
          <w:tcPr>
            <w:tcW w:w="3082" w:type="pct"/>
            <w:tcBorders>
              <w:tl2br w:val="nil"/>
              <w:tr2bl w:val="nil"/>
            </w:tcBorders>
            <w:shd w:val="clear" w:color="auto" w:fill="auto"/>
            <w:vAlign w:val="center"/>
          </w:tcPr>
          <w:p w14:paraId="55D54DCF">
            <w:pPr>
              <w:pStyle w:val="78"/>
              <w:jc w:val="both"/>
              <w:rPr>
                <w:rFonts w:hint="eastAsia" w:ascii="Times New Roman" w:hAnsi="Times New Roman" w:eastAsia="宋体" w:cs="Times New Roman"/>
                <w:color w:val="auto"/>
                <w:sz w:val="21"/>
                <w:szCs w:val="24"/>
                <w:lang w:val="en-US" w:eastAsia="zh-CN" w:bidi="ar-SA"/>
              </w:rPr>
            </w:pPr>
            <w:r>
              <w:rPr>
                <w:color w:val="auto"/>
              </w:rPr>
              <w:t>由</w:t>
            </w:r>
            <w:r>
              <w:rPr>
                <w:rFonts w:hint="eastAsia"/>
                <w:color w:val="auto"/>
                <w:lang w:val="en-US" w:eastAsia="zh-CN"/>
              </w:rPr>
              <w:t>当地</w:t>
            </w:r>
            <w:r>
              <w:rPr>
                <w:color w:val="auto"/>
              </w:rPr>
              <w:t>110KV变电站引来两路10KV高压电源</w:t>
            </w:r>
            <w:r>
              <w:rPr>
                <w:rFonts w:hint="eastAsia"/>
                <w:color w:val="auto"/>
                <w:lang w:val="en-US" w:eastAsia="zh-CN"/>
              </w:rPr>
              <w:t>埋地敷设至公用工程间的变配电间高压配电柜，降压后埋地敷设至配电柜通过电缆埋地敷设至各用电点</w:t>
            </w:r>
          </w:p>
        </w:tc>
        <w:tc>
          <w:tcPr>
            <w:tcW w:w="696" w:type="pct"/>
            <w:vMerge w:val="continue"/>
            <w:tcBorders>
              <w:tl2br w:val="nil"/>
              <w:tr2bl w:val="nil"/>
            </w:tcBorders>
            <w:vAlign w:val="center"/>
          </w:tcPr>
          <w:p w14:paraId="58F55312">
            <w:pPr>
              <w:pStyle w:val="78"/>
              <w:rPr>
                <w:rFonts w:hint="eastAsia"/>
                <w:color w:val="auto"/>
                <w:lang w:val="en-US" w:eastAsia="zh-CN"/>
              </w:rPr>
            </w:pPr>
          </w:p>
        </w:tc>
      </w:tr>
      <w:tr w14:paraId="1D6232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Merge w:val="continue"/>
            <w:tcBorders>
              <w:tl2br w:val="nil"/>
              <w:tr2bl w:val="nil"/>
            </w:tcBorders>
            <w:vAlign w:val="center"/>
          </w:tcPr>
          <w:p w14:paraId="2C07C41E">
            <w:pPr>
              <w:pStyle w:val="78"/>
              <w:rPr>
                <w:color w:val="auto"/>
              </w:rPr>
            </w:pPr>
          </w:p>
        </w:tc>
        <w:tc>
          <w:tcPr>
            <w:tcW w:w="847" w:type="pct"/>
            <w:tcBorders>
              <w:tl2br w:val="nil"/>
              <w:tr2bl w:val="nil"/>
            </w:tcBorders>
            <w:shd w:val="clear" w:color="auto" w:fill="auto"/>
            <w:vAlign w:val="center"/>
          </w:tcPr>
          <w:p w14:paraId="24539057">
            <w:pPr>
              <w:pStyle w:val="78"/>
              <w:rPr>
                <w:rFonts w:hint="default" w:eastAsia="宋体"/>
                <w:color w:val="auto"/>
                <w:lang w:val="en-US" w:eastAsia="zh-CN"/>
              </w:rPr>
            </w:pPr>
            <w:r>
              <w:rPr>
                <w:rFonts w:hint="eastAsia"/>
                <w:color w:val="auto"/>
                <w:lang w:val="en-US" w:eastAsia="zh-CN"/>
              </w:rPr>
              <w:t>供气系统</w:t>
            </w:r>
          </w:p>
        </w:tc>
        <w:tc>
          <w:tcPr>
            <w:tcW w:w="3082" w:type="pct"/>
            <w:tcBorders>
              <w:tl2br w:val="nil"/>
              <w:tr2bl w:val="nil"/>
            </w:tcBorders>
            <w:shd w:val="clear" w:color="auto" w:fill="auto"/>
            <w:vAlign w:val="center"/>
          </w:tcPr>
          <w:p w14:paraId="3895C1D0">
            <w:pPr>
              <w:pStyle w:val="78"/>
              <w:jc w:val="both"/>
              <w:rPr>
                <w:rFonts w:hint="default" w:eastAsia="宋体"/>
                <w:color w:val="auto"/>
                <w:lang w:val="en-US" w:eastAsia="zh-CN"/>
              </w:rPr>
            </w:pPr>
            <w:r>
              <w:rPr>
                <w:rFonts w:hint="eastAsia"/>
                <w:color w:val="auto"/>
                <w:lang w:val="en-US" w:eastAsia="zh-CN"/>
              </w:rPr>
              <w:t>该项目拟不设置燃气管网，综合楼餐饮拟采用电能。</w:t>
            </w:r>
          </w:p>
        </w:tc>
        <w:tc>
          <w:tcPr>
            <w:tcW w:w="696" w:type="pct"/>
            <w:tcBorders>
              <w:tl2br w:val="nil"/>
              <w:tr2bl w:val="nil"/>
            </w:tcBorders>
            <w:vAlign w:val="center"/>
          </w:tcPr>
          <w:p w14:paraId="1DC5CB27">
            <w:pPr>
              <w:pStyle w:val="78"/>
              <w:rPr>
                <w:rFonts w:hint="default"/>
                <w:color w:val="auto"/>
                <w:lang w:val="en-US" w:eastAsia="zh-CN"/>
              </w:rPr>
            </w:pPr>
            <w:r>
              <w:rPr>
                <w:rFonts w:hint="eastAsia"/>
                <w:color w:val="auto"/>
                <w:lang w:val="en-US" w:eastAsia="zh-CN"/>
              </w:rPr>
              <w:t>-</w:t>
            </w:r>
          </w:p>
        </w:tc>
      </w:tr>
    </w:tbl>
    <w:p w14:paraId="3AEF09B1">
      <w:pPr>
        <w:pStyle w:val="51"/>
        <w:rPr>
          <w:rFonts w:hint="eastAsia"/>
          <w:color w:val="auto"/>
          <w:lang w:val="en-US" w:eastAsia="zh-CN"/>
        </w:rPr>
      </w:pPr>
    </w:p>
    <w:p w14:paraId="531A5003">
      <w:pPr>
        <w:pStyle w:val="5"/>
        <w:bidi w:val="0"/>
        <w:rPr>
          <w:rFonts w:hint="eastAsia" w:ascii="宋体" w:hAnsi="宋体" w:cs="宋体"/>
          <w:color w:val="auto"/>
          <w:lang w:val="en-US" w:eastAsia="zh-CN"/>
        </w:rPr>
      </w:pPr>
      <w:bookmarkStart w:id="24" w:name="_Toc7024"/>
      <w:r>
        <w:rPr>
          <w:rFonts w:hint="default" w:ascii="Times New Roman" w:hAnsi="Times New Roman" w:eastAsia="宋体" w:cs="Times New Roman"/>
          <w:color w:val="auto"/>
          <w:lang w:val="en-US" w:eastAsia="zh-CN"/>
        </w:rPr>
        <w:t>2.3</w:t>
      </w:r>
      <w:r>
        <w:rPr>
          <w:rFonts w:hint="eastAsia" w:ascii="宋体" w:hAnsi="宋体" w:cs="宋体"/>
          <w:color w:val="auto"/>
          <w:lang w:val="en-US" w:eastAsia="zh-CN"/>
        </w:rPr>
        <w:t>建设项目选址概况</w:t>
      </w:r>
      <w:bookmarkEnd w:id="24"/>
    </w:p>
    <w:p w14:paraId="4CA4135C">
      <w:pPr>
        <w:pStyle w:val="6"/>
        <w:bidi w:val="0"/>
        <w:rPr>
          <w:rFonts w:hint="default"/>
          <w:color w:val="auto"/>
          <w:lang w:val="en-US" w:eastAsia="zh-CN"/>
        </w:rPr>
      </w:pPr>
      <w:bookmarkStart w:id="25" w:name="_Toc16692"/>
      <w:r>
        <w:rPr>
          <w:rFonts w:hint="eastAsia"/>
          <w:color w:val="auto"/>
          <w:lang w:val="en-US" w:eastAsia="zh-CN"/>
        </w:rPr>
        <w:t>2.3.1周边环境</w:t>
      </w:r>
      <w:bookmarkEnd w:id="25"/>
    </w:p>
    <w:p w14:paraId="5DD668AB">
      <w:pPr>
        <w:spacing w:line="620" w:lineRule="atLeast"/>
        <w:ind w:firstLine="552" w:firstLineChars="200"/>
        <w:rPr>
          <w:rFonts w:hint="default" w:eastAsia="宋体"/>
          <w:color w:val="auto"/>
          <w:spacing w:val="-2"/>
          <w:sz w:val="28"/>
          <w:szCs w:val="28"/>
          <w:lang w:val="en-US" w:eastAsia="zh-CN"/>
        </w:rPr>
      </w:pPr>
      <w:r>
        <w:rPr>
          <w:rFonts w:hint="eastAsia"/>
          <w:color w:val="auto"/>
          <w:spacing w:val="-2"/>
          <w:sz w:val="28"/>
          <w:szCs w:val="28"/>
          <w:lang w:val="en-US" w:eastAsia="zh-CN"/>
        </w:rPr>
        <w:t>项目建设地址位于</w:t>
      </w:r>
      <w:r>
        <w:rPr>
          <w:rFonts w:hint="eastAsia"/>
          <w:color w:val="auto"/>
          <w:sz w:val="28"/>
          <w:szCs w:val="28"/>
          <w:lang w:val="en-US" w:eastAsia="zh-CN"/>
        </w:rPr>
        <w:t>修水县太阳升镇大广高速服务区</w:t>
      </w:r>
      <w:r>
        <w:rPr>
          <w:rFonts w:hint="eastAsia"/>
          <w:color w:val="auto"/>
          <w:spacing w:val="-2"/>
          <w:sz w:val="28"/>
          <w:szCs w:val="28"/>
        </w:rPr>
        <w:t>，</w:t>
      </w:r>
      <w:r>
        <w:rPr>
          <w:rFonts w:hint="eastAsia"/>
          <w:color w:val="auto"/>
          <w:spacing w:val="-2"/>
          <w:sz w:val="28"/>
          <w:szCs w:val="28"/>
          <w:lang w:val="en-US" w:eastAsia="zh-CN"/>
        </w:rPr>
        <w:t>一对服务区紧邻大广高速两侧，服务区出、入口均由匝道连接大广高速公路</w:t>
      </w:r>
      <w:r>
        <w:rPr>
          <w:rFonts w:hint="eastAsia"/>
          <w:color w:val="auto"/>
          <w:spacing w:val="-2"/>
          <w:sz w:val="28"/>
          <w:szCs w:val="28"/>
        </w:rPr>
        <w:t>。</w:t>
      </w:r>
      <w:r>
        <w:rPr>
          <w:rFonts w:hint="eastAsia"/>
          <w:color w:val="auto"/>
          <w:spacing w:val="-2"/>
          <w:sz w:val="28"/>
          <w:szCs w:val="28"/>
          <w:lang w:val="en-US" w:eastAsia="zh-CN"/>
        </w:rPr>
        <w:t>除面向高速以外三侧均为山地。</w:t>
      </w:r>
    </w:p>
    <w:p w14:paraId="572AC678">
      <w:pPr>
        <w:pStyle w:val="6"/>
        <w:bidi w:val="0"/>
        <w:rPr>
          <w:rFonts w:hint="eastAsia"/>
          <w:color w:val="auto"/>
          <w:lang w:val="en-US" w:eastAsia="zh-CN"/>
        </w:rPr>
      </w:pPr>
      <w:bookmarkStart w:id="26" w:name="_Toc22435"/>
      <w:r>
        <w:rPr>
          <w:rFonts w:hint="eastAsia"/>
          <w:color w:val="auto"/>
          <w:lang w:val="en-US" w:eastAsia="zh-CN"/>
        </w:rPr>
        <w:t>2.3.2自然条件</w:t>
      </w:r>
      <w:bookmarkEnd w:id="26"/>
    </w:p>
    <w:p w14:paraId="3A269C4D">
      <w:pPr>
        <w:bidi w:val="0"/>
        <w:ind w:firstLine="560" w:firstLineChars="200"/>
        <w:rPr>
          <w:rFonts w:hint="eastAsia"/>
          <w:color w:val="auto"/>
          <w:lang w:val="en-US" w:eastAsia="zh-CN"/>
        </w:rPr>
      </w:pPr>
      <w:r>
        <w:rPr>
          <w:rFonts w:hint="eastAsia"/>
          <w:color w:val="auto"/>
          <w:lang w:val="en-US" w:eastAsia="zh-CN"/>
        </w:rPr>
        <w:t>1、气候条件</w:t>
      </w:r>
    </w:p>
    <w:p w14:paraId="67F5DB45">
      <w:pPr>
        <w:bidi w:val="0"/>
        <w:rPr>
          <w:rFonts w:hint="eastAsia"/>
          <w:color w:val="auto"/>
          <w:lang w:val="en-US" w:eastAsia="zh-CN"/>
        </w:rPr>
      </w:pPr>
      <w:r>
        <w:rPr>
          <w:rFonts w:hint="eastAsia"/>
          <w:color w:val="auto"/>
          <w:lang w:val="en-US" w:eastAsia="zh-CN"/>
        </w:rPr>
        <w:t xml:space="preserve">修水县属亚热带湿润季风气候区，光、热、水资源较为丰富，霜期比较短，农业生产条件较为优越。境内多年平均日照时数为1629小时，日照百分率为38％。大于10℃期间的日照为1254小时，平均每天有5.6小时，占全年日照时数的76％。各地年平均气温在13—17℃。最热月为7月，月平均气温在27—28℃。最冷月为1月，月平均气温为3—4℃。平均气温年较差为24—25℃。初霜一般出现在11月中旬，最早为10月24日，最晚为12月15日。终霜一般出现在3月中旬，最早为2月15日，最晚为4月8日，年平均无霜期247天，最长为289天，最短为223天。年平均降水量为1500毫米以上。降雨季节分配不均匀，4—6月降雨集中，多年平均为700—800毫米，占全年47％，10—12月为140—190毫米，占全年10％。      </w:t>
      </w:r>
    </w:p>
    <w:p w14:paraId="5DEFD879">
      <w:pPr>
        <w:ind w:firstLine="560" w:firstLineChars="200"/>
        <w:rPr>
          <w:rFonts w:hint="default" w:ascii="宋体" w:hAnsi="宋体" w:cs="宋体"/>
          <w:color w:val="auto"/>
          <w:lang w:val="en-US" w:eastAsia="zh-CN"/>
        </w:rPr>
      </w:pPr>
      <w:r>
        <w:rPr>
          <w:rFonts w:hint="eastAsia" w:ascii="宋体" w:hAnsi="宋体" w:cs="宋体"/>
          <w:color w:val="auto"/>
          <w:lang w:val="en-US" w:eastAsia="zh-CN"/>
        </w:rPr>
        <w:t>2、地形地貌</w:t>
      </w:r>
    </w:p>
    <w:p w14:paraId="485BBE15">
      <w:pPr>
        <w:ind w:firstLine="560" w:firstLineChars="200"/>
        <w:rPr>
          <w:rFonts w:hint="default" w:ascii="宋体" w:hAnsi="宋体" w:cs="宋体"/>
          <w:color w:val="auto"/>
          <w:lang w:val="en-US" w:eastAsia="zh-CN"/>
        </w:rPr>
      </w:pPr>
      <w:r>
        <w:rPr>
          <w:rFonts w:hint="default" w:ascii="宋体" w:hAnsi="宋体" w:cs="宋体"/>
          <w:color w:val="auto"/>
          <w:lang w:val="en-US" w:eastAsia="zh-CN"/>
        </w:rPr>
        <w:t>修水是个比较典型的山区县，以山为主，素有“八山半水一分田，半分道路和庄园”的说法。境内四周群山环绕，北有幕阜山，南有九岭山，均为东北——西南走向，从四周向中心依次是中山、低山、丘陵和河谷地形。中、低山占总面积的65％，高丘占总面积的20.5％，低丘占总面积的13.5％，河谷阶地仅占总面积的1％。全县地势西高东低，向东北倾斜，略如碗状。全县土壤成土母质，有酸性结晶岩、混质岩、红砂岩、石英岩、紫色沙砾岩、碳酸盐岩类等风化物和第四纪红色黏土及河积物等。按土壤普查，土类有红壤、山地黄壤、山地黄棕壤、水稻土、石灰石土、山地草甸土、潮土、紫色土8类。亚类有潴育型水稻土、潜育型水稻土、淹育型水稻土、紫色土、山地草甸土、棕色石灰石土、潮土、红壤、山地黄红壤、山地黄壤、山地黄棕壤11类，44个土属，140个土种。</w:t>
      </w:r>
    </w:p>
    <w:p w14:paraId="63B796BC">
      <w:pPr>
        <w:numPr>
          <w:ilvl w:val="0"/>
          <w:numId w:val="0"/>
        </w:numPr>
        <w:ind w:firstLine="560" w:firstLineChars="200"/>
        <w:rPr>
          <w:rFonts w:hint="eastAsia" w:ascii="宋体" w:hAnsi="宋体" w:cs="宋体"/>
          <w:color w:val="auto"/>
          <w:lang w:val="en-US" w:eastAsia="zh-CN"/>
        </w:rPr>
      </w:pPr>
      <w:r>
        <w:rPr>
          <w:rFonts w:hint="eastAsia" w:ascii="宋体" w:hAnsi="宋体" w:eastAsia="宋体" w:cs="宋体"/>
          <w:color w:val="auto"/>
          <w:kern w:val="2"/>
          <w:sz w:val="28"/>
          <w:szCs w:val="24"/>
          <w:lang w:val="en-US" w:eastAsia="zh-CN" w:bidi="ar-SA"/>
        </w:rPr>
        <w:t>3、</w:t>
      </w:r>
      <w:r>
        <w:rPr>
          <w:rFonts w:hint="eastAsia" w:ascii="宋体" w:hAnsi="宋体" w:cs="宋体"/>
          <w:color w:val="auto"/>
          <w:lang w:val="en-US" w:eastAsia="zh-CN"/>
        </w:rPr>
        <w:t>水文</w:t>
      </w:r>
    </w:p>
    <w:p w14:paraId="1B4BD668">
      <w:pPr>
        <w:bidi w:val="0"/>
        <w:ind w:firstLine="560" w:firstLineChars="200"/>
        <w:rPr>
          <w:rFonts w:hint="eastAsia"/>
          <w:color w:val="auto"/>
          <w:lang w:val="en-US" w:eastAsia="zh-CN"/>
        </w:rPr>
      </w:pPr>
      <w:r>
        <w:rPr>
          <w:rFonts w:hint="eastAsia"/>
          <w:color w:val="auto"/>
          <w:lang w:val="en-US" w:eastAsia="zh-CN"/>
        </w:rPr>
        <w:t>修河是境内主要水系，修河及其11条支流，流贯全境。修河发源于幕阜山东麓，上游又称渣津水，汇合司前水，大桥水，东港水，东津水，山口水，北岸水，杭口水，奉乡水，安溪水，三都水等，蜿蜒曲折，呈树枝状分布，向中心河谷辐合。在曾家桥起称修河，向东北出境，流经武宁、永修，在吴城汇合赣江后注入鄱阳湖。西部汨罗水，发源于黄龙，经水源、大桥和湖南平江，注入洞庭湖。</w:t>
      </w:r>
    </w:p>
    <w:p w14:paraId="224A0C1D">
      <w:pPr>
        <w:bidi w:val="0"/>
        <w:ind w:firstLine="560" w:firstLineChars="200"/>
        <w:rPr>
          <w:rFonts w:hint="eastAsia"/>
          <w:color w:val="auto"/>
          <w:lang w:val="en-US" w:eastAsia="zh-CN"/>
        </w:rPr>
      </w:pPr>
      <w:r>
        <w:rPr>
          <w:rFonts w:hint="eastAsia"/>
          <w:color w:val="auto"/>
          <w:lang w:val="en-US" w:eastAsia="zh-CN"/>
        </w:rPr>
        <w:t>4、地震参数</w:t>
      </w:r>
    </w:p>
    <w:p w14:paraId="6765629C">
      <w:pPr>
        <w:ind w:firstLine="480" w:firstLineChars="200"/>
        <w:rPr>
          <w:rFonts w:hint="eastAsia"/>
          <w:color w:val="auto"/>
          <w:highlight w:val="none"/>
          <w:lang w:val="en-US" w:eastAsia="zh-CN"/>
        </w:rPr>
      </w:pPr>
      <w:r>
        <w:rPr>
          <w:rFonts w:ascii="宋体" w:hAnsi="宋体" w:eastAsia="宋体" w:cs="宋体"/>
          <w:color w:val="auto"/>
          <w:sz w:val="24"/>
          <w:szCs w:val="24"/>
        </w:rPr>
        <w:drawing>
          <wp:anchor distT="0" distB="0" distL="114300" distR="114300" simplePos="0" relativeHeight="251662336" behindDoc="0" locked="0" layoutInCell="1" allowOverlap="1">
            <wp:simplePos x="0" y="0"/>
            <wp:positionH relativeFrom="column">
              <wp:posOffset>964565</wp:posOffset>
            </wp:positionH>
            <wp:positionV relativeFrom="paragraph">
              <wp:posOffset>1181100</wp:posOffset>
            </wp:positionV>
            <wp:extent cx="3931285" cy="3105150"/>
            <wp:effectExtent l="0" t="0" r="635" b="3810"/>
            <wp:wrapTopAndBottom/>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4"/>
                    <a:srcRect l="13259" t="6120" r="6751" b="12287"/>
                    <a:stretch>
                      <a:fillRect/>
                    </a:stretch>
                  </pic:blipFill>
                  <pic:spPr>
                    <a:xfrm>
                      <a:off x="0" y="0"/>
                      <a:ext cx="3931285" cy="3105150"/>
                    </a:xfrm>
                    <a:prstGeom prst="rect">
                      <a:avLst/>
                    </a:prstGeom>
                    <a:noFill/>
                    <a:ln w="9525">
                      <a:noFill/>
                    </a:ln>
                  </pic:spPr>
                </pic:pic>
              </a:graphicData>
            </a:graphic>
          </wp:anchor>
        </w:drawing>
      </w:r>
      <w:r>
        <w:rPr>
          <w:rFonts w:hint="eastAsia"/>
          <w:color w:val="auto"/>
          <w:highlight w:val="none"/>
          <w:lang w:val="en-US" w:eastAsia="zh-CN"/>
        </w:rPr>
        <w:t>根据《建筑抗震设计规范》的标定，项目所在地的修水县抗震设防烈度为6度，设计基本地震加速度值为0.05g。</w:t>
      </w:r>
    </w:p>
    <w:p w14:paraId="71B08BCF">
      <w:pPr>
        <w:ind w:firstLine="560" w:firstLineChars="200"/>
        <w:rPr>
          <w:rFonts w:hint="default"/>
          <w:color w:val="auto"/>
          <w:lang w:val="en-US" w:eastAsia="zh-CN"/>
        </w:rPr>
      </w:pPr>
      <w:r>
        <w:rPr>
          <w:rFonts w:hint="eastAsia"/>
          <w:color w:val="auto"/>
          <w:lang w:val="en-US" w:eastAsia="zh-CN"/>
        </w:rPr>
        <w:t>项目位置卫星图如下：</w:t>
      </w:r>
    </w:p>
    <w:p w14:paraId="29FF7FB7">
      <w:pPr>
        <w:pStyle w:val="49"/>
        <w:bidi w:val="0"/>
        <w:rPr>
          <w:rFonts w:hint="default"/>
          <w:color w:val="auto"/>
          <w:lang w:val="en-US" w:eastAsia="zh-CN"/>
        </w:rPr>
      </w:pPr>
      <w:r>
        <w:rPr>
          <w:rFonts w:hint="eastAsia"/>
          <w:color w:val="auto"/>
          <w:lang w:val="en-US" w:eastAsia="zh-CN"/>
        </w:rPr>
        <w:t>图2.3-1项目所在地卫星图</w:t>
      </w:r>
    </w:p>
    <w:p w14:paraId="23CE1A06">
      <w:pPr>
        <w:pStyle w:val="5"/>
        <w:bidi w:val="0"/>
        <w:rPr>
          <w:rFonts w:hint="eastAsia" w:ascii="宋体" w:hAnsi="宋体" w:eastAsia="宋体" w:cs="宋体"/>
          <w:b w:val="0"/>
          <w:color w:val="auto"/>
        </w:rPr>
      </w:pPr>
      <w:bookmarkStart w:id="27" w:name="_Toc3159"/>
      <w:r>
        <w:rPr>
          <w:color w:val="auto"/>
        </w:rPr>
        <w:t>2.</w:t>
      </w:r>
      <w:r>
        <w:rPr>
          <w:rFonts w:hint="eastAsia"/>
          <w:color w:val="auto"/>
          <w:lang w:val="en-US" w:eastAsia="zh-CN"/>
        </w:rPr>
        <w:t>4</w:t>
      </w:r>
      <w:r>
        <w:rPr>
          <w:rFonts w:hint="eastAsia" w:ascii="宋体" w:hAnsi="宋体" w:eastAsia="宋体" w:cs="宋体"/>
          <w:color w:val="auto"/>
          <w:lang w:val="en-US" w:eastAsia="zh-CN"/>
        </w:rPr>
        <w:t>总</w:t>
      </w:r>
      <w:r>
        <w:rPr>
          <w:rFonts w:hint="eastAsia" w:ascii="宋体" w:hAnsi="宋体" w:cs="宋体"/>
          <w:color w:val="auto"/>
          <w:lang w:val="en-US" w:eastAsia="zh-CN"/>
        </w:rPr>
        <w:t>图及</w:t>
      </w:r>
      <w:r>
        <w:rPr>
          <w:rFonts w:hint="eastAsia" w:ascii="宋体" w:hAnsi="宋体" w:eastAsia="宋体" w:cs="宋体"/>
          <w:color w:val="auto"/>
          <w:lang w:val="en-US" w:eastAsia="zh-CN"/>
        </w:rPr>
        <w:t>平面布置</w:t>
      </w:r>
      <w:bookmarkEnd w:id="27"/>
    </w:p>
    <w:p w14:paraId="733013ED">
      <w:pPr>
        <w:spacing w:line="600" w:lineRule="exact"/>
        <w:ind w:firstLine="560" w:firstLineChars="200"/>
        <w:rPr>
          <w:rFonts w:hint="default"/>
          <w:color w:val="auto"/>
          <w:sz w:val="28"/>
          <w:szCs w:val="28"/>
          <w:lang w:val="en-US" w:eastAsia="zh-CN"/>
        </w:rPr>
      </w:pPr>
      <w:r>
        <w:rPr>
          <w:rFonts w:hint="eastAsia"/>
          <w:color w:val="auto"/>
          <w:sz w:val="28"/>
          <w:szCs w:val="28"/>
          <w:lang w:val="en-US" w:eastAsia="zh-CN"/>
        </w:rPr>
        <w:t>修水东（西）服务区采用双侧分离式布局，分别位于大广高速的两侧，其按地理位置可分为：</w:t>
      </w:r>
      <w:r>
        <w:rPr>
          <w:rFonts w:hint="eastAsia"/>
          <w:b/>
          <w:bCs/>
          <w:color w:val="auto"/>
          <w:sz w:val="28"/>
          <w:szCs w:val="28"/>
          <w:lang w:val="en-US" w:eastAsia="zh-CN"/>
        </w:rPr>
        <w:t>东服务区、西服务区。</w:t>
      </w:r>
    </w:p>
    <w:p w14:paraId="078D82B5">
      <w:pPr>
        <w:spacing w:line="600" w:lineRule="exact"/>
        <w:ind w:firstLine="562" w:firstLineChars="200"/>
        <w:rPr>
          <w:rFonts w:hint="eastAsia"/>
          <w:b/>
          <w:bCs/>
          <w:color w:val="auto"/>
          <w:sz w:val="28"/>
          <w:szCs w:val="28"/>
          <w:lang w:val="en-US" w:eastAsia="zh-CN"/>
        </w:rPr>
      </w:pPr>
      <w:r>
        <w:rPr>
          <w:rFonts w:hint="eastAsia"/>
          <w:b/>
          <w:bCs/>
          <w:color w:val="auto"/>
          <w:sz w:val="28"/>
          <w:szCs w:val="28"/>
          <w:lang w:val="en-US" w:eastAsia="zh-CN"/>
        </w:rPr>
        <w:t>一、东服务区平面布置</w:t>
      </w:r>
    </w:p>
    <w:p w14:paraId="544E26DA">
      <w:pPr>
        <w:bidi w:val="0"/>
        <w:rPr>
          <w:rFonts w:hint="default"/>
          <w:color w:val="auto"/>
          <w:lang w:val="en-US" w:eastAsia="zh-CN"/>
        </w:rPr>
      </w:pPr>
      <w:r>
        <w:rPr>
          <w:rFonts w:hint="eastAsia"/>
          <w:color w:val="auto"/>
          <w:lang w:val="en-US" w:eastAsia="zh-CN"/>
        </w:rPr>
        <w:t>东服务区整体坐东南朝西北，面向高速设置，其区域内按功能可划分为：人员服务区、拓展功能区、后勤服务区、车辆服务功能区等。</w:t>
      </w:r>
    </w:p>
    <w:p w14:paraId="6DE4F829">
      <w:pPr>
        <w:bidi w:val="0"/>
        <w:rPr>
          <w:rFonts w:hint="eastAsia"/>
          <w:color w:val="auto"/>
          <w:lang w:val="en-US" w:eastAsia="zh-CN"/>
        </w:rPr>
      </w:pPr>
      <w:r>
        <w:rPr>
          <w:rFonts w:hint="eastAsia"/>
          <w:color w:val="auto"/>
          <w:lang w:val="en-US" w:eastAsia="zh-CN"/>
        </w:rPr>
        <w:t>人员服务区：主要为服务区综合楼，为一层框架结构建筑，建筑面积为3408.14m</w:t>
      </w:r>
      <w:r>
        <w:rPr>
          <w:rFonts w:hint="eastAsia"/>
          <w:color w:val="auto"/>
          <w:vertAlign w:val="superscript"/>
          <w:lang w:val="en-US" w:eastAsia="zh-CN"/>
        </w:rPr>
        <w:t>2</w:t>
      </w:r>
      <w:r>
        <w:rPr>
          <w:rFonts w:hint="eastAsia"/>
          <w:color w:val="auto"/>
          <w:lang w:val="en-US" w:eastAsia="zh-CN"/>
        </w:rPr>
        <w:t>，拟设置于服务区中部位置，内设餐厅、厕所、开水间、设备间、客服中心、消防控制室、配电间等功能开间，主要为旅客提供餐饮、休息、购物等服务。</w:t>
      </w:r>
    </w:p>
    <w:p w14:paraId="73AE5C06">
      <w:pPr>
        <w:bidi w:val="0"/>
        <w:rPr>
          <w:rFonts w:hint="eastAsia"/>
          <w:color w:val="auto"/>
          <w:lang w:val="en-US" w:eastAsia="zh-CN"/>
        </w:rPr>
      </w:pPr>
      <w:r>
        <w:rPr>
          <w:rFonts w:hint="eastAsia"/>
          <w:color w:val="auto"/>
          <w:lang w:val="en-US" w:eastAsia="zh-CN"/>
        </w:rPr>
        <w:t>拓展服务区：主要为修车库和设备用房。修车库，为一层框架架构建筑，建筑面积为204m</w:t>
      </w:r>
      <w:r>
        <w:rPr>
          <w:rFonts w:hint="eastAsia"/>
          <w:color w:val="auto"/>
          <w:vertAlign w:val="superscript"/>
          <w:lang w:val="en-US" w:eastAsia="zh-CN"/>
        </w:rPr>
        <w:t>2</w:t>
      </w:r>
      <w:r>
        <w:rPr>
          <w:rFonts w:hint="eastAsia"/>
          <w:color w:val="auto"/>
          <w:lang w:val="en-US" w:eastAsia="zh-CN"/>
        </w:rPr>
        <w:t>，拟设置于服务区南侧，主要为车辆提供修车服务。</w:t>
      </w:r>
    </w:p>
    <w:p w14:paraId="4536104A">
      <w:pPr>
        <w:bidi w:val="0"/>
        <w:rPr>
          <w:rFonts w:hint="default"/>
          <w:color w:val="auto"/>
          <w:lang w:val="en-US" w:eastAsia="zh-CN"/>
        </w:rPr>
      </w:pPr>
      <w:r>
        <w:rPr>
          <w:rFonts w:hint="eastAsia"/>
          <w:color w:val="auto"/>
          <w:lang w:val="en-US" w:eastAsia="zh-CN"/>
        </w:rPr>
        <w:t>设备用房：一座，为一层框架架构建筑，建筑面积为434.85m</w:t>
      </w:r>
      <w:r>
        <w:rPr>
          <w:rFonts w:hint="eastAsia"/>
          <w:color w:val="auto"/>
          <w:vertAlign w:val="superscript"/>
          <w:lang w:val="en-US" w:eastAsia="zh-CN"/>
        </w:rPr>
        <w:t>2</w:t>
      </w:r>
      <w:r>
        <w:rPr>
          <w:rFonts w:hint="eastAsia"/>
          <w:color w:val="auto"/>
          <w:vertAlign w:val="baseline"/>
          <w:lang w:val="en-US" w:eastAsia="zh-CN"/>
        </w:rPr>
        <w:t>，</w:t>
      </w:r>
      <w:r>
        <w:rPr>
          <w:rFonts w:hint="eastAsia"/>
          <w:color w:val="auto"/>
          <w:lang w:val="en-US" w:eastAsia="zh-CN"/>
        </w:rPr>
        <w:t>拟设置于修车库东侧。用于服务区设备的存放和维护。</w:t>
      </w:r>
    </w:p>
    <w:p w14:paraId="3F08F7A3">
      <w:pPr>
        <w:bidi w:val="0"/>
        <w:rPr>
          <w:rFonts w:hint="default"/>
          <w:color w:val="auto"/>
          <w:lang w:val="en-US" w:eastAsia="zh-CN"/>
        </w:rPr>
      </w:pPr>
      <w:r>
        <w:rPr>
          <w:rFonts w:hint="eastAsia"/>
          <w:color w:val="auto"/>
          <w:lang w:val="en-US" w:eastAsia="zh-CN"/>
        </w:rPr>
        <w:t>污水处理设施：拟设置于综合楼东北侧。其西北侧拟设置垃圾池，两者之间预留尿素站用地。</w:t>
      </w:r>
    </w:p>
    <w:p w14:paraId="4B271111">
      <w:pPr>
        <w:bidi w:val="0"/>
        <w:rPr>
          <w:rFonts w:hint="eastAsia"/>
          <w:color w:val="auto"/>
          <w:lang w:val="en-US" w:eastAsia="zh-CN"/>
        </w:rPr>
      </w:pPr>
      <w:r>
        <w:rPr>
          <w:rFonts w:hint="eastAsia"/>
          <w:color w:val="auto"/>
          <w:lang w:val="en-US" w:eastAsia="zh-CN"/>
        </w:rPr>
        <w:t>车辆服务区：拟设置停车位260个，其中：小客车停车位154个，超长停车位6个，分布于综合楼西北侧；大客车停车位11个，分布于综合楼东北侧；货车停车位72个，并预留4个大货车充电车位，分布于综合楼东南侧；危化品/畜牧车位6个，分布于污水处理设施东南侧；充电桩停车位11个，分布于综合楼西南侧，并预留换电站。</w:t>
      </w:r>
    </w:p>
    <w:p w14:paraId="6B2E054B">
      <w:pPr>
        <w:bidi w:val="0"/>
        <w:rPr>
          <w:rFonts w:hint="eastAsia"/>
          <w:color w:val="auto"/>
          <w:lang w:val="en-US" w:eastAsia="zh-CN"/>
        </w:rPr>
      </w:pPr>
      <w:r>
        <w:rPr>
          <w:rFonts w:hint="eastAsia"/>
          <w:color w:val="auto"/>
          <w:lang w:val="en-US" w:eastAsia="zh-CN"/>
        </w:rPr>
        <w:t>加油站：利旧，位于服务区出口处，与服务区建筑物距离均大于100m。不在本次评价范围内。</w:t>
      </w:r>
    </w:p>
    <w:p w14:paraId="2EB92104">
      <w:pPr>
        <w:bidi w:val="0"/>
        <w:rPr>
          <w:rFonts w:hint="eastAsia"/>
          <w:color w:val="auto"/>
          <w:lang w:val="en-US" w:eastAsia="zh-CN"/>
        </w:rPr>
      </w:pPr>
      <w:r>
        <w:rPr>
          <w:rFonts w:hint="eastAsia"/>
          <w:color w:val="auto"/>
          <w:lang w:val="en-US" w:eastAsia="zh-CN"/>
        </w:rPr>
        <w:t>东服务区内建（构）筑物防火间距见表2.4-1。</w:t>
      </w:r>
    </w:p>
    <w:p w14:paraId="0D44FA93">
      <w:pPr>
        <w:bidi w:val="0"/>
        <w:ind w:firstLine="562" w:firstLineChars="200"/>
        <w:rPr>
          <w:rFonts w:hint="default"/>
          <w:b w:val="0"/>
          <w:bCs/>
          <w:color w:val="auto"/>
          <w:sz w:val="28"/>
          <w:szCs w:val="28"/>
          <w:lang w:val="en-US" w:eastAsia="zh-CN"/>
        </w:rPr>
      </w:pPr>
      <w:r>
        <w:rPr>
          <w:rFonts w:hint="eastAsia"/>
          <w:b/>
          <w:bCs/>
          <w:color w:val="auto"/>
          <w:sz w:val="28"/>
          <w:szCs w:val="28"/>
          <w:highlight w:val="none"/>
          <w:vertAlign w:val="baseline"/>
          <w:lang w:val="en-US" w:eastAsia="zh-CN"/>
        </w:rPr>
        <w:t>二、西服务区总平面布置</w:t>
      </w:r>
    </w:p>
    <w:p w14:paraId="3DD62BB3">
      <w:pPr>
        <w:bidi w:val="0"/>
        <w:rPr>
          <w:rFonts w:hint="default"/>
          <w:color w:val="auto"/>
          <w:lang w:val="en-US" w:eastAsia="zh-CN"/>
        </w:rPr>
      </w:pPr>
      <w:r>
        <w:rPr>
          <w:rFonts w:hint="eastAsia"/>
          <w:color w:val="auto"/>
          <w:lang w:val="en-US" w:eastAsia="zh-CN"/>
        </w:rPr>
        <w:t>西服务区整体坐西北朝东南，面向高速设置，其区域内按功能可划分为：综合楼、修车库、设备用房、两室、办公配套用房、污水处理设施、停车位、加油站等。</w:t>
      </w:r>
    </w:p>
    <w:p w14:paraId="22715CB9">
      <w:pPr>
        <w:bidi w:val="0"/>
        <w:rPr>
          <w:rFonts w:hint="eastAsia"/>
          <w:color w:val="auto"/>
          <w:lang w:val="en-US" w:eastAsia="zh-CN"/>
        </w:rPr>
      </w:pPr>
      <w:r>
        <w:rPr>
          <w:rFonts w:hint="eastAsia"/>
          <w:color w:val="auto"/>
          <w:lang w:val="en-US" w:eastAsia="zh-CN"/>
        </w:rPr>
        <w:t>综合楼：一座，为一层框架结构建筑，建筑面积为3408.14m</w:t>
      </w:r>
      <w:r>
        <w:rPr>
          <w:rFonts w:hint="eastAsia"/>
          <w:color w:val="auto"/>
          <w:vertAlign w:val="superscript"/>
          <w:lang w:val="en-US" w:eastAsia="zh-CN"/>
        </w:rPr>
        <w:t>2</w:t>
      </w:r>
      <w:r>
        <w:rPr>
          <w:rFonts w:hint="eastAsia"/>
          <w:color w:val="auto"/>
          <w:lang w:val="en-US" w:eastAsia="zh-CN"/>
        </w:rPr>
        <w:t>，拟设置于服务区中部位置，内设餐厅、厕所、开水间、设备间、客服中心、消防控制室、配电间等功能开间，主要为旅客提供餐饮、休息、购物等服务。</w:t>
      </w:r>
    </w:p>
    <w:p w14:paraId="47431E4E">
      <w:pPr>
        <w:bidi w:val="0"/>
        <w:rPr>
          <w:rFonts w:hint="eastAsia"/>
          <w:color w:val="auto"/>
          <w:lang w:val="en-US" w:eastAsia="zh-CN"/>
        </w:rPr>
      </w:pPr>
      <w:r>
        <w:rPr>
          <w:rFonts w:hint="eastAsia"/>
          <w:color w:val="auto"/>
          <w:lang w:val="en-US" w:eastAsia="zh-CN"/>
        </w:rPr>
        <w:t>修车库：一座，为一层框架架构建筑，建筑面积为204m</w:t>
      </w:r>
      <w:r>
        <w:rPr>
          <w:rFonts w:hint="eastAsia"/>
          <w:color w:val="auto"/>
          <w:vertAlign w:val="superscript"/>
          <w:lang w:val="en-US" w:eastAsia="zh-CN"/>
        </w:rPr>
        <w:t>2</w:t>
      </w:r>
      <w:r>
        <w:rPr>
          <w:rFonts w:hint="eastAsia"/>
          <w:color w:val="auto"/>
          <w:lang w:val="en-US" w:eastAsia="zh-CN"/>
        </w:rPr>
        <w:t>，拟设置于服务区南侧，主要为车辆提供修车服务。</w:t>
      </w:r>
    </w:p>
    <w:p w14:paraId="0B842C85">
      <w:pPr>
        <w:bidi w:val="0"/>
        <w:rPr>
          <w:rFonts w:hint="default"/>
          <w:color w:val="auto"/>
          <w:lang w:val="en-US" w:eastAsia="zh-CN"/>
        </w:rPr>
      </w:pPr>
      <w:r>
        <w:rPr>
          <w:rFonts w:hint="eastAsia"/>
          <w:color w:val="auto"/>
          <w:lang w:val="en-US" w:eastAsia="zh-CN"/>
        </w:rPr>
        <w:t>设备用房：一座，为一层框架架构建筑，建筑面积为434.85m</w:t>
      </w:r>
      <w:r>
        <w:rPr>
          <w:rFonts w:hint="eastAsia"/>
          <w:color w:val="auto"/>
          <w:vertAlign w:val="superscript"/>
          <w:lang w:val="en-US" w:eastAsia="zh-CN"/>
        </w:rPr>
        <w:t>2</w:t>
      </w:r>
      <w:r>
        <w:rPr>
          <w:rFonts w:hint="eastAsia"/>
          <w:color w:val="auto"/>
          <w:vertAlign w:val="baseline"/>
          <w:lang w:val="en-US" w:eastAsia="zh-CN"/>
        </w:rPr>
        <w:t>，</w:t>
      </w:r>
      <w:r>
        <w:rPr>
          <w:rFonts w:hint="eastAsia"/>
          <w:color w:val="auto"/>
          <w:lang w:val="en-US" w:eastAsia="zh-CN"/>
        </w:rPr>
        <w:t>拟设置于修车库东侧。用于服务区设备的存放和维护。</w:t>
      </w:r>
    </w:p>
    <w:p w14:paraId="5F889FC4">
      <w:pPr>
        <w:bidi w:val="0"/>
        <w:rPr>
          <w:rFonts w:hint="default"/>
          <w:color w:val="auto"/>
          <w:lang w:val="en-US" w:eastAsia="zh-CN"/>
        </w:rPr>
      </w:pPr>
      <w:r>
        <w:rPr>
          <w:rFonts w:hint="eastAsia"/>
          <w:color w:val="auto"/>
          <w:lang w:val="en-US" w:eastAsia="zh-CN"/>
        </w:rPr>
        <w:t>污水处理设施：拟设置于综合楼东北侧。其西北侧拟设置垃圾池，两者之间预留尿素站用地。</w:t>
      </w:r>
    </w:p>
    <w:p w14:paraId="5996C140">
      <w:pPr>
        <w:bidi w:val="0"/>
        <w:rPr>
          <w:rFonts w:hint="eastAsia"/>
          <w:color w:val="auto"/>
          <w:lang w:val="en-US" w:eastAsia="zh-CN"/>
        </w:rPr>
      </w:pPr>
      <w:r>
        <w:rPr>
          <w:rFonts w:hint="eastAsia"/>
          <w:color w:val="auto"/>
          <w:lang w:val="en-US" w:eastAsia="zh-CN"/>
        </w:rPr>
        <w:t>停车位：拟设置停车位251个，其中：小客车停车位153个，超长停车位6个，分布于综合楼西北侧；大客车停车位8个，分布于综合楼东北侧；货车停车位67个，并预留4个大货车充电车位，分布于综合楼东南侧；危化品/畜牧车位6个，分布于污水处理设施东南侧；充电桩停车位11个，分布于综合楼西南侧，并预留换电站。</w:t>
      </w:r>
    </w:p>
    <w:p w14:paraId="33316F9D">
      <w:pPr>
        <w:bidi w:val="0"/>
        <w:rPr>
          <w:rFonts w:hint="default"/>
          <w:color w:val="auto"/>
          <w:lang w:val="en-US" w:eastAsia="zh-CN"/>
        </w:rPr>
      </w:pPr>
      <w:r>
        <w:rPr>
          <w:rFonts w:hint="eastAsia"/>
          <w:color w:val="auto"/>
          <w:lang w:val="en-US" w:eastAsia="zh-CN"/>
        </w:rPr>
        <w:t>加油站：利旧，位于服务区出口处，与服务区建筑物距离均大于100m。不在本次评价范围内。</w:t>
      </w:r>
    </w:p>
    <w:p w14:paraId="713B014C">
      <w:pPr>
        <w:bidi w:val="0"/>
        <w:ind w:firstLine="560" w:firstLineChars="200"/>
        <w:rPr>
          <w:rFonts w:hint="eastAsia"/>
          <w:color w:val="auto"/>
          <w:spacing w:val="-4"/>
          <w:sz w:val="28"/>
        </w:rPr>
      </w:pPr>
      <w:r>
        <w:rPr>
          <w:rFonts w:hint="eastAsia"/>
          <w:b w:val="0"/>
          <w:bCs/>
          <w:color w:val="auto"/>
          <w:sz w:val="28"/>
          <w:szCs w:val="28"/>
          <w:lang w:val="en-US" w:eastAsia="zh-CN"/>
        </w:rPr>
        <w:t>具体平面布置详见总平面布置图附件。</w:t>
      </w:r>
      <w:r>
        <w:rPr>
          <w:rFonts w:hint="eastAsia"/>
          <w:color w:val="auto"/>
          <w:spacing w:val="-4"/>
          <w:sz w:val="28"/>
        </w:rPr>
        <w:t xml:space="preserve"> </w:t>
      </w:r>
    </w:p>
    <w:p w14:paraId="294575A7">
      <w:pPr>
        <w:bidi w:val="0"/>
        <w:ind w:firstLine="544" w:firstLineChars="200"/>
        <w:rPr>
          <w:rFonts w:hint="eastAsia"/>
          <w:color w:val="auto"/>
          <w:spacing w:val="-4"/>
          <w:sz w:val="28"/>
        </w:rPr>
      </w:pPr>
      <w:r>
        <w:rPr>
          <w:rFonts w:hint="eastAsia"/>
          <w:color w:val="auto"/>
          <w:spacing w:val="-4"/>
          <w:sz w:val="28"/>
          <w:lang w:val="en-US" w:eastAsia="zh-CN"/>
        </w:rPr>
        <w:t>服务区内建构筑物防火间距见下表。</w:t>
      </w:r>
      <w:r>
        <w:rPr>
          <w:rFonts w:hint="eastAsia"/>
          <w:color w:val="auto"/>
          <w:spacing w:val="-4"/>
          <w:sz w:val="28"/>
        </w:rPr>
        <w:t xml:space="preserve"> </w:t>
      </w:r>
    </w:p>
    <w:p w14:paraId="4184D673">
      <w:pPr>
        <w:pStyle w:val="48"/>
        <w:bidi w:val="0"/>
        <w:rPr>
          <w:rFonts w:hint="eastAsia"/>
          <w:color w:val="auto"/>
          <w:lang w:val="en-US" w:eastAsia="zh-CN"/>
        </w:rPr>
      </w:pPr>
      <w:r>
        <w:rPr>
          <w:rFonts w:hint="eastAsia"/>
          <w:color w:val="auto"/>
          <w:lang w:val="en-US" w:eastAsia="zh-CN"/>
        </w:rPr>
        <w:t>表2.4-1服务区内建构筑物防火间距一览表</w:t>
      </w:r>
    </w:p>
    <w:tbl>
      <w:tblPr>
        <w:tblStyle w:val="33"/>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920"/>
        <w:gridCol w:w="2130"/>
        <w:gridCol w:w="1230"/>
        <w:gridCol w:w="1140"/>
        <w:gridCol w:w="2180"/>
      </w:tblGrid>
      <w:tr w14:paraId="6278C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80" w:type="dxa"/>
            <w:gridSpan w:val="6"/>
            <w:noWrap w:val="0"/>
            <w:vAlign w:val="center"/>
          </w:tcPr>
          <w:p w14:paraId="7C75BA87">
            <w:pPr>
              <w:pStyle w:val="43"/>
              <w:bidi w:val="0"/>
              <w:jc w:val="center"/>
              <w:rPr>
                <w:rFonts w:hint="eastAsia"/>
                <w:b/>
                <w:bCs/>
                <w:color w:val="auto"/>
                <w:lang w:val="en-US" w:eastAsia="zh-CN"/>
              </w:rPr>
            </w:pPr>
            <w:r>
              <w:rPr>
                <w:rFonts w:hint="eastAsia"/>
                <w:b/>
                <w:bCs/>
                <w:color w:val="auto"/>
                <w:lang w:val="en-US" w:eastAsia="zh-CN"/>
              </w:rPr>
              <w:t>东服务区</w:t>
            </w:r>
          </w:p>
        </w:tc>
      </w:tr>
      <w:tr w14:paraId="314E2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shd w:val="clear" w:color="auto" w:fill="auto"/>
            <w:noWrap w:val="0"/>
            <w:vAlign w:val="center"/>
          </w:tcPr>
          <w:p w14:paraId="7EDA124A">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序号</w:t>
            </w:r>
          </w:p>
        </w:tc>
        <w:tc>
          <w:tcPr>
            <w:tcW w:w="1920" w:type="dxa"/>
            <w:shd w:val="clear" w:color="auto" w:fill="auto"/>
            <w:noWrap w:val="0"/>
            <w:vAlign w:val="center"/>
          </w:tcPr>
          <w:p w14:paraId="32A4A565">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建（构）筑物名称</w:t>
            </w:r>
          </w:p>
        </w:tc>
        <w:tc>
          <w:tcPr>
            <w:tcW w:w="2130" w:type="dxa"/>
            <w:shd w:val="clear" w:color="auto" w:fill="auto"/>
            <w:noWrap w:val="0"/>
            <w:vAlign w:val="center"/>
          </w:tcPr>
          <w:p w14:paraId="582568AD">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rPr>
              <w:t>相邻</w:t>
            </w:r>
            <w:r>
              <w:rPr>
                <w:rFonts w:hint="eastAsia"/>
                <w:color w:val="auto"/>
                <w:lang w:val="en-US" w:eastAsia="zh-CN"/>
              </w:rPr>
              <w:t>建（构）筑物</w:t>
            </w:r>
          </w:p>
        </w:tc>
        <w:tc>
          <w:tcPr>
            <w:tcW w:w="1230" w:type="dxa"/>
            <w:shd w:val="clear" w:color="auto" w:fill="auto"/>
            <w:noWrap w:val="0"/>
            <w:vAlign w:val="center"/>
          </w:tcPr>
          <w:p w14:paraId="7E80E0B0">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拟设距离</w:t>
            </w:r>
            <w:r>
              <w:rPr>
                <w:rFonts w:hint="eastAsia"/>
                <w:color w:val="auto"/>
              </w:rPr>
              <w:t>（m）</w:t>
            </w:r>
          </w:p>
        </w:tc>
        <w:tc>
          <w:tcPr>
            <w:tcW w:w="1140" w:type="dxa"/>
            <w:shd w:val="clear" w:color="auto" w:fill="auto"/>
            <w:noWrap w:val="0"/>
            <w:vAlign w:val="center"/>
          </w:tcPr>
          <w:p w14:paraId="6FF06B83">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标准间距（m）</w:t>
            </w:r>
          </w:p>
        </w:tc>
        <w:tc>
          <w:tcPr>
            <w:tcW w:w="2180" w:type="dxa"/>
            <w:shd w:val="clear" w:color="auto" w:fill="auto"/>
            <w:noWrap w:val="0"/>
            <w:vAlign w:val="center"/>
          </w:tcPr>
          <w:p w14:paraId="066BC48B">
            <w:pPr>
              <w:pStyle w:val="43"/>
              <w:bidi w:val="0"/>
              <w:ind w:firstLine="0" w:firstLineChars="0"/>
              <w:rPr>
                <w:rFonts w:hint="eastAsia"/>
                <w:color w:val="auto"/>
                <w:lang w:val="en-US" w:eastAsia="zh-CN"/>
              </w:rPr>
            </w:pPr>
            <w:r>
              <w:rPr>
                <w:rFonts w:hint="eastAsia"/>
                <w:color w:val="auto"/>
                <w:lang w:val="en-US" w:eastAsia="zh-CN"/>
              </w:rPr>
              <w:t>引用标准</w:t>
            </w:r>
          </w:p>
        </w:tc>
      </w:tr>
      <w:tr w14:paraId="719A6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1365B72F">
            <w:pPr>
              <w:pStyle w:val="43"/>
              <w:bidi w:val="0"/>
              <w:rPr>
                <w:rFonts w:hint="eastAsia" w:eastAsia="宋体"/>
                <w:color w:val="auto"/>
                <w:lang w:val="en-US" w:eastAsia="zh-CN"/>
              </w:rPr>
            </w:pPr>
            <w:r>
              <w:rPr>
                <w:rFonts w:hint="eastAsia"/>
                <w:color w:val="auto"/>
                <w:lang w:val="en-US" w:eastAsia="zh-CN"/>
              </w:rPr>
              <w:t>1</w:t>
            </w:r>
          </w:p>
        </w:tc>
        <w:tc>
          <w:tcPr>
            <w:tcW w:w="1920" w:type="dxa"/>
            <w:noWrap w:val="0"/>
            <w:vAlign w:val="center"/>
          </w:tcPr>
          <w:p w14:paraId="4CCBCDE1">
            <w:pPr>
              <w:pStyle w:val="43"/>
              <w:bidi w:val="0"/>
              <w:rPr>
                <w:rFonts w:hint="default"/>
                <w:color w:val="auto"/>
                <w:lang w:val="en-US" w:eastAsia="zh-CN"/>
              </w:rPr>
            </w:pPr>
            <w:r>
              <w:rPr>
                <w:rFonts w:hint="eastAsia"/>
                <w:color w:val="auto"/>
                <w:lang w:val="en-US" w:eastAsia="zh-CN"/>
              </w:rPr>
              <w:t>综合楼</w:t>
            </w:r>
          </w:p>
        </w:tc>
        <w:tc>
          <w:tcPr>
            <w:tcW w:w="2130" w:type="dxa"/>
            <w:noWrap w:val="0"/>
            <w:vAlign w:val="center"/>
          </w:tcPr>
          <w:p w14:paraId="41A06895">
            <w:pPr>
              <w:pStyle w:val="43"/>
              <w:bidi w:val="0"/>
              <w:rPr>
                <w:rFonts w:hint="default" w:eastAsia="宋体"/>
                <w:color w:val="auto"/>
                <w:lang w:val="en-US" w:eastAsia="zh-CN"/>
              </w:rPr>
            </w:pPr>
            <w:r>
              <w:rPr>
                <w:rFonts w:hint="eastAsia"/>
                <w:color w:val="auto"/>
                <w:lang w:val="en-US" w:eastAsia="zh-CN"/>
              </w:rPr>
              <w:t>充电停车位</w:t>
            </w:r>
          </w:p>
        </w:tc>
        <w:tc>
          <w:tcPr>
            <w:tcW w:w="1230" w:type="dxa"/>
            <w:noWrap w:val="0"/>
            <w:vAlign w:val="center"/>
          </w:tcPr>
          <w:p w14:paraId="58D45F0D">
            <w:pPr>
              <w:pStyle w:val="43"/>
              <w:bidi w:val="0"/>
              <w:rPr>
                <w:rFonts w:hint="default"/>
                <w:color w:val="auto"/>
                <w:lang w:val="en-US" w:eastAsia="zh-CN"/>
              </w:rPr>
            </w:pPr>
            <w:r>
              <w:rPr>
                <w:rFonts w:hint="eastAsia"/>
                <w:color w:val="auto"/>
                <w:lang w:val="en-US" w:eastAsia="zh-CN"/>
              </w:rPr>
              <w:t>19.8</w:t>
            </w:r>
          </w:p>
        </w:tc>
        <w:tc>
          <w:tcPr>
            <w:tcW w:w="1140" w:type="dxa"/>
            <w:noWrap w:val="0"/>
            <w:vAlign w:val="center"/>
          </w:tcPr>
          <w:p w14:paraId="21689E69">
            <w:pPr>
              <w:pStyle w:val="43"/>
              <w:bidi w:val="0"/>
              <w:rPr>
                <w:rFonts w:hint="default"/>
                <w:color w:val="auto"/>
                <w:lang w:val="en-US" w:eastAsia="zh-CN"/>
              </w:rPr>
            </w:pPr>
            <w:r>
              <w:rPr>
                <w:rFonts w:hint="eastAsia"/>
                <w:color w:val="auto"/>
                <w:lang w:val="en-US" w:eastAsia="zh-CN"/>
              </w:rPr>
              <w:t>10</w:t>
            </w:r>
          </w:p>
        </w:tc>
        <w:tc>
          <w:tcPr>
            <w:tcW w:w="2180" w:type="dxa"/>
            <w:noWrap w:val="0"/>
            <w:vAlign w:val="center"/>
          </w:tcPr>
          <w:p w14:paraId="62022B72">
            <w:pPr>
              <w:pStyle w:val="43"/>
              <w:bidi w:val="0"/>
              <w:rPr>
                <w:rFonts w:hint="eastAsia"/>
                <w:color w:val="auto"/>
                <w:lang w:val="en-US" w:eastAsia="zh-CN"/>
              </w:rPr>
            </w:pPr>
            <w:r>
              <w:rPr>
                <w:rFonts w:hint="eastAsia"/>
                <w:color w:val="auto"/>
                <w:lang w:val="en-US" w:eastAsia="zh-CN"/>
              </w:rPr>
              <w:t>GB50966-2014</w:t>
            </w:r>
          </w:p>
          <w:p w14:paraId="14366738">
            <w:pPr>
              <w:pStyle w:val="43"/>
              <w:bidi w:val="0"/>
              <w:rPr>
                <w:rFonts w:hint="eastAsia"/>
                <w:color w:val="auto"/>
                <w:lang w:val="en-US" w:eastAsia="zh-CN"/>
              </w:rPr>
            </w:pPr>
            <w:r>
              <w:rPr>
                <w:rFonts w:hint="eastAsia"/>
                <w:color w:val="auto"/>
                <w:lang w:val="en-US" w:eastAsia="zh-CN"/>
              </w:rPr>
              <w:t>3.2.4</w:t>
            </w:r>
          </w:p>
          <w:p w14:paraId="1B60CD8E">
            <w:pPr>
              <w:pStyle w:val="43"/>
              <w:bidi w:val="0"/>
              <w:rPr>
                <w:rFonts w:hint="eastAsia"/>
                <w:color w:val="auto"/>
                <w:lang w:val="en-US" w:eastAsia="zh-CN"/>
              </w:rPr>
            </w:pPr>
            <w:r>
              <w:rPr>
                <w:rFonts w:hint="eastAsia"/>
                <w:color w:val="auto"/>
                <w:lang w:val="en-US" w:eastAsia="zh-CN"/>
              </w:rPr>
              <w:t>GB50016-2014</w:t>
            </w:r>
          </w:p>
          <w:p w14:paraId="4FF80A9B">
            <w:pPr>
              <w:pStyle w:val="43"/>
              <w:bidi w:val="0"/>
              <w:rPr>
                <w:rFonts w:hint="eastAsia"/>
                <w:color w:val="auto"/>
                <w:lang w:val="en-US" w:eastAsia="zh-CN"/>
              </w:rPr>
            </w:pPr>
            <w:r>
              <w:rPr>
                <w:rFonts w:hint="eastAsia"/>
                <w:color w:val="auto"/>
                <w:lang w:val="en-US" w:eastAsia="zh-CN"/>
              </w:rPr>
              <w:t>(2018年版）</w:t>
            </w:r>
          </w:p>
          <w:p w14:paraId="182C7CCE">
            <w:pPr>
              <w:pStyle w:val="43"/>
              <w:bidi w:val="0"/>
              <w:rPr>
                <w:rFonts w:hint="default"/>
                <w:color w:val="auto"/>
                <w:lang w:val="en-US" w:eastAsia="zh-CN"/>
              </w:rPr>
            </w:pPr>
            <w:r>
              <w:rPr>
                <w:rFonts w:hint="eastAsia"/>
                <w:color w:val="auto"/>
                <w:lang w:val="en-US" w:eastAsia="zh-CN"/>
              </w:rPr>
              <w:t>3.4.1</w:t>
            </w:r>
          </w:p>
        </w:tc>
      </w:tr>
      <w:tr w14:paraId="0EDD9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10753C77">
            <w:pPr>
              <w:pStyle w:val="43"/>
              <w:bidi w:val="0"/>
              <w:rPr>
                <w:rFonts w:hint="eastAsia" w:eastAsia="宋体"/>
                <w:color w:val="auto"/>
                <w:lang w:val="en-US" w:eastAsia="zh-CN"/>
              </w:rPr>
            </w:pPr>
            <w:r>
              <w:rPr>
                <w:rFonts w:hint="eastAsia"/>
                <w:color w:val="auto"/>
                <w:lang w:val="en-US" w:eastAsia="zh-CN"/>
              </w:rPr>
              <w:t>2</w:t>
            </w:r>
          </w:p>
        </w:tc>
        <w:tc>
          <w:tcPr>
            <w:tcW w:w="1920" w:type="dxa"/>
            <w:noWrap w:val="0"/>
            <w:vAlign w:val="center"/>
          </w:tcPr>
          <w:p w14:paraId="52BD3078">
            <w:pPr>
              <w:pStyle w:val="43"/>
              <w:bidi w:val="0"/>
              <w:rPr>
                <w:rFonts w:hint="default"/>
                <w:color w:val="auto"/>
                <w:lang w:val="en-US" w:eastAsia="zh-CN"/>
              </w:rPr>
            </w:pPr>
            <w:r>
              <w:rPr>
                <w:rFonts w:hint="eastAsia"/>
                <w:color w:val="auto"/>
                <w:sz w:val="21"/>
                <w:szCs w:val="21"/>
                <w:lang w:val="en-US" w:eastAsia="zh-CN"/>
              </w:rPr>
              <w:t>综合楼</w:t>
            </w:r>
          </w:p>
        </w:tc>
        <w:tc>
          <w:tcPr>
            <w:tcW w:w="2130" w:type="dxa"/>
            <w:noWrap w:val="0"/>
            <w:vAlign w:val="center"/>
          </w:tcPr>
          <w:p w14:paraId="008A5876">
            <w:pPr>
              <w:pStyle w:val="43"/>
              <w:bidi w:val="0"/>
              <w:rPr>
                <w:rFonts w:hint="default"/>
                <w:color w:val="auto"/>
                <w:lang w:val="en-US" w:eastAsia="zh-CN"/>
              </w:rPr>
            </w:pPr>
            <w:r>
              <w:rPr>
                <w:rFonts w:hint="eastAsia"/>
                <w:color w:val="auto"/>
                <w:lang w:val="en-US" w:eastAsia="zh-CN"/>
              </w:rPr>
              <w:t>修车库</w:t>
            </w:r>
          </w:p>
        </w:tc>
        <w:tc>
          <w:tcPr>
            <w:tcW w:w="1230" w:type="dxa"/>
            <w:noWrap w:val="0"/>
            <w:vAlign w:val="center"/>
          </w:tcPr>
          <w:p w14:paraId="64C5E156">
            <w:pPr>
              <w:pStyle w:val="43"/>
              <w:bidi w:val="0"/>
              <w:rPr>
                <w:rFonts w:hint="default"/>
                <w:color w:val="auto"/>
                <w:lang w:val="en-US" w:eastAsia="zh-CN"/>
              </w:rPr>
            </w:pPr>
            <w:r>
              <w:rPr>
                <w:rFonts w:hint="eastAsia"/>
                <w:color w:val="auto"/>
                <w:lang w:val="en-US" w:eastAsia="zh-CN"/>
              </w:rPr>
              <w:t>74.9</w:t>
            </w:r>
          </w:p>
        </w:tc>
        <w:tc>
          <w:tcPr>
            <w:tcW w:w="1140" w:type="dxa"/>
            <w:noWrap w:val="0"/>
            <w:vAlign w:val="center"/>
          </w:tcPr>
          <w:p w14:paraId="36547112">
            <w:pPr>
              <w:pStyle w:val="43"/>
              <w:bidi w:val="0"/>
              <w:rPr>
                <w:rFonts w:hint="default"/>
                <w:color w:val="auto"/>
                <w:lang w:val="en-US" w:eastAsia="zh-CN"/>
              </w:rPr>
            </w:pPr>
            <w:r>
              <w:rPr>
                <w:rFonts w:hint="eastAsia"/>
                <w:color w:val="auto"/>
                <w:lang w:val="en-US" w:eastAsia="zh-CN"/>
              </w:rPr>
              <w:t>6</w:t>
            </w:r>
          </w:p>
        </w:tc>
        <w:tc>
          <w:tcPr>
            <w:tcW w:w="2180" w:type="dxa"/>
            <w:noWrap w:val="0"/>
            <w:vAlign w:val="center"/>
          </w:tcPr>
          <w:p w14:paraId="47F5F999">
            <w:pPr>
              <w:pStyle w:val="43"/>
              <w:bidi w:val="0"/>
              <w:rPr>
                <w:rFonts w:hint="eastAsia"/>
                <w:color w:val="auto"/>
                <w:lang w:val="en-US" w:eastAsia="zh-CN"/>
              </w:rPr>
            </w:pPr>
            <w:r>
              <w:rPr>
                <w:rFonts w:hint="eastAsia"/>
                <w:color w:val="auto"/>
                <w:lang w:val="en-US" w:eastAsia="zh-CN"/>
              </w:rPr>
              <w:t>GB50016-2014</w:t>
            </w:r>
          </w:p>
          <w:p w14:paraId="2D16517A">
            <w:pPr>
              <w:pStyle w:val="43"/>
              <w:bidi w:val="0"/>
              <w:rPr>
                <w:rFonts w:hint="eastAsia"/>
                <w:color w:val="auto"/>
                <w:lang w:val="en-US" w:eastAsia="zh-CN"/>
              </w:rPr>
            </w:pPr>
            <w:r>
              <w:rPr>
                <w:rFonts w:hint="eastAsia"/>
                <w:color w:val="auto"/>
                <w:lang w:val="en-US" w:eastAsia="zh-CN"/>
              </w:rPr>
              <w:t>(2018年版）</w:t>
            </w:r>
          </w:p>
          <w:p w14:paraId="3F20A56C">
            <w:pPr>
              <w:pStyle w:val="43"/>
              <w:bidi w:val="0"/>
              <w:rPr>
                <w:rFonts w:hint="default"/>
                <w:color w:val="auto"/>
                <w:lang w:val="en-US" w:eastAsia="zh-CN"/>
              </w:rPr>
            </w:pPr>
            <w:r>
              <w:rPr>
                <w:rFonts w:hint="eastAsia"/>
                <w:color w:val="auto"/>
                <w:lang w:val="en-US" w:eastAsia="zh-CN"/>
              </w:rPr>
              <w:t>5.2.2</w:t>
            </w:r>
          </w:p>
        </w:tc>
      </w:tr>
      <w:tr w14:paraId="1AC86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72F0A3ED">
            <w:pPr>
              <w:pStyle w:val="43"/>
              <w:bidi w:val="0"/>
              <w:rPr>
                <w:rFonts w:hint="eastAsia" w:eastAsia="宋体"/>
                <w:color w:val="auto"/>
                <w:lang w:val="en-US" w:eastAsia="zh-CN"/>
              </w:rPr>
            </w:pPr>
            <w:r>
              <w:rPr>
                <w:rFonts w:hint="eastAsia"/>
                <w:color w:val="auto"/>
                <w:lang w:val="en-US" w:eastAsia="zh-CN"/>
              </w:rPr>
              <w:t>3</w:t>
            </w:r>
          </w:p>
        </w:tc>
        <w:tc>
          <w:tcPr>
            <w:tcW w:w="1920" w:type="dxa"/>
            <w:noWrap w:val="0"/>
            <w:vAlign w:val="center"/>
          </w:tcPr>
          <w:p w14:paraId="72D2CB01">
            <w:pPr>
              <w:pStyle w:val="43"/>
              <w:bidi w:val="0"/>
              <w:rPr>
                <w:rFonts w:hint="default"/>
                <w:color w:val="auto"/>
                <w:lang w:val="en-US" w:eastAsia="zh-CN"/>
              </w:rPr>
            </w:pPr>
            <w:r>
              <w:rPr>
                <w:rFonts w:hint="eastAsia"/>
                <w:color w:val="auto"/>
                <w:sz w:val="21"/>
                <w:szCs w:val="21"/>
                <w:lang w:val="en-US" w:eastAsia="zh-CN"/>
              </w:rPr>
              <w:t>综合楼</w:t>
            </w:r>
          </w:p>
        </w:tc>
        <w:tc>
          <w:tcPr>
            <w:tcW w:w="2130" w:type="dxa"/>
            <w:noWrap w:val="0"/>
            <w:vAlign w:val="center"/>
          </w:tcPr>
          <w:p w14:paraId="02990258">
            <w:pPr>
              <w:pStyle w:val="43"/>
              <w:bidi w:val="0"/>
              <w:rPr>
                <w:rFonts w:hint="default"/>
                <w:color w:val="auto"/>
                <w:lang w:val="en-US" w:eastAsia="zh-CN"/>
              </w:rPr>
            </w:pPr>
            <w:r>
              <w:rPr>
                <w:rFonts w:hint="eastAsia"/>
                <w:color w:val="auto"/>
                <w:lang w:val="en-US" w:eastAsia="zh-CN"/>
              </w:rPr>
              <w:t>设备用房</w:t>
            </w:r>
          </w:p>
        </w:tc>
        <w:tc>
          <w:tcPr>
            <w:tcW w:w="1230" w:type="dxa"/>
            <w:noWrap w:val="0"/>
            <w:vAlign w:val="center"/>
          </w:tcPr>
          <w:p w14:paraId="2BC4EAF6">
            <w:pPr>
              <w:pStyle w:val="43"/>
              <w:bidi w:val="0"/>
              <w:rPr>
                <w:rFonts w:hint="default"/>
                <w:color w:val="auto"/>
                <w:lang w:val="en-US" w:eastAsia="zh-CN"/>
              </w:rPr>
            </w:pPr>
            <w:r>
              <w:rPr>
                <w:rFonts w:hint="eastAsia"/>
                <w:color w:val="auto"/>
                <w:lang w:val="en-US" w:eastAsia="zh-CN"/>
              </w:rPr>
              <w:t>72.8</w:t>
            </w:r>
          </w:p>
        </w:tc>
        <w:tc>
          <w:tcPr>
            <w:tcW w:w="1140" w:type="dxa"/>
            <w:noWrap w:val="0"/>
            <w:vAlign w:val="center"/>
          </w:tcPr>
          <w:p w14:paraId="5C95CF44">
            <w:pPr>
              <w:pStyle w:val="43"/>
              <w:bidi w:val="0"/>
              <w:rPr>
                <w:rFonts w:hint="default"/>
                <w:color w:val="auto"/>
                <w:lang w:val="en-US" w:eastAsia="zh-CN"/>
              </w:rPr>
            </w:pPr>
            <w:r>
              <w:rPr>
                <w:rFonts w:hint="eastAsia"/>
                <w:color w:val="auto"/>
                <w:lang w:val="en-US" w:eastAsia="zh-CN"/>
              </w:rPr>
              <w:t>6</w:t>
            </w:r>
          </w:p>
        </w:tc>
        <w:tc>
          <w:tcPr>
            <w:tcW w:w="2180" w:type="dxa"/>
            <w:noWrap w:val="0"/>
            <w:vAlign w:val="center"/>
          </w:tcPr>
          <w:p w14:paraId="026B5ECB">
            <w:pPr>
              <w:pStyle w:val="43"/>
              <w:bidi w:val="0"/>
              <w:rPr>
                <w:rFonts w:hint="eastAsia"/>
                <w:color w:val="auto"/>
                <w:lang w:val="en-US" w:eastAsia="zh-CN"/>
              </w:rPr>
            </w:pPr>
            <w:r>
              <w:rPr>
                <w:rFonts w:hint="eastAsia"/>
                <w:color w:val="auto"/>
                <w:lang w:val="en-US" w:eastAsia="zh-CN"/>
              </w:rPr>
              <w:t>GB50016-2014</w:t>
            </w:r>
          </w:p>
          <w:p w14:paraId="3D6B56DA">
            <w:pPr>
              <w:pStyle w:val="43"/>
              <w:bidi w:val="0"/>
              <w:rPr>
                <w:rFonts w:hint="eastAsia"/>
                <w:color w:val="auto"/>
                <w:lang w:val="en-US" w:eastAsia="zh-CN"/>
              </w:rPr>
            </w:pPr>
            <w:r>
              <w:rPr>
                <w:rFonts w:hint="eastAsia"/>
                <w:color w:val="auto"/>
                <w:lang w:val="en-US" w:eastAsia="zh-CN"/>
              </w:rPr>
              <w:t>(2018年版）</w:t>
            </w:r>
          </w:p>
          <w:p w14:paraId="4AFA7B58">
            <w:pPr>
              <w:pStyle w:val="43"/>
              <w:bidi w:val="0"/>
              <w:rPr>
                <w:rFonts w:hint="eastAsia"/>
                <w:color w:val="auto"/>
                <w:lang w:val="en-US" w:eastAsia="zh-CN"/>
              </w:rPr>
            </w:pPr>
            <w:r>
              <w:rPr>
                <w:rFonts w:hint="eastAsia"/>
                <w:color w:val="auto"/>
                <w:lang w:val="en-US" w:eastAsia="zh-CN"/>
              </w:rPr>
              <w:t>5.2.2</w:t>
            </w:r>
          </w:p>
        </w:tc>
      </w:tr>
      <w:tr w14:paraId="5DEEB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69BDD0E8">
            <w:pPr>
              <w:pStyle w:val="43"/>
              <w:bidi w:val="0"/>
              <w:rPr>
                <w:rFonts w:hint="eastAsia" w:eastAsia="宋体"/>
                <w:color w:val="auto"/>
                <w:lang w:val="en-US" w:eastAsia="zh-CN"/>
              </w:rPr>
            </w:pPr>
            <w:r>
              <w:rPr>
                <w:rFonts w:hint="eastAsia"/>
                <w:color w:val="auto"/>
                <w:lang w:val="en-US" w:eastAsia="zh-CN"/>
              </w:rPr>
              <w:t>4</w:t>
            </w:r>
          </w:p>
        </w:tc>
        <w:tc>
          <w:tcPr>
            <w:tcW w:w="1920" w:type="dxa"/>
            <w:noWrap w:val="0"/>
            <w:vAlign w:val="center"/>
          </w:tcPr>
          <w:p w14:paraId="50DFAFE0">
            <w:pPr>
              <w:pStyle w:val="43"/>
              <w:bidi w:val="0"/>
              <w:rPr>
                <w:rFonts w:hint="default"/>
                <w:color w:val="auto"/>
                <w:lang w:val="en-US" w:eastAsia="zh-CN"/>
              </w:rPr>
            </w:pPr>
            <w:r>
              <w:rPr>
                <w:rFonts w:hint="eastAsia"/>
                <w:color w:val="auto"/>
                <w:sz w:val="21"/>
                <w:szCs w:val="21"/>
                <w:lang w:val="en-US" w:eastAsia="zh-CN"/>
              </w:rPr>
              <w:t>综合楼</w:t>
            </w:r>
          </w:p>
        </w:tc>
        <w:tc>
          <w:tcPr>
            <w:tcW w:w="2130" w:type="dxa"/>
            <w:noWrap w:val="0"/>
            <w:vAlign w:val="center"/>
          </w:tcPr>
          <w:p w14:paraId="18AAD5E4">
            <w:pPr>
              <w:pStyle w:val="43"/>
              <w:bidi w:val="0"/>
              <w:rPr>
                <w:rFonts w:hint="default"/>
                <w:color w:val="auto"/>
                <w:lang w:val="en-US" w:eastAsia="zh-CN"/>
              </w:rPr>
            </w:pPr>
            <w:r>
              <w:rPr>
                <w:rFonts w:hint="eastAsia"/>
                <w:color w:val="auto"/>
                <w:lang w:val="en-US" w:eastAsia="zh-CN"/>
              </w:rPr>
              <w:t>畜产、危险品车位</w:t>
            </w:r>
          </w:p>
        </w:tc>
        <w:tc>
          <w:tcPr>
            <w:tcW w:w="1230" w:type="dxa"/>
            <w:noWrap w:val="0"/>
            <w:vAlign w:val="center"/>
          </w:tcPr>
          <w:p w14:paraId="07FFEEAE">
            <w:pPr>
              <w:pStyle w:val="43"/>
              <w:bidi w:val="0"/>
              <w:rPr>
                <w:rFonts w:hint="default"/>
                <w:color w:val="auto"/>
                <w:lang w:val="en-US" w:eastAsia="zh-CN"/>
              </w:rPr>
            </w:pPr>
            <w:r>
              <w:rPr>
                <w:rFonts w:hint="eastAsia"/>
                <w:color w:val="auto"/>
                <w:lang w:val="en-US" w:eastAsia="zh-CN"/>
              </w:rPr>
              <w:t>66.9</w:t>
            </w:r>
          </w:p>
        </w:tc>
        <w:tc>
          <w:tcPr>
            <w:tcW w:w="1140" w:type="dxa"/>
            <w:noWrap w:val="0"/>
            <w:vAlign w:val="center"/>
          </w:tcPr>
          <w:p w14:paraId="34F6BDD8">
            <w:pPr>
              <w:pStyle w:val="43"/>
              <w:bidi w:val="0"/>
              <w:rPr>
                <w:rFonts w:hint="default"/>
                <w:color w:val="auto"/>
                <w:lang w:val="en-US" w:eastAsia="zh-CN"/>
              </w:rPr>
            </w:pPr>
            <w:r>
              <w:rPr>
                <w:rFonts w:hint="eastAsia"/>
                <w:color w:val="auto"/>
                <w:lang w:val="en-US" w:eastAsia="zh-CN"/>
              </w:rPr>
              <w:t>25</w:t>
            </w:r>
          </w:p>
        </w:tc>
        <w:tc>
          <w:tcPr>
            <w:tcW w:w="2180" w:type="dxa"/>
            <w:noWrap w:val="0"/>
            <w:vAlign w:val="center"/>
          </w:tcPr>
          <w:p w14:paraId="16A4D977">
            <w:pPr>
              <w:pStyle w:val="43"/>
              <w:bidi w:val="0"/>
              <w:rPr>
                <w:rFonts w:hint="default"/>
                <w:color w:val="auto"/>
                <w:lang w:val="en-US" w:eastAsia="zh-CN"/>
              </w:rPr>
            </w:pPr>
            <w:r>
              <w:rPr>
                <w:rFonts w:hint="eastAsia"/>
                <w:color w:val="auto"/>
                <w:lang w:val="en-US" w:eastAsia="zh-CN"/>
              </w:rPr>
              <w:t>GB50067-2014</w:t>
            </w:r>
          </w:p>
          <w:p w14:paraId="77ADC718">
            <w:pPr>
              <w:pStyle w:val="43"/>
              <w:bidi w:val="0"/>
              <w:rPr>
                <w:rFonts w:hint="default"/>
                <w:color w:val="auto"/>
                <w:lang w:val="en-US" w:eastAsia="zh-CN"/>
              </w:rPr>
            </w:pPr>
            <w:r>
              <w:rPr>
                <w:rFonts w:hint="eastAsia"/>
                <w:color w:val="auto"/>
                <w:lang w:val="en-US" w:eastAsia="zh-CN"/>
              </w:rPr>
              <w:t>4.2.5</w:t>
            </w:r>
          </w:p>
        </w:tc>
      </w:tr>
      <w:tr w14:paraId="11203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56B01DB3">
            <w:pPr>
              <w:pStyle w:val="43"/>
              <w:bidi w:val="0"/>
              <w:rPr>
                <w:rFonts w:hint="default"/>
                <w:color w:val="auto"/>
                <w:lang w:val="en-US" w:eastAsia="zh-CN"/>
              </w:rPr>
            </w:pPr>
            <w:r>
              <w:rPr>
                <w:rFonts w:hint="eastAsia"/>
                <w:color w:val="auto"/>
                <w:lang w:val="en-US" w:eastAsia="zh-CN"/>
              </w:rPr>
              <w:t>5</w:t>
            </w:r>
          </w:p>
        </w:tc>
        <w:tc>
          <w:tcPr>
            <w:tcW w:w="1920" w:type="dxa"/>
            <w:noWrap w:val="0"/>
            <w:vAlign w:val="center"/>
          </w:tcPr>
          <w:p w14:paraId="4EA395FE">
            <w:pPr>
              <w:pStyle w:val="43"/>
              <w:bidi w:val="0"/>
              <w:rPr>
                <w:rFonts w:hint="default"/>
                <w:color w:val="auto"/>
                <w:sz w:val="21"/>
                <w:szCs w:val="21"/>
                <w:lang w:val="en-US" w:eastAsia="zh-CN"/>
              </w:rPr>
            </w:pPr>
            <w:r>
              <w:rPr>
                <w:rFonts w:hint="eastAsia"/>
                <w:color w:val="auto"/>
                <w:sz w:val="21"/>
                <w:szCs w:val="21"/>
                <w:lang w:val="en-US" w:eastAsia="zh-CN"/>
              </w:rPr>
              <w:t>设备用房</w:t>
            </w:r>
          </w:p>
        </w:tc>
        <w:tc>
          <w:tcPr>
            <w:tcW w:w="2130" w:type="dxa"/>
            <w:noWrap w:val="0"/>
            <w:vAlign w:val="center"/>
          </w:tcPr>
          <w:p w14:paraId="45AFC364">
            <w:pPr>
              <w:pStyle w:val="43"/>
              <w:bidi w:val="0"/>
              <w:rPr>
                <w:rFonts w:hint="default"/>
                <w:color w:val="auto"/>
                <w:lang w:val="en-US" w:eastAsia="zh-CN"/>
              </w:rPr>
            </w:pPr>
            <w:r>
              <w:rPr>
                <w:rFonts w:hint="eastAsia"/>
                <w:color w:val="auto"/>
                <w:lang w:val="en-US" w:eastAsia="zh-CN"/>
              </w:rPr>
              <w:t>修车库</w:t>
            </w:r>
          </w:p>
        </w:tc>
        <w:tc>
          <w:tcPr>
            <w:tcW w:w="1230" w:type="dxa"/>
            <w:noWrap w:val="0"/>
            <w:vAlign w:val="center"/>
          </w:tcPr>
          <w:p w14:paraId="7EFE6F23">
            <w:pPr>
              <w:pStyle w:val="43"/>
              <w:bidi w:val="0"/>
              <w:rPr>
                <w:rFonts w:hint="default"/>
                <w:color w:val="auto"/>
                <w:lang w:val="en-US" w:eastAsia="zh-CN"/>
              </w:rPr>
            </w:pPr>
            <w:r>
              <w:rPr>
                <w:rFonts w:hint="eastAsia"/>
                <w:color w:val="auto"/>
                <w:lang w:val="en-US" w:eastAsia="zh-CN"/>
              </w:rPr>
              <w:t>50.7</w:t>
            </w:r>
          </w:p>
        </w:tc>
        <w:tc>
          <w:tcPr>
            <w:tcW w:w="1140" w:type="dxa"/>
            <w:noWrap w:val="0"/>
            <w:vAlign w:val="center"/>
          </w:tcPr>
          <w:p w14:paraId="14A44711">
            <w:pPr>
              <w:pStyle w:val="43"/>
              <w:bidi w:val="0"/>
              <w:rPr>
                <w:rFonts w:hint="default"/>
                <w:color w:val="auto"/>
                <w:lang w:val="en-US" w:eastAsia="zh-CN"/>
              </w:rPr>
            </w:pPr>
            <w:r>
              <w:rPr>
                <w:rFonts w:hint="eastAsia"/>
                <w:color w:val="auto"/>
                <w:lang w:val="en-US" w:eastAsia="zh-CN"/>
              </w:rPr>
              <w:t>6</w:t>
            </w:r>
          </w:p>
        </w:tc>
        <w:tc>
          <w:tcPr>
            <w:tcW w:w="2180" w:type="dxa"/>
            <w:noWrap w:val="0"/>
            <w:vAlign w:val="center"/>
          </w:tcPr>
          <w:p w14:paraId="401E3DA8">
            <w:pPr>
              <w:pStyle w:val="43"/>
              <w:bidi w:val="0"/>
              <w:rPr>
                <w:rFonts w:hint="eastAsia"/>
                <w:color w:val="auto"/>
                <w:lang w:val="en-US" w:eastAsia="zh-CN"/>
              </w:rPr>
            </w:pPr>
            <w:r>
              <w:rPr>
                <w:rFonts w:hint="eastAsia"/>
                <w:color w:val="auto"/>
                <w:lang w:val="en-US" w:eastAsia="zh-CN"/>
              </w:rPr>
              <w:t>GB50016-2014</w:t>
            </w:r>
          </w:p>
          <w:p w14:paraId="4C93084E">
            <w:pPr>
              <w:pStyle w:val="43"/>
              <w:bidi w:val="0"/>
              <w:rPr>
                <w:rFonts w:hint="eastAsia"/>
                <w:color w:val="auto"/>
                <w:lang w:val="en-US" w:eastAsia="zh-CN"/>
              </w:rPr>
            </w:pPr>
            <w:r>
              <w:rPr>
                <w:rFonts w:hint="eastAsia"/>
                <w:color w:val="auto"/>
                <w:lang w:val="en-US" w:eastAsia="zh-CN"/>
              </w:rPr>
              <w:t>(2018年版）</w:t>
            </w:r>
          </w:p>
          <w:p w14:paraId="7340E817">
            <w:pPr>
              <w:pStyle w:val="43"/>
              <w:bidi w:val="0"/>
              <w:rPr>
                <w:rFonts w:hint="eastAsia"/>
                <w:color w:val="auto"/>
                <w:lang w:val="en-US" w:eastAsia="zh-CN"/>
              </w:rPr>
            </w:pPr>
            <w:r>
              <w:rPr>
                <w:rFonts w:hint="eastAsia"/>
                <w:color w:val="auto"/>
                <w:lang w:val="en-US" w:eastAsia="zh-CN"/>
              </w:rPr>
              <w:t>5.2.2</w:t>
            </w:r>
          </w:p>
        </w:tc>
      </w:tr>
      <w:tr w14:paraId="683A8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80" w:type="dxa"/>
            <w:gridSpan w:val="6"/>
            <w:noWrap w:val="0"/>
            <w:vAlign w:val="center"/>
          </w:tcPr>
          <w:p w14:paraId="0458E677">
            <w:pPr>
              <w:pStyle w:val="43"/>
              <w:bidi w:val="0"/>
              <w:rPr>
                <w:rFonts w:hint="eastAsia"/>
                <w:b/>
                <w:bCs/>
                <w:color w:val="auto"/>
                <w:lang w:val="en-US" w:eastAsia="zh-CN"/>
              </w:rPr>
            </w:pPr>
            <w:r>
              <w:rPr>
                <w:rFonts w:hint="eastAsia"/>
                <w:b/>
                <w:bCs/>
                <w:color w:val="auto"/>
                <w:lang w:val="en-US" w:eastAsia="zh-CN"/>
              </w:rPr>
              <w:t>西服务区</w:t>
            </w:r>
          </w:p>
        </w:tc>
      </w:tr>
      <w:tr w14:paraId="24604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shd w:val="clear" w:color="auto" w:fill="auto"/>
            <w:noWrap w:val="0"/>
            <w:vAlign w:val="center"/>
          </w:tcPr>
          <w:p w14:paraId="109C7AFF">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序号</w:t>
            </w:r>
          </w:p>
        </w:tc>
        <w:tc>
          <w:tcPr>
            <w:tcW w:w="1920" w:type="dxa"/>
            <w:shd w:val="clear" w:color="auto" w:fill="auto"/>
            <w:noWrap w:val="0"/>
            <w:vAlign w:val="center"/>
          </w:tcPr>
          <w:p w14:paraId="50B9A0F1">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建（构）筑物名称</w:t>
            </w:r>
          </w:p>
        </w:tc>
        <w:tc>
          <w:tcPr>
            <w:tcW w:w="2130" w:type="dxa"/>
            <w:shd w:val="clear" w:color="auto" w:fill="auto"/>
            <w:noWrap w:val="0"/>
            <w:vAlign w:val="center"/>
          </w:tcPr>
          <w:p w14:paraId="6DB6F5A6">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相邻设施</w:t>
            </w:r>
          </w:p>
        </w:tc>
        <w:tc>
          <w:tcPr>
            <w:tcW w:w="1230" w:type="dxa"/>
            <w:shd w:val="clear" w:color="auto" w:fill="auto"/>
            <w:noWrap w:val="0"/>
            <w:vAlign w:val="center"/>
          </w:tcPr>
          <w:p w14:paraId="6A5EE6FD">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拟设距离</w:t>
            </w:r>
            <w:r>
              <w:rPr>
                <w:rFonts w:hint="eastAsia"/>
                <w:color w:val="auto"/>
              </w:rPr>
              <w:t>（m）</w:t>
            </w:r>
          </w:p>
        </w:tc>
        <w:tc>
          <w:tcPr>
            <w:tcW w:w="1140" w:type="dxa"/>
            <w:shd w:val="clear" w:color="auto" w:fill="auto"/>
            <w:noWrap w:val="0"/>
            <w:vAlign w:val="center"/>
          </w:tcPr>
          <w:p w14:paraId="2F8AE563">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标注间距（m）</w:t>
            </w:r>
          </w:p>
        </w:tc>
        <w:tc>
          <w:tcPr>
            <w:tcW w:w="2180" w:type="dxa"/>
            <w:shd w:val="clear" w:color="auto" w:fill="auto"/>
            <w:noWrap w:val="0"/>
            <w:vAlign w:val="center"/>
          </w:tcPr>
          <w:p w14:paraId="2666B153">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引用标准</w:t>
            </w:r>
          </w:p>
        </w:tc>
      </w:tr>
      <w:tr w14:paraId="13DD0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69079981">
            <w:pPr>
              <w:pStyle w:val="43"/>
              <w:bidi w:val="0"/>
              <w:rPr>
                <w:rFonts w:hint="eastAsia" w:eastAsia="宋体"/>
                <w:color w:val="auto"/>
                <w:lang w:val="en-US" w:eastAsia="zh-CN"/>
              </w:rPr>
            </w:pPr>
            <w:r>
              <w:rPr>
                <w:rFonts w:hint="eastAsia"/>
                <w:color w:val="auto"/>
                <w:lang w:val="en-US" w:eastAsia="zh-CN"/>
              </w:rPr>
              <w:t>1</w:t>
            </w:r>
          </w:p>
        </w:tc>
        <w:tc>
          <w:tcPr>
            <w:tcW w:w="1920" w:type="dxa"/>
            <w:shd w:val="clear" w:color="auto" w:fill="auto"/>
            <w:noWrap w:val="0"/>
            <w:vAlign w:val="center"/>
          </w:tcPr>
          <w:p w14:paraId="37AF628B">
            <w:pPr>
              <w:pStyle w:val="43"/>
              <w:bidi w:val="0"/>
              <w:rPr>
                <w:rFonts w:hint="default"/>
                <w:color w:val="auto"/>
                <w:lang w:val="en-US" w:eastAsia="zh-CN"/>
              </w:rPr>
            </w:pPr>
            <w:r>
              <w:rPr>
                <w:rFonts w:hint="eastAsia"/>
                <w:color w:val="auto"/>
                <w:lang w:val="en-US" w:eastAsia="zh-CN"/>
              </w:rPr>
              <w:t>综合楼</w:t>
            </w:r>
          </w:p>
        </w:tc>
        <w:tc>
          <w:tcPr>
            <w:tcW w:w="2130" w:type="dxa"/>
            <w:shd w:val="clear" w:color="auto" w:fill="auto"/>
            <w:noWrap w:val="0"/>
            <w:vAlign w:val="center"/>
          </w:tcPr>
          <w:p w14:paraId="65B70A72">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充电停车位</w:t>
            </w:r>
          </w:p>
        </w:tc>
        <w:tc>
          <w:tcPr>
            <w:tcW w:w="1230" w:type="dxa"/>
            <w:noWrap w:val="0"/>
            <w:vAlign w:val="center"/>
          </w:tcPr>
          <w:p w14:paraId="566E653F">
            <w:pPr>
              <w:pStyle w:val="43"/>
              <w:bidi w:val="0"/>
              <w:rPr>
                <w:rFonts w:hint="default"/>
                <w:color w:val="auto"/>
                <w:lang w:val="en-US" w:eastAsia="zh-CN"/>
              </w:rPr>
            </w:pPr>
            <w:r>
              <w:rPr>
                <w:rFonts w:hint="eastAsia"/>
                <w:color w:val="auto"/>
                <w:lang w:val="en-US" w:eastAsia="zh-CN"/>
              </w:rPr>
              <w:t>18</w:t>
            </w:r>
          </w:p>
        </w:tc>
        <w:tc>
          <w:tcPr>
            <w:tcW w:w="1140" w:type="dxa"/>
            <w:noWrap w:val="0"/>
            <w:vAlign w:val="center"/>
          </w:tcPr>
          <w:p w14:paraId="6B6414D9">
            <w:pPr>
              <w:pStyle w:val="43"/>
              <w:bidi w:val="0"/>
              <w:rPr>
                <w:rFonts w:hint="default"/>
                <w:color w:val="auto"/>
                <w:lang w:val="en-US" w:eastAsia="zh-CN"/>
              </w:rPr>
            </w:pPr>
            <w:r>
              <w:rPr>
                <w:rFonts w:hint="eastAsia"/>
                <w:color w:val="auto"/>
                <w:lang w:val="en-US" w:eastAsia="zh-CN"/>
              </w:rPr>
              <w:t>10</w:t>
            </w:r>
          </w:p>
        </w:tc>
        <w:tc>
          <w:tcPr>
            <w:tcW w:w="2180" w:type="dxa"/>
            <w:noWrap w:val="0"/>
            <w:vAlign w:val="center"/>
          </w:tcPr>
          <w:p w14:paraId="2BD05AD1">
            <w:pPr>
              <w:pStyle w:val="43"/>
              <w:bidi w:val="0"/>
              <w:rPr>
                <w:rFonts w:hint="eastAsia"/>
                <w:color w:val="auto"/>
                <w:lang w:val="en-US" w:eastAsia="zh-CN"/>
              </w:rPr>
            </w:pPr>
            <w:r>
              <w:rPr>
                <w:rFonts w:hint="eastAsia"/>
                <w:color w:val="auto"/>
                <w:lang w:val="en-US" w:eastAsia="zh-CN"/>
              </w:rPr>
              <w:t>GB50966-2014</w:t>
            </w:r>
          </w:p>
          <w:p w14:paraId="7FD2C659">
            <w:pPr>
              <w:pStyle w:val="43"/>
              <w:bidi w:val="0"/>
              <w:rPr>
                <w:rFonts w:hint="eastAsia"/>
                <w:color w:val="auto"/>
                <w:lang w:val="en-US" w:eastAsia="zh-CN"/>
              </w:rPr>
            </w:pPr>
            <w:r>
              <w:rPr>
                <w:rFonts w:hint="eastAsia"/>
                <w:color w:val="auto"/>
                <w:lang w:val="en-US" w:eastAsia="zh-CN"/>
              </w:rPr>
              <w:t>3.2.4</w:t>
            </w:r>
          </w:p>
          <w:p w14:paraId="00B4D870">
            <w:pPr>
              <w:pStyle w:val="43"/>
              <w:bidi w:val="0"/>
              <w:rPr>
                <w:rFonts w:hint="eastAsia"/>
                <w:color w:val="auto"/>
                <w:lang w:val="en-US" w:eastAsia="zh-CN"/>
              </w:rPr>
            </w:pPr>
            <w:r>
              <w:rPr>
                <w:rFonts w:hint="eastAsia"/>
                <w:color w:val="auto"/>
                <w:lang w:val="en-US" w:eastAsia="zh-CN"/>
              </w:rPr>
              <w:t>GB50016-2014</w:t>
            </w:r>
          </w:p>
          <w:p w14:paraId="48248393">
            <w:pPr>
              <w:pStyle w:val="43"/>
              <w:bidi w:val="0"/>
              <w:rPr>
                <w:rFonts w:hint="eastAsia"/>
                <w:color w:val="auto"/>
                <w:lang w:val="en-US" w:eastAsia="zh-CN"/>
              </w:rPr>
            </w:pPr>
            <w:r>
              <w:rPr>
                <w:rFonts w:hint="eastAsia"/>
                <w:color w:val="auto"/>
                <w:lang w:val="en-US" w:eastAsia="zh-CN"/>
              </w:rPr>
              <w:t>(2018年版）</w:t>
            </w:r>
          </w:p>
          <w:p w14:paraId="500DDDF9">
            <w:pPr>
              <w:pStyle w:val="43"/>
              <w:bidi w:val="0"/>
              <w:rPr>
                <w:rFonts w:hint="default"/>
                <w:color w:val="auto"/>
                <w:lang w:val="en-US" w:eastAsia="zh-CN"/>
              </w:rPr>
            </w:pPr>
            <w:r>
              <w:rPr>
                <w:rFonts w:hint="eastAsia"/>
                <w:color w:val="auto"/>
                <w:lang w:val="en-US" w:eastAsia="zh-CN"/>
              </w:rPr>
              <w:t>3.4.1</w:t>
            </w:r>
          </w:p>
        </w:tc>
      </w:tr>
      <w:tr w14:paraId="2C34F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74B85E88">
            <w:pPr>
              <w:pStyle w:val="43"/>
              <w:bidi w:val="0"/>
              <w:rPr>
                <w:rFonts w:hint="eastAsia" w:eastAsia="宋体"/>
                <w:color w:val="auto"/>
                <w:lang w:val="en-US" w:eastAsia="zh-CN"/>
              </w:rPr>
            </w:pPr>
            <w:r>
              <w:rPr>
                <w:rFonts w:hint="eastAsia"/>
                <w:color w:val="auto"/>
                <w:lang w:val="en-US" w:eastAsia="zh-CN"/>
              </w:rPr>
              <w:t>2</w:t>
            </w:r>
          </w:p>
        </w:tc>
        <w:tc>
          <w:tcPr>
            <w:tcW w:w="1920" w:type="dxa"/>
            <w:shd w:val="clear" w:color="auto" w:fill="auto"/>
            <w:noWrap w:val="0"/>
            <w:vAlign w:val="center"/>
          </w:tcPr>
          <w:p w14:paraId="1DE9D300">
            <w:pPr>
              <w:pStyle w:val="43"/>
              <w:bidi w:val="0"/>
              <w:rPr>
                <w:rFonts w:hint="default"/>
                <w:color w:val="auto"/>
                <w:lang w:val="en-US" w:eastAsia="zh-CN"/>
              </w:rPr>
            </w:pPr>
            <w:r>
              <w:rPr>
                <w:rFonts w:hint="eastAsia"/>
                <w:color w:val="auto"/>
                <w:sz w:val="21"/>
                <w:szCs w:val="21"/>
                <w:lang w:val="en-US" w:eastAsia="zh-CN"/>
              </w:rPr>
              <w:t>综合楼</w:t>
            </w:r>
          </w:p>
        </w:tc>
        <w:tc>
          <w:tcPr>
            <w:tcW w:w="2130" w:type="dxa"/>
            <w:shd w:val="clear" w:color="auto" w:fill="auto"/>
            <w:noWrap w:val="0"/>
            <w:vAlign w:val="center"/>
          </w:tcPr>
          <w:p w14:paraId="5F7A82EF">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修车库</w:t>
            </w:r>
          </w:p>
        </w:tc>
        <w:tc>
          <w:tcPr>
            <w:tcW w:w="1230" w:type="dxa"/>
            <w:noWrap w:val="0"/>
            <w:vAlign w:val="center"/>
          </w:tcPr>
          <w:p w14:paraId="05C6A0D5">
            <w:pPr>
              <w:pStyle w:val="43"/>
              <w:bidi w:val="0"/>
              <w:rPr>
                <w:rFonts w:hint="default"/>
                <w:color w:val="auto"/>
                <w:lang w:val="en-US" w:eastAsia="zh-CN"/>
              </w:rPr>
            </w:pPr>
            <w:r>
              <w:rPr>
                <w:rFonts w:hint="eastAsia"/>
                <w:color w:val="auto"/>
                <w:lang w:val="en-US" w:eastAsia="zh-CN"/>
              </w:rPr>
              <w:t>56.4</w:t>
            </w:r>
          </w:p>
        </w:tc>
        <w:tc>
          <w:tcPr>
            <w:tcW w:w="1140" w:type="dxa"/>
            <w:shd w:val="clear" w:color="auto" w:fill="auto"/>
            <w:noWrap w:val="0"/>
            <w:vAlign w:val="center"/>
          </w:tcPr>
          <w:p w14:paraId="24A64994">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6</w:t>
            </w:r>
          </w:p>
        </w:tc>
        <w:tc>
          <w:tcPr>
            <w:tcW w:w="2180" w:type="dxa"/>
            <w:shd w:val="clear" w:color="auto" w:fill="auto"/>
            <w:noWrap w:val="0"/>
            <w:vAlign w:val="center"/>
          </w:tcPr>
          <w:p w14:paraId="1D940D2B">
            <w:pPr>
              <w:pStyle w:val="43"/>
              <w:bidi w:val="0"/>
              <w:rPr>
                <w:rFonts w:hint="eastAsia"/>
                <w:color w:val="auto"/>
                <w:lang w:val="en-US" w:eastAsia="zh-CN"/>
              </w:rPr>
            </w:pPr>
            <w:r>
              <w:rPr>
                <w:rFonts w:hint="eastAsia"/>
                <w:color w:val="auto"/>
                <w:lang w:val="en-US" w:eastAsia="zh-CN"/>
              </w:rPr>
              <w:t>GB50016-2014</w:t>
            </w:r>
          </w:p>
          <w:p w14:paraId="3DA71BB4">
            <w:pPr>
              <w:pStyle w:val="43"/>
              <w:bidi w:val="0"/>
              <w:ind w:firstLine="0" w:firstLineChars="0"/>
              <w:rPr>
                <w:rFonts w:hint="eastAsia"/>
                <w:color w:val="auto"/>
                <w:lang w:val="en-US" w:eastAsia="zh-CN"/>
              </w:rPr>
            </w:pPr>
            <w:r>
              <w:rPr>
                <w:rFonts w:hint="eastAsia"/>
                <w:color w:val="auto"/>
                <w:lang w:val="en-US" w:eastAsia="zh-CN"/>
              </w:rPr>
              <w:t>(2018年版）</w:t>
            </w:r>
          </w:p>
          <w:p w14:paraId="00ABCB53">
            <w:pPr>
              <w:pStyle w:val="43"/>
              <w:bidi w:val="0"/>
              <w:ind w:firstLine="0" w:firstLineChars="0"/>
              <w:rPr>
                <w:rFonts w:hint="eastAsia"/>
                <w:color w:val="auto"/>
                <w:lang w:val="en-US" w:eastAsia="zh-CN"/>
              </w:rPr>
            </w:pPr>
            <w:r>
              <w:rPr>
                <w:rFonts w:hint="eastAsia"/>
                <w:color w:val="auto"/>
                <w:lang w:val="en-US" w:eastAsia="zh-CN"/>
              </w:rPr>
              <w:t>5.2.2</w:t>
            </w:r>
          </w:p>
        </w:tc>
      </w:tr>
      <w:tr w14:paraId="2D07F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5E106580">
            <w:pPr>
              <w:pStyle w:val="43"/>
              <w:bidi w:val="0"/>
              <w:rPr>
                <w:rFonts w:hint="eastAsia" w:eastAsia="宋体"/>
                <w:color w:val="auto"/>
                <w:lang w:val="en-US" w:eastAsia="zh-CN"/>
              </w:rPr>
            </w:pPr>
            <w:r>
              <w:rPr>
                <w:rFonts w:hint="eastAsia"/>
                <w:color w:val="auto"/>
                <w:lang w:val="en-US" w:eastAsia="zh-CN"/>
              </w:rPr>
              <w:t>3</w:t>
            </w:r>
          </w:p>
        </w:tc>
        <w:tc>
          <w:tcPr>
            <w:tcW w:w="1920" w:type="dxa"/>
            <w:shd w:val="clear" w:color="auto" w:fill="auto"/>
            <w:noWrap w:val="0"/>
            <w:vAlign w:val="center"/>
          </w:tcPr>
          <w:p w14:paraId="3361613C">
            <w:pPr>
              <w:pStyle w:val="43"/>
              <w:bidi w:val="0"/>
              <w:rPr>
                <w:rFonts w:hint="default"/>
                <w:color w:val="auto"/>
                <w:lang w:val="en-US" w:eastAsia="zh-CN"/>
              </w:rPr>
            </w:pPr>
            <w:r>
              <w:rPr>
                <w:rFonts w:hint="eastAsia"/>
                <w:color w:val="auto"/>
                <w:sz w:val="21"/>
                <w:szCs w:val="21"/>
                <w:lang w:val="en-US" w:eastAsia="zh-CN"/>
              </w:rPr>
              <w:t>综合楼</w:t>
            </w:r>
          </w:p>
        </w:tc>
        <w:tc>
          <w:tcPr>
            <w:tcW w:w="2130" w:type="dxa"/>
            <w:shd w:val="clear" w:color="auto" w:fill="auto"/>
            <w:noWrap w:val="0"/>
            <w:vAlign w:val="center"/>
          </w:tcPr>
          <w:p w14:paraId="1C7759E5">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设备用房</w:t>
            </w:r>
          </w:p>
        </w:tc>
        <w:tc>
          <w:tcPr>
            <w:tcW w:w="1230" w:type="dxa"/>
            <w:noWrap w:val="0"/>
            <w:vAlign w:val="center"/>
          </w:tcPr>
          <w:p w14:paraId="417FD876">
            <w:pPr>
              <w:pStyle w:val="43"/>
              <w:bidi w:val="0"/>
              <w:rPr>
                <w:rFonts w:hint="default"/>
                <w:color w:val="auto"/>
                <w:lang w:val="en-US" w:eastAsia="zh-CN"/>
              </w:rPr>
            </w:pPr>
            <w:r>
              <w:rPr>
                <w:rFonts w:hint="eastAsia"/>
                <w:color w:val="auto"/>
                <w:lang w:val="en-US" w:eastAsia="zh-CN"/>
              </w:rPr>
              <w:t>59.5</w:t>
            </w:r>
          </w:p>
        </w:tc>
        <w:tc>
          <w:tcPr>
            <w:tcW w:w="1140" w:type="dxa"/>
            <w:shd w:val="clear" w:color="auto" w:fill="auto"/>
            <w:noWrap w:val="0"/>
            <w:vAlign w:val="center"/>
          </w:tcPr>
          <w:p w14:paraId="180EA2BC">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6</w:t>
            </w:r>
          </w:p>
        </w:tc>
        <w:tc>
          <w:tcPr>
            <w:tcW w:w="2180" w:type="dxa"/>
            <w:shd w:val="clear" w:color="auto" w:fill="auto"/>
            <w:noWrap w:val="0"/>
            <w:vAlign w:val="center"/>
          </w:tcPr>
          <w:p w14:paraId="2F5AE528">
            <w:pPr>
              <w:pStyle w:val="43"/>
              <w:bidi w:val="0"/>
              <w:rPr>
                <w:rFonts w:hint="eastAsia"/>
                <w:color w:val="auto"/>
                <w:lang w:val="en-US" w:eastAsia="zh-CN"/>
              </w:rPr>
            </w:pPr>
            <w:r>
              <w:rPr>
                <w:rFonts w:hint="eastAsia"/>
                <w:color w:val="auto"/>
                <w:lang w:val="en-US" w:eastAsia="zh-CN"/>
              </w:rPr>
              <w:t>GB50016-2014</w:t>
            </w:r>
          </w:p>
          <w:p w14:paraId="5375BC37">
            <w:pPr>
              <w:pStyle w:val="43"/>
              <w:bidi w:val="0"/>
              <w:ind w:firstLine="0" w:firstLineChars="0"/>
              <w:rPr>
                <w:rFonts w:hint="eastAsia"/>
                <w:color w:val="auto"/>
                <w:lang w:val="en-US" w:eastAsia="zh-CN"/>
              </w:rPr>
            </w:pPr>
            <w:r>
              <w:rPr>
                <w:rFonts w:hint="eastAsia"/>
                <w:color w:val="auto"/>
                <w:lang w:val="en-US" w:eastAsia="zh-CN"/>
              </w:rPr>
              <w:t>(2018年版）</w:t>
            </w:r>
          </w:p>
          <w:p w14:paraId="3E4BFC8B">
            <w:pPr>
              <w:pStyle w:val="43"/>
              <w:bidi w:val="0"/>
              <w:ind w:firstLine="0" w:firstLineChars="0"/>
              <w:rPr>
                <w:rFonts w:hint="eastAsia"/>
                <w:color w:val="auto"/>
                <w:lang w:val="en-US" w:eastAsia="zh-CN"/>
              </w:rPr>
            </w:pPr>
            <w:r>
              <w:rPr>
                <w:rFonts w:hint="eastAsia"/>
                <w:color w:val="auto"/>
                <w:lang w:val="en-US" w:eastAsia="zh-CN"/>
              </w:rPr>
              <w:t>5.2.2</w:t>
            </w:r>
          </w:p>
        </w:tc>
      </w:tr>
      <w:tr w14:paraId="29111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33ED5FB1">
            <w:pPr>
              <w:pStyle w:val="43"/>
              <w:bidi w:val="0"/>
              <w:rPr>
                <w:rFonts w:hint="eastAsia" w:eastAsia="宋体"/>
                <w:color w:val="auto"/>
                <w:lang w:val="en-US" w:eastAsia="zh-CN"/>
              </w:rPr>
            </w:pPr>
            <w:r>
              <w:rPr>
                <w:rFonts w:hint="eastAsia"/>
                <w:color w:val="auto"/>
                <w:lang w:val="en-US" w:eastAsia="zh-CN"/>
              </w:rPr>
              <w:t>4</w:t>
            </w:r>
          </w:p>
        </w:tc>
        <w:tc>
          <w:tcPr>
            <w:tcW w:w="1920" w:type="dxa"/>
            <w:shd w:val="clear" w:color="auto" w:fill="auto"/>
            <w:noWrap w:val="0"/>
            <w:vAlign w:val="center"/>
          </w:tcPr>
          <w:p w14:paraId="2DC2F341">
            <w:pPr>
              <w:pStyle w:val="43"/>
              <w:bidi w:val="0"/>
              <w:rPr>
                <w:rFonts w:hint="default"/>
                <w:color w:val="auto"/>
                <w:lang w:val="en-US" w:eastAsia="zh-CN"/>
              </w:rPr>
            </w:pPr>
            <w:r>
              <w:rPr>
                <w:rFonts w:hint="eastAsia"/>
                <w:color w:val="auto"/>
                <w:sz w:val="21"/>
                <w:szCs w:val="21"/>
                <w:lang w:val="en-US" w:eastAsia="zh-CN"/>
              </w:rPr>
              <w:t>综合楼</w:t>
            </w:r>
          </w:p>
        </w:tc>
        <w:tc>
          <w:tcPr>
            <w:tcW w:w="2130" w:type="dxa"/>
            <w:shd w:val="clear" w:color="auto" w:fill="auto"/>
            <w:noWrap w:val="0"/>
            <w:vAlign w:val="center"/>
          </w:tcPr>
          <w:p w14:paraId="17F534C4">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办公配套用房</w:t>
            </w:r>
          </w:p>
        </w:tc>
        <w:tc>
          <w:tcPr>
            <w:tcW w:w="1230" w:type="dxa"/>
            <w:noWrap w:val="0"/>
            <w:vAlign w:val="center"/>
          </w:tcPr>
          <w:p w14:paraId="3E493741">
            <w:pPr>
              <w:pStyle w:val="43"/>
              <w:bidi w:val="0"/>
              <w:rPr>
                <w:rFonts w:hint="default"/>
                <w:color w:val="auto"/>
                <w:lang w:val="en-US" w:eastAsia="zh-CN"/>
              </w:rPr>
            </w:pPr>
            <w:r>
              <w:rPr>
                <w:rFonts w:hint="eastAsia"/>
                <w:color w:val="auto"/>
                <w:lang w:val="en-US" w:eastAsia="zh-CN"/>
              </w:rPr>
              <w:t>89.5</w:t>
            </w:r>
          </w:p>
        </w:tc>
        <w:tc>
          <w:tcPr>
            <w:tcW w:w="1140" w:type="dxa"/>
            <w:shd w:val="clear" w:color="auto" w:fill="auto"/>
            <w:noWrap w:val="0"/>
            <w:vAlign w:val="center"/>
          </w:tcPr>
          <w:p w14:paraId="2A3562DA">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6</w:t>
            </w:r>
          </w:p>
        </w:tc>
        <w:tc>
          <w:tcPr>
            <w:tcW w:w="2180" w:type="dxa"/>
            <w:shd w:val="clear" w:color="auto" w:fill="auto"/>
            <w:noWrap w:val="0"/>
            <w:vAlign w:val="center"/>
          </w:tcPr>
          <w:p w14:paraId="553A72B4">
            <w:pPr>
              <w:pStyle w:val="43"/>
              <w:bidi w:val="0"/>
              <w:rPr>
                <w:rFonts w:hint="eastAsia"/>
                <w:color w:val="auto"/>
                <w:lang w:val="en-US" w:eastAsia="zh-CN"/>
              </w:rPr>
            </w:pPr>
            <w:r>
              <w:rPr>
                <w:rFonts w:hint="eastAsia"/>
                <w:color w:val="auto"/>
                <w:lang w:val="en-US" w:eastAsia="zh-CN"/>
              </w:rPr>
              <w:t>GB50016-2014</w:t>
            </w:r>
          </w:p>
          <w:p w14:paraId="43252100">
            <w:pPr>
              <w:pStyle w:val="43"/>
              <w:bidi w:val="0"/>
              <w:ind w:firstLine="0" w:firstLineChars="0"/>
              <w:rPr>
                <w:rFonts w:hint="eastAsia"/>
                <w:color w:val="auto"/>
                <w:lang w:val="en-US" w:eastAsia="zh-CN"/>
              </w:rPr>
            </w:pPr>
            <w:r>
              <w:rPr>
                <w:rFonts w:hint="eastAsia"/>
                <w:color w:val="auto"/>
                <w:lang w:val="en-US" w:eastAsia="zh-CN"/>
              </w:rPr>
              <w:t>(2018年版）</w:t>
            </w:r>
          </w:p>
        </w:tc>
      </w:tr>
      <w:tr w14:paraId="5DC87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279B4F70">
            <w:pPr>
              <w:pStyle w:val="43"/>
              <w:bidi w:val="0"/>
              <w:rPr>
                <w:rFonts w:hint="eastAsia" w:eastAsia="宋体"/>
                <w:color w:val="auto"/>
                <w:lang w:val="en-US" w:eastAsia="zh-CN"/>
              </w:rPr>
            </w:pPr>
            <w:r>
              <w:rPr>
                <w:rFonts w:hint="eastAsia"/>
                <w:color w:val="auto"/>
                <w:lang w:val="en-US" w:eastAsia="zh-CN"/>
              </w:rPr>
              <w:t>5</w:t>
            </w:r>
          </w:p>
        </w:tc>
        <w:tc>
          <w:tcPr>
            <w:tcW w:w="1920" w:type="dxa"/>
            <w:noWrap w:val="0"/>
            <w:vAlign w:val="center"/>
          </w:tcPr>
          <w:p w14:paraId="7ED79599">
            <w:pPr>
              <w:pStyle w:val="43"/>
              <w:bidi w:val="0"/>
              <w:rPr>
                <w:rFonts w:hint="default"/>
                <w:color w:val="auto"/>
                <w:lang w:val="en-US" w:eastAsia="zh-CN"/>
              </w:rPr>
            </w:pPr>
            <w:r>
              <w:rPr>
                <w:rFonts w:hint="eastAsia"/>
                <w:color w:val="auto"/>
                <w:sz w:val="21"/>
                <w:szCs w:val="21"/>
                <w:lang w:val="en-US" w:eastAsia="zh-CN"/>
              </w:rPr>
              <w:t>综合楼</w:t>
            </w:r>
          </w:p>
        </w:tc>
        <w:tc>
          <w:tcPr>
            <w:tcW w:w="2130" w:type="dxa"/>
            <w:noWrap w:val="0"/>
            <w:vAlign w:val="center"/>
          </w:tcPr>
          <w:p w14:paraId="40A1025B">
            <w:pPr>
              <w:pStyle w:val="43"/>
              <w:bidi w:val="0"/>
              <w:rPr>
                <w:rFonts w:hint="eastAsia" w:eastAsia="宋体"/>
                <w:color w:val="auto"/>
                <w:lang w:val="en-US" w:eastAsia="zh-CN"/>
              </w:rPr>
            </w:pPr>
            <w:r>
              <w:rPr>
                <w:rFonts w:hint="eastAsia"/>
                <w:color w:val="auto"/>
                <w:lang w:val="en-US" w:eastAsia="zh-CN"/>
              </w:rPr>
              <w:t>两室</w:t>
            </w:r>
          </w:p>
        </w:tc>
        <w:tc>
          <w:tcPr>
            <w:tcW w:w="1230" w:type="dxa"/>
            <w:noWrap w:val="0"/>
            <w:vAlign w:val="center"/>
          </w:tcPr>
          <w:p w14:paraId="524C802F">
            <w:pPr>
              <w:pStyle w:val="43"/>
              <w:bidi w:val="0"/>
              <w:rPr>
                <w:rFonts w:hint="default"/>
                <w:color w:val="auto"/>
                <w:lang w:val="en-US" w:eastAsia="zh-CN"/>
              </w:rPr>
            </w:pPr>
            <w:r>
              <w:rPr>
                <w:rFonts w:hint="eastAsia"/>
                <w:color w:val="auto"/>
                <w:lang w:val="en-US" w:eastAsia="zh-CN"/>
              </w:rPr>
              <w:t>81.9</w:t>
            </w:r>
          </w:p>
        </w:tc>
        <w:tc>
          <w:tcPr>
            <w:tcW w:w="1140" w:type="dxa"/>
            <w:shd w:val="clear" w:color="auto" w:fill="auto"/>
            <w:noWrap w:val="0"/>
            <w:vAlign w:val="center"/>
          </w:tcPr>
          <w:p w14:paraId="681A36E4">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6</w:t>
            </w:r>
          </w:p>
        </w:tc>
        <w:tc>
          <w:tcPr>
            <w:tcW w:w="2180" w:type="dxa"/>
            <w:shd w:val="clear" w:color="auto" w:fill="auto"/>
            <w:noWrap w:val="0"/>
            <w:vAlign w:val="center"/>
          </w:tcPr>
          <w:p w14:paraId="659A8F82">
            <w:pPr>
              <w:pStyle w:val="43"/>
              <w:bidi w:val="0"/>
              <w:rPr>
                <w:rFonts w:hint="eastAsia"/>
                <w:color w:val="auto"/>
                <w:lang w:val="en-US" w:eastAsia="zh-CN"/>
              </w:rPr>
            </w:pPr>
            <w:r>
              <w:rPr>
                <w:rFonts w:hint="eastAsia"/>
                <w:color w:val="auto"/>
                <w:lang w:val="en-US" w:eastAsia="zh-CN"/>
              </w:rPr>
              <w:t>GB50016-2014</w:t>
            </w:r>
          </w:p>
          <w:p w14:paraId="5F5125FF">
            <w:pPr>
              <w:pStyle w:val="43"/>
              <w:bidi w:val="0"/>
              <w:ind w:firstLine="0" w:firstLineChars="0"/>
              <w:rPr>
                <w:rFonts w:hint="eastAsia"/>
                <w:color w:val="auto"/>
                <w:lang w:val="en-US" w:eastAsia="zh-CN"/>
              </w:rPr>
            </w:pPr>
            <w:r>
              <w:rPr>
                <w:rFonts w:hint="eastAsia"/>
                <w:color w:val="auto"/>
                <w:lang w:val="en-US" w:eastAsia="zh-CN"/>
              </w:rPr>
              <w:t>(2018年版）</w:t>
            </w:r>
          </w:p>
          <w:p w14:paraId="66943498">
            <w:pPr>
              <w:pStyle w:val="43"/>
              <w:bidi w:val="0"/>
              <w:ind w:firstLine="0" w:firstLineChars="0"/>
              <w:rPr>
                <w:rFonts w:hint="eastAsia"/>
                <w:color w:val="auto"/>
                <w:lang w:val="en-US" w:eastAsia="zh-CN"/>
              </w:rPr>
            </w:pPr>
            <w:r>
              <w:rPr>
                <w:rFonts w:hint="eastAsia"/>
                <w:color w:val="auto"/>
                <w:lang w:val="en-US" w:eastAsia="zh-CN"/>
              </w:rPr>
              <w:t>5.2.2</w:t>
            </w:r>
          </w:p>
        </w:tc>
      </w:tr>
      <w:tr w14:paraId="0B27D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1D4798DF">
            <w:pPr>
              <w:pStyle w:val="43"/>
              <w:bidi w:val="0"/>
              <w:rPr>
                <w:rFonts w:hint="eastAsia" w:eastAsia="宋体"/>
                <w:color w:val="auto"/>
                <w:lang w:val="en-US" w:eastAsia="zh-CN"/>
              </w:rPr>
            </w:pPr>
            <w:r>
              <w:rPr>
                <w:rFonts w:hint="eastAsia"/>
                <w:color w:val="auto"/>
                <w:lang w:val="en-US" w:eastAsia="zh-CN"/>
              </w:rPr>
              <w:t>6</w:t>
            </w:r>
          </w:p>
        </w:tc>
        <w:tc>
          <w:tcPr>
            <w:tcW w:w="1920" w:type="dxa"/>
            <w:noWrap w:val="0"/>
            <w:vAlign w:val="center"/>
          </w:tcPr>
          <w:p w14:paraId="32A371B2">
            <w:pPr>
              <w:pStyle w:val="43"/>
              <w:bidi w:val="0"/>
              <w:rPr>
                <w:rFonts w:hint="default"/>
                <w:color w:val="auto"/>
                <w:lang w:val="en-US" w:eastAsia="zh-CN"/>
              </w:rPr>
            </w:pPr>
            <w:r>
              <w:rPr>
                <w:rFonts w:hint="eastAsia"/>
                <w:color w:val="auto"/>
                <w:sz w:val="21"/>
                <w:szCs w:val="21"/>
                <w:lang w:val="en-US" w:eastAsia="zh-CN"/>
              </w:rPr>
              <w:t>综合楼</w:t>
            </w:r>
          </w:p>
        </w:tc>
        <w:tc>
          <w:tcPr>
            <w:tcW w:w="2130" w:type="dxa"/>
            <w:shd w:val="clear" w:color="auto" w:fill="auto"/>
            <w:noWrap w:val="0"/>
            <w:vAlign w:val="center"/>
          </w:tcPr>
          <w:p w14:paraId="300B3E81">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畜产、危险品车位</w:t>
            </w:r>
          </w:p>
        </w:tc>
        <w:tc>
          <w:tcPr>
            <w:tcW w:w="1230" w:type="dxa"/>
            <w:shd w:val="clear" w:color="auto" w:fill="auto"/>
            <w:noWrap w:val="0"/>
            <w:vAlign w:val="center"/>
          </w:tcPr>
          <w:p w14:paraId="7622F61D">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63.5</w:t>
            </w:r>
          </w:p>
        </w:tc>
        <w:tc>
          <w:tcPr>
            <w:tcW w:w="1140" w:type="dxa"/>
            <w:shd w:val="clear" w:color="auto" w:fill="auto"/>
            <w:noWrap w:val="0"/>
            <w:vAlign w:val="center"/>
          </w:tcPr>
          <w:p w14:paraId="681FEE4C">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25</w:t>
            </w:r>
          </w:p>
        </w:tc>
        <w:tc>
          <w:tcPr>
            <w:tcW w:w="2180" w:type="dxa"/>
            <w:shd w:val="clear" w:color="auto" w:fill="auto"/>
            <w:noWrap w:val="0"/>
            <w:vAlign w:val="center"/>
          </w:tcPr>
          <w:p w14:paraId="79ED60F6">
            <w:pPr>
              <w:pStyle w:val="43"/>
              <w:bidi w:val="0"/>
              <w:rPr>
                <w:rFonts w:hint="default"/>
                <w:color w:val="auto"/>
                <w:lang w:val="en-US" w:eastAsia="zh-CN"/>
              </w:rPr>
            </w:pPr>
            <w:r>
              <w:rPr>
                <w:rFonts w:hint="eastAsia"/>
                <w:color w:val="auto"/>
                <w:lang w:val="en-US" w:eastAsia="zh-CN"/>
              </w:rPr>
              <w:t>GB50067-2014</w:t>
            </w:r>
          </w:p>
          <w:p w14:paraId="4D96BE49">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4.2.5</w:t>
            </w:r>
          </w:p>
        </w:tc>
      </w:tr>
      <w:tr w14:paraId="43D79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14:paraId="099C2DA5">
            <w:pPr>
              <w:pStyle w:val="43"/>
              <w:bidi w:val="0"/>
              <w:rPr>
                <w:rFonts w:hint="default"/>
                <w:color w:val="auto"/>
                <w:lang w:val="en-US" w:eastAsia="zh-CN"/>
              </w:rPr>
            </w:pPr>
            <w:bookmarkStart w:id="28" w:name="_Toc14678"/>
            <w:bookmarkStart w:id="29" w:name="_Toc24002"/>
            <w:r>
              <w:rPr>
                <w:rFonts w:hint="eastAsia"/>
                <w:color w:val="auto"/>
                <w:lang w:val="en-US" w:eastAsia="zh-CN"/>
              </w:rPr>
              <w:t>7</w:t>
            </w:r>
          </w:p>
        </w:tc>
        <w:tc>
          <w:tcPr>
            <w:tcW w:w="1920" w:type="dxa"/>
            <w:noWrap w:val="0"/>
            <w:vAlign w:val="center"/>
          </w:tcPr>
          <w:p w14:paraId="6486C61C">
            <w:pPr>
              <w:pStyle w:val="43"/>
              <w:bidi w:val="0"/>
              <w:rPr>
                <w:rFonts w:hint="default"/>
                <w:color w:val="auto"/>
                <w:sz w:val="21"/>
                <w:szCs w:val="21"/>
                <w:lang w:val="en-US" w:eastAsia="zh-CN"/>
              </w:rPr>
            </w:pPr>
            <w:r>
              <w:rPr>
                <w:rFonts w:hint="eastAsia"/>
                <w:color w:val="auto"/>
                <w:sz w:val="21"/>
                <w:szCs w:val="21"/>
                <w:lang w:val="en-US" w:eastAsia="zh-CN"/>
              </w:rPr>
              <w:t>办公配套用房</w:t>
            </w:r>
          </w:p>
        </w:tc>
        <w:tc>
          <w:tcPr>
            <w:tcW w:w="2130" w:type="dxa"/>
            <w:shd w:val="clear" w:color="auto" w:fill="auto"/>
            <w:noWrap w:val="0"/>
            <w:vAlign w:val="center"/>
          </w:tcPr>
          <w:p w14:paraId="59118D1C">
            <w:pPr>
              <w:pStyle w:val="43"/>
              <w:bidi w:val="0"/>
              <w:ind w:firstLine="0" w:firstLineChars="0"/>
              <w:rPr>
                <w:rFonts w:hint="eastAsia"/>
                <w:color w:val="auto"/>
                <w:lang w:val="en-US" w:eastAsia="zh-CN"/>
              </w:rPr>
            </w:pPr>
            <w:r>
              <w:rPr>
                <w:rFonts w:hint="eastAsia"/>
                <w:color w:val="auto"/>
                <w:lang w:val="en-US" w:eastAsia="zh-CN"/>
              </w:rPr>
              <w:t>畜产、危险品车位</w:t>
            </w:r>
          </w:p>
        </w:tc>
        <w:tc>
          <w:tcPr>
            <w:tcW w:w="1230" w:type="dxa"/>
            <w:shd w:val="clear" w:color="auto" w:fill="auto"/>
            <w:noWrap w:val="0"/>
            <w:vAlign w:val="center"/>
          </w:tcPr>
          <w:p w14:paraId="04BA8BF9">
            <w:pPr>
              <w:pStyle w:val="43"/>
              <w:bidi w:val="0"/>
              <w:ind w:firstLine="0" w:firstLineChars="0"/>
              <w:rPr>
                <w:rFonts w:hint="default"/>
                <w:color w:val="auto"/>
                <w:lang w:val="en-US" w:eastAsia="zh-CN"/>
              </w:rPr>
            </w:pPr>
            <w:r>
              <w:rPr>
                <w:rFonts w:hint="eastAsia"/>
                <w:color w:val="auto"/>
                <w:lang w:val="en-US" w:eastAsia="zh-CN"/>
              </w:rPr>
              <w:t>43.6</w:t>
            </w:r>
          </w:p>
        </w:tc>
        <w:tc>
          <w:tcPr>
            <w:tcW w:w="1140" w:type="dxa"/>
            <w:shd w:val="clear" w:color="auto" w:fill="auto"/>
            <w:noWrap w:val="0"/>
            <w:vAlign w:val="center"/>
          </w:tcPr>
          <w:p w14:paraId="7AB777E4">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25</w:t>
            </w:r>
          </w:p>
        </w:tc>
        <w:tc>
          <w:tcPr>
            <w:tcW w:w="2180" w:type="dxa"/>
            <w:shd w:val="clear" w:color="auto" w:fill="auto"/>
            <w:noWrap w:val="0"/>
            <w:vAlign w:val="center"/>
          </w:tcPr>
          <w:p w14:paraId="209FEDCB">
            <w:pPr>
              <w:pStyle w:val="43"/>
              <w:bidi w:val="0"/>
              <w:rPr>
                <w:rFonts w:hint="default"/>
                <w:color w:val="auto"/>
                <w:lang w:val="en-US" w:eastAsia="zh-CN"/>
              </w:rPr>
            </w:pPr>
            <w:r>
              <w:rPr>
                <w:rFonts w:hint="eastAsia"/>
                <w:color w:val="auto"/>
                <w:lang w:val="en-US" w:eastAsia="zh-CN"/>
              </w:rPr>
              <w:t>GB50067-2014</w:t>
            </w:r>
          </w:p>
          <w:p w14:paraId="4CA3221A">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4.2.5</w:t>
            </w:r>
          </w:p>
        </w:tc>
      </w:tr>
    </w:tbl>
    <w:p w14:paraId="61455FF1">
      <w:pPr>
        <w:pStyle w:val="5"/>
        <w:bidi w:val="0"/>
        <w:rPr>
          <w:rFonts w:hint="default" w:eastAsia="宋体"/>
          <w:color w:val="auto"/>
          <w:lang w:val="en-US" w:eastAsia="zh-CN"/>
        </w:rPr>
      </w:pPr>
      <w:bookmarkStart w:id="30" w:name="_Toc6307"/>
      <w:r>
        <w:rPr>
          <w:rFonts w:hint="eastAsia"/>
          <w:color w:val="auto"/>
          <w:lang w:val="en-US" w:eastAsia="zh-CN"/>
        </w:rPr>
        <w:t>2.5主要建（构）筑物及设备设施</w:t>
      </w:r>
      <w:bookmarkEnd w:id="30"/>
    </w:p>
    <w:p w14:paraId="2C086BE9">
      <w:pPr>
        <w:bidi w:val="0"/>
        <w:rPr>
          <w:rFonts w:hint="eastAsia"/>
          <w:color w:val="auto"/>
          <w:lang w:val="en-US" w:eastAsia="zh-CN"/>
        </w:rPr>
      </w:pPr>
      <w:r>
        <w:rPr>
          <w:rFonts w:hint="eastAsia"/>
          <w:color w:val="auto"/>
          <w:lang w:val="en-US" w:eastAsia="zh-CN"/>
        </w:rPr>
        <w:t>该项目主要建（构）筑物及设施、设备情况分别见表2.5-1、表2.5-2。</w:t>
      </w:r>
    </w:p>
    <w:p w14:paraId="6706B736">
      <w:pPr>
        <w:pStyle w:val="48"/>
        <w:bidi w:val="0"/>
        <w:rPr>
          <w:rFonts w:hint="eastAsia"/>
          <w:color w:val="auto"/>
          <w:lang w:val="en-US" w:eastAsia="zh-CN"/>
        </w:rPr>
      </w:pPr>
    </w:p>
    <w:p w14:paraId="4E4C48C2">
      <w:pPr>
        <w:pStyle w:val="48"/>
        <w:bidi w:val="0"/>
        <w:rPr>
          <w:rFonts w:hint="eastAsia"/>
          <w:color w:val="auto"/>
          <w:lang w:val="en-US" w:eastAsia="zh-CN"/>
        </w:rPr>
      </w:pPr>
    </w:p>
    <w:p w14:paraId="47D0FFC1">
      <w:pPr>
        <w:pStyle w:val="48"/>
        <w:bidi w:val="0"/>
        <w:rPr>
          <w:color w:val="auto"/>
        </w:rPr>
      </w:pPr>
      <w:r>
        <w:rPr>
          <w:rFonts w:hint="eastAsia"/>
          <w:color w:val="auto"/>
          <w:lang w:val="en-US" w:eastAsia="zh-CN"/>
        </w:rPr>
        <w:t>表2.5-1</w:t>
      </w:r>
      <w:r>
        <w:rPr>
          <w:rFonts w:hint="eastAsia"/>
          <w:color w:val="auto"/>
        </w:rPr>
        <w:t>主要建筑构筑物特征一览表</w:t>
      </w:r>
    </w:p>
    <w:tbl>
      <w:tblPr>
        <w:tblStyle w:val="33"/>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5" w:type="dxa"/>
          <w:bottom w:w="0" w:type="dxa"/>
          <w:right w:w="45" w:type="dxa"/>
        </w:tblCellMar>
      </w:tblPr>
      <w:tblGrid>
        <w:gridCol w:w="648"/>
        <w:gridCol w:w="1689"/>
        <w:gridCol w:w="755"/>
        <w:gridCol w:w="936"/>
        <w:gridCol w:w="1013"/>
        <w:gridCol w:w="1290"/>
        <w:gridCol w:w="1024"/>
        <w:gridCol w:w="1007"/>
        <w:gridCol w:w="864"/>
      </w:tblGrid>
      <w:tr w14:paraId="0F7DA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454" w:hRule="atLeast"/>
          <w:jc w:val="center"/>
        </w:trPr>
        <w:tc>
          <w:tcPr>
            <w:tcW w:w="9226" w:type="dxa"/>
            <w:gridSpan w:val="9"/>
            <w:vAlign w:val="center"/>
          </w:tcPr>
          <w:p w14:paraId="4246C846">
            <w:pPr>
              <w:spacing w:line="240" w:lineRule="auto"/>
              <w:ind w:firstLine="0" w:firstLineChars="0"/>
              <w:jc w:val="center"/>
              <w:rPr>
                <w:rFonts w:hint="eastAsia"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东服务区</w:t>
            </w:r>
          </w:p>
        </w:tc>
      </w:tr>
      <w:tr w14:paraId="2D6A4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454" w:hRule="atLeast"/>
          <w:jc w:val="center"/>
        </w:trPr>
        <w:tc>
          <w:tcPr>
            <w:tcW w:w="648" w:type="dxa"/>
            <w:shd w:val="clear" w:color="auto" w:fill="auto"/>
            <w:vAlign w:val="center"/>
          </w:tcPr>
          <w:p w14:paraId="3221042B">
            <w:pPr>
              <w:spacing w:line="240" w:lineRule="auto"/>
              <w:ind w:firstLine="0" w:firstLineChars="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cs="Times New Roman"/>
                <w:b/>
                <w:bCs/>
                <w:color w:val="auto"/>
                <w:sz w:val="21"/>
                <w:szCs w:val="21"/>
              </w:rPr>
              <w:t>序号</w:t>
            </w:r>
          </w:p>
        </w:tc>
        <w:tc>
          <w:tcPr>
            <w:tcW w:w="1689" w:type="dxa"/>
            <w:shd w:val="clear" w:color="auto" w:fill="auto"/>
            <w:vAlign w:val="center"/>
          </w:tcPr>
          <w:p w14:paraId="3D42593C">
            <w:pPr>
              <w:spacing w:line="240" w:lineRule="auto"/>
              <w:ind w:firstLine="0" w:firstLineChars="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cs="Times New Roman"/>
                <w:b/>
                <w:bCs/>
                <w:color w:val="auto"/>
                <w:sz w:val="21"/>
                <w:szCs w:val="21"/>
              </w:rPr>
              <w:t>建构筑物</w:t>
            </w:r>
            <w:r>
              <w:rPr>
                <w:rFonts w:ascii="Times New Roman" w:cs="Times New Roman"/>
                <w:b/>
                <w:bCs/>
                <w:color w:val="auto"/>
                <w:sz w:val="21"/>
                <w:szCs w:val="21"/>
              </w:rPr>
              <w:t>名称</w:t>
            </w:r>
          </w:p>
        </w:tc>
        <w:tc>
          <w:tcPr>
            <w:tcW w:w="755" w:type="dxa"/>
            <w:shd w:val="clear" w:color="auto" w:fill="auto"/>
            <w:vAlign w:val="center"/>
          </w:tcPr>
          <w:p w14:paraId="78537608">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耐火等级</w:t>
            </w:r>
          </w:p>
        </w:tc>
        <w:tc>
          <w:tcPr>
            <w:tcW w:w="936" w:type="dxa"/>
            <w:shd w:val="clear" w:color="auto" w:fill="auto"/>
            <w:vAlign w:val="center"/>
          </w:tcPr>
          <w:p w14:paraId="579E99CB">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建筑占地面积（</w:t>
            </w:r>
            <w:r>
              <w:rPr>
                <w:rFonts w:ascii="Times New Roman" w:hAnsi="Times New Roman" w:cs="Times New Roman"/>
                <w:b/>
                <w:bCs/>
                <w:color w:val="auto"/>
                <w:sz w:val="21"/>
                <w:szCs w:val="21"/>
              </w:rPr>
              <w:t>m</w:t>
            </w:r>
            <w:r>
              <w:rPr>
                <w:rFonts w:ascii="Times New Roman" w:hAnsi="Times New Roman" w:cs="Times New Roman"/>
                <w:b/>
                <w:bCs/>
                <w:color w:val="auto"/>
                <w:sz w:val="21"/>
                <w:szCs w:val="21"/>
                <w:vertAlign w:val="superscript"/>
              </w:rPr>
              <w:t>2</w:t>
            </w:r>
            <w:r>
              <w:rPr>
                <w:rFonts w:ascii="Times New Roman" w:cs="Times New Roman"/>
                <w:b/>
                <w:bCs/>
                <w:color w:val="auto"/>
                <w:sz w:val="21"/>
                <w:szCs w:val="21"/>
              </w:rPr>
              <w:t>）</w:t>
            </w:r>
          </w:p>
        </w:tc>
        <w:tc>
          <w:tcPr>
            <w:tcW w:w="1013" w:type="dxa"/>
            <w:shd w:val="clear" w:color="auto" w:fill="auto"/>
            <w:vAlign w:val="center"/>
          </w:tcPr>
          <w:p w14:paraId="00690C35">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建筑面积（</w:t>
            </w:r>
            <w:r>
              <w:rPr>
                <w:rFonts w:ascii="Times New Roman" w:hAnsi="Times New Roman" w:cs="Times New Roman"/>
                <w:b/>
                <w:bCs/>
                <w:color w:val="auto"/>
                <w:sz w:val="21"/>
                <w:szCs w:val="21"/>
              </w:rPr>
              <w:t>m</w:t>
            </w:r>
            <w:r>
              <w:rPr>
                <w:rFonts w:ascii="Times New Roman" w:hAnsi="Times New Roman" w:cs="Times New Roman"/>
                <w:b/>
                <w:bCs/>
                <w:color w:val="auto"/>
                <w:sz w:val="21"/>
                <w:szCs w:val="21"/>
                <w:vertAlign w:val="superscript"/>
              </w:rPr>
              <w:t>2</w:t>
            </w:r>
            <w:r>
              <w:rPr>
                <w:rFonts w:ascii="Times New Roman" w:cs="Times New Roman"/>
                <w:b/>
                <w:bCs/>
                <w:color w:val="auto"/>
                <w:sz w:val="21"/>
                <w:szCs w:val="21"/>
              </w:rPr>
              <w:t>）</w:t>
            </w:r>
          </w:p>
        </w:tc>
        <w:tc>
          <w:tcPr>
            <w:tcW w:w="1290" w:type="dxa"/>
            <w:shd w:val="clear" w:color="auto" w:fill="auto"/>
            <w:vAlign w:val="center"/>
          </w:tcPr>
          <w:p w14:paraId="430FCC49">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结构形式</w:t>
            </w:r>
          </w:p>
        </w:tc>
        <w:tc>
          <w:tcPr>
            <w:tcW w:w="1024" w:type="dxa"/>
            <w:shd w:val="clear" w:color="auto" w:fill="auto"/>
            <w:vAlign w:val="center"/>
          </w:tcPr>
          <w:p w14:paraId="37BA502D">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建筑层数</w:t>
            </w:r>
          </w:p>
        </w:tc>
        <w:tc>
          <w:tcPr>
            <w:tcW w:w="1007" w:type="dxa"/>
            <w:shd w:val="clear" w:color="auto" w:fill="auto"/>
            <w:vAlign w:val="center"/>
          </w:tcPr>
          <w:p w14:paraId="32893C0D">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建筑高度（</w:t>
            </w:r>
            <w:r>
              <w:rPr>
                <w:rFonts w:ascii="Times New Roman" w:hAnsi="Times New Roman" w:cs="Times New Roman"/>
                <w:b/>
                <w:bCs/>
                <w:color w:val="auto"/>
                <w:sz w:val="21"/>
                <w:szCs w:val="21"/>
              </w:rPr>
              <w:t>m</w:t>
            </w:r>
            <w:r>
              <w:rPr>
                <w:rFonts w:ascii="Times New Roman" w:cs="Times New Roman"/>
                <w:b/>
                <w:bCs/>
                <w:color w:val="auto"/>
                <w:sz w:val="21"/>
                <w:szCs w:val="21"/>
              </w:rPr>
              <w:t>）</w:t>
            </w:r>
          </w:p>
        </w:tc>
        <w:tc>
          <w:tcPr>
            <w:tcW w:w="864" w:type="dxa"/>
            <w:shd w:val="clear" w:color="auto" w:fill="auto"/>
            <w:vAlign w:val="center"/>
          </w:tcPr>
          <w:p w14:paraId="1F9119D3">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备注</w:t>
            </w:r>
          </w:p>
        </w:tc>
      </w:tr>
      <w:tr w14:paraId="71381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579" w:hRule="atLeast"/>
          <w:jc w:val="center"/>
        </w:trPr>
        <w:tc>
          <w:tcPr>
            <w:tcW w:w="648" w:type="dxa"/>
            <w:vAlign w:val="center"/>
          </w:tcPr>
          <w:p w14:paraId="1F3971D2">
            <w:pPr>
              <w:numPr>
                <w:ilvl w:val="0"/>
                <w:numId w:val="2"/>
              </w:numPr>
              <w:spacing w:line="240" w:lineRule="auto"/>
              <w:ind w:left="0" w:leftChars="0" w:firstLine="0" w:firstLineChars="0"/>
              <w:jc w:val="center"/>
              <w:rPr>
                <w:rFonts w:hint="eastAsia" w:ascii="Times New Roman" w:eastAsia="宋体" w:cs="Times New Roman"/>
                <w:color w:val="auto"/>
                <w:sz w:val="21"/>
                <w:szCs w:val="21"/>
                <w:lang w:val="en-US" w:eastAsia="zh-CN"/>
              </w:rPr>
            </w:pPr>
          </w:p>
        </w:tc>
        <w:tc>
          <w:tcPr>
            <w:tcW w:w="1689" w:type="dxa"/>
            <w:vAlign w:val="center"/>
          </w:tcPr>
          <w:p w14:paraId="4BAE8544">
            <w:pPr>
              <w:spacing w:line="240" w:lineRule="auto"/>
              <w:ind w:firstLine="0" w:firstLineChars="0"/>
              <w:rPr>
                <w:rFonts w:hint="default"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综合楼</w:t>
            </w:r>
          </w:p>
        </w:tc>
        <w:tc>
          <w:tcPr>
            <w:tcW w:w="755" w:type="dxa"/>
            <w:vAlign w:val="center"/>
          </w:tcPr>
          <w:p w14:paraId="409A2FEA">
            <w:pPr>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二级</w:t>
            </w:r>
          </w:p>
        </w:tc>
        <w:tc>
          <w:tcPr>
            <w:tcW w:w="936" w:type="dxa"/>
            <w:vAlign w:val="center"/>
          </w:tcPr>
          <w:p w14:paraId="6BE1D9CE">
            <w:pPr>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3214.64</w:t>
            </w:r>
          </w:p>
        </w:tc>
        <w:tc>
          <w:tcPr>
            <w:tcW w:w="1013" w:type="dxa"/>
            <w:vAlign w:val="center"/>
          </w:tcPr>
          <w:p w14:paraId="73B0053A">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3408.14</w:t>
            </w:r>
          </w:p>
        </w:tc>
        <w:tc>
          <w:tcPr>
            <w:tcW w:w="1290" w:type="dxa"/>
            <w:vAlign w:val="center"/>
          </w:tcPr>
          <w:p w14:paraId="199DAA66">
            <w:pPr>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lang w:val="en-US" w:eastAsia="zh-CN"/>
              </w:rPr>
              <w:t>框架</w:t>
            </w:r>
          </w:p>
        </w:tc>
        <w:tc>
          <w:tcPr>
            <w:tcW w:w="1024" w:type="dxa"/>
            <w:vAlign w:val="center"/>
          </w:tcPr>
          <w:p w14:paraId="747D5D4B">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1007" w:type="dxa"/>
            <w:vAlign w:val="center"/>
          </w:tcPr>
          <w:p w14:paraId="49F37959">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14.6</w:t>
            </w:r>
          </w:p>
        </w:tc>
        <w:tc>
          <w:tcPr>
            <w:tcW w:w="864" w:type="dxa"/>
            <w:vAlign w:val="center"/>
          </w:tcPr>
          <w:p w14:paraId="55024C57">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重建</w:t>
            </w:r>
          </w:p>
        </w:tc>
      </w:tr>
      <w:tr w14:paraId="7F408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579" w:hRule="atLeast"/>
          <w:jc w:val="center"/>
        </w:trPr>
        <w:tc>
          <w:tcPr>
            <w:tcW w:w="648" w:type="dxa"/>
            <w:vAlign w:val="center"/>
          </w:tcPr>
          <w:p w14:paraId="51F5C42D">
            <w:pPr>
              <w:numPr>
                <w:ilvl w:val="0"/>
                <w:numId w:val="2"/>
              </w:numPr>
              <w:spacing w:line="240" w:lineRule="auto"/>
              <w:ind w:left="0" w:leftChars="0" w:firstLine="0" w:firstLineChars="0"/>
              <w:jc w:val="center"/>
              <w:rPr>
                <w:rFonts w:hint="eastAsia" w:ascii="Times New Roman" w:eastAsia="宋体" w:cs="Times New Roman"/>
                <w:color w:val="auto"/>
                <w:sz w:val="21"/>
                <w:szCs w:val="21"/>
                <w:lang w:val="en-US" w:eastAsia="zh-CN"/>
              </w:rPr>
            </w:pPr>
          </w:p>
        </w:tc>
        <w:tc>
          <w:tcPr>
            <w:tcW w:w="1689" w:type="dxa"/>
            <w:vAlign w:val="center"/>
          </w:tcPr>
          <w:p w14:paraId="06AD814C">
            <w:pPr>
              <w:spacing w:line="240" w:lineRule="auto"/>
              <w:ind w:firstLine="0" w:firstLineChars="0"/>
              <w:rPr>
                <w:rFonts w:hint="default"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修车库</w:t>
            </w:r>
          </w:p>
        </w:tc>
        <w:tc>
          <w:tcPr>
            <w:tcW w:w="755" w:type="dxa"/>
            <w:vAlign w:val="center"/>
          </w:tcPr>
          <w:p w14:paraId="40CFC3E1">
            <w:pPr>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二级</w:t>
            </w:r>
          </w:p>
        </w:tc>
        <w:tc>
          <w:tcPr>
            <w:tcW w:w="936" w:type="dxa"/>
            <w:vAlign w:val="center"/>
          </w:tcPr>
          <w:p w14:paraId="2AA2D1F5">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204</w:t>
            </w:r>
          </w:p>
        </w:tc>
        <w:tc>
          <w:tcPr>
            <w:tcW w:w="1013" w:type="dxa"/>
            <w:vAlign w:val="center"/>
          </w:tcPr>
          <w:p w14:paraId="34CDAD5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204</w:t>
            </w:r>
          </w:p>
        </w:tc>
        <w:tc>
          <w:tcPr>
            <w:tcW w:w="1290" w:type="dxa"/>
            <w:vAlign w:val="center"/>
          </w:tcPr>
          <w:p w14:paraId="253A354B">
            <w:pPr>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lang w:val="en-US" w:eastAsia="zh-CN"/>
              </w:rPr>
              <w:t>框架</w:t>
            </w:r>
          </w:p>
        </w:tc>
        <w:tc>
          <w:tcPr>
            <w:tcW w:w="1024" w:type="dxa"/>
            <w:vAlign w:val="center"/>
          </w:tcPr>
          <w:p w14:paraId="6175DE45">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1007" w:type="dxa"/>
            <w:vAlign w:val="center"/>
          </w:tcPr>
          <w:p w14:paraId="51CE402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7.2</w:t>
            </w:r>
          </w:p>
        </w:tc>
        <w:tc>
          <w:tcPr>
            <w:tcW w:w="864" w:type="dxa"/>
            <w:vAlign w:val="center"/>
          </w:tcPr>
          <w:p w14:paraId="39F94A8C">
            <w:pPr>
              <w:spacing w:line="240" w:lineRule="auto"/>
              <w:ind w:firstLine="0" w:firstLineChars="0"/>
              <w:jc w:val="center"/>
              <w:rPr>
                <w:rFonts w:ascii="Times New Roman" w:hAnsi="Times New Roman" w:cs="Times New Roman"/>
                <w:color w:val="auto"/>
                <w:sz w:val="21"/>
                <w:szCs w:val="21"/>
              </w:rPr>
            </w:pPr>
            <w:r>
              <w:rPr>
                <w:rFonts w:hint="eastAsia" w:cs="Times New Roman"/>
                <w:color w:val="auto"/>
                <w:sz w:val="21"/>
                <w:szCs w:val="21"/>
                <w:lang w:val="en-US" w:eastAsia="zh-CN"/>
              </w:rPr>
              <w:t>重建</w:t>
            </w:r>
          </w:p>
        </w:tc>
      </w:tr>
      <w:tr w14:paraId="051F7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579" w:hRule="atLeast"/>
          <w:jc w:val="center"/>
        </w:trPr>
        <w:tc>
          <w:tcPr>
            <w:tcW w:w="648" w:type="dxa"/>
            <w:vAlign w:val="center"/>
          </w:tcPr>
          <w:p w14:paraId="0F46B61D">
            <w:pPr>
              <w:numPr>
                <w:ilvl w:val="0"/>
                <w:numId w:val="2"/>
              </w:numPr>
              <w:spacing w:line="240" w:lineRule="auto"/>
              <w:ind w:left="0" w:leftChars="0" w:firstLine="0" w:firstLineChars="0"/>
              <w:jc w:val="center"/>
              <w:rPr>
                <w:rFonts w:hint="default" w:ascii="Times New Roman" w:cs="Times New Roman"/>
                <w:color w:val="auto"/>
                <w:sz w:val="21"/>
                <w:szCs w:val="21"/>
                <w:lang w:val="en-US" w:eastAsia="zh-CN"/>
              </w:rPr>
            </w:pPr>
          </w:p>
        </w:tc>
        <w:tc>
          <w:tcPr>
            <w:tcW w:w="1689" w:type="dxa"/>
            <w:vAlign w:val="center"/>
          </w:tcPr>
          <w:p w14:paraId="51109D29">
            <w:pPr>
              <w:spacing w:line="240" w:lineRule="auto"/>
              <w:ind w:firstLine="0" w:firstLineChars="0"/>
              <w:rPr>
                <w:rFonts w:hint="default"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设备房</w:t>
            </w:r>
          </w:p>
        </w:tc>
        <w:tc>
          <w:tcPr>
            <w:tcW w:w="755" w:type="dxa"/>
            <w:vAlign w:val="center"/>
          </w:tcPr>
          <w:p w14:paraId="75005859">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一级</w:t>
            </w:r>
          </w:p>
        </w:tc>
        <w:tc>
          <w:tcPr>
            <w:tcW w:w="936" w:type="dxa"/>
            <w:vAlign w:val="center"/>
          </w:tcPr>
          <w:p w14:paraId="57F04695">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434.85</w:t>
            </w:r>
          </w:p>
        </w:tc>
        <w:tc>
          <w:tcPr>
            <w:tcW w:w="1013" w:type="dxa"/>
            <w:vAlign w:val="center"/>
          </w:tcPr>
          <w:p w14:paraId="6A8054B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434.85</w:t>
            </w:r>
          </w:p>
        </w:tc>
        <w:tc>
          <w:tcPr>
            <w:tcW w:w="1290" w:type="dxa"/>
            <w:vAlign w:val="center"/>
          </w:tcPr>
          <w:p w14:paraId="3E3A6F38">
            <w:pPr>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lang w:val="en-US" w:eastAsia="zh-CN"/>
              </w:rPr>
              <w:t>框架</w:t>
            </w:r>
          </w:p>
        </w:tc>
        <w:tc>
          <w:tcPr>
            <w:tcW w:w="1024" w:type="dxa"/>
            <w:vAlign w:val="center"/>
          </w:tcPr>
          <w:p w14:paraId="1BE482AF">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1007" w:type="dxa"/>
            <w:vAlign w:val="center"/>
          </w:tcPr>
          <w:p w14:paraId="09A8F5C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5.5</w:t>
            </w:r>
          </w:p>
        </w:tc>
        <w:tc>
          <w:tcPr>
            <w:tcW w:w="864" w:type="dxa"/>
            <w:vAlign w:val="center"/>
          </w:tcPr>
          <w:p w14:paraId="388F830D">
            <w:pPr>
              <w:spacing w:line="240" w:lineRule="auto"/>
              <w:ind w:firstLine="0" w:firstLineChars="0"/>
              <w:jc w:val="center"/>
              <w:rPr>
                <w:rFonts w:ascii="Times New Roman" w:hAnsi="Times New Roman" w:cs="Times New Roman"/>
                <w:color w:val="auto"/>
                <w:sz w:val="21"/>
                <w:szCs w:val="21"/>
              </w:rPr>
            </w:pPr>
            <w:r>
              <w:rPr>
                <w:rFonts w:hint="eastAsia" w:cs="Times New Roman"/>
                <w:color w:val="auto"/>
                <w:sz w:val="21"/>
                <w:szCs w:val="21"/>
                <w:lang w:val="en-US" w:eastAsia="zh-CN"/>
              </w:rPr>
              <w:t>重建</w:t>
            </w:r>
          </w:p>
        </w:tc>
      </w:tr>
      <w:tr w14:paraId="560A0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454" w:hRule="atLeast"/>
          <w:jc w:val="center"/>
        </w:trPr>
        <w:tc>
          <w:tcPr>
            <w:tcW w:w="9226" w:type="dxa"/>
            <w:gridSpan w:val="9"/>
            <w:vAlign w:val="center"/>
          </w:tcPr>
          <w:p w14:paraId="7D2C2452">
            <w:pPr>
              <w:spacing w:line="240" w:lineRule="auto"/>
              <w:ind w:firstLine="0" w:firstLineChars="0"/>
              <w:jc w:val="center"/>
              <w:rPr>
                <w:rFonts w:hint="eastAsia"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西服务区</w:t>
            </w:r>
          </w:p>
        </w:tc>
      </w:tr>
      <w:tr w14:paraId="4A36C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454" w:hRule="atLeast"/>
          <w:jc w:val="center"/>
        </w:trPr>
        <w:tc>
          <w:tcPr>
            <w:tcW w:w="648" w:type="dxa"/>
            <w:shd w:val="clear" w:color="auto" w:fill="auto"/>
            <w:vAlign w:val="center"/>
          </w:tcPr>
          <w:p w14:paraId="6724378D">
            <w:pPr>
              <w:spacing w:line="240" w:lineRule="auto"/>
              <w:ind w:firstLine="0" w:firstLineChars="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cs="Times New Roman"/>
                <w:b/>
                <w:bCs/>
                <w:color w:val="auto"/>
                <w:sz w:val="21"/>
                <w:szCs w:val="21"/>
              </w:rPr>
              <w:t>序号</w:t>
            </w:r>
          </w:p>
        </w:tc>
        <w:tc>
          <w:tcPr>
            <w:tcW w:w="1689" w:type="dxa"/>
            <w:shd w:val="clear" w:color="auto" w:fill="auto"/>
            <w:vAlign w:val="center"/>
          </w:tcPr>
          <w:p w14:paraId="7714DFB5">
            <w:pPr>
              <w:spacing w:line="240" w:lineRule="auto"/>
              <w:ind w:firstLine="0" w:firstLineChars="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cs="Times New Roman"/>
                <w:b/>
                <w:bCs/>
                <w:color w:val="auto"/>
                <w:sz w:val="21"/>
                <w:szCs w:val="21"/>
              </w:rPr>
              <w:t>建构筑物</w:t>
            </w:r>
            <w:r>
              <w:rPr>
                <w:rFonts w:ascii="Times New Roman" w:cs="Times New Roman"/>
                <w:b/>
                <w:bCs/>
                <w:color w:val="auto"/>
                <w:sz w:val="21"/>
                <w:szCs w:val="21"/>
              </w:rPr>
              <w:t>名称</w:t>
            </w:r>
          </w:p>
        </w:tc>
        <w:tc>
          <w:tcPr>
            <w:tcW w:w="755" w:type="dxa"/>
            <w:shd w:val="clear" w:color="auto" w:fill="auto"/>
            <w:vAlign w:val="center"/>
          </w:tcPr>
          <w:p w14:paraId="7DFF901C">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耐火等级</w:t>
            </w:r>
          </w:p>
        </w:tc>
        <w:tc>
          <w:tcPr>
            <w:tcW w:w="936" w:type="dxa"/>
            <w:shd w:val="clear" w:color="auto" w:fill="auto"/>
            <w:vAlign w:val="center"/>
          </w:tcPr>
          <w:p w14:paraId="4E5AC9B1">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建筑占地面积（</w:t>
            </w:r>
            <w:r>
              <w:rPr>
                <w:rFonts w:ascii="Times New Roman" w:hAnsi="Times New Roman" w:cs="Times New Roman"/>
                <w:b/>
                <w:bCs/>
                <w:color w:val="auto"/>
                <w:sz w:val="21"/>
                <w:szCs w:val="21"/>
              </w:rPr>
              <w:t>m</w:t>
            </w:r>
            <w:r>
              <w:rPr>
                <w:rFonts w:ascii="Times New Roman" w:hAnsi="Times New Roman" w:cs="Times New Roman"/>
                <w:b/>
                <w:bCs/>
                <w:color w:val="auto"/>
                <w:sz w:val="21"/>
                <w:szCs w:val="21"/>
                <w:vertAlign w:val="superscript"/>
              </w:rPr>
              <w:t>2</w:t>
            </w:r>
            <w:r>
              <w:rPr>
                <w:rFonts w:ascii="Times New Roman" w:cs="Times New Roman"/>
                <w:b/>
                <w:bCs/>
                <w:color w:val="auto"/>
                <w:sz w:val="21"/>
                <w:szCs w:val="21"/>
              </w:rPr>
              <w:t>）</w:t>
            </w:r>
          </w:p>
        </w:tc>
        <w:tc>
          <w:tcPr>
            <w:tcW w:w="1013" w:type="dxa"/>
            <w:shd w:val="clear" w:color="auto" w:fill="auto"/>
            <w:vAlign w:val="center"/>
          </w:tcPr>
          <w:p w14:paraId="402BAF2C">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建筑面积（</w:t>
            </w:r>
            <w:r>
              <w:rPr>
                <w:rFonts w:ascii="Times New Roman" w:hAnsi="Times New Roman" w:cs="Times New Roman"/>
                <w:b/>
                <w:bCs/>
                <w:color w:val="auto"/>
                <w:sz w:val="21"/>
                <w:szCs w:val="21"/>
              </w:rPr>
              <w:t>m</w:t>
            </w:r>
            <w:r>
              <w:rPr>
                <w:rFonts w:ascii="Times New Roman" w:hAnsi="Times New Roman" w:cs="Times New Roman"/>
                <w:b/>
                <w:bCs/>
                <w:color w:val="auto"/>
                <w:sz w:val="21"/>
                <w:szCs w:val="21"/>
                <w:vertAlign w:val="superscript"/>
              </w:rPr>
              <w:t>2</w:t>
            </w:r>
            <w:r>
              <w:rPr>
                <w:rFonts w:ascii="Times New Roman" w:cs="Times New Roman"/>
                <w:b/>
                <w:bCs/>
                <w:color w:val="auto"/>
                <w:sz w:val="21"/>
                <w:szCs w:val="21"/>
              </w:rPr>
              <w:t>）</w:t>
            </w:r>
          </w:p>
        </w:tc>
        <w:tc>
          <w:tcPr>
            <w:tcW w:w="1290" w:type="dxa"/>
            <w:shd w:val="clear" w:color="auto" w:fill="auto"/>
            <w:vAlign w:val="center"/>
          </w:tcPr>
          <w:p w14:paraId="11FDA736">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结构形式</w:t>
            </w:r>
          </w:p>
        </w:tc>
        <w:tc>
          <w:tcPr>
            <w:tcW w:w="1024" w:type="dxa"/>
            <w:shd w:val="clear" w:color="auto" w:fill="auto"/>
            <w:vAlign w:val="center"/>
          </w:tcPr>
          <w:p w14:paraId="64213795">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建筑层数</w:t>
            </w:r>
          </w:p>
        </w:tc>
        <w:tc>
          <w:tcPr>
            <w:tcW w:w="1007" w:type="dxa"/>
            <w:shd w:val="clear" w:color="auto" w:fill="auto"/>
            <w:vAlign w:val="center"/>
          </w:tcPr>
          <w:p w14:paraId="0AF0D874">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建筑高度（</w:t>
            </w:r>
            <w:r>
              <w:rPr>
                <w:rFonts w:ascii="Times New Roman" w:hAnsi="Times New Roman" w:cs="Times New Roman"/>
                <w:b/>
                <w:bCs/>
                <w:color w:val="auto"/>
                <w:sz w:val="21"/>
                <w:szCs w:val="21"/>
              </w:rPr>
              <w:t>m</w:t>
            </w:r>
            <w:r>
              <w:rPr>
                <w:rFonts w:ascii="Times New Roman" w:cs="Times New Roman"/>
                <w:b/>
                <w:bCs/>
                <w:color w:val="auto"/>
                <w:sz w:val="21"/>
                <w:szCs w:val="21"/>
              </w:rPr>
              <w:t>）</w:t>
            </w:r>
          </w:p>
        </w:tc>
        <w:tc>
          <w:tcPr>
            <w:tcW w:w="864" w:type="dxa"/>
            <w:shd w:val="clear" w:color="auto" w:fill="auto"/>
            <w:vAlign w:val="center"/>
          </w:tcPr>
          <w:p w14:paraId="6779876E">
            <w:pPr>
              <w:spacing w:line="240" w:lineRule="auto"/>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cs="Times New Roman"/>
                <w:b/>
                <w:bCs/>
                <w:color w:val="auto"/>
                <w:sz w:val="21"/>
                <w:szCs w:val="21"/>
              </w:rPr>
              <w:t>备注</w:t>
            </w:r>
          </w:p>
        </w:tc>
      </w:tr>
      <w:tr w14:paraId="2333B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579" w:hRule="atLeast"/>
          <w:jc w:val="center"/>
        </w:trPr>
        <w:tc>
          <w:tcPr>
            <w:tcW w:w="648" w:type="dxa"/>
            <w:vAlign w:val="center"/>
          </w:tcPr>
          <w:p w14:paraId="327B4B15">
            <w:pPr>
              <w:numPr>
                <w:ilvl w:val="0"/>
                <w:numId w:val="3"/>
              </w:numPr>
              <w:spacing w:line="240" w:lineRule="auto"/>
              <w:ind w:left="0" w:leftChars="0" w:firstLine="0" w:firstLineChars="0"/>
              <w:jc w:val="center"/>
              <w:rPr>
                <w:rFonts w:ascii="Times New Roman" w:hAnsi="Times New Roman" w:cs="Times New Roman"/>
                <w:color w:val="auto"/>
                <w:sz w:val="21"/>
                <w:szCs w:val="21"/>
              </w:rPr>
            </w:pPr>
          </w:p>
        </w:tc>
        <w:tc>
          <w:tcPr>
            <w:tcW w:w="1689" w:type="dxa"/>
            <w:vAlign w:val="center"/>
          </w:tcPr>
          <w:p w14:paraId="563151C2">
            <w:pPr>
              <w:spacing w:line="240" w:lineRule="auto"/>
              <w:ind w:firstLine="0" w:firstLineChars="0"/>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综合楼</w:t>
            </w:r>
          </w:p>
        </w:tc>
        <w:tc>
          <w:tcPr>
            <w:tcW w:w="755" w:type="dxa"/>
            <w:vAlign w:val="center"/>
          </w:tcPr>
          <w:p w14:paraId="5297DC17">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二级</w:t>
            </w:r>
          </w:p>
        </w:tc>
        <w:tc>
          <w:tcPr>
            <w:tcW w:w="936" w:type="dxa"/>
            <w:vAlign w:val="center"/>
          </w:tcPr>
          <w:p w14:paraId="5DC132A6">
            <w:pPr>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3214.64</w:t>
            </w:r>
          </w:p>
        </w:tc>
        <w:tc>
          <w:tcPr>
            <w:tcW w:w="1013" w:type="dxa"/>
            <w:vAlign w:val="center"/>
          </w:tcPr>
          <w:p w14:paraId="21D8D60D">
            <w:pPr>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3408.14</w:t>
            </w:r>
          </w:p>
        </w:tc>
        <w:tc>
          <w:tcPr>
            <w:tcW w:w="1290" w:type="dxa"/>
            <w:vAlign w:val="center"/>
          </w:tcPr>
          <w:p w14:paraId="43A3D569">
            <w:pPr>
              <w:spacing w:line="240" w:lineRule="auto"/>
              <w:ind w:firstLine="0" w:firstLineChars="0"/>
              <w:jc w:val="center"/>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框架</w:t>
            </w:r>
          </w:p>
        </w:tc>
        <w:tc>
          <w:tcPr>
            <w:tcW w:w="1024" w:type="dxa"/>
            <w:vAlign w:val="center"/>
          </w:tcPr>
          <w:p w14:paraId="0586A02B">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1007" w:type="dxa"/>
            <w:vAlign w:val="center"/>
          </w:tcPr>
          <w:p w14:paraId="146191D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14.6</w:t>
            </w:r>
          </w:p>
        </w:tc>
        <w:tc>
          <w:tcPr>
            <w:tcW w:w="864" w:type="dxa"/>
            <w:vAlign w:val="center"/>
          </w:tcPr>
          <w:p w14:paraId="57D0C30D">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重建</w:t>
            </w:r>
          </w:p>
        </w:tc>
      </w:tr>
      <w:tr w14:paraId="0FB0E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579" w:hRule="atLeast"/>
          <w:jc w:val="center"/>
        </w:trPr>
        <w:tc>
          <w:tcPr>
            <w:tcW w:w="648" w:type="dxa"/>
            <w:vAlign w:val="center"/>
          </w:tcPr>
          <w:p w14:paraId="0937DB25">
            <w:pPr>
              <w:numPr>
                <w:ilvl w:val="0"/>
                <w:numId w:val="3"/>
              </w:numPr>
              <w:spacing w:line="240" w:lineRule="auto"/>
              <w:ind w:left="0" w:leftChars="0" w:firstLine="0" w:firstLineChars="0"/>
              <w:jc w:val="center"/>
              <w:rPr>
                <w:rFonts w:hint="eastAsia" w:ascii="Times New Roman" w:eastAsia="宋体" w:cs="Times New Roman"/>
                <w:color w:val="auto"/>
                <w:sz w:val="21"/>
                <w:szCs w:val="21"/>
                <w:lang w:val="en-US" w:eastAsia="zh-CN"/>
              </w:rPr>
            </w:pPr>
          </w:p>
        </w:tc>
        <w:tc>
          <w:tcPr>
            <w:tcW w:w="1689" w:type="dxa"/>
            <w:vAlign w:val="center"/>
          </w:tcPr>
          <w:p w14:paraId="083BB3BD">
            <w:pPr>
              <w:spacing w:line="240" w:lineRule="auto"/>
              <w:ind w:firstLine="0" w:firstLineChars="0"/>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两室</w:t>
            </w:r>
          </w:p>
        </w:tc>
        <w:tc>
          <w:tcPr>
            <w:tcW w:w="755" w:type="dxa"/>
            <w:vAlign w:val="center"/>
          </w:tcPr>
          <w:p w14:paraId="21E66247">
            <w:pPr>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二级</w:t>
            </w:r>
          </w:p>
        </w:tc>
        <w:tc>
          <w:tcPr>
            <w:tcW w:w="936" w:type="dxa"/>
            <w:vAlign w:val="center"/>
          </w:tcPr>
          <w:p w14:paraId="79767D85">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159.46</w:t>
            </w:r>
          </w:p>
        </w:tc>
        <w:tc>
          <w:tcPr>
            <w:tcW w:w="1013" w:type="dxa"/>
            <w:vAlign w:val="center"/>
          </w:tcPr>
          <w:p w14:paraId="058FE0E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159.46</w:t>
            </w:r>
          </w:p>
        </w:tc>
        <w:tc>
          <w:tcPr>
            <w:tcW w:w="1290" w:type="dxa"/>
            <w:vAlign w:val="center"/>
          </w:tcPr>
          <w:p w14:paraId="429DDC27">
            <w:pPr>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lang w:val="en-US" w:eastAsia="zh-CN"/>
              </w:rPr>
              <w:t>框架</w:t>
            </w:r>
          </w:p>
        </w:tc>
        <w:tc>
          <w:tcPr>
            <w:tcW w:w="1024" w:type="dxa"/>
            <w:vAlign w:val="center"/>
          </w:tcPr>
          <w:p w14:paraId="6CD1C5C2">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1007" w:type="dxa"/>
            <w:vAlign w:val="center"/>
          </w:tcPr>
          <w:p w14:paraId="1415C55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4.94</w:t>
            </w:r>
          </w:p>
        </w:tc>
        <w:tc>
          <w:tcPr>
            <w:tcW w:w="864" w:type="dxa"/>
            <w:vAlign w:val="center"/>
          </w:tcPr>
          <w:p w14:paraId="3FCBFF74">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新建</w:t>
            </w:r>
          </w:p>
        </w:tc>
      </w:tr>
      <w:tr w14:paraId="6909C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579" w:hRule="atLeast"/>
          <w:jc w:val="center"/>
        </w:trPr>
        <w:tc>
          <w:tcPr>
            <w:tcW w:w="648" w:type="dxa"/>
            <w:vAlign w:val="center"/>
          </w:tcPr>
          <w:p w14:paraId="7178A309">
            <w:pPr>
              <w:numPr>
                <w:ilvl w:val="0"/>
                <w:numId w:val="3"/>
              </w:numPr>
              <w:spacing w:line="240" w:lineRule="auto"/>
              <w:ind w:left="0" w:leftChars="0" w:firstLine="0" w:firstLineChars="0"/>
              <w:jc w:val="center"/>
              <w:rPr>
                <w:rFonts w:hint="eastAsia" w:ascii="Times New Roman" w:eastAsia="宋体" w:cs="Times New Roman"/>
                <w:color w:val="auto"/>
                <w:sz w:val="21"/>
                <w:szCs w:val="21"/>
                <w:lang w:val="en-US" w:eastAsia="zh-CN"/>
              </w:rPr>
            </w:pPr>
          </w:p>
        </w:tc>
        <w:tc>
          <w:tcPr>
            <w:tcW w:w="1689" w:type="dxa"/>
            <w:vAlign w:val="center"/>
          </w:tcPr>
          <w:p w14:paraId="003B9508">
            <w:pPr>
              <w:spacing w:line="240" w:lineRule="auto"/>
              <w:ind w:firstLine="0" w:firstLineChars="0"/>
              <w:rPr>
                <w:rFonts w:hint="default"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修车库</w:t>
            </w:r>
          </w:p>
        </w:tc>
        <w:tc>
          <w:tcPr>
            <w:tcW w:w="755" w:type="dxa"/>
            <w:vAlign w:val="center"/>
          </w:tcPr>
          <w:p w14:paraId="5CF2BFD9">
            <w:pPr>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二级</w:t>
            </w:r>
          </w:p>
        </w:tc>
        <w:tc>
          <w:tcPr>
            <w:tcW w:w="936" w:type="dxa"/>
            <w:vAlign w:val="center"/>
          </w:tcPr>
          <w:p w14:paraId="760A8673">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204</w:t>
            </w:r>
          </w:p>
        </w:tc>
        <w:tc>
          <w:tcPr>
            <w:tcW w:w="1013" w:type="dxa"/>
            <w:vAlign w:val="center"/>
          </w:tcPr>
          <w:p w14:paraId="1287DF7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204</w:t>
            </w:r>
          </w:p>
        </w:tc>
        <w:tc>
          <w:tcPr>
            <w:tcW w:w="1290" w:type="dxa"/>
            <w:vAlign w:val="center"/>
          </w:tcPr>
          <w:p w14:paraId="36380AD7">
            <w:pPr>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lang w:val="en-US" w:eastAsia="zh-CN"/>
              </w:rPr>
              <w:t>框架</w:t>
            </w:r>
          </w:p>
        </w:tc>
        <w:tc>
          <w:tcPr>
            <w:tcW w:w="1024" w:type="dxa"/>
            <w:vAlign w:val="center"/>
          </w:tcPr>
          <w:p w14:paraId="4D2AC797">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1007" w:type="dxa"/>
            <w:vAlign w:val="center"/>
          </w:tcPr>
          <w:p w14:paraId="51302A2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7.2</w:t>
            </w:r>
          </w:p>
        </w:tc>
        <w:tc>
          <w:tcPr>
            <w:tcW w:w="864" w:type="dxa"/>
            <w:vAlign w:val="center"/>
          </w:tcPr>
          <w:p w14:paraId="4B8CE29B">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重建</w:t>
            </w:r>
          </w:p>
        </w:tc>
      </w:tr>
      <w:tr w14:paraId="49B68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579" w:hRule="atLeast"/>
          <w:jc w:val="center"/>
        </w:trPr>
        <w:tc>
          <w:tcPr>
            <w:tcW w:w="648" w:type="dxa"/>
            <w:vAlign w:val="center"/>
          </w:tcPr>
          <w:p w14:paraId="4345A40C">
            <w:pPr>
              <w:numPr>
                <w:ilvl w:val="0"/>
                <w:numId w:val="3"/>
              </w:numPr>
              <w:spacing w:line="240" w:lineRule="auto"/>
              <w:ind w:left="0" w:leftChars="0" w:firstLine="0" w:firstLineChars="0"/>
              <w:jc w:val="center"/>
              <w:rPr>
                <w:rFonts w:hint="eastAsia" w:ascii="Times New Roman" w:eastAsia="宋体" w:cs="Times New Roman"/>
                <w:color w:val="auto"/>
                <w:sz w:val="21"/>
                <w:szCs w:val="21"/>
                <w:lang w:val="en-US" w:eastAsia="zh-CN"/>
              </w:rPr>
            </w:pPr>
          </w:p>
        </w:tc>
        <w:tc>
          <w:tcPr>
            <w:tcW w:w="1689" w:type="dxa"/>
            <w:vAlign w:val="center"/>
          </w:tcPr>
          <w:p w14:paraId="4C336DF7">
            <w:pPr>
              <w:spacing w:line="240" w:lineRule="auto"/>
              <w:ind w:firstLine="0" w:firstLineChars="0"/>
              <w:rPr>
                <w:rFonts w:hint="default"/>
                <w:color w:val="auto"/>
                <w:lang w:val="en-US" w:eastAsia="zh-CN"/>
              </w:rPr>
            </w:pPr>
            <w:r>
              <w:rPr>
                <w:rFonts w:hint="eastAsia" w:ascii="Times New Roman" w:cs="Times New Roman"/>
                <w:color w:val="auto"/>
                <w:sz w:val="21"/>
                <w:szCs w:val="21"/>
                <w:lang w:val="en-US" w:eastAsia="zh-CN"/>
              </w:rPr>
              <w:t>办公配套用房</w:t>
            </w:r>
          </w:p>
        </w:tc>
        <w:tc>
          <w:tcPr>
            <w:tcW w:w="755" w:type="dxa"/>
            <w:vAlign w:val="center"/>
          </w:tcPr>
          <w:p w14:paraId="42A8BB2B">
            <w:pPr>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二级</w:t>
            </w:r>
          </w:p>
        </w:tc>
        <w:tc>
          <w:tcPr>
            <w:tcW w:w="936" w:type="dxa"/>
            <w:vAlign w:val="center"/>
          </w:tcPr>
          <w:p w14:paraId="3D5AF19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651.33</w:t>
            </w:r>
          </w:p>
        </w:tc>
        <w:tc>
          <w:tcPr>
            <w:tcW w:w="1013" w:type="dxa"/>
            <w:vAlign w:val="center"/>
          </w:tcPr>
          <w:p w14:paraId="039B2294">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1881</w:t>
            </w:r>
          </w:p>
        </w:tc>
        <w:tc>
          <w:tcPr>
            <w:tcW w:w="1290" w:type="dxa"/>
            <w:vAlign w:val="center"/>
          </w:tcPr>
          <w:p w14:paraId="5667CA24">
            <w:pPr>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lang w:val="en-US" w:eastAsia="zh-CN"/>
              </w:rPr>
              <w:t>框架</w:t>
            </w:r>
          </w:p>
        </w:tc>
        <w:tc>
          <w:tcPr>
            <w:tcW w:w="1024" w:type="dxa"/>
            <w:vAlign w:val="center"/>
          </w:tcPr>
          <w:p w14:paraId="0C58DD3E">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1007" w:type="dxa"/>
            <w:vAlign w:val="center"/>
          </w:tcPr>
          <w:p w14:paraId="4297177A">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20.45</w:t>
            </w:r>
          </w:p>
        </w:tc>
        <w:tc>
          <w:tcPr>
            <w:tcW w:w="864" w:type="dxa"/>
            <w:vAlign w:val="center"/>
          </w:tcPr>
          <w:p w14:paraId="5060F1DA">
            <w:pPr>
              <w:spacing w:line="240" w:lineRule="auto"/>
              <w:ind w:firstLine="0" w:firstLineChars="0"/>
              <w:jc w:val="center"/>
              <w:rPr>
                <w:rFonts w:ascii="Times New Roman" w:hAnsi="Times New Roman" w:cs="Times New Roman"/>
                <w:color w:val="auto"/>
                <w:sz w:val="21"/>
                <w:szCs w:val="21"/>
              </w:rPr>
            </w:pPr>
            <w:r>
              <w:rPr>
                <w:rFonts w:hint="eastAsia" w:cs="Times New Roman"/>
                <w:color w:val="auto"/>
                <w:sz w:val="21"/>
                <w:szCs w:val="21"/>
                <w:lang w:val="en-US" w:eastAsia="zh-CN"/>
              </w:rPr>
              <w:t>重建</w:t>
            </w:r>
          </w:p>
        </w:tc>
      </w:tr>
      <w:tr w14:paraId="2F9FC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579" w:hRule="atLeast"/>
          <w:jc w:val="center"/>
        </w:trPr>
        <w:tc>
          <w:tcPr>
            <w:tcW w:w="648" w:type="dxa"/>
            <w:vAlign w:val="center"/>
          </w:tcPr>
          <w:p w14:paraId="7FF31AD5">
            <w:pPr>
              <w:numPr>
                <w:ilvl w:val="0"/>
                <w:numId w:val="3"/>
              </w:numPr>
              <w:spacing w:line="240" w:lineRule="auto"/>
              <w:ind w:left="0" w:leftChars="0" w:firstLine="0" w:firstLineChars="0"/>
              <w:jc w:val="center"/>
              <w:rPr>
                <w:rFonts w:hint="default" w:ascii="Times New Roman" w:cs="Times New Roman"/>
                <w:color w:val="auto"/>
                <w:sz w:val="21"/>
                <w:szCs w:val="21"/>
                <w:lang w:val="en-US" w:eastAsia="zh-CN"/>
              </w:rPr>
            </w:pPr>
          </w:p>
        </w:tc>
        <w:tc>
          <w:tcPr>
            <w:tcW w:w="1689" w:type="dxa"/>
            <w:vAlign w:val="center"/>
          </w:tcPr>
          <w:p w14:paraId="5B61D071">
            <w:pPr>
              <w:spacing w:line="240" w:lineRule="auto"/>
              <w:ind w:firstLine="0" w:firstLineChars="0"/>
              <w:rPr>
                <w:rFonts w:hint="default"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设备房</w:t>
            </w:r>
          </w:p>
        </w:tc>
        <w:tc>
          <w:tcPr>
            <w:tcW w:w="755" w:type="dxa"/>
            <w:vAlign w:val="center"/>
          </w:tcPr>
          <w:p w14:paraId="7FDE35F5">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一级</w:t>
            </w:r>
          </w:p>
        </w:tc>
        <w:tc>
          <w:tcPr>
            <w:tcW w:w="936" w:type="dxa"/>
            <w:vAlign w:val="center"/>
          </w:tcPr>
          <w:p w14:paraId="7D00A9E7">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434.85</w:t>
            </w:r>
          </w:p>
        </w:tc>
        <w:tc>
          <w:tcPr>
            <w:tcW w:w="1013" w:type="dxa"/>
            <w:vAlign w:val="center"/>
          </w:tcPr>
          <w:p w14:paraId="5D716B4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434.85</w:t>
            </w:r>
          </w:p>
        </w:tc>
        <w:tc>
          <w:tcPr>
            <w:tcW w:w="1290" w:type="dxa"/>
            <w:vAlign w:val="center"/>
          </w:tcPr>
          <w:p w14:paraId="29D1B3DA">
            <w:pPr>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lang w:val="en-US" w:eastAsia="zh-CN"/>
              </w:rPr>
              <w:t>框架</w:t>
            </w:r>
          </w:p>
        </w:tc>
        <w:tc>
          <w:tcPr>
            <w:tcW w:w="1024" w:type="dxa"/>
            <w:vAlign w:val="center"/>
          </w:tcPr>
          <w:p w14:paraId="29A7B3F2">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1007" w:type="dxa"/>
            <w:vAlign w:val="center"/>
          </w:tcPr>
          <w:p w14:paraId="6A14276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5.5</w:t>
            </w:r>
          </w:p>
        </w:tc>
        <w:tc>
          <w:tcPr>
            <w:tcW w:w="864" w:type="dxa"/>
            <w:vAlign w:val="center"/>
          </w:tcPr>
          <w:p w14:paraId="4975502B">
            <w:pPr>
              <w:spacing w:line="240" w:lineRule="auto"/>
              <w:ind w:firstLine="0" w:firstLineChars="0"/>
              <w:jc w:val="center"/>
              <w:rPr>
                <w:rFonts w:ascii="Times New Roman" w:hAnsi="Times New Roman" w:cs="Times New Roman"/>
                <w:color w:val="auto"/>
                <w:sz w:val="21"/>
                <w:szCs w:val="21"/>
              </w:rPr>
            </w:pPr>
            <w:r>
              <w:rPr>
                <w:rFonts w:hint="eastAsia" w:cs="Times New Roman"/>
                <w:color w:val="auto"/>
                <w:sz w:val="21"/>
                <w:szCs w:val="21"/>
                <w:lang w:val="en-US" w:eastAsia="zh-CN"/>
              </w:rPr>
              <w:t>重建</w:t>
            </w:r>
          </w:p>
        </w:tc>
      </w:tr>
    </w:tbl>
    <w:p w14:paraId="19B0C5A3">
      <w:pPr>
        <w:bidi w:val="0"/>
        <w:rPr>
          <w:rFonts w:hint="default"/>
          <w:color w:val="auto"/>
          <w:lang w:val="en-US" w:eastAsia="zh-CN"/>
        </w:rPr>
      </w:pPr>
      <w:r>
        <w:rPr>
          <w:rFonts w:hint="eastAsia"/>
          <w:color w:val="auto"/>
          <w:lang w:val="en-US" w:eastAsia="zh-CN"/>
        </w:rPr>
        <w:t>企业提供的资料中未涉及建筑物的防火分区，将在安全对策措施中提出。</w:t>
      </w:r>
    </w:p>
    <w:p w14:paraId="4F426ABF">
      <w:pPr>
        <w:pStyle w:val="48"/>
        <w:bidi w:val="0"/>
        <w:rPr>
          <w:color w:val="auto"/>
        </w:rPr>
      </w:pPr>
      <w:r>
        <w:rPr>
          <w:rFonts w:hint="eastAsia"/>
          <w:color w:val="auto"/>
          <w:lang w:val="en-US" w:eastAsia="zh-CN"/>
        </w:rPr>
        <w:t>表2.5-2</w:t>
      </w:r>
      <w:r>
        <w:rPr>
          <w:rFonts w:hint="eastAsia"/>
          <w:color w:val="auto"/>
        </w:rPr>
        <w:t>主要设施、设备一览表</w:t>
      </w:r>
    </w:p>
    <w:tbl>
      <w:tblPr>
        <w:tblStyle w:val="33"/>
        <w:tblW w:w="49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0"/>
        <w:gridCol w:w="2120"/>
        <w:gridCol w:w="1980"/>
        <w:gridCol w:w="732"/>
        <w:gridCol w:w="1650"/>
        <w:gridCol w:w="2199"/>
      </w:tblGrid>
      <w:tr w14:paraId="6E2D8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6"/>
            <w:vAlign w:val="center"/>
          </w:tcPr>
          <w:p w14:paraId="043CD8BA">
            <w:pPr>
              <w:widowControl/>
              <w:spacing w:line="240" w:lineRule="auto"/>
              <w:ind w:firstLine="0" w:firstLineChars="0"/>
              <w:jc w:val="center"/>
              <w:rPr>
                <w:rFonts w:hint="default" w:eastAsia="宋体"/>
                <w:b/>
                <w:color w:val="auto"/>
                <w:kern w:val="0"/>
                <w:sz w:val="21"/>
                <w:szCs w:val="21"/>
                <w:lang w:val="en-US" w:eastAsia="zh-CN"/>
              </w:rPr>
            </w:pPr>
            <w:r>
              <w:rPr>
                <w:rFonts w:hint="eastAsia"/>
                <w:b/>
                <w:color w:val="auto"/>
                <w:kern w:val="0"/>
                <w:sz w:val="21"/>
                <w:szCs w:val="21"/>
                <w:lang w:val="en-US" w:eastAsia="zh-CN"/>
              </w:rPr>
              <w:t>东服务区</w:t>
            </w:r>
          </w:p>
        </w:tc>
      </w:tr>
      <w:tr w14:paraId="43837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181DF1FD">
            <w:pPr>
              <w:widowControl/>
              <w:spacing w:line="240" w:lineRule="auto"/>
              <w:ind w:firstLine="0" w:firstLineChars="0"/>
              <w:jc w:val="center"/>
              <w:rPr>
                <w:rFonts w:ascii="Times New Roman" w:hAnsi="Times New Roman" w:eastAsia="宋体" w:cs="Times New Roman"/>
                <w:b/>
                <w:color w:val="auto"/>
                <w:kern w:val="0"/>
                <w:sz w:val="21"/>
                <w:szCs w:val="21"/>
                <w:lang w:val="en-US" w:eastAsia="zh-CN" w:bidi="ar-SA"/>
              </w:rPr>
            </w:pPr>
            <w:r>
              <w:rPr>
                <w:b/>
                <w:color w:val="auto"/>
                <w:kern w:val="0"/>
                <w:sz w:val="21"/>
                <w:szCs w:val="21"/>
              </w:rPr>
              <w:t>序号</w:t>
            </w:r>
          </w:p>
        </w:tc>
        <w:tc>
          <w:tcPr>
            <w:tcW w:w="1147" w:type="pct"/>
            <w:shd w:val="clear" w:color="auto" w:fill="auto"/>
            <w:noWrap/>
            <w:vAlign w:val="center"/>
          </w:tcPr>
          <w:p w14:paraId="3945F4F6">
            <w:pPr>
              <w:widowControl/>
              <w:spacing w:line="240" w:lineRule="auto"/>
              <w:ind w:firstLine="0" w:firstLineChars="0"/>
              <w:jc w:val="center"/>
              <w:rPr>
                <w:rFonts w:ascii="Times New Roman" w:hAnsi="Times New Roman" w:eastAsia="宋体" w:cs="Times New Roman"/>
                <w:b/>
                <w:color w:val="auto"/>
                <w:kern w:val="0"/>
                <w:sz w:val="21"/>
                <w:szCs w:val="21"/>
                <w:lang w:val="en-US" w:eastAsia="zh-CN" w:bidi="ar-SA"/>
              </w:rPr>
            </w:pPr>
            <w:r>
              <w:rPr>
                <w:b/>
                <w:color w:val="auto"/>
                <w:kern w:val="0"/>
                <w:sz w:val="21"/>
                <w:szCs w:val="21"/>
              </w:rPr>
              <w:t>设备名称</w:t>
            </w:r>
          </w:p>
        </w:tc>
        <w:tc>
          <w:tcPr>
            <w:tcW w:w="1071" w:type="pct"/>
            <w:shd w:val="clear" w:color="auto" w:fill="auto"/>
            <w:noWrap/>
            <w:vAlign w:val="center"/>
          </w:tcPr>
          <w:p w14:paraId="4F81C6CB">
            <w:pPr>
              <w:widowControl/>
              <w:spacing w:line="240" w:lineRule="auto"/>
              <w:ind w:firstLine="0" w:firstLineChars="0"/>
              <w:jc w:val="center"/>
              <w:rPr>
                <w:rFonts w:hint="eastAsia" w:ascii="Times New Roman" w:hAnsi="Times New Roman" w:eastAsia="宋体" w:cs="Times New Roman"/>
                <w:b/>
                <w:color w:val="auto"/>
                <w:kern w:val="0"/>
                <w:sz w:val="21"/>
                <w:szCs w:val="21"/>
                <w:lang w:val="en-US" w:eastAsia="zh-CN" w:bidi="ar-SA"/>
              </w:rPr>
            </w:pPr>
            <w:r>
              <w:rPr>
                <w:rFonts w:hint="eastAsia"/>
                <w:b/>
                <w:color w:val="auto"/>
                <w:kern w:val="0"/>
                <w:sz w:val="21"/>
                <w:szCs w:val="21"/>
              </w:rPr>
              <w:t>规格型号</w:t>
            </w:r>
          </w:p>
        </w:tc>
        <w:tc>
          <w:tcPr>
            <w:tcW w:w="396" w:type="pct"/>
            <w:shd w:val="clear" w:color="auto" w:fill="auto"/>
            <w:noWrap/>
            <w:vAlign w:val="center"/>
          </w:tcPr>
          <w:p w14:paraId="5D552CC9">
            <w:pPr>
              <w:widowControl/>
              <w:spacing w:line="240" w:lineRule="auto"/>
              <w:ind w:firstLine="0" w:firstLineChars="0"/>
              <w:jc w:val="center"/>
              <w:rPr>
                <w:rFonts w:hint="eastAsia" w:ascii="Times New Roman" w:hAnsi="Times New Roman" w:eastAsia="宋体" w:cs="Times New Roman"/>
                <w:b/>
                <w:color w:val="auto"/>
                <w:kern w:val="0"/>
                <w:sz w:val="21"/>
                <w:szCs w:val="21"/>
                <w:lang w:val="en-US" w:eastAsia="zh-CN" w:bidi="ar-SA"/>
              </w:rPr>
            </w:pPr>
            <w:r>
              <w:rPr>
                <w:rFonts w:hint="eastAsia"/>
                <w:b/>
                <w:color w:val="auto"/>
                <w:kern w:val="0"/>
                <w:sz w:val="21"/>
                <w:szCs w:val="21"/>
              </w:rPr>
              <w:t>数量</w:t>
            </w:r>
          </w:p>
        </w:tc>
        <w:tc>
          <w:tcPr>
            <w:tcW w:w="892" w:type="pct"/>
            <w:shd w:val="clear" w:color="auto" w:fill="auto"/>
            <w:noWrap/>
            <w:vAlign w:val="center"/>
          </w:tcPr>
          <w:p w14:paraId="62DB3F6A">
            <w:pPr>
              <w:widowControl/>
              <w:spacing w:line="240" w:lineRule="auto"/>
              <w:ind w:firstLine="0" w:firstLineChars="0"/>
              <w:jc w:val="center"/>
              <w:rPr>
                <w:rFonts w:ascii="Times New Roman" w:hAnsi="Times New Roman" w:eastAsia="宋体" w:cs="Times New Roman"/>
                <w:b/>
                <w:color w:val="auto"/>
                <w:kern w:val="0"/>
                <w:sz w:val="21"/>
                <w:szCs w:val="21"/>
                <w:lang w:val="en-US" w:eastAsia="zh-CN" w:bidi="ar-SA"/>
              </w:rPr>
            </w:pPr>
            <w:r>
              <w:rPr>
                <w:b/>
                <w:color w:val="auto"/>
                <w:kern w:val="0"/>
                <w:sz w:val="21"/>
                <w:szCs w:val="21"/>
              </w:rPr>
              <w:t>安装地点</w:t>
            </w:r>
          </w:p>
        </w:tc>
        <w:tc>
          <w:tcPr>
            <w:tcW w:w="1189" w:type="pct"/>
            <w:shd w:val="clear" w:color="auto" w:fill="auto"/>
            <w:noWrap/>
            <w:vAlign w:val="center"/>
          </w:tcPr>
          <w:p w14:paraId="725240BF">
            <w:pPr>
              <w:widowControl/>
              <w:spacing w:line="240" w:lineRule="auto"/>
              <w:ind w:firstLine="0" w:firstLineChars="0"/>
              <w:jc w:val="center"/>
              <w:rPr>
                <w:rFonts w:ascii="Times New Roman" w:hAnsi="Times New Roman" w:eastAsia="宋体" w:cs="Times New Roman"/>
                <w:b/>
                <w:color w:val="auto"/>
                <w:kern w:val="0"/>
                <w:sz w:val="21"/>
                <w:szCs w:val="21"/>
                <w:lang w:val="en-US" w:eastAsia="zh-CN" w:bidi="ar-SA"/>
              </w:rPr>
            </w:pPr>
            <w:r>
              <w:rPr>
                <w:b/>
                <w:color w:val="auto"/>
                <w:kern w:val="0"/>
                <w:sz w:val="21"/>
                <w:szCs w:val="21"/>
              </w:rPr>
              <w:t>备注</w:t>
            </w:r>
          </w:p>
        </w:tc>
      </w:tr>
      <w:tr w14:paraId="266AD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vAlign w:val="center"/>
          </w:tcPr>
          <w:p w14:paraId="085C175A">
            <w:pPr>
              <w:widowControl/>
              <w:spacing w:line="240" w:lineRule="auto"/>
              <w:ind w:firstLine="0" w:firstLineChars="0"/>
              <w:jc w:val="center"/>
              <w:rPr>
                <w:rFonts w:ascii="宋体" w:hAnsi="宋体" w:eastAsia="宋体" w:cs="宋体"/>
                <w:color w:val="auto"/>
                <w:kern w:val="0"/>
                <w:sz w:val="21"/>
                <w:szCs w:val="21"/>
                <w:lang w:val="en-US" w:eastAsia="zh-CN" w:bidi="ar-SA"/>
              </w:rPr>
            </w:pPr>
            <w:r>
              <w:rPr>
                <w:rFonts w:hint="eastAsia"/>
                <w:color w:val="auto"/>
                <w:kern w:val="0"/>
                <w:sz w:val="21"/>
                <w:szCs w:val="21"/>
              </w:rPr>
              <w:t>1</w:t>
            </w:r>
          </w:p>
        </w:tc>
        <w:tc>
          <w:tcPr>
            <w:tcW w:w="1147" w:type="pct"/>
            <w:shd w:val="clear" w:color="auto" w:fill="auto"/>
            <w:vAlign w:val="center"/>
          </w:tcPr>
          <w:p w14:paraId="52408BB1">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消火栓泵</w:t>
            </w:r>
          </w:p>
        </w:tc>
        <w:tc>
          <w:tcPr>
            <w:tcW w:w="1071" w:type="pct"/>
            <w:shd w:val="clear" w:color="auto" w:fill="auto"/>
            <w:vAlign w:val="center"/>
          </w:tcPr>
          <w:p w14:paraId="6348E602">
            <w:pPr>
              <w:widowControl/>
              <w:spacing w:line="240" w:lineRule="auto"/>
              <w:ind w:firstLine="0" w:firstLineChars="0"/>
              <w:jc w:val="center"/>
              <w:rPr>
                <w:rFonts w:ascii="宋体" w:hAnsi="宋体" w:eastAsia="宋体" w:cs="宋体"/>
                <w:color w:val="auto"/>
                <w:kern w:val="2"/>
                <w:sz w:val="21"/>
                <w:szCs w:val="21"/>
                <w:lang w:val="en-US" w:eastAsia="zh-CN" w:bidi="ar-SA"/>
              </w:rPr>
            </w:pPr>
            <w:r>
              <w:rPr>
                <w:rFonts w:hint="eastAsia"/>
                <w:color w:val="auto"/>
                <w:sz w:val="21"/>
                <w:szCs w:val="21"/>
              </w:rPr>
              <w:t>Q=55L/s；H=50m；N=55kW</w:t>
            </w:r>
          </w:p>
        </w:tc>
        <w:tc>
          <w:tcPr>
            <w:tcW w:w="396" w:type="pct"/>
            <w:shd w:val="clear" w:color="auto" w:fill="auto"/>
            <w:vAlign w:val="center"/>
          </w:tcPr>
          <w:p w14:paraId="1CF47506">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7FE4E8C3">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1FCCEBB0">
            <w:pPr>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新设，一用一备</w:t>
            </w:r>
          </w:p>
        </w:tc>
      </w:tr>
      <w:tr w14:paraId="59FF9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vAlign w:val="center"/>
          </w:tcPr>
          <w:p w14:paraId="164D06BE">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2</w:t>
            </w:r>
          </w:p>
        </w:tc>
        <w:tc>
          <w:tcPr>
            <w:tcW w:w="1147" w:type="pct"/>
            <w:shd w:val="clear" w:color="auto" w:fill="auto"/>
            <w:vAlign w:val="center"/>
          </w:tcPr>
          <w:p w14:paraId="48B18595">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喷淋泵</w:t>
            </w:r>
          </w:p>
        </w:tc>
        <w:tc>
          <w:tcPr>
            <w:tcW w:w="1071" w:type="pct"/>
            <w:shd w:val="clear" w:color="auto" w:fill="auto"/>
            <w:vAlign w:val="center"/>
          </w:tcPr>
          <w:p w14:paraId="5EBBF732">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rPr>
              <w:t>Q=30L/s；H=60m；N=37kW</w:t>
            </w:r>
          </w:p>
        </w:tc>
        <w:tc>
          <w:tcPr>
            <w:tcW w:w="396" w:type="pct"/>
            <w:shd w:val="clear" w:color="auto" w:fill="auto"/>
            <w:vAlign w:val="center"/>
          </w:tcPr>
          <w:p w14:paraId="2DC1F6D3">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698515A0">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2CBF0B42">
            <w:pPr>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新设，一用一备</w:t>
            </w:r>
          </w:p>
        </w:tc>
      </w:tr>
      <w:tr w14:paraId="29C02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4CFEAB8A">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3</w:t>
            </w:r>
          </w:p>
        </w:tc>
        <w:tc>
          <w:tcPr>
            <w:tcW w:w="1147" w:type="pct"/>
            <w:shd w:val="clear" w:color="auto" w:fill="auto"/>
            <w:vAlign w:val="center"/>
          </w:tcPr>
          <w:p w14:paraId="7EF33EA6">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消防水池</w:t>
            </w:r>
          </w:p>
        </w:tc>
        <w:tc>
          <w:tcPr>
            <w:tcW w:w="1071" w:type="pct"/>
            <w:shd w:val="clear" w:color="auto" w:fill="auto"/>
            <w:vAlign w:val="center"/>
          </w:tcPr>
          <w:p w14:paraId="7B710DE1">
            <w:pPr>
              <w:widowControl/>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有效容积506m</w:t>
            </w:r>
            <w:r>
              <w:rPr>
                <w:rFonts w:hint="eastAsia"/>
                <w:color w:val="auto"/>
                <w:sz w:val="21"/>
                <w:szCs w:val="21"/>
                <w:vertAlign w:val="superscript"/>
                <w:lang w:val="en-US" w:eastAsia="zh-CN"/>
              </w:rPr>
              <w:t>3</w:t>
            </w:r>
          </w:p>
        </w:tc>
        <w:tc>
          <w:tcPr>
            <w:tcW w:w="396" w:type="pct"/>
            <w:shd w:val="clear" w:color="auto" w:fill="auto"/>
            <w:vAlign w:val="center"/>
          </w:tcPr>
          <w:p w14:paraId="39AE7806">
            <w:pPr>
              <w:widowControl/>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1处</w:t>
            </w:r>
          </w:p>
        </w:tc>
        <w:tc>
          <w:tcPr>
            <w:tcW w:w="892" w:type="pct"/>
            <w:shd w:val="clear" w:color="auto" w:fill="auto"/>
            <w:vAlign w:val="center"/>
          </w:tcPr>
          <w:p w14:paraId="1AADFB72">
            <w:pPr>
              <w:widowControl/>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541225E9">
            <w:pPr>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新设</w:t>
            </w:r>
          </w:p>
        </w:tc>
      </w:tr>
      <w:tr w14:paraId="1862C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0E9303FD">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4</w:t>
            </w:r>
          </w:p>
        </w:tc>
        <w:tc>
          <w:tcPr>
            <w:tcW w:w="1147" w:type="pct"/>
            <w:shd w:val="clear" w:color="auto" w:fill="auto"/>
            <w:vAlign w:val="center"/>
          </w:tcPr>
          <w:p w14:paraId="11C243BE">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生活用水变频供水泵</w:t>
            </w:r>
          </w:p>
        </w:tc>
        <w:tc>
          <w:tcPr>
            <w:tcW w:w="1071" w:type="pct"/>
            <w:shd w:val="clear" w:color="auto" w:fill="auto"/>
            <w:vAlign w:val="center"/>
          </w:tcPr>
          <w:p w14:paraId="35A43774">
            <w:pPr>
              <w:widowControl/>
              <w:spacing w:line="240" w:lineRule="auto"/>
              <w:ind w:firstLine="0" w:firstLineChars="0"/>
              <w:jc w:val="center"/>
              <w:rPr>
                <w:rFonts w:hint="default" w:ascii="宋体" w:hAnsi="宋体" w:eastAsia="宋体" w:cs="宋体"/>
                <w:color w:val="auto"/>
                <w:kern w:val="2"/>
                <w:sz w:val="21"/>
                <w:szCs w:val="21"/>
                <w:vertAlign w:val="baseline"/>
                <w:lang w:val="en-US" w:eastAsia="zh-CN" w:bidi="ar-SA"/>
              </w:rPr>
            </w:pPr>
            <w:r>
              <w:rPr>
                <w:rFonts w:hint="eastAsia"/>
                <w:color w:val="auto"/>
                <w:sz w:val="21"/>
                <w:szCs w:val="21"/>
              </w:rPr>
              <w:t>Q=20m</w:t>
            </w:r>
            <w:r>
              <w:rPr>
                <w:rFonts w:hint="eastAsia"/>
                <w:color w:val="auto"/>
                <w:sz w:val="21"/>
                <w:szCs w:val="21"/>
                <w:vertAlign w:val="superscript"/>
                <w:lang w:val="en-US" w:eastAsia="zh-CN"/>
              </w:rPr>
              <w:t>3</w:t>
            </w:r>
            <w:r>
              <w:rPr>
                <w:rFonts w:hint="eastAsia"/>
                <w:color w:val="auto"/>
                <w:sz w:val="21"/>
                <w:szCs w:val="21"/>
                <w:vertAlign w:val="baseline"/>
                <w:lang w:val="en-US" w:eastAsia="zh-CN"/>
              </w:rPr>
              <w:t>/h</w:t>
            </w:r>
            <w:r>
              <w:rPr>
                <w:rFonts w:hint="eastAsia"/>
                <w:color w:val="auto"/>
                <w:sz w:val="21"/>
                <w:szCs w:val="21"/>
              </w:rPr>
              <w:t>；H=</w:t>
            </w:r>
            <w:r>
              <w:rPr>
                <w:rFonts w:hint="eastAsia"/>
                <w:color w:val="auto"/>
                <w:sz w:val="21"/>
                <w:szCs w:val="21"/>
                <w:lang w:val="en-US" w:eastAsia="zh-CN"/>
              </w:rPr>
              <w:t>4</w:t>
            </w:r>
            <w:r>
              <w:rPr>
                <w:rFonts w:hint="eastAsia"/>
                <w:color w:val="auto"/>
                <w:sz w:val="21"/>
                <w:szCs w:val="21"/>
              </w:rPr>
              <w:t>0m；N=</w:t>
            </w:r>
            <w:r>
              <w:rPr>
                <w:rFonts w:hint="eastAsia"/>
                <w:color w:val="auto"/>
                <w:sz w:val="21"/>
                <w:szCs w:val="21"/>
                <w:lang w:val="en-US" w:eastAsia="zh-CN"/>
              </w:rPr>
              <w:t>4</w:t>
            </w:r>
            <w:r>
              <w:rPr>
                <w:rFonts w:hint="eastAsia"/>
                <w:color w:val="auto"/>
                <w:sz w:val="21"/>
                <w:szCs w:val="21"/>
              </w:rPr>
              <w:t>kW</w:t>
            </w:r>
          </w:p>
        </w:tc>
        <w:tc>
          <w:tcPr>
            <w:tcW w:w="396" w:type="pct"/>
            <w:shd w:val="clear" w:color="auto" w:fill="auto"/>
            <w:vAlign w:val="center"/>
          </w:tcPr>
          <w:p w14:paraId="4402BD68">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3台</w:t>
            </w:r>
          </w:p>
        </w:tc>
        <w:tc>
          <w:tcPr>
            <w:tcW w:w="892" w:type="pct"/>
            <w:shd w:val="clear" w:color="auto" w:fill="auto"/>
            <w:vAlign w:val="center"/>
          </w:tcPr>
          <w:p w14:paraId="0B3C6B6D">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5E53F8CB">
            <w:pPr>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新设，两用一备</w:t>
            </w:r>
          </w:p>
        </w:tc>
      </w:tr>
      <w:tr w14:paraId="4706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5BF7E58D">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5</w:t>
            </w:r>
          </w:p>
        </w:tc>
        <w:tc>
          <w:tcPr>
            <w:tcW w:w="1147" w:type="pct"/>
            <w:shd w:val="clear" w:color="auto" w:fill="auto"/>
            <w:vAlign w:val="center"/>
          </w:tcPr>
          <w:p w14:paraId="3A1C3994">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不锈钢水箱</w:t>
            </w:r>
          </w:p>
        </w:tc>
        <w:tc>
          <w:tcPr>
            <w:tcW w:w="1071" w:type="pct"/>
            <w:shd w:val="clear" w:color="auto" w:fill="auto"/>
            <w:vAlign w:val="center"/>
          </w:tcPr>
          <w:p w14:paraId="1C56515E">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rPr>
              <w:t>5000</w:t>
            </w:r>
            <w:r>
              <w:rPr>
                <w:rFonts w:hint="eastAsia"/>
                <w:color w:val="auto"/>
                <w:sz w:val="21"/>
                <w:szCs w:val="21"/>
                <w:lang w:val="en-US" w:eastAsia="zh-CN"/>
              </w:rPr>
              <w:t>×</w:t>
            </w:r>
            <w:r>
              <w:rPr>
                <w:rFonts w:hint="eastAsia"/>
                <w:color w:val="auto"/>
                <w:sz w:val="21"/>
                <w:szCs w:val="21"/>
              </w:rPr>
              <w:t>3000</w:t>
            </w:r>
            <w:r>
              <w:rPr>
                <w:rFonts w:hint="eastAsia"/>
                <w:color w:val="auto"/>
                <w:sz w:val="21"/>
                <w:szCs w:val="21"/>
                <w:lang w:val="en-US" w:eastAsia="zh-CN"/>
              </w:rPr>
              <w:t>×</w:t>
            </w:r>
            <w:r>
              <w:rPr>
                <w:rFonts w:hint="eastAsia"/>
                <w:color w:val="auto"/>
                <w:sz w:val="21"/>
                <w:szCs w:val="21"/>
              </w:rPr>
              <w:t>3600mm</w:t>
            </w:r>
            <w:r>
              <w:rPr>
                <w:rFonts w:hint="eastAsia"/>
                <w:color w:val="auto"/>
                <w:sz w:val="21"/>
                <w:szCs w:val="21"/>
                <w:lang w:eastAsia="zh-CN"/>
              </w:rPr>
              <w:t>（</w:t>
            </w:r>
            <w:r>
              <w:rPr>
                <w:rFonts w:hint="eastAsia"/>
                <w:color w:val="auto"/>
                <w:sz w:val="21"/>
                <w:szCs w:val="21"/>
                <w:lang w:val="en-US" w:eastAsia="zh-CN"/>
              </w:rPr>
              <w:t>高</w:t>
            </w:r>
            <w:r>
              <w:rPr>
                <w:rFonts w:hint="eastAsia"/>
                <w:color w:val="auto"/>
                <w:sz w:val="21"/>
                <w:szCs w:val="21"/>
                <w:lang w:eastAsia="zh-CN"/>
              </w:rPr>
              <w:t>）</w:t>
            </w:r>
          </w:p>
        </w:tc>
        <w:tc>
          <w:tcPr>
            <w:tcW w:w="396" w:type="pct"/>
            <w:shd w:val="clear" w:color="auto" w:fill="auto"/>
            <w:vAlign w:val="center"/>
          </w:tcPr>
          <w:p w14:paraId="7D63FD38">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1套</w:t>
            </w:r>
          </w:p>
        </w:tc>
        <w:tc>
          <w:tcPr>
            <w:tcW w:w="892" w:type="pct"/>
            <w:shd w:val="clear" w:color="auto" w:fill="auto"/>
            <w:vAlign w:val="center"/>
          </w:tcPr>
          <w:p w14:paraId="1D806F25">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54EDF485">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新设，有效容积45m</w:t>
            </w:r>
            <w:r>
              <w:rPr>
                <w:rFonts w:hint="eastAsia"/>
                <w:color w:val="auto"/>
                <w:kern w:val="0"/>
                <w:sz w:val="21"/>
                <w:szCs w:val="21"/>
                <w:vertAlign w:val="superscript"/>
                <w:lang w:val="en-US" w:eastAsia="zh-CN"/>
              </w:rPr>
              <w:t>3</w:t>
            </w:r>
          </w:p>
        </w:tc>
      </w:tr>
      <w:tr w14:paraId="68382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69181815">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6</w:t>
            </w:r>
          </w:p>
        </w:tc>
        <w:tc>
          <w:tcPr>
            <w:tcW w:w="1147" w:type="pct"/>
            <w:shd w:val="clear" w:color="auto" w:fill="auto"/>
            <w:vAlign w:val="center"/>
          </w:tcPr>
          <w:p w14:paraId="3614253D">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紫外线消毒器</w:t>
            </w:r>
          </w:p>
        </w:tc>
        <w:tc>
          <w:tcPr>
            <w:tcW w:w="1071" w:type="pct"/>
            <w:shd w:val="clear" w:color="auto" w:fill="auto"/>
            <w:vAlign w:val="center"/>
          </w:tcPr>
          <w:p w14:paraId="4AEB47E2">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rPr>
              <w:t>28m</w:t>
            </w:r>
            <w:r>
              <w:rPr>
                <w:rFonts w:hint="eastAsia"/>
                <w:color w:val="auto"/>
                <w:sz w:val="21"/>
                <w:szCs w:val="21"/>
                <w:vertAlign w:val="superscript"/>
                <w:lang w:val="en-US" w:eastAsia="zh-CN"/>
              </w:rPr>
              <w:t>3</w:t>
            </w:r>
            <w:r>
              <w:rPr>
                <w:rFonts w:hint="eastAsia"/>
                <w:color w:val="auto"/>
                <w:sz w:val="21"/>
                <w:szCs w:val="21"/>
              </w:rPr>
              <w:t>/h；N=</w:t>
            </w:r>
            <w:r>
              <w:rPr>
                <w:rFonts w:hint="eastAsia"/>
                <w:color w:val="auto"/>
                <w:sz w:val="21"/>
                <w:szCs w:val="21"/>
                <w:lang w:val="en-US" w:eastAsia="zh-CN"/>
              </w:rPr>
              <w:t>0.6</w:t>
            </w:r>
            <w:r>
              <w:rPr>
                <w:rFonts w:hint="eastAsia"/>
                <w:color w:val="auto"/>
                <w:sz w:val="21"/>
                <w:szCs w:val="21"/>
              </w:rPr>
              <w:t>kW</w:t>
            </w:r>
          </w:p>
        </w:tc>
        <w:tc>
          <w:tcPr>
            <w:tcW w:w="396" w:type="pct"/>
            <w:shd w:val="clear" w:color="auto" w:fill="auto"/>
            <w:vAlign w:val="center"/>
          </w:tcPr>
          <w:p w14:paraId="2A208DE8">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1台</w:t>
            </w:r>
          </w:p>
        </w:tc>
        <w:tc>
          <w:tcPr>
            <w:tcW w:w="892" w:type="pct"/>
            <w:shd w:val="clear" w:color="auto" w:fill="auto"/>
            <w:vAlign w:val="center"/>
          </w:tcPr>
          <w:p w14:paraId="4F077EE7">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7C045D74">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798E7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67AD7009">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7</w:t>
            </w:r>
          </w:p>
        </w:tc>
        <w:tc>
          <w:tcPr>
            <w:tcW w:w="1147" w:type="pct"/>
            <w:shd w:val="clear" w:color="auto" w:fill="auto"/>
            <w:vAlign w:val="center"/>
          </w:tcPr>
          <w:p w14:paraId="10442397">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水箱自动清洗消毒器</w:t>
            </w:r>
          </w:p>
        </w:tc>
        <w:tc>
          <w:tcPr>
            <w:tcW w:w="1071" w:type="pct"/>
            <w:shd w:val="clear" w:color="auto" w:fill="auto"/>
            <w:vAlign w:val="center"/>
          </w:tcPr>
          <w:p w14:paraId="221C99A8">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rPr>
              <w:t>HDQ-2-4.0II型</w:t>
            </w:r>
          </w:p>
        </w:tc>
        <w:tc>
          <w:tcPr>
            <w:tcW w:w="396" w:type="pct"/>
            <w:shd w:val="clear" w:color="auto" w:fill="auto"/>
            <w:vAlign w:val="center"/>
          </w:tcPr>
          <w:p w14:paraId="5E142C53">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1台</w:t>
            </w:r>
          </w:p>
        </w:tc>
        <w:tc>
          <w:tcPr>
            <w:tcW w:w="892" w:type="pct"/>
            <w:shd w:val="clear" w:color="auto" w:fill="auto"/>
            <w:vAlign w:val="center"/>
          </w:tcPr>
          <w:p w14:paraId="7AF125B5">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489C7EC0">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506E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28B3A209">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8</w:t>
            </w:r>
          </w:p>
        </w:tc>
        <w:tc>
          <w:tcPr>
            <w:tcW w:w="1147" w:type="pct"/>
            <w:shd w:val="clear" w:color="auto" w:fill="auto"/>
            <w:vAlign w:val="center"/>
          </w:tcPr>
          <w:p w14:paraId="3EFB3CF0">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高压柜</w:t>
            </w:r>
          </w:p>
        </w:tc>
        <w:tc>
          <w:tcPr>
            <w:tcW w:w="1071" w:type="pct"/>
            <w:shd w:val="clear" w:color="auto" w:fill="auto"/>
            <w:vAlign w:val="center"/>
          </w:tcPr>
          <w:p w14:paraId="42FC08E1">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KYN28A</w:t>
            </w:r>
          </w:p>
        </w:tc>
        <w:tc>
          <w:tcPr>
            <w:tcW w:w="396" w:type="pct"/>
            <w:shd w:val="clear" w:color="auto" w:fill="auto"/>
            <w:vAlign w:val="center"/>
          </w:tcPr>
          <w:p w14:paraId="4F2614D8">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6台</w:t>
            </w:r>
          </w:p>
        </w:tc>
        <w:tc>
          <w:tcPr>
            <w:tcW w:w="892" w:type="pct"/>
            <w:shd w:val="clear" w:color="auto" w:fill="auto"/>
            <w:vAlign w:val="center"/>
          </w:tcPr>
          <w:p w14:paraId="3AC50E87">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变电房</w:t>
            </w:r>
          </w:p>
        </w:tc>
        <w:tc>
          <w:tcPr>
            <w:tcW w:w="1189" w:type="pct"/>
            <w:shd w:val="clear" w:color="auto" w:fill="auto"/>
            <w:vAlign w:val="center"/>
          </w:tcPr>
          <w:p w14:paraId="6FA6CB90">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2E2AD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7E1E7744">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9</w:t>
            </w:r>
          </w:p>
        </w:tc>
        <w:tc>
          <w:tcPr>
            <w:tcW w:w="1147" w:type="pct"/>
            <w:shd w:val="clear" w:color="auto" w:fill="auto"/>
            <w:vAlign w:val="center"/>
          </w:tcPr>
          <w:p w14:paraId="1A471000">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低压柜</w:t>
            </w:r>
          </w:p>
        </w:tc>
        <w:tc>
          <w:tcPr>
            <w:tcW w:w="1071" w:type="pct"/>
            <w:shd w:val="clear" w:color="auto" w:fill="auto"/>
            <w:vAlign w:val="center"/>
          </w:tcPr>
          <w:p w14:paraId="69380D0A">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MSN</w:t>
            </w:r>
          </w:p>
        </w:tc>
        <w:tc>
          <w:tcPr>
            <w:tcW w:w="396" w:type="pct"/>
            <w:shd w:val="clear" w:color="auto" w:fill="auto"/>
            <w:vAlign w:val="center"/>
          </w:tcPr>
          <w:p w14:paraId="2B87B681">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11台</w:t>
            </w:r>
          </w:p>
        </w:tc>
        <w:tc>
          <w:tcPr>
            <w:tcW w:w="892" w:type="pct"/>
            <w:shd w:val="clear" w:color="auto" w:fill="auto"/>
            <w:vAlign w:val="center"/>
          </w:tcPr>
          <w:p w14:paraId="4835C3B7">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变电房</w:t>
            </w:r>
          </w:p>
        </w:tc>
        <w:tc>
          <w:tcPr>
            <w:tcW w:w="1189" w:type="pct"/>
            <w:shd w:val="clear" w:color="auto" w:fill="auto"/>
            <w:vAlign w:val="center"/>
          </w:tcPr>
          <w:p w14:paraId="00EEA6CB">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0D888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33E176ED">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10</w:t>
            </w:r>
          </w:p>
        </w:tc>
        <w:tc>
          <w:tcPr>
            <w:tcW w:w="1147" w:type="pct"/>
            <w:shd w:val="clear" w:color="auto" w:fill="auto"/>
            <w:vAlign w:val="center"/>
          </w:tcPr>
          <w:p w14:paraId="7018E33A">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箱式变电站</w:t>
            </w:r>
          </w:p>
        </w:tc>
        <w:tc>
          <w:tcPr>
            <w:tcW w:w="1071" w:type="pct"/>
            <w:shd w:val="clear" w:color="auto" w:fill="auto"/>
            <w:vAlign w:val="center"/>
          </w:tcPr>
          <w:p w14:paraId="35AF6BAA">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1000KVA</w:t>
            </w:r>
          </w:p>
        </w:tc>
        <w:tc>
          <w:tcPr>
            <w:tcW w:w="396" w:type="pct"/>
            <w:shd w:val="clear" w:color="auto" w:fill="auto"/>
            <w:vAlign w:val="center"/>
          </w:tcPr>
          <w:p w14:paraId="3CA3AAC7">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4台</w:t>
            </w:r>
          </w:p>
        </w:tc>
        <w:tc>
          <w:tcPr>
            <w:tcW w:w="892" w:type="pct"/>
            <w:shd w:val="clear" w:color="auto" w:fill="auto"/>
            <w:vAlign w:val="center"/>
          </w:tcPr>
          <w:p w14:paraId="6B7A10BF">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室外</w:t>
            </w:r>
          </w:p>
        </w:tc>
        <w:tc>
          <w:tcPr>
            <w:tcW w:w="1189" w:type="pct"/>
            <w:shd w:val="clear" w:color="auto" w:fill="auto"/>
            <w:vAlign w:val="center"/>
          </w:tcPr>
          <w:p w14:paraId="668A4D60">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6F2F0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0669430D">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12</w:t>
            </w:r>
          </w:p>
        </w:tc>
        <w:tc>
          <w:tcPr>
            <w:tcW w:w="1147" w:type="pct"/>
            <w:shd w:val="clear" w:color="auto" w:fill="auto"/>
            <w:vAlign w:val="center"/>
          </w:tcPr>
          <w:p w14:paraId="0D87B114">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变压器</w:t>
            </w:r>
          </w:p>
        </w:tc>
        <w:tc>
          <w:tcPr>
            <w:tcW w:w="1071" w:type="pct"/>
            <w:shd w:val="clear" w:color="auto" w:fill="auto"/>
            <w:vAlign w:val="center"/>
          </w:tcPr>
          <w:p w14:paraId="252A509F">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500KVA</w:t>
            </w:r>
          </w:p>
        </w:tc>
        <w:tc>
          <w:tcPr>
            <w:tcW w:w="396" w:type="pct"/>
            <w:shd w:val="clear" w:color="auto" w:fill="auto"/>
            <w:vAlign w:val="center"/>
          </w:tcPr>
          <w:p w14:paraId="663E6433">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7486A77C">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变电房</w:t>
            </w:r>
          </w:p>
        </w:tc>
        <w:tc>
          <w:tcPr>
            <w:tcW w:w="1189" w:type="pct"/>
            <w:shd w:val="clear" w:color="auto" w:fill="auto"/>
            <w:vAlign w:val="center"/>
          </w:tcPr>
          <w:p w14:paraId="01E196CC">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3FAC0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6CFDA6F0">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13</w:t>
            </w:r>
          </w:p>
        </w:tc>
        <w:tc>
          <w:tcPr>
            <w:tcW w:w="1147" w:type="pct"/>
            <w:vAlign w:val="center"/>
          </w:tcPr>
          <w:p w14:paraId="3E4CCFDC">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柴油发电机组</w:t>
            </w:r>
          </w:p>
        </w:tc>
        <w:tc>
          <w:tcPr>
            <w:tcW w:w="1071" w:type="pct"/>
            <w:vAlign w:val="center"/>
          </w:tcPr>
          <w:p w14:paraId="26C2D986">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400/440KW</w:t>
            </w:r>
          </w:p>
        </w:tc>
        <w:tc>
          <w:tcPr>
            <w:tcW w:w="396" w:type="pct"/>
            <w:shd w:val="clear" w:color="auto" w:fill="auto"/>
            <w:vAlign w:val="center"/>
          </w:tcPr>
          <w:p w14:paraId="1346EF8E">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1台</w:t>
            </w:r>
          </w:p>
        </w:tc>
        <w:tc>
          <w:tcPr>
            <w:tcW w:w="892" w:type="pct"/>
            <w:shd w:val="clear" w:color="auto" w:fill="auto"/>
            <w:vAlign w:val="center"/>
          </w:tcPr>
          <w:p w14:paraId="7CEEFA24">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柴油机房</w:t>
            </w:r>
          </w:p>
        </w:tc>
        <w:tc>
          <w:tcPr>
            <w:tcW w:w="1189" w:type="pct"/>
            <w:shd w:val="clear" w:color="auto" w:fill="auto"/>
            <w:vAlign w:val="center"/>
          </w:tcPr>
          <w:p w14:paraId="72848D2F">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r>
              <w:rPr>
                <w:rFonts w:hint="eastAsia" w:cs="宋体"/>
                <w:color w:val="auto"/>
                <w:kern w:val="0"/>
                <w:sz w:val="21"/>
                <w:szCs w:val="21"/>
                <w:lang w:val="en-US" w:eastAsia="zh-CN" w:bidi="ar-SA"/>
              </w:rPr>
              <w:t>拟配一个200L储油箱</w:t>
            </w:r>
          </w:p>
        </w:tc>
      </w:tr>
      <w:tr w14:paraId="0242A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5CAB518A">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14</w:t>
            </w:r>
          </w:p>
        </w:tc>
        <w:tc>
          <w:tcPr>
            <w:tcW w:w="1147" w:type="pct"/>
            <w:shd w:val="clear" w:color="auto" w:fill="auto"/>
            <w:vAlign w:val="center"/>
          </w:tcPr>
          <w:p w14:paraId="515E4A29">
            <w:pPr>
              <w:widowControl/>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充电桩</w:t>
            </w:r>
          </w:p>
        </w:tc>
        <w:tc>
          <w:tcPr>
            <w:tcW w:w="1071" w:type="pct"/>
            <w:shd w:val="clear" w:color="auto" w:fill="auto"/>
            <w:vAlign w:val="center"/>
          </w:tcPr>
          <w:p w14:paraId="2FA6A05F">
            <w:pPr>
              <w:widowControl/>
              <w:spacing w:line="240" w:lineRule="auto"/>
              <w:ind w:firstLine="0" w:firstLineChars="0"/>
              <w:jc w:val="center"/>
              <w:rPr>
                <w:rFonts w:hint="default" w:ascii="Times New Roman" w:hAnsi="Times New Roman" w:eastAsia="宋体" w:cs="Times New Roman"/>
                <w:color w:val="auto"/>
                <w:kern w:val="2"/>
                <w:sz w:val="21"/>
                <w:szCs w:val="21"/>
                <w:highlight w:val="yellow"/>
                <w:lang w:val="en-US" w:eastAsia="zh-CN" w:bidi="ar-SA"/>
              </w:rPr>
            </w:pPr>
            <w:r>
              <w:rPr>
                <w:rFonts w:hint="eastAsia"/>
                <w:color w:val="auto"/>
                <w:sz w:val="21"/>
                <w:szCs w:val="21"/>
                <w:highlight w:val="none"/>
                <w:lang w:val="en-US" w:eastAsia="zh-CN"/>
              </w:rPr>
              <w:t>240KW</w:t>
            </w:r>
          </w:p>
        </w:tc>
        <w:tc>
          <w:tcPr>
            <w:tcW w:w="396" w:type="pct"/>
            <w:shd w:val="clear" w:color="auto" w:fill="auto"/>
            <w:vAlign w:val="center"/>
          </w:tcPr>
          <w:p w14:paraId="70B30928">
            <w:pPr>
              <w:widowControl/>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15EBBAAB">
            <w:pPr>
              <w:widowControl/>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室外</w:t>
            </w:r>
          </w:p>
        </w:tc>
        <w:tc>
          <w:tcPr>
            <w:tcW w:w="1189" w:type="pct"/>
            <w:shd w:val="clear" w:color="auto" w:fill="auto"/>
            <w:vAlign w:val="center"/>
          </w:tcPr>
          <w:p w14:paraId="55EB820D">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12F38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088F90CA">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15</w:t>
            </w:r>
          </w:p>
        </w:tc>
        <w:tc>
          <w:tcPr>
            <w:tcW w:w="1147" w:type="pct"/>
            <w:shd w:val="clear" w:color="auto" w:fill="auto"/>
            <w:vAlign w:val="center"/>
          </w:tcPr>
          <w:p w14:paraId="7DAB5170">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充电桩</w:t>
            </w:r>
          </w:p>
        </w:tc>
        <w:tc>
          <w:tcPr>
            <w:tcW w:w="1071" w:type="pct"/>
            <w:shd w:val="clear" w:color="auto" w:fill="auto"/>
            <w:vAlign w:val="center"/>
          </w:tcPr>
          <w:p w14:paraId="54346D5E">
            <w:pPr>
              <w:widowControl/>
              <w:spacing w:line="240" w:lineRule="auto"/>
              <w:ind w:firstLine="0" w:firstLineChars="0"/>
              <w:jc w:val="center"/>
              <w:rPr>
                <w:rFonts w:hint="default" w:ascii="Times New Roman" w:hAnsi="Times New Roman" w:eastAsia="宋体" w:cs="Times New Roman"/>
                <w:color w:val="auto"/>
                <w:kern w:val="2"/>
                <w:sz w:val="21"/>
                <w:szCs w:val="21"/>
                <w:highlight w:val="yellow"/>
                <w:lang w:val="en-US" w:eastAsia="zh-CN" w:bidi="ar-SA"/>
              </w:rPr>
            </w:pPr>
            <w:r>
              <w:rPr>
                <w:rFonts w:hint="eastAsia"/>
                <w:color w:val="auto"/>
                <w:sz w:val="21"/>
                <w:szCs w:val="21"/>
                <w:highlight w:val="none"/>
                <w:lang w:val="en-US" w:eastAsia="zh-CN"/>
              </w:rPr>
              <w:t>120KW</w:t>
            </w:r>
          </w:p>
        </w:tc>
        <w:tc>
          <w:tcPr>
            <w:tcW w:w="396" w:type="pct"/>
            <w:shd w:val="clear" w:color="auto" w:fill="auto"/>
            <w:vAlign w:val="center"/>
          </w:tcPr>
          <w:p w14:paraId="0B1AF13A">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6DBCFBDD">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室外</w:t>
            </w:r>
          </w:p>
        </w:tc>
        <w:tc>
          <w:tcPr>
            <w:tcW w:w="1189" w:type="pct"/>
            <w:shd w:val="clear" w:color="auto" w:fill="auto"/>
            <w:vAlign w:val="center"/>
          </w:tcPr>
          <w:p w14:paraId="77221593">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5F7C1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0661BF77">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16</w:t>
            </w:r>
          </w:p>
        </w:tc>
        <w:tc>
          <w:tcPr>
            <w:tcW w:w="1147" w:type="pct"/>
            <w:shd w:val="clear" w:color="auto" w:fill="auto"/>
            <w:vAlign w:val="center"/>
          </w:tcPr>
          <w:p w14:paraId="052EA78C">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弱电机柜</w:t>
            </w:r>
          </w:p>
        </w:tc>
        <w:tc>
          <w:tcPr>
            <w:tcW w:w="1071" w:type="pct"/>
            <w:shd w:val="clear" w:color="auto" w:fill="auto"/>
            <w:vAlign w:val="center"/>
          </w:tcPr>
          <w:p w14:paraId="3C7B7F59">
            <w:pPr>
              <w:widowControl/>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396" w:type="pct"/>
            <w:shd w:val="clear" w:color="auto" w:fill="auto"/>
            <w:vAlign w:val="center"/>
          </w:tcPr>
          <w:p w14:paraId="2FF3C652">
            <w:pPr>
              <w:widowControl/>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4台</w:t>
            </w:r>
          </w:p>
        </w:tc>
        <w:tc>
          <w:tcPr>
            <w:tcW w:w="892" w:type="pct"/>
            <w:shd w:val="clear" w:color="auto" w:fill="auto"/>
            <w:vAlign w:val="center"/>
          </w:tcPr>
          <w:p w14:paraId="1B7A87AA">
            <w:pPr>
              <w:widowControl/>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弱电机房</w:t>
            </w:r>
          </w:p>
        </w:tc>
        <w:tc>
          <w:tcPr>
            <w:tcW w:w="1189" w:type="pct"/>
            <w:shd w:val="clear" w:color="auto" w:fill="auto"/>
            <w:vAlign w:val="center"/>
          </w:tcPr>
          <w:p w14:paraId="6FF6535D">
            <w:pPr>
              <w:widowControl/>
              <w:spacing w:line="240" w:lineRule="auto"/>
              <w:ind w:firstLine="0" w:firstLineChars="0"/>
              <w:jc w:val="center"/>
              <w:rPr>
                <w:rFonts w:hint="eastAsia" w:ascii="Times New Roman" w:hAnsi="Times New Roman"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3F80D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6"/>
            <w:vAlign w:val="center"/>
          </w:tcPr>
          <w:p w14:paraId="02FA5C4E">
            <w:pPr>
              <w:widowControl/>
              <w:spacing w:line="240" w:lineRule="auto"/>
              <w:ind w:firstLine="0" w:firstLineChars="0"/>
              <w:jc w:val="center"/>
              <w:rPr>
                <w:rFonts w:hint="default" w:eastAsia="宋体"/>
                <w:b/>
                <w:color w:val="auto"/>
                <w:kern w:val="0"/>
                <w:sz w:val="21"/>
                <w:szCs w:val="21"/>
                <w:lang w:val="en-US" w:eastAsia="zh-CN"/>
              </w:rPr>
            </w:pPr>
            <w:r>
              <w:rPr>
                <w:rFonts w:hint="eastAsia"/>
                <w:b/>
                <w:color w:val="auto"/>
                <w:kern w:val="0"/>
                <w:sz w:val="21"/>
                <w:szCs w:val="21"/>
                <w:lang w:val="en-US" w:eastAsia="zh-CN"/>
              </w:rPr>
              <w:t>西服务区</w:t>
            </w:r>
          </w:p>
        </w:tc>
      </w:tr>
      <w:tr w14:paraId="6E46E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52040957">
            <w:pPr>
              <w:widowControl/>
              <w:spacing w:line="240" w:lineRule="auto"/>
              <w:ind w:firstLine="0" w:firstLineChars="0"/>
              <w:jc w:val="center"/>
              <w:rPr>
                <w:rFonts w:ascii="Times New Roman" w:hAnsi="Times New Roman" w:eastAsia="宋体" w:cs="Times New Roman"/>
                <w:b/>
                <w:color w:val="auto"/>
                <w:kern w:val="0"/>
                <w:sz w:val="21"/>
                <w:szCs w:val="21"/>
                <w:lang w:val="en-US" w:eastAsia="zh-CN" w:bidi="ar-SA"/>
              </w:rPr>
            </w:pPr>
            <w:r>
              <w:rPr>
                <w:b/>
                <w:color w:val="auto"/>
                <w:kern w:val="0"/>
                <w:sz w:val="21"/>
                <w:szCs w:val="21"/>
              </w:rPr>
              <w:t>序号</w:t>
            </w:r>
          </w:p>
        </w:tc>
        <w:tc>
          <w:tcPr>
            <w:tcW w:w="1147" w:type="pct"/>
            <w:shd w:val="clear" w:color="auto" w:fill="auto"/>
            <w:noWrap/>
            <w:vAlign w:val="center"/>
          </w:tcPr>
          <w:p w14:paraId="51B76D51">
            <w:pPr>
              <w:widowControl/>
              <w:spacing w:line="240" w:lineRule="auto"/>
              <w:ind w:firstLine="0" w:firstLineChars="0"/>
              <w:jc w:val="center"/>
              <w:rPr>
                <w:rFonts w:ascii="Times New Roman" w:hAnsi="Times New Roman" w:eastAsia="宋体" w:cs="Times New Roman"/>
                <w:b/>
                <w:color w:val="auto"/>
                <w:kern w:val="0"/>
                <w:sz w:val="21"/>
                <w:szCs w:val="21"/>
                <w:lang w:val="en-US" w:eastAsia="zh-CN" w:bidi="ar-SA"/>
              </w:rPr>
            </w:pPr>
            <w:r>
              <w:rPr>
                <w:b/>
                <w:color w:val="auto"/>
                <w:kern w:val="0"/>
                <w:sz w:val="21"/>
                <w:szCs w:val="21"/>
              </w:rPr>
              <w:t>设备名称</w:t>
            </w:r>
          </w:p>
        </w:tc>
        <w:tc>
          <w:tcPr>
            <w:tcW w:w="1071" w:type="pct"/>
            <w:shd w:val="clear" w:color="auto" w:fill="auto"/>
            <w:noWrap/>
            <w:vAlign w:val="center"/>
          </w:tcPr>
          <w:p w14:paraId="1C365931">
            <w:pPr>
              <w:widowControl/>
              <w:spacing w:line="240" w:lineRule="auto"/>
              <w:ind w:firstLine="0" w:firstLineChars="0"/>
              <w:jc w:val="center"/>
              <w:rPr>
                <w:rFonts w:hint="eastAsia" w:ascii="Times New Roman" w:hAnsi="Times New Roman" w:eastAsia="宋体" w:cs="Times New Roman"/>
                <w:b/>
                <w:color w:val="auto"/>
                <w:kern w:val="0"/>
                <w:sz w:val="21"/>
                <w:szCs w:val="21"/>
                <w:lang w:val="en-US" w:eastAsia="zh-CN" w:bidi="ar-SA"/>
              </w:rPr>
            </w:pPr>
            <w:r>
              <w:rPr>
                <w:rFonts w:hint="eastAsia"/>
                <w:b/>
                <w:color w:val="auto"/>
                <w:kern w:val="0"/>
                <w:sz w:val="21"/>
                <w:szCs w:val="21"/>
              </w:rPr>
              <w:t>规格型号</w:t>
            </w:r>
          </w:p>
        </w:tc>
        <w:tc>
          <w:tcPr>
            <w:tcW w:w="396" w:type="pct"/>
            <w:shd w:val="clear" w:color="auto" w:fill="auto"/>
            <w:noWrap/>
            <w:vAlign w:val="center"/>
          </w:tcPr>
          <w:p w14:paraId="49F2868E">
            <w:pPr>
              <w:widowControl/>
              <w:spacing w:line="240" w:lineRule="auto"/>
              <w:ind w:firstLine="0" w:firstLineChars="0"/>
              <w:jc w:val="center"/>
              <w:rPr>
                <w:rFonts w:hint="eastAsia" w:ascii="Times New Roman" w:hAnsi="Times New Roman" w:eastAsia="宋体" w:cs="Times New Roman"/>
                <w:b/>
                <w:color w:val="auto"/>
                <w:kern w:val="0"/>
                <w:sz w:val="21"/>
                <w:szCs w:val="21"/>
                <w:lang w:val="en-US" w:eastAsia="zh-CN" w:bidi="ar-SA"/>
              </w:rPr>
            </w:pPr>
            <w:r>
              <w:rPr>
                <w:rFonts w:hint="eastAsia"/>
                <w:b/>
                <w:color w:val="auto"/>
                <w:kern w:val="0"/>
                <w:sz w:val="21"/>
                <w:szCs w:val="21"/>
              </w:rPr>
              <w:t>数量</w:t>
            </w:r>
          </w:p>
        </w:tc>
        <w:tc>
          <w:tcPr>
            <w:tcW w:w="892" w:type="pct"/>
            <w:shd w:val="clear" w:color="auto" w:fill="auto"/>
            <w:noWrap/>
            <w:vAlign w:val="center"/>
          </w:tcPr>
          <w:p w14:paraId="0A0994E9">
            <w:pPr>
              <w:widowControl/>
              <w:spacing w:line="240" w:lineRule="auto"/>
              <w:ind w:firstLine="0" w:firstLineChars="0"/>
              <w:jc w:val="center"/>
              <w:rPr>
                <w:rFonts w:ascii="Times New Roman" w:hAnsi="Times New Roman" w:eastAsia="宋体" w:cs="Times New Roman"/>
                <w:b/>
                <w:color w:val="auto"/>
                <w:kern w:val="0"/>
                <w:sz w:val="21"/>
                <w:szCs w:val="21"/>
                <w:lang w:val="en-US" w:eastAsia="zh-CN" w:bidi="ar-SA"/>
              </w:rPr>
            </w:pPr>
            <w:r>
              <w:rPr>
                <w:b/>
                <w:color w:val="auto"/>
                <w:kern w:val="0"/>
                <w:sz w:val="21"/>
                <w:szCs w:val="21"/>
              </w:rPr>
              <w:t>安装地点</w:t>
            </w:r>
          </w:p>
        </w:tc>
        <w:tc>
          <w:tcPr>
            <w:tcW w:w="1189" w:type="pct"/>
            <w:shd w:val="clear" w:color="auto" w:fill="auto"/>
            <w:noWrap/>
            <w:vAlign w:val="center"/>
          </w:tcPr>
          <w:p w14:paraId="6E9D2424">
            <w:pPr>
              <w:widowControl/>
              <w:spacing w:line="240" w:lineRule="auto"/>
              <w:ind w:firstLine="0" w:firstLineChars="0"/>
              <w:jc w:val="center"/>
              <w:rPr>
                <w:rFonts w:ascii="Times New Roman" w:hAnsi="Times New Roman" w:eastAsia="宋体" w:cs="Times New Roman"/>
                <w:b/>
                <w:color w:val="auto"/>
                <w:kern w:val="0"/>
                <w:sz w:val="21"/>
                <w:szCs w:val="21"/>
                <w:lang w:val="en-US" w:eastAsia="zh-CN" w:bidi="ar-SA"/>
              </w:rPr>
            </w:pPr>
            <w:r>
              <w:rPr>
                <w:b/>
                <w:color w:val="auto"/>
                <w:kern w:val="0"/>
                <w:sz w:val="21"/>
                <w:szCs w:val="21"/>
              </w:rPr>
              <w:t>备注</w:t>
            </w:r>
          </w:p>
        </w:tc>
      </w:tr>
      <w:tr w14:paraId="0DA16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vAlign w:val="center"/>
          </w:tcPr>
          <w:p w14:paraId="52D8086A">
            <w:pPr>
              <w:widowControl/>
              <w:spacing w:line="240" w:lineRule="auto"/>
              <w:ind w:firstLine="0" w:firstLineChars="0"/>
              <w:jc w:val="center"/>
              <w:rPr>
                <w:rFonts w:ascii="宋体" w:hAnsi="宋体" w:eastAsia="宋体" w:cs="宋体"/>
                <w:color w:val="auto"/>
                <w:kern w:val="0"/>
                <w:sz w:val="21"/>
                <w:szCs w:val="21"/>
                <w:lang w:val="en-US" w:eastAsia="zh-CN" w:bidi="ar-SA"/>
              </w:rPr>
            </w:pPr>
            <w:r>
              <w:rPr>
                <w:rFonts w:hint="eastAsia"/>
                <w:color w:val="auto"/>
                <w:kern w:val="0"/>
                <w:sz w:val="21"/>
                <w:szCs w:val="21"/>
              </w:rPr>
              <w:t>1</w:t>
            </w:r>
          </w:p>
        </w:tc>
        <w:tc>
          <w:tcPr>
            <w:tcW w:w="1147" w:type="pct"/>
            <w:vAlign w:val="center"/>
          </w:tcPr>
          <w:p w14:paraId="60C1A69C">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消火栓泵</w:t>
            </w:r>
          </w:p>
        </w:tc>
        <w:tc>
          <w:tcPr>
            <w:tcW w:w="1071" w:type="pct"/>
            <w:vAlign w:val="center"/>
          </w:tcPr>
          <w:p w14:paraId="4C960F05">
            <w:pPr>
              <w:widowControl/>
              <w:spacing w:line="240" w:lineRule="auto"/>
              <w:ind w:firstLine="0" w:firstLineChars="0"/>
              <w:jc w:val="center"/>
              <w:rPr>
                <w:rFonts w:ascii="宋体" w:hAnsi="宋体" w:eastAsia="宋体" w:cs="宋体"/>
                <w:color w:val="auto"/>
                <w:kern w:val="2"/>
                <w:sz w:val="21"/>
                <w:szCs w:val="21"/>
                <w:lang w:val="en-US" w:eastAsia="zh-CN" w:bidi="ar-SA"/>
              </w:rPr>
            </w:pPr>
            <w:r>
              <w:rPr>
                <w:rFonts w:hint="eastAsia"/>
                <w:color w:val="auto"/>
                <w:sz w:val="21"/>
                <w:szCs w:val="21"/>
              </w:rPr>
              <w:t>Q=55L/s；H=50m；N=55kW</w:t>
            </w:r>
          </w:p>
        </w:tc>
        <w:tc>
          <w:tcPr>
            <w:tcW w:w="396" w:type="pct"/>
            <w:vAlign w:val="center"/>
          </w:tcPr>
          <w:p w14:paraId="110FF02D">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1A78CB15">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30F750C6">
            <w:pPr>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新设，一用一备</w:t>
            </w:r>
          </w:p>
        </w:tc>
      </w:tr>
      <w:tr w14:paraId="04E63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vAlign w:val="center"/>
          </w:tcPr>
          <w:p w14:paraId="3F32AAAA">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2</w:t>
            </w:r>
          </w:p>
        </w:tc>
        <w:tc>
          <w:tcPr>
            <w:tcW w:w="1147" w:type="pct"/>
            <w:vAlign w:val="center"/>
          </w:tcPr>
          <w:p w14:paraId="7AE7368C">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喷淋泵</w:t>
            </w:r>
          </w:p>
        </w:tc>
        <w:tc>
          <w:tcPr>
            <w:tcW w:w="1071" w:type="pct"/>
            <w:vAlign w:val="center"/>
          </w:tcPr>
          <w:p w14:paraId="6D5F9CA6">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rPr>
              <w:t>Q=30L/s；H=60m；N=37kW</w:t>
            </w:r>
          </w:p>
        </w:tc>
        <w:tc>
          <w:tcPr>
            <w:tcW w:w="396" w:type="pct"/>
            <w:vAlign w:val="center"/>
          </w:tcPr>
          <w:p w14:paraId="3CDC037B">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7B5C9357">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727F9727">
            <w:pPr>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新设，一用一备</w:t>
            </w:r>
          </w:p>
        </w:tc>
      </w:tr>
      <w:tr w14:paraId="2E29D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16EDD489">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3</w:t>
            </w:r>
          </w:p>
        </w:tc>
        <w:tc>
          <w:tcPr>
            <w:tcW w:w="1147" w:type="pct"/>
            <w:vAlign w:val="center"/>
          </w:tcPr>
          <w:p w14:paraId="44CF8AE9">
            <w:pPr>
              <w:widowControl/>
              <w:spacing w:line="240" w:lineRule="auto"/>
              <w:ind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消防水池</w:t>
            </w:r>
          </w:p>
        </w:tc>
        <w:tc>
          <w:tcPr>
            <w:tcW w:w="1071" w:type="pct"/>
            <w:vAlign w:val="center"/>
          </w:tcPr>
          <w:p w14:paraId="0388894B">
            <w:pPr>
              <w:widowControl/>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有效容积506m</w:t>
            </w:r>
            <w:r>
              <w:rPr>
                <w:rFonts w:hint="eastAsia"/>
                <w:color w:val="auto"/>
                <w:sz w:val="21"/>
                <w:szCs w:val="21"/>
                <w:vertAlign w:val="superscript"/>
                <w:lang w:val="en-US" w:eastAsia="zh-CN"/>
              </w:rPr>
              <w:t>3</w:t>
            </w:r>
          </w:p>
        </w:tc>
        <w:tc>
          <w:tcPr>
            <w:tcW w:w="396" w:type="pct"/>
            <w:vAlign w:val="center"/>
          </w:tcPr>
          <w:p w14:paraId="27B49B6F">
            <w:pPr>
              <w:widowControl/>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1处</w:t>
            </w:r>
          </w:p>
        </w:tc>
        <w:tc>
          <w:tcPr>
            <w:tcW w:w="892" w:type="pct"/>
            <w:shd w:val="clear" w:color="auto" w:fill="auto"/>
            <w:vAlign w:val="center"/>
          </w:tcPr>
          <w:p w14:paraId="62310E6A">
            <w:pPr>
              <w:widowControl/>
              <w:spacing w:line="240" w:lineRule="auto"/>
              <w:ind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设备房</w:t>
            </w:r>
          </w:p>
        </w:tc>
        <w:tc>
          <w:tcPr>
            <w:tcW w:w="1189" w:type="pct"/>
            <w:shd w:val="clear" w:color="auto" w:fill="auto"/>
            <w:vAlign w:val="center"/>
          </w:tcPr>
          <w:p w14:paraId="30CEB2E9">
            <w:pPr>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新设</w:t>
            </w:r>
          </w:p>
        </w:tc>
      </w:tr>
      <w:tr w14:paraId="4C486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41053CB4">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4</w:t>
            </w:r>
          </w:p>
        </w:tc>
        <w:tc>
          <w:tcPr>
            <w:tcW w:w="1147" w:type="pct"/>
            <w:vAlign w:val="center"/>
          </w:tcPr>
          <w:p w14:paraId="7450CD4D">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生活用水变频供水泵</w:t>
            </w:r>
          </w:p>
        </w:tc>
        <w:tc>
          <w:tcPr>
            <w:tcW w:w="1071" w:type="pct"/>
            <w:vAlign w:val="center"/>
          </w:tcPr>
          <w:p w14:paraId="2BD2D7A4">
            <w:pPr>
              <w:widowControl/>
              <w:spacing w:line="240" w:lineRule="auto"/>
              <w:ind w:firstLine="0" w:firstLineChars="0"/>
              <w:jc w:val="center"/>
              <w:rPr>
                <w:rFonts w:hint="default" w:ascii="宋体" w:hAnsi="宋体" w:eastAsia="宋体" w:cs="宋体"/>
                <w:color w:val="auto"/>
                <w:kern w:val="2"/>
                <w:sz w:val="21"/>
                <w:szCs w:val="21"/>
                <w:vertAlign w:val="baseline"/>
                <w:lang w:val="en-US" w:eastAsia="zh-CN" w:bidi="ar-SA"/>
              </w:rPr>
            </w:pPr>
            <w:r>
              <w:rPr>
                <w:rFonts w:hint="eastAsia"/>
                <w:color w:val="auto"/>
                <w:sz w:val="21"/>
                <w:szCs w:val="21"/>
              </w:rPr>
              <w:t>Q=20m</w:t>
            </w:r>
            <w:r>
              <w:rPr>
                <w:rFonts w:hint="eastAsia"/>
                <w:color w:val="auto"/>
                <w:sz w:val="21"/>
                <w:szCs w:val="21"/>
                <w:vertAlign w:val="superscript"/>
                <w:lang w:val="en-US" w:eastAsia="zh-CN"/>
              </w:rPr>
              <w:t>3</w:t>
            </w:r>
            <w:r>
              <w:rPr>
                <w:rFonts w:hint="eastAsia"/>
                <w:color w:val="auto"/>
                <w:sz w:val="21"/>
                <w:szCs w:val="21"/>
                <w:vertAlign w:val="baseline"/>
                <w:lang w:val="en-US" w:eastAsia="zh-CN"/>
              </w:rPr>
              <w:t>/h</w:t>
            </w:r>
            <w:r>
              <w:rPr>
                <w:rFonts w:hint="eastAsia"/>
                <w:color w:val="auto"/>
                <w:sz w:val="21"/>
                <w:szCs w:val="21"/>
              </w:rPr>
              <w:t>；H=</w:t>
            </w:r>
            <w:r>
              <w:rPr>
                <w:rFonts w:hint="eastAsia"/>
                <w:color w:val="auto"/>
                <w:sz w:val="21"/>
                <w:szCs w:val="21"/>
                <w:lang w:val="en-US" w:eastAsia="zh-CN"/>
              </w:rPr>
              <w:t>4</w:t>
            </w:r>
            <w:r>
              <w:rPr>
                <w:rFonts w:hint="eastAsia"/>
                <w:color w:val="auto"/>
                <w:sz w:val="21"/>
                <w:szCs w:val="21"/>
              </w:rPr>
              <w:t>0m；N=</w:t>
            </w:r>
            <w:r>
              <w:rPr>
                <w:rFonts w:hint="eastAsia"/>
                <w:color w:val="auto"/>
                <w:sz w:val="21"/>
                <w:szCs w:val="21"/>
                <w:lang w:val="en-US" w:eastAsia="zh-CN"/>
              </w:rPr>
              <w:t>4</w:t>
            </w:r>
            <w:r>
              <w:rPr>
                <w:rFonts w:hint="eastAsia"/>
                <w:color w:val="auto"/>
                <w:sz w:val="21"/>
                <w:szCs w:val="21"/>
              </w:rPr>
              <w:t>kW</w:t>
            </w:r>
          </w:p>
        </w:tc>
        <w:tc>
          <w:tcPr>
            <w:tcW w:w="396" w:type="pct"/>
            <w:vAlign w:val="center"/>
          </w:tcPr>
          <w:p w14:paraId="4CA24DBF">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3台</w:t>
            </w:r>
          </w:p>
        </w:tc>
        <w:tc>
          <w:tcPr>
            <w:tcW w:w="892" w:type="pct"/>
            <w:shd w:val="clear" w:color="auto" w:fill="auto"/>
            <w:vAlign w:val="center"/>
          </w:tcPr>
          <w:p w14:paraId="693238EE">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609BB93C">
            <w:pPr>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新设，两用一备</w:t>
            </w:r>
          </w:p>
        </w:tc>
      </w:tr>
      <w:tr w14:paraId="5B60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3C180979">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5</w:t>
            </w:r>
          </w:p>
        </w:tc>
        <w:tc>
          <w:tcPr>
            <w:tcW w:w="1147" w:type="pct"/>
            <w:vAlign w:val="center"/>
          </w:tcPr>
          <w:p w14:paraId="76503AF2">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不锈钢水箱</w:t>
            </w:r>
          </w:p>
        </w:tc>
        <w:tc>
          <w:tcPr>
            <w:tcW w:w="1071" w:type="pct"/>
            <w:vAlign w:val="center"/>
          </w:tcPr>
          <w:p w14:paraId="3A80854C">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rPr>
              <w:t>5000</w:t>
            </w:r>
            <w:r>
              <w:rPr>
                <w:rFonts w:hint="eastAsia"/>
                <w:color w:val="auto"/>
                <w:sz w:val="21"/>
                <w:szCs w:val="21"/>
                <w:lang w:val="en-US" w:eastAsia="zh-CN"/>
              </w:rPr>
              <w:t>×</w:t>
            </w:r>
            <w:r>
              <w:rPr>
                <w:rFonts w:hint="eastAsia"/>
                <w:color w:val="auto"/>
                <w:sz w:val="21"/>
                <w:szCs w:val="21"/>
              </w:rPr>
              <w:t>3000</w:t>
            </w:r>
            <w:r>
              <w:rPr>
                <w:rFonts w:hint="eastAsia"/>
                <w:color w:val="auto"/>
                <w:sz w:val="21"/>
                <w:szCs w:val="21"/>
                <w:lang w:val="en-US" w:eastAsia="zh-CN"/>
              </w:rPr>
              <w:t>×</w:t>
            </w:r>
            <w:r>
              <w:rPr>
                <w:rFonts w:hint="eastAsia"/>
                <w:color w:val="auto"/>
                <w:sz w:val="21"/>
                <w:szCs w:val="21"/>
              </w:rPr>
              <w:t>3600mm</w:t>
            </w:r>
            <w:r>
              <w:rPr>
                <w:rFonts w:hint="eastAsia"/>
                <w:color w:val="auto"/>
                <w:sz w:val="21"/>
                <w:szCs w:val="21"/>
                <w:lang w:eastAsia="zh-CN"/>
              </w:rPr>
              <w:t>（</w:t>
            </w:r>
            <w:r>
              <w:rPr>
                <w:rFonts w:hint="eastAsia"/>
                <w:color w:val="auto"/>
                <w:sz w:val="21"/>
                <w:szCs w:val="21"/>
                <w:lang w:val="en-US" w:eastAsia="zh-CN"/>
              </w:rPr>
              <w:t>高</w:t>
            </w:r>
            <w:r>
              <w:rPr>
                <w:rFonts w:hint="eastAsia"/>
                <w:color w:val="auto"/>
                <w:sz w:val="21"/>
                <w:szCs w:val="21"/>
                <w:lang w:eastAsia="zh-CN"/>
              </w:rPr>
              <w:t>）</w:t>
            </w:r>
          </w:p>
        </w:tc>
        <w:tc>
          <w:tcPr>
            <w:tcW w:w="396" w:type="pct"/>
            <w:vAlign w:val="center"/>
          </w:tcPr>
          <w:p w14:paraId="4DBBB859">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1套</w:t>
            </w:r>
          </w:p>
        </w:tc>
        <w:tc>
          <w:tcPr>
            <w:tcW w:w="892" w:type="pct"/>
            <w:shd w:val="clear" w:color="auto" w:fill="auto"/>
            <w:vAlign w:val="center"/>
          </w:tcPr>
          <w:p w14:paraId="651BF0D8">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4036D37C">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新设，有效容积45m</w:t>
            </w:r>
            <w:r>
              <w:rPr>
                <w:rFonts w:hint="eastAsia"/>
                <w:color w:val="auto"/>
                <w:kern w:val="0"/>
                <w:sz w:val="21"/>
                <w:szCs w:val="21"/>
                <w:vertAlign w:val="superscript"/>
                <w:lang w:val="en-US" w:eastAsia="zh-CN"/>
              </w:rPr>
              <w:t>3</w:t>
            </w:r>
          </w:p>
        </w:tc>
      </w:tr>
      <w:tr w14:paraId="3AD42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645DCC57">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6</w:t>
            </w:r>
          </w:p>
        </w:tc>
        <w:tc>
          <w:tcPr>
            <w:tcW w:w="1147" w:type="pct"/>
            <w:vAlign w:val="center"/>
          </w:tcPr>
          <w:p w14:paraId="0AE7801D">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紫外线消毒器</w:t>
            </w:r>
          </w:p>
        </w:tc>
        <w:tc>
          <w:tcPr>
            <w:tcW w:w="1071" w:type="pct"/>
            <w:vAlign w:val="center"/>
          </w:tcPr>
          <w:p w14:paraId="57CB5897">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rPr>
              <w:t>28m</w:t>
            </w:r>
            <w:r>
              <w:rPr>
                <w:rFonts w:hint="eastAsia"/>
                <w:color w:val="auto"/>
                <w:sz w:val="21"/>
                <w:szCs w:val="21"/>
                <w:vertAlign w:val="superscript"/>
                <w:lang w:val="en-US" w:eastAsia="zh-CN"/>
              </w:rPr>
              <w:t>3</w:t>
            </w:r>
            <w:r>
              <w:rPr>
                <w:rFonts w:hint="eastAsia"/>
                <w:color w:val="auto"/>
                <w:sz w:val="21"/>
                <w:szCs w:val="21"/>
              </w:rPr>
              <w:t>/h；N=</w:t>
            </w:r>
            <w:r>
              <w:rPr>
                <w:rFonts w:hint="eastAsia"/>
                <w:color w:val="auto"/>
                <w:sz w:val="21"/>
                <w:szCs w:val="21"/>
                <w:lang w:val="en-US" w:eastAsia="zh-CN"/>
              </w:rPr>
              <w:t>0.6</w:t>
            </w:r>
            <w:r>
              <w:rPr>
                <w:rFonts w:hint="eastAsia"/>
                <w:color w:val="auto"/>
                <w:sz w:val="21"/>
                <w:szCs w:val="21"/>
              </w:rPr>
              <w:t>kW</w:t>
            </w:r>
          </w:p>
        </w:tc>
        <w:tc>
          <w:tcPr>
            <w:tcW w:w="396" w:type="pct"/>
            <w:vAlign w:val="center"/>
          </w:tcPr>
          <w:p w14:paraId="2F1124B7">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1台</w:t>
            </w:r>
          </w:p>
        </w:tc>
        <w:tc>
          <w:tcPr>
            <w:tcW w:w="892" w:type="pct"/>
            <w:shd w:val="clear" w:color="auto" w:fill="auto"/>
            <w:vAlign w:val="center"/>
          </w:tcPr>
          <w:p w14:paraId="636CD44C">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5D720C46">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242EA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55244A27">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7</w:t>
            </w:r>
          </w:p>
        </w:tc>
        <w:tc>
          <w:tcPr>
            <w:tcW w:w="1147" w:type="pct"/>
            <w:vAlign w:val="center"/>
          </w:tcPr>
          <w:p w14:paraId="11C7E320">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水箱自动清洗消毒器</w:t>
            </w:r>
          </w:p>
        </w:tc>
        <w:tc>
          <w:tcPr>
            <w:tcW w:w="1071" w:type="pct"/>
            <w:vAlign w:val="center"/>
          </w:tcPr>
          <w:p w14:paraId="05FA44CB">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rPr>
              <w:t>HDQ-2-4.0II型</w:t>
            </w:r>
          </w:p>
        </w:tc>
        <w:tc>
          <w:tcPr>
            <w:tcW w:w="396" w:type="pct"/>
            <w:vAlign w:val="center"/>
          </w:tcPr>
          <w:p w14:paraId="21CE9FAB">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1台</w:t>
            </w:r>
          </w:p>
        </w:tc>
        <w:tc>
          <w:tcPr>
            <w:tcW w:w="892" w:type="pct"/>
            <w:shd w:val="clear" w:color="auto" w:fill="auto"/>
            <w:vAlign w:val="center"/>
          </w:tcPr>
          <w:p w14:paraId="2B9FA696">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设备房</w:t>
            </w:r>
          </w:p>
        </w:tc>
        <w:tc>
          <w:tcPr>
            <w:tcW w:w="1189" w:type="pct"/>
            <w:shd w:val="clear" w:color="auto" w:fill="auto"/>
            <w:vAlign w:val="center"/>
          </w:tcPr>
          <w:p w14:paraId="69CD4F63">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r>
              <w:rPr>
                <w:rFonts w:hint="eastAsia" w:cs="宋体"/>
                <w:color w:val="auto"/>
                <w:kern w:val="0"/>
                <w:sz w:val="21"/>
                <w:szCs w:val="21"/>
                <w:lang w:val="en-US" w:eastAsia="zh-CN" w:bidi="ar-SA"/>
              </w:rPr>
              <w:t>两区各一台</w:t>
            </w:r>
          </w:p>
        </w:tc>
      </w:tr>
      <w:tr w14:paraId="296F5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6EA8F6D2">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8</w:t>
            </w:r>
          </w:p>
        </w:tc>
        <w:tc>
          <w:tcPr>
            <w:tcW w:w="1147" w:type="pct"/>
            <w:vAlign w:val="center"/>
          </w:tcPr>
          <w:p w14:paraId="2F84A128">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高压柜</w:t>
            </w:r>
          </w:p>
        </w:tc>
        <w:tc>
          <w:tcPr>
            <w:tcW w:w="1071" w:type="pct"/>
            <w:vAlign w:val="center"/>
          </w:tcPr>
          <w:p w14:paraId="6B67A60B">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KYN28A</w:t>
            </w:r>
          </w:p>
        </w:tc>
        <w:tc>
          <w:tcPr>
            <w:tcW w:w="396" w:type="pct"/>
            <w:vAlign w:val="center"/>
          </w:tcPr>
          <w:p w14:paraId="30A2C29F">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6台</w:t>
            </w:r>
          </w:p>
        </w:tc>
        <w:tc>
          <w:tcPr>
            <w:tcW w:w="892" w:type="pct"/>
            <w:shd w:val="clear" w:color="auto" w:fill="auto"/>
            <w:vAlign w:val="center"/>
          </w:tcPr>
          <w:p w14:paraId="5FF8C489">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变电房</w:t>
            </w:r>
          </w:p>
        </w:tc>
        <w:tc>
          <w:tcPr>
            <w:tcW w:w="1189" w:type="pct"/>
            <w:shd w:val="clear" w:color="auto" w:fill="auto"/>
            <w:vAlign w:val="center"/>
          </w:tcPr>
          <w:p w14:paraId="6212087C">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3323A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497313B9">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9</w:t>
            </w:r>
          </w:p>
        </w:tc>
        <w:tc>
          <w:tcPr>
            <w:tcW w:w="1147" w:type="pct"/>
            <w:vAlign w:val="center"/>
          </w:tcPr>
          <w:p w14:paraId="6F792B15">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低压柜</w:t>
            </w:r>
          </w:p>
        </w:tc>
        <w:tc>
          <w:tcPr>
            <w:tcW w:w="1071" w:type="pct"/>
            <w:vAlign w:val="center"/>
          </w:tcPr>
          <w:p w14:paraId="696FFD92">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MSN</w:t>
            </w:r>
          </w:p>
        </w:tc>
        <w:tc>
          <w:tcPr>
            <w:tcW w:w="396" w:type="pct"/>
            <w:vAlign w:val="center"/>
          </w:tcPr>
          <w:p w14:paraId="461C3681">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11台</w:t>
            </w:r>
          </w:p>
        </w:tc>
        <w:tc>
          <w:tcPr>
            <w:tcW w:w="892" w:type="pct"/>
            <w:shd w:val="clear" w:color="auto" w:fill="auto"/>
            <w:vAlign w:val="center"/>
          </w:tcPr>
          <w:p w14:paraId="23D4F727">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变电房</w:t>
            </w:r>
          </w:p>
        </w:tc>
        <w:tc>
          <w:tcPr>
            <w:tcW w:w="1189" w:type="pct"/>
            <w:shd w:val="clear" w:color="auto" w:fill="auto"/>
            <w:vAlign w:val="center"/>
          </w:tcPr>
          <w:p w14:paraId="049680F7">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6DEA6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052DA35C">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10</w:t>
            </w:r>
          </w:p>
        </w:tc>
        <w:tc>
          <w:tcPr>
            <w:tcW w:w="1147" w:type="pct"/>
            <w:shd w:val="clear" w:color="auto" w:fill="auto"/>
            <w:vAlign w:val="center"/>
          </w:tcPr>
          <w:p w14:paraId="26BDB81A">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箱式变电站</w:t>
            </w:r>
          </w:p>
        </w:tc>
        <w:tc>
          <w:tcPr>
            <w:tcW w:w="1071" w:type="pct"/>
            <w:shd w:val="clear" w:color="auto" w:fill="auto"/>
            <w:vAlign w:val="center"/>
          </w:tcPr>
          <w:p w14:paraId="64C869AC">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1000KVA</w:t>
            </w:r>
          </w:p>
        </w:tc>
        <w:tc>
          <w:tcPr>
            <w:tcW w:w="396" w:type="pct"/>
            <w:shd w:val="clear" w:color="auto" w:fill="auto"/>
            <w:vAlign w:val="center"/>
          </w:tcPr>
          <w:p w14:paraId="19CF7136">
            <w:pPr>
              <w:widowControl/>
              <w:spacing w:line="240" w:lineRule="auto"/>
              <w:ind w:firstLine="0" w:firstLineChars="0"/>
              <w:jc w:val="center"/>
              <w:rPr>
                <w:rFonts w:hint="eastAsia" w:ascii="宋体" w:hAnsi="宋体" w:eastAsia="宋体" w:cs="宋体"/>
                <w:color w:val="auto"/>
                <w:kern w:val="2"/>
                <w:sz w:val="21"/>
                <w:szCs w:val="21"/>
                <w:lang w:val="en-US" w:eastAsia="zh-CN" w:bidi="ar-SA"/>
              </w:rPr>
            </w:pPr>
            <w:r>
              <w:rPr>
                <w:rFonts w:hint="eastAsia"/>
                <w:color w:val="auto"/>
                <w:sz w:val="21"/>
                <w:szCs w:val="21"/>
                <w:lang w:val="en-US" w:eastAsia="zh-CN"/>
              </w:rPr>
              <w:t>4台</w:t>
            </w:r>
          </w:p>
        </w:tc>
        <w:tc>
          <w:tcPr>
            <w:tcW w:w="892" w:type="pct"/>
            <w:shd w:val="clear" w:color="auto" w:fill="auto"/>
            <w:vAlign w:val="center"/>
          </w:tcPr>
          <w:p w14:paraId="54BF50FF">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室外</w:t>
            </w:r>
          </w:p>
        </w:tc>
        <w:tc>
          <w:tcPr>
            <w:tcW w:w="1189" w:type="pct"/>
            <w:shd w:val="clear" w:color="auto" w:fill="auto"/>
            <w:vAlign w:val="center"/>
          </w:tcPr>
          <w:p w14:paraId="28C32B76">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r>
              <w:rPr>
                <w:rFonts w:hint="eastAsia" w:cs="宋体"/>
                <w:color w:val="auto"/>
                <w:kern w:val="0"/>
                <w:sz w:val="21"/>
                <w:szCs w:val="21"/>
                <w:lang w:val="en-US" w:eastAsia="zh-CN" w:bidi="ar-SA"/>
              </w:rPr>
              <w:t>两区总计</w:t>
            </w:r>
          </w:p>
        </w:tc>
      </w:tr>
      <w:tr w14:paraId="72820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6AE80503">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11</w:t>
            </w:r>
          </w:p>
        </w:tc>
        <w:tc>
          <w:tcPr>
            <w:tcW w:w="1147" w:type="pct"/>
            <w:vAlign w:val="center"/>
          </w:tcPr>
          <w:p w14:paraId="47618DC2">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变压器</w:t>
            </w:r>
          </w:p>
        </w:tc>
        <w:tc>
          <w:tcPr>
            <w:tcW w:w="1071" w:type="pct"/>
            <w:vAlign w:val="center"/>
          </w:tcPr>
          <w:p w14:paraId="106A115A">
            <w:pPr>
              <w:widowControl/>
              <w:spacing w:line="240" w:lineRule="auto"/>
              <w:ind w:firstLine="0" w:firstLineChars="0"/>
              <w:jc w:val="center"/>
              <w:rPr>
                <w:rFonts w:hint="default" w:ascii="宋体" w:hAnsi="宋体" w:eastAsia="宋体" w:cs="宋体"/>
                <w:color w:val="auto"/>
                <w:kern w:val="2"/>
                <w:sz w:val="21"/>
                <w:szCs w:val="21"/>
                <w:vertAlign w:val="baseline"/>
                <w:lang w:val="en-US" w:eastAsia="zh-CN" w:bidi="ar-SA"/>
              </w:rPr>
            </w:pPr>
            <w:r>
              <w:rPr>
                <w:rFonts w:hint="eastAsia"/>
                <w:color w:val="auto"/>
                <w:sz w:val="21"/>
                <w:szCs w:val="21"/>
                <w:lang w:val="en-US" w:eastAsia="zh-CN"/>
              </w:rPr>
              <w:t>630KVA</w:t>
            </w:r>
          </w:p>
        </w:tc>
        <w:tc>
          <w:tcPr>
            <w:tcW w:w="396" w:type="pct"/>
            <w:vAlign w:val="center"/>
          </w:tcPr>
          <w:p w14:paraId="480EF017">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5566DD98">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变电房</w:t>
            </w:r>
          </w:p>
        </w:tc>
        <w:tc>
          <w:tcPr>
            <w:tcW w:w="1189" w:type="pct"/>
            <w:shd w:val="clear" w:color="auto" w:fill="auto"/>
            <w:vAlign w:val="center"/>
          </w:tcPr>
          <w:p w14:paraId="623128B1">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17BE4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74FF12E9">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13</w:t>
            </w:r>
          </w:p>
        </w:tc>
        <w:tc>
          <w:tcPr>
            <w:tcW w:w="1147" w:type="pct"/>
            <w:vAlign w:val="center"/>
          </w:tcPr>
          <w:p w14:paraId="4F2BD8EF">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柴油发电机组</w:t>
            </w:r>
          </w:p>
        </w:tc>
        <w:tc>
          <w:tcPr>
            <w:tcW w:w="1071" w:type="pct"/>
            <w:vAlign w:val="center"/>
          </w:tcPr>
          <w:p w14:paraId="65B6FCC6">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400/440KW</w:t>
            </w:r>
          </w:p>
        </w:tc>
        <w:tc>
          <w:tcPr>
            <w:tcW w:w="396" w:type="pct"/>
            <w:vAlign w:val="center"/>
          </w:tcPr>
          <w:p w14:paraId="76B49191">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1台</w:t>
            </w:r>
          </w:p>
        </w:tc>
        <w:tc>
          <w:tcPr>
            <w:tcW w:w="892" w:type="pct"/>
            <w:shd w:val="clear" w:color="auto" w:fill="auto"/>
            <w:vAlign w:val="center"/>
          </w:tcPr>
          <w:p w14:paraId="47C455E2">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柴油机房</w:t>
            </w:r>
          </w:p>
        </w:tc>
        <w:tc>
          <w:tcPr>
            <w:tcW w:w="1189" w:type="pct"/>
            <w:shd w:val="clear" w:color="auto" w:fill="auto"/>
            <w:vAlign w:val="center"/>
          </w:tcPr>
          <w:p w14:paraId="3AB0B237">
            <w:pPr>
              <w:widowControl/>
              <w:spacing w:line="240" w:lineRule="auto"/>
              <w:ind w:firstLine="0" w:firstLineChars="0"/>
              <w:jc w:val="center"/>
              <w:rPr>
                <w:rFonts w:hint="default"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r>
              <w:rPr>
                <w:rFonts w:hint="eastAsia" w:cs="宋体"/>
                <w:color w:val="auto"/>
                <w:kern w:val="0"/>
                <w:sz w:val="21"/>
                <w:szCs w:val="21"/>
                <w:lang w:val="en-US" w:eastAsia="zh-CN" w:bidi="ar-SA"/>
              </w:rPr>
              <w:t>拟配一个200L储油箱</w:t>
            </w:r>
          </w:p>
        </w:tc>
      </w:tr>
      <w:tr w14:paraId="1B781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6CF8FA09">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14</w:t>
            </w:r>
          </w:p>
        </w:tc>
        <w:tc>
          <w:tcPr>
            <w:tcW w:w="1147" w:type="pct"/>
            <w:shd w:val="clear" w:color="auto" w:fill="auto"/>
            <w:vAlign w:val="center"/>
          </w:tcPr>
          <w:p w14:paraId="313127A4">
            <w:pPr>
              <w:widowControl/>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充电桩</w:t>
            </w:r>
          </w:p>
        </w:tc>
        <w:tc>
          <w:tcPr>
            <w:tcW w:w="1071" w:type="pct"/>
            <w:shd w:val="clear" w:color="auto" w:fill="auto"/>
            <w:vAlign w:val="center"/>
          </w:tcPr>
          <w:p w14:paraId="0CD48E72">
            <w:pPr>
              <w:widowControl/>
              <w:spacing w:line="240" w:lineRule="auto"/>
              <w:ind w:firstLine="0" w:firstLineChars="0"/>
              <w:jc w:val="center"/>
              <w:rPr>
                <w:rFonts w:hint="default" w:ascii="Times New Roman" w:hAnsi="Times New Roman" w:eastAsia="宋体" w:cs="Times New Roman"/>
                <w:color w:val="auto"/>
                <w:kern w:val="2"/>
                <w:sz w:val="21"/>
                <w:szCs w:val="21"/>
                <w:highlight w:val="yellow"/>
                <w:lang w:val="en-US" w:eastAsia="zh-CN" w:bidi="ar-SA"/>
              </w:rPr>
            </w:pPr>
            <w:r>
              <w:rPr>
                <w:rFonts w:hint="eastAsia"/>
                <w:color w:val="auto"/>
                <w:sz w:val="21"/>
                <w:szCs w:val="21"/>
                <w:highlight w:val="none"/>
                <w:lang w:val="en-US" w:eastAsia="zh-CN"/>
              </w:rPr>
              <w:t>240KW</w:t>
            </w:r>
          </w:p>
        </w:tc>
        <w:tc>
          <w:tcPr>
            <w:tcW w:w="396" w:type="pct"/>
            <w:shd w:val="clear" w:color="auto" w:fill="auto"/>
            <w:vAlign w:val="center"/>
          </w:tcPr>
          <w:p w14:paraId="306BDA58">
            <w:pPr>
              <w:widowControl/>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34239660">
            <w:pPr>
              <w:widowControl/>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室外</w:t>
            </w:r>
          </w:p>
        </w:tc>
        <w:tc>
          <w:tcPr>
            <w:tcW w:w="1189" w:type="pct"/>
            <w:shd w:val="clear" w:color="auto" w:fill="auto"/>
            <w:vAlign w:val="center"/>
          </w:tcPr>
          <w:p w14:paraId="26B23A3B">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2F385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2F87CAAD">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15</w:t>
            </w:r>
          </w:p>
        </w:tc>
        <w:tc>
          <w:tcPr>
            <w:tcW w:w="1147" w:type="pct"/>
            <w:shd w:val="clear" w:color="auto" w:fill="auto"/>
            <w:vAlign w:val="center"/>
          </w:tcPr>
          <w:p w14:paraId="3E147C8F">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充电桩</w:t>
            </w:r>
          </w:p>
        </w:tc>
        <w:tc>
          <w:tcPr>
            <w:tcW w:w="1071" w:type="pct"/>
            <w:shd w:val="clear" w:color="auto" w:fill="auto"/>
            <w:vAlign w:val="center"/>
          </w:tcPr>
          <w:p w14:paraId="2B100AC2">
            <w:pPr>
              <w:widowControl/>
              <w:spacing w:line="240" w:lineRule="auto"/>
              <w:ind w:firstLine="0" w:firstLineChars="0"/>
              <w:jc w:val="center"/>
              <w:rPr>
                <w:rFonts w:hint="default" w:ascii="Times New Roman" w:hAnsi="Times New Roman" w:eastAsia="宋体" w:cs="Times New Roman"/>
                <w:color w:val="auto"/>
                <w:kern w:val="2"/>
                <w:sz w:val="21"/>
                <w:szCs w:val="21"/>
                <w:highlight w:val="yellow"/>
                <w:lang w:val="en-US" w:eastAsia="zh-CN" w:bidi="ar-SA"/>
              </w:rPr>
            </w:pPr>
            <w:r>
              <w:rPr>
                <w:rFonts w:hint="eastAsia"/>
                <w:color w:val="auto"/>
                <w:sz w:val="21"/>
                <w:szCs w:val="21"/>
                <w:highlight w:val="none"/>
                <w:lang w:val="en-US" w:eastAsia="zh-CN"/>
              </w:rPr>
              <w:t>120KW</w:t>
            </w:r>
          </w:p>
        </w:tc>
        <w:tc>
          <w:tcPr>
            <w:tcW w:w="396" w:type="pct"/>
            <w:shd w:val="clear" w:color="auto" w:fill="auto"/>
            <w:vAlign w:val="center"/>
          </w:tcPr>
          <w:p w14:paraId="13BED96D">
            <w:pPr>
              <w:widowControl/>
              <w:spacing w:line="240" w:lineRule="auto"/>
              <w:ind w:firstLine="0" w:firstLineChars="0"/>
              <w:jc w:val="center"/>
              <w:rPr>
                <w:rFonts w:hint="default" w:ascii="宋体" w:hAnsi="宋体" w:eastAsia="宋体" w:cs="宋体"/>
                <w:color w:val="auto"/>
                <w:kern w:val="2"/>
                <w:sz w:val="21"/>
                <w:szCs w:val="21"/>
                <w:lang w:val="en-US" w:eastAsia="zh-CN" w:bidi="ar-SA"/>
              </w:rPr>
            </w:pPr>
            <w:r>
              <w:rPr>
                <w:rFonts w:hint="eastAsia"/>
                <w:color w:val="auto"/>
                <w:sz w:val="21"/>
                <w:szCs w:val="21"/>
                <w:lang w:val="en-US" w:eastAsia="zh-CN"/>
              </w:rPr>
              <w:t>2台</w:t>
            </w:r>
          </w:p>
        </w:tc>
        <w:tc>
          <w:tcPr>
            <w:tcW w:w="892" w:type="pct"/>
            <w:shd w:val="clear" w:color="auto" w:fill="auto"/>
            <w:vAlign w:val="center"/>
          </w:tcPr>
          <w:p w14:paraId="586F46B6">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室外</w:t>
            </w:r>
          </w:p>
        </w:tc>
        <w:tc>
          <w:tcPr>
            <w:tcW w:w="1189" w:type="pct"/>
            <w:shd w:val="clear" w:color="auto" w:fill="auto"/>
            <w:vAlign w:val="center"/>
          </w:tcPr>
          <w:p w14:paraId="5C3E6339">
            <w:pPr>
              <w:widowControl/>
              <w:spacing w:line="240" w:lineRule="auto"/>
              <w:ind w:firstLine="0" w:firstLineChars="0"/>
              <w:jc w:val="center"/>
              <w:rPr>
                <w:rFonts w:hint="eastAsia" w:ascii="宋体" w:hAnsi="宋体" w:eastAsia="宋体" w:cs="宋体"/>
                <w:color w:val="auto"/>
                <w:kern w:val="0"/>
                <w:sz w:val="21"/>
                <w:szCs w:val="21"/>
                <w:lang w:val="en-US" w:eastAsia="zh-CN" w:bidi="ar-SA"/>
              </w:rPr>
            </w:pPr>
            <w:r>
              <w:rPr>
                <w:rFonts w:hint="eastAsia"/>
                <w:color w:val="auto"/>
                <w:kern w:val="0"/>
                <w:sz w:val="21"/>
                <w:szCs w:val="21"/>
                <w:lang w:val="en-US" w:eastAsia="zh-CN"/>
              </w:rPr>
              <w:t>新设</w:t>
            </w:r>
          </w:p>
        </w:tc>
      </w:tr>
      <w:tr w14:paraId="645EF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2" w:type="pct"/>
            <w:shd w:val="clear" w:color="auto" w:fill="auto"/>
            <w:vAlign w:val="center"/>
          </w:tcPr>
          <w:p w14:paraId="71AABFBA">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16</w:t>
            </w:r>
          </w:p>
        </w:tc>
        <w:tc>
          <w:tcPr>
            <w:tcW w:w="1147" w:type="pct"/>
            <w:shd w:val="clear" w:color="auto" w:fill="auto"/>
            <w:vAlign w:val="center"/>
          </w:tcPr>
          <w:p w14:paraId="3F0A0578">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弱电机柜</w:t>
            </w:r>
          </w:p>
        </w:tc>
        <w:tc>
          <w:tcPr>
            <w:tcW w:w="1071" w:type="pct"/>
            <w:shd w:val="clear" w:color="auto" w:fill="auto"/>
            <w:vAlign w:val="center"/>
          </w:tcPr>
          <w:p w14:paraId="1800DD57">
            <w:pPr>
              <w:widowControl/>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396" w:type="pct"/>
            <w:shd w:val="clear" w:color="auto" w:fill="auto"/>
            <w:vAlign w:val="center"/>
          </w:tcPr>
          <w:p w14:paraId="2DF9B372">
            <w:pPr>
              <w:widowControl/>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4台</w:t>
            </w:r>
          </w:p>
        </w:tc>
        <w:tc>
          <w:tcPr>
            <w:tcW w:w="892" w:type="pct"/>
            <w:shd w:val="clear" w:color="auto" w:fill="auto"/>
            <w:vAlign w:val="center"/>
          </w:tcPr>
          <w:p w14:paraId="6562EAE8">
            <w:pPr>
              <w:widowControl/>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弱电机房</w:t>
            </w:r>
          </w:p>
        </w:tc>
        <w:tc>
          <w:tcPr>
            <w:tcW w:w="1189" w:type="pct"/>
            <w:shd w:val="clear" w:color="auto" w:fill="auto"/>
            <w:vAlign w:val="center"/>
          </w:tcPr>
          <w:p w14:paraId="4843B79B">
            <w:pPr>
              <w:widowControl/>
              <w:spacing w:line="240" w:lineRule="auto"/>
              <w:ind w:firstLine="0" w:firstLineChars="0"/>
              <w:jc w:val="center"/>
              <w:rPr>
                <w:rFonts w:hint="eastAsia" w:ascii="Times New Roman" w:hAnsi="Times New Roman" w:eastAsia="宋体" w:cs="宋体"/>
                <w:color w:val="auto"/>
                <w:kern w:val="0"/>
                <w:sz w:val="21"/>
                <w:szCs w:val="21"/>
                <w:lang w:val="en-US" w:eastAsia="zh-CN" w:bidi="ar-SA"/>
              </w:rPr>
            </w:pPr>
            <w:r>
              <w:rPr>
                <w:rFonts w:hint="eastAsia"/>
                <w:color w:val="auto"/>
                <w:kern w:val="0"/>
                <w:sz w:val="21"/>
                <w:szCs w:val="21"/>
                <w:lang w:val="en-US" w:eastAsia="zh-CN"/>
              </w:rPr>
              <w:t>新设</w:t>
            </w:r>
          </w:p>
        </w:tc>
      </w:tr>
    </w:tbl>
    <w:p w14:paraId="3E8231EF">
      <w:pPr>
        <w:pStyle w:val="5"/>
        <w:bidi w:val="0"/>
        <w:rPr>
          <w:color w:val="auto"/>
        </w:rPr>
      </w:pPr>
      <w:bookmarkStart w:id="31" w:name="_Toc32049"/>
      <w:r>
        <w:rPr>
          <w:color w:val="auto"/>
        </w:rPr>
        <w:t>2.</w:t>
      </w:r>
      <w:r>
        <w:rPr>
          <w:rFonts w:hint="eastAsia"/>
          <w:color w:val="auto"/>
          <w:lang w:val="en-US" w:eastAsia="zh-CN"/>
        </w:rPr>
        <w:t>6</w:t>
      </w:r>
      <w:r>
        <w:rPr>
          <w:rFonts w:hint="eastAsia" w:ascii="宋体" w:hAnsi="宋体" w:cs="宋体"/>
          <w:color w:val="auto"/>
          <w:lang w:val="en-US" w:eastAsia="zh-CN"/>
        </w:rPr>
        <w:t>充电桩工艺方案</w:t>
      </w:r>
      <w:bookmarkEnd w:id="28"/>
      <w:bookmarkEnd w:id="29"/>
      <w:bookmarkEnd w:id="31"/>
    </w:p>
    <w:p w14:paraId="07A3D880">
      <w:pPr>
        <w:bidi w:val="0"/>
        <w:rPr>
          <w:rFonts w:hint="eastAsia"/>
          <w:color w:val="auto"/>
          <w:lang w:val="en-US" w:eastAsia="zh-CN"/>
        </w:rPr>
      </w:pPr>
      <w:r>
        <w:rPr>
          <w:rFonts w:hint="eastAsia"/>
          <w:color w:val="auto"/>
          <w:lang w:val="en-US" w:eastAsia="zh-CN"/>
        </w:rPr>
        <w:t>该项目拟设置电动汽车充电停车位，充电停车位设计应符合GB50966和GB/T29781的有关规定。</w:t>
      </w:r>
    </w:p>
    <w:p w14:paraId="278D3D20">
      <w:pPr>
        <w:bidi w:val="0"/>
        <w:rPr>
          <w:rFonts w:hint="default"/>
          <w:color w:val="auto"/>
          <w:lang w:val="en-US" w:eastAsia="zh-CN"/>
        </w:rPr>
      </w:pPr>
      <w:r>
        <w:rPr>
          <w:rFonts w:hint="eastAsia"/>
          <w:color w:val="auto"/>
          <w:lang w:val="en-US" w:eastAsia="zh-CN"/>
        </w:rPr>
        <w:t>该项目充电工艺简述情况如下：</w:t>
      </w:r>
    </w:p>
    <w:p w14:paraId="0394ACAA">
      <w:pPr>
        <w:bidi w:val="0"/>
        <w:rPr>
          <w:rFonts w:hint="default"/>
          <w:color w:val="auto"/>
        </w:rPr>
      </w:pPr>
      <w:r>
        <w:rPr>
          <w:rFonts w:hint="default"/>
          <w:color w:val="auto"/>
        </w:rPr>
        <w:t>1、充电桩充电原理</w:t>
      </w:r>
    </w:p>
    <w:p w14:paraId="648B18BE">
      <w:pPr>
        <w:bidi w:val="0"/>
        <w:rPr>
          <w:rFonts w:hint="default"/>
          <w:color w:val="auto"/>
        </w:rPr>
      </w:pPr>
      <w:r>
        <w:rPr>
          <w:rFonts w:hint="default"/>
          <w:color w:val="auto"/>
        </w:rPr>
        <w:t>充电桩固定在地面，利用专用充电接口，采用传导方式，为具有车载充电机的电动汽车提供交流电能，具有相应的通讯、计费和安全防护功能。市民只需要购买IC卡并充值，就可以使用充电桩为汽车充电了。</w:t>
      </w:r>
    </w:p>
    <w:p w14:paraId="104C30E9">
      <w:pPr>
        <w:bidi w:val="0"/>
        <w:rPr>
          <w:rFonts w:hint="default"/>
          <w:color w:val="auto"/>
        </w:rPr>
      </w:pPr>
      <w:r>
        <w:rPr>
          <w:rFonts w:hint="default"/>
          <w:color w:val="auto"/>
        </w:rPr>
        <w:t>电动汽车蓄电池放电后，用直流电按与放电电流相反的方向通过蓄电池，使它恢复工作能力，这个过程称为蓄电池充电。蓄电池充电时，电池正极与电源正极相联，电池负极与电源负极相联，充电电源电压必须高于电池的总电动势。</w:t>
      </w:r>
    </w:p>
    <w:p w14:paraId="2C2D022A">
      <w:pPr>
        <w:bidi w:val="0"/>
        <w:rPr>
          <w:rFonts w:hint="default"/>
          <w:color w:val="auto"/>
        </w:rPr>
      </w:pPr>
      <w:r>
        <w:rPr>
          <w:rFonts w:hint="default"/>
          <w:color w:val="auto"/>
        </w:rPr>
        <w:t>2、充电桩充电方式</w:t>
      </w:r>
    </w:p>
    <w:p w14:paraId="211FDA51">
      <w:pPr>
        <w:bidi w:val="0"/>
        <w:rPr>
          <w:rFonts w:hint="default"/>
          <w:color w:val="auto"/>
        </w:rPr>
      </w:pPr>
      <w:r>
        <w:rPr>
          <w:rFonts w:hint="default"/>
          <w:color w:val="auto"/>
        </w:rPr>
        <w:t>充电方式有恒电流充电和恒电压充电两种：</w:t>
      </w:r>
    </w:p>
    <w:p w14:paraId="3B52902A">
      <w:pPr>
        <w:bidi w:val="0"/>
        <w:rPr>
          <w:rFonts w:hint="default"/>
          <w:color w:val="auto"/>
        </w:rPr>
      </w:pPr>
      <w:r>
        <w:rPr>
          <w:rFonts w:hint="default"/>
          <w:color w:val="auto"/>
        </w:rPr>
        <w:t>①恒流充电法</w:t>
      </w:r>
    </w:p>
    <w:p w14:paraId="79985AF1">
      <w:pPr>
        <w:bidi w:val="0"/>
        <w:rPr>
          <w:rFonts w:hint="default"/>
          <w:color w:val="auto"/>
        </w:rPr>
      </w:pPr>
      <w:r>
        <w:rPr>
          <w:rFonts w:hint="default"/>
          <w:color w:val="auto"/>
        </w:rPr>
        <w:t>恒流充电法是用调整充电装置输出电压或改变与蓄电池串联电阻的方法，保持充电电流强度不变的充电方法。控制方法简单，但由于电池的可接受电流能力是随着充电过程的进行而逐渐下降的，到充电后期，充电电流多用于电解水，产生气体，使出气过甚，因此，常选用阶段充电法。</w:t>
      </w:r>
    </w:p>
    <w:p w14:paraId="1827FA6B">
      <w:pPr>
        <w:bidi w:val="0"/>
        <w:rPr>
          <w:rFonts w:hint="default"/>
          <w:color w:val="auto"/>
        </w:rPr>
      </w:pPr>
      <w:r>
        <w:rPr>
          <w:rFonts w:hint="default"/>
          <w:color w:val="auto"/>
        </w:rPr>
        <w:t>②恒压充电法</w:t>
      </w:r>
    </w:p>
    <w:p w14:paraId="4BEBD8F4">
      <w:pPr>
        <w:bidi w:val="0"/>
        <w:rPr>
          <w:rFonts w:hint="default"/>
          <w:color w:val="auto"/>
        </w:rPr>
      </w:pPr>
      <w:r>
        <w:rPr>
          <w:rFonts w:hint="default"/>
          <w:color w:val="auto"/>
        </w:rPr>
        <w:t>充电电源的电压在全部充电时间里保持恒定的数值，随着蓄电池端电压的逐渐升高，电流逐渐减少。与恒流充电法相比，其充电过程更接近于最佳充电曲线。用恒定电压快速充电，由于充电初期蓄电池电动势较低，充电电流很大，随着充电的进行，电流将逐渐减少，因此，只需简易控制系统。</w:t>
      </w:r>
    </w:p>
    <w:p w14:paraId="6881D391">
      <w:pPr>
        <w:bidi w:val="0"/>
        <w:rPr>
          <w:rFonts w:hint="default"/>
          <w:color w:val="auto"/>
        </w:rPr>
      </w:pPr>
      <w:r>
        <w:rPr>
          <w:rFonts w:hint="default"/>
          <w:color w:val="auto"/>
        </w:rPr>
        <w:t>电动汽车充电桩直流充电桩充电方式</w:t>
      </w:r>
    </w:p>
    <w:p w14:paraId="6554EC53">
      <w:pPr>
        <w:bidi w:val="0"/>
        <w:rPr>
          <w:rFonts w:hint="default"/>
          <w:color w:val="auto"/>
        </w:rPr>
      </w:pPr>
      <w:r>
        <w:rPr>
          <w:rFonts w:hint="default"/>
          <w:color w:val="auto"/>
        </w:rPr>
        <w:t>直流充电桩主要以三相四线制的方式连接电网，能够提供充足的电力，输出的电压和电流调整范围大，俗称“快充”。</w:t>
      </w:r>
      <w:r>
        <w:rPr>
          <w:rFonts w:hint="eastAsia"/>
          <w:color w:val="auto"/>
          <w:lang w:val="en-US" w:eastAsia="zh-CN"/>
        </w:rPr>
        <w:t>目前，我国</w:t>
      </w:r>
      <w:r>
        <w:rPr>
          <w:rFonts w:hint="default"/>
          <w:color w:val="auto"/>
        </w:rPr>
        <w:t>电动</w:t>
      </w:r>
      <w:r>
        <w:rPr>
          <w:rFonts w:hint="eastAsia"/>
          <w:color w:val="auto"/>
          <w:lang w:val="en-US" w:eastAsia="zh-CN"/>
        </w:rPr>
        <w:t>汽</w:t>
      </w:r>
      <w:r>
        <w:rPr>
          <w:rFonts w:hint="default"/>
          <w:color w:val="auto"/>
        </w:rPr>
        <w:t>车主要通过直流充电桩充电。</w:t>
      </w:r>
    </w:p>
    <w:p w14:paraId="7ED6E569">
      <w:pPr>
        <w:bidi w:val="0"/>
        <w:rPr>
          <w:rFonts w:hint="default"/>
          <w:color w:val="auto"/>
          <w:lang w:val="en-US" w:eastAsia="zh-CN"/>
        </w:rPr>
      </w:pPr>
      <w:r>
        <w:rPr>
          <w:rFonts w:hint="default"/>
          <w:color w:val="auto"/>
        </w:rPr>
        <w:t>直流充电桩与电动汽车之间通信充电时，直流充电桩需要与电动汽车进行信息互换，让充电桩识别插头连接状态，如是否可靠连接、是否漏电等，用于确定是否可以开始充电或断电。GB/T20234.3-2015对直流充电桩与电动汽车的通信方式及接口进行了规范，二者之间通过CAN协议进行通信，因此每一个直流充电插头都必须包含CAN接口，一桩多充的充电桩则会有多个CAN接</w:t>
      </w:r>
      <w:r>
        <w:rPr>
          <w:rFonts w:hint="default"/>
          <w:color w:val="auto"/>
          <w:lang w:val="en-US" w:eastAsia="zh-CN"/>
        </w:rPr>
        <w:t>口。</w:t>
      </w:r>
    </w:p>
    <w:p w14:paraId="6FB1F95F">
      <w:pPr>
        <w:bidi w:val="0"/>
        <w:rPr>
          <w:rFonts w:hint="eastAsia"/>
          <w:color w:val="auto"/>
          <w:lang w:val="en-US" w:eastAsia="zh-CN"/>
        </w:rPr>
      </w:pPr>
      <w:r>
        <w:rPr>
          <w:rFonts w:hint="default"/>
          <w:color w:val="auto"/>
          <w:lang w:val="en-US" w:eastAsia="zh-CN"/>
        </w:rPr>
        <w:t>3、</w:t>
      </w:r>
      <w:r>
        <w:rPr>
          <w:rFonts w:hint="eastAsia"/>
          <w:color w:val="auto"/>
        </w:rPr>
        <w:t>充电工艺流程</w:t>
      </w:r>
      <w:r>
        <w:rPr>
          <w:rFonts w:hint="eastAsia"/>
          <w:color w:val="auto"/>
          <w:lang w:val="en-US" w:eastAsia="zh-CN"/>
        </w:rPr>
        <w:t>图</w:t>
      </w:r>
    </w:p>
    <w:p w14:paraId="717EFCC2">
      <w:pPr>
        <w:pStyle w:val="13"/>
        <w:spacing w:line="600" w:lineRule="exact"/>
        <w:ind w:firstLine="560" w:firstLineChars="200"/>
        <w:rPr>
          <w:rFonts w:hint="eastAsia"/>
          <w:color w:val="auto"/>
          <w:sz w:val="28"/>
          <w:szCs w:val="28"/>
        </w:rPr>
      </w:pPr>
      <w:r>
        <w:rPr>
          <w:color w:val="auto"/>
          <w:sz w:val="28"/>
        </w:rPr>
        <mc:AlternateContent>
          <mc:Choice Requires="wpg">
            <w:drawing>
              <wp:anchor distT="0" distB="0" distL="114300" distR="114300" simplePos="0" relativeHeight="251659264" behindDoc="0" locked="0" layoutInCell="1" allowOverlap="1">
                <wp:simplePos x="0" y="0"/>
                <wp:positionH relativeFrom="column">
                  <wp:posOffset>337820</wp:posOffset>
                </wp:positionH>
                <wp:positionV relativeFrom="paragraph">
                  <wp:posOffset>193675</wp:posOffset>
                </wp:positionV>
                <wp:extent cx="5550535" cy="335280"/>
                <wp:effectExtent l="7620" t="8255" r="23495" b="18415"/>
                <wp:wrapNone/>
                <wp:docPr id="32" name="组合 32"/>
                <wp:cNvGraphicFramePr/>
                <a:graphic xmlns:a="http://schemas.openxmlformats.org/drawingml/2006/main">
                  <a:graphicData uri="http://schemas.microsoft.com/office/word/2010/wordprocessingGroup">
                    <wpg:wgp>
                      <wpg:cNvGrpSpPr/>
                      <wpg:grpSpPr>
                        <a:xfrm>
                          <a:off x="0" y="0"/>
                          <a:ext cx="5550535" cy="335280"/>
                          <a:chOff x="2233" y="407676"/>
                          <a:chExt cx="8741" cy="528"/>
                        </a:xfrm>
                      </wpg:grpSpPr>
                      <wps:wsp>
                        <wps:cNvPr id="15" name="文本框 15"/>
                        <wps:cNvSpPr txBox="1"/>
                        <wps:spPr>
                          <a:xfrm>
                            <a:off x="2233" y="407676"/>
                            <a:ext cx="1455" cy="510"/>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5DB31F32">
                              <w:pPr>
                                <w:pStyle w:val="43"/>
                                <w:bidi w:val="0"/>
                                <w:rPr>
                                  <w:rFonts w:hint="default"/>
                                  <w:lang w:val="en-US" w:eastAsia="zh-CN"/>
                                </w:rPr>
                              </w:pPr>
                              <w:r>
                                <w:rPr>
                                  <w:rFonts w:hint="eastAsia"/>
                                  <w:lang w:val="en-US" w:eastAsia="zh-CN"/>
                                </w:rPr>
                                <w:t>箱式变压器</w:t>
                              </w:r>
                            </w:p>
                          </w:txbxContent>
                        </wps:txbx>
                        <wps:bodyPr upright="1"/>
                      </wps:wsp>
                      <wps:wsp>
                        <wps:cNvPr id="29" name="直接箭头连接符 29"/>
                        <wps:cNvCnPr/>
                        <wps:spPr>
                          <a:xfrm>
                            <a:off x="3703" y="407931"/>
                            <a:ext cx="570" cy="0"/>
                          </a:xfrm>
                          <a:prstGeom prst="straightConnector1">
                            <a:avLst/>
                          </a:prstGeom>
                          <a:ln w="15875" cap="flat" cmpd="sng">
                            <a:solidFill>
                              <a:srgbClr val="000000"/>
                            </a:solidFill>
                            <a:prstDash val="solid"/>
                            <a:headEnd type="none" w="med" len="med"/>
                            <a:tailEnd type="triangle" w="med" len="med"/>
                          </a:ln>
                        </wps:spPr>
                        <wps:bodyPr/>
                      </wps:wsp>
                      <wps:wsp>
                        <wps:cNvPr id="28" name="文本框 28"/>
                        <wps:cNvSpPr txBox="1"/>
                        <wps:spPr>
                          <a:xfrm>
                            <a:off x="4288" y="407676"/>
                            <a:ext cx="1455" cy="510"/>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46524A45">
                              <w:pPr>
                                <w:pStyle w:val="43"/>
                                <w:bidi w:val="0"/>
                                <w:rPr>
                                  <w:rFonts w:hint="eastAsia"/>
                                </w:rPr>
                              </w:pPr>
                              <w:r>
                                <w:rPr>
                                  <w:rFonts w:hint="eastAsia"/>
                                  <w:lang w:val="en-US" w:eastAsia="zh-CN"/>
                                </w:rPr>
                                <w:t>总控制柜</w:t>
                              </w:r>
                              <w:r>
                                <w:rPr>
                                  <w:rFonts w:hint="eastAsia"/>
                                </w:rPr>
                                <w:t>箱</w:t>
                              </w:r>
                            </w:p>
                          </w:txbxContent>
                        </wps:txbx>
                        <wps:bodyPr upright="1"/>
                      </wps:wsp>
                      <wps:wsp>
                        <wps:cNvPr id="27" name="直接箭头连接符 27"/>
                        <wps:cNvCnPr/>
                        <wps:spPr>
                          <a:xfrm>
                            <a:off x="5764" y="407931"/>
                            <a:ext cx="570" cy="0"/>
                          </a:xfrm>
                          <a:prstGeom prst="straightConnector1">
                            <a:avLst/>
                          </a:prstGeom>
                          <a:ln w="15875" cap="flat" cmpd="sng">
                            <a:solidFill>
                              <a:srgbClr val="000000"/>
                            </a:solidFill>
                            <a:prstDash val="solid"/>
                            <a:headEnd type="none" w="med" len="med"/>
                            <a:tailEnd type="triangle" w="med" len="med"/>
                          </a:ln>
                        </wps:spPr>
                        <wps:bodyPr/>
                      </wps:wsp>
                      <wps:wsp>
                        <wps:cNvPr id="26" name="文本框 26"/>
                        <wps:cNvSpPr txBox="1"/>
                        <wps:spPr>
                          <a:xfrm>
                            <a:off x="6367" y="407694"/>
                            <a:ext cx="1741" cy="511"/>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7FE41A87">
                              <w:pPr>
                                <w:spacing w:line="240" w:lineRule="auto"/>
                                <w:ind w:left="0" w:leftChars="0" w:firstLine="0" w:firstLineChars="0"/>
                                <w:jc w:val="center"/>
                                <w:rPr>
                                  <w:rFonts w:hint="eastAsia"/>
                                  <w:sz w:val="21"/>
                                  <w:szCs w:val="21"/>
                                </w:rPr>
                              </w:pPr>
                              <w:r>
                                <w:rPr>
                                  <w:rStyle w:val="75"/>
                                  <w:rFonts w:hint="eastAsia"/>
                                </w:rPr>
                                <w:t>直流充电终</w:t>
                              </w:r>
                              <w:r>
                                <w:rPr>
                                  <w:rStyle w:val="75"/>
                                  <w:rFonts w:hint="eastAsia"/>
                                  <w:lang w:val="en-US" w:eastAsia="zh-CN"/>
                                </w:rPr>
                                <w:t>端</w:t>
                              </w:r>
                            </w:p>
                          </w:txbxContent>
                        </wps:txbx>
                        <wps:bodyPr upright="1"/>
                      </wps:wsp>
                      <wps:wsp>
                        <wps:cNvPr id="19" name="直接箭头连接符 19"/>
                        <wps:cNvCnPr/>
                        <wps:spPr>
                          <a:xfrm>
                            <a:off x="8090" y="407916"/>
                            <a:ext cx="570" cy="0"/>
                          </a:xfrm>
                          <a:prstGeom prst="straightConnector1">
                            <a:avLst/>
                          </a:prstGeom>
                          <a:ln w="15875" cap="flat" cmpd="sng">
                            <a:solidFill>
                              <a:srgbClr val="000000"/>
                            </a:solidFill>
                            <a:prstDash val="solid"/>
                            <a:headEnd type="none" w="med" len="med"/>
                            <a:tailEnd type="triangle" w="med" len="med"/>
                          </a:ln>
                        </wps:spPr>
                        <wps:bodyPr/>
                      </wps:wsp>
                      <wps:wsp>
                        <wps:cNvPr id="16" name="文本框 16"/>
                        <wps:cNvSpPr txBox="1"/>
                        <wps:spPr>
                          <a:xfrm>
                            <a:off x="8660" y="407691"/>
                            <a:ext cx="2315" cy="510"/>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469CF43F">
                              <w:pPr>
                                <w:pStyle w:val="43"/>
                                <w:bidi w:val="0"/>
                                <w:rPr>
                                  <w:rFonts w:hint="eastAsia"/>
                                </w:rPr>
                              </w:pPr>
                              <w:r>
                                <w:rPr>
                                  <w:rFonts w:hint="eastAsia"/>
                                </w:rPr>
                                <w:t>电动汽车动力蓄电池</w:t>
                              </w:r>
                            </w:p>
                          </w:txbxContent>
                        </wps:txbx>
                        <wps:bodyPr upright="1"/>
                      </wps:wsp>
                    </wpg:wgp>
                  </a:graphicData>
                </a:graphic>
              </wp:anchor>
            </w:drawing>
          </mc:Choice>
          <mc:Fallback>
            <w:pict>
              <v:group id="_x0000_s1026" o:spid="_x0000_s1026" o:spt="203" style="position:absolute;left:0pt;margin-left:26.6pt;margin-top:15.25pt;height:26.4pt;width:437.05pt;z-index:251659264;mso-width-relative:page;mso-height-relative:page;" coordorigin="2233,407676" coordsize="8741,528" o:gfxdata="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">
                <o:lock v:ext="edit" aspectratio="f"/>
                <v:shape id="_x0000_s1026" o:spid="_x0000_s1026" o:spt="202" type="#_x0000_t202" style="position:absolute;left:2233;top:407676;height:510;width:1455;" fillcolor="#FFFFFF" filled="t" stroked="t" coordsize="21600,21600" o:gfxdata="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K+Tyu5AAAA2wAA&#10;AA8AAAAAAAAAAQAgAAAAIgAAAGRycy9kb3ducmV2LnhtbFBLAQIUABQAAAAIAIdO4kAzLwWeOwAA&#10;ADkAAAAQAAAAAAAAAAEAIAAAAAgBAABkcnMvc2hhcGV4bWwueG1sUEsFBgAAAAAGAAYAWwEAALID&#10;AAAAAA==&#10;">
                  <v:fill type="gradient" on="t" color2="#FFFFFF" angle="90" focus="100%" focussize="0,0">
                    <o:fill type="gradientUnscaled" v:ext="backwardCompatible"/>
                  </v:fill>
                  <v:stroke weight="1.25pt" color="#000000" joinstyle="miter"/>
                  <v:imagedata o:title=""/>
                  <o:lock v:ext="edit" aspectratio="f"/>
                  <v:textbox>
                    <w:txbxContent>
                      <w:p w14:paraId="5DB31F32">
                        <w:pPr>
                          <w:pStyle w:val="43"/>
                          <w:bidi w:val="0"/>
                          <w:rPr>
                            <w:rFonts w:hint="default"/>
                            <w:lang w:val="en-US" w:eastAsia="zh-CN"/>
                          </w:rPr>
                        </w:pPr>
                        <w:r>
                          <w:rPr>
                            <w:rFonts w:hint="eastAsia"/>
                            <w:lang w:val="en-US" w:eastAsia="zh-CN"/>
                          </w:rPr>
                          <w:t>箱式变压器</w:t>
                        </w:r>
                      </w:p>
                    </w:txbxContent>
                  </v:textbox>
                </v:shape>
                <v:shape id="_x0000_s1026" o:spid="_x0000_s1026" o:spt="32" type="#_x0000_t32" style="position:absolute;left:3703;top:407931;height:0;width:570;" filled="f" stroked="t" coordsize="21600,21600" o:gfxdata="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3RfB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202" type="#_x0000_t202" style="position:absolute;left:4288;top:407676;height:510;width:1455;" fillcolor="#FFFFFF" filled="t" stroked="t" coordsize="21600,21600" o:gfxdata="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LTKgi5AAAA2wAA&#10;AA8AAAAAAAAAAQAgAAAAIgAAAGRycy9kb3ducmV2LnhtbFBLAQIUABQAAAAIAIdO4kAzLwWeOwAA&#10;ADkAAAAQAAAAAAAAAAEAIAAAAAgBAABkcnMvc2hhcGV4bWwueG1sUEsFBgAAAAAGAAYAWwEAALID&#10;AAAAAA==&#10;">
                  <v:fill type="gradient" on="t" color2="#FFFFFF" angle="90" focus="100%" focussize="0,0">
                    <o:fill type="gradientUnscaled" v:ext="backwardCompatible"/>
                  </v:fill>
                  <v:stroke weight="1.25pt" color="#000000" joinstyle="miter"/>
                  <v:imagedata o:title=""/>
                  <o:lock v:ext="edit" aspectratio="f"/>
                  <v:textbox>
                    <w:txbxContent>
                      <w:p w14:paraId="46524A45">
                        <w:pPr>
                          <w:pStyle w:val="43"/>
                          <w:bidi w:val="0"/>
                          <w:rPr>
                            <w:rFonts w:hint="eastAsia"/>
                          </w:rPr>
                        </w:pPr>
                        <w:r>
                          <w:rPr>
                            <w:rFonts w:hint="eastAsia"/>
                            <w:lang w:val="en-US" w:eastAsia="zh-CN"/>
                          </w:rPr>
                          <w:t>总控制柜</w:t>
                        </w:r>
                        <w:r>
                          <w:rPr>
                            <w:rFonts w:hint="eastAsia"/>
                          </w:rPr>
                          <w:t>箱</w:t>
                        </w:r>
                      </w:p>
                    </w:txbxContent>
                  </v:textbox>
                </v:shape>
                <v:shape id="_x0000_s1026" o:spid="_x0000_s1026" o:spt="32" type="#_x0000_t32" style="position:absolute;left:5764;top:407931;height:0;width:570;" filled="f" stroked="t" coordsize="21600,21600" o:gfxdata="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DiYo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202" type="#_x0000_t202" style="position:absolute;left:6367;top:407694;height:511;width:1741;" fillcolor="#FFFFFF" filled="t" stroked="t" coordsize="21600,21600" o:gfxdata="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AAb4bsAAADb&#10;AAAADwAAAAAAAAABACAAAAAiAAAAZHJzL2Rvd25yZXYueG1sUEsBAhQAFAAAAAgAh07iQDMvBZ47&#10;AAAAOQAAABAAAAAAAAAAAQAgAAAACgEAAGRycy9zaGFwZXhtbC54bWxQSwUGAAAAAAYABgBbAQAA&#10;tAMAAAAA&#10;">
                  <v:fill type="gradient" on="t" color2="#FFFFFF" angle="90" focus="100%" focussize="0,0">
                    <o:fill type="gradientUnscaled" v:ext="backwardCompatible"/>
                  </v:fill>
                  <v:stroke weight="1.25pt" color="#000000" joinstyle="miter"/>
                  <v:imagedata o:title=""/>
                  <o:lock v:ext="edit" aspectratio="f"/>
                  <v:textbox>
                    <w:txbxContent>
                      <w:p w14:paraId="7FE41A87">
                        <w:pPr>
                          <w:spacing w:line="240" w:lineRule="auto"/>
                          <w:ind w:left="0" w:leftChars="0" w:firstLine="0" w:firstLineChars="0"/>
                          <w:jc w:val="center"/>
                          <w:rPr>
                            <w:rFonts w:hint="eastAsia"/>
                            <w:sz w:val="21"/>
                            <w:szCs w:val="21"/>
                          </w:rPr>
                        </w:pPr>
                        <w:r>
                          <w:rPr>
                            <w:rStyle w:val="75"/>
                            <w:rFonts w:hint="eastAsia"/>
                          </w:rPr>
                          <w:t>直流充电终</w:t>
                        </w:r>
                        <w:r>
                          <w:rPr>
                            <w:rStyle w:val="75"/>
                            <w:rFonts w:hint="eastAsia"/>
                            <w:lang w:val="en-US" w:eastAsia="zh-CN"/>
                          </w:rPr>
                          <w:t>端</w:t>
                        </w:r>
                      </w:p>
                    </w:txbxContent>
                  </v:textbox>
                </v:shape>
                <v:shape id="_x0000_s1026" o:spid="_x0000_s1026" o:spt="32" type="#_x0000_t32" style="position:absolute;left:8090;top:407916;height:0;width:570;" filled="f" stroked="t" coordsize="21600,21600" o:gfxdata="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bHdfLsAAADb&#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shape>
                <v:shape id="_x0000_s1026" o:spid="_x0000_s1026" o:spt="202" type="#_x0000_t202" style="position:absolute;left:8660;top:407691;height:510;width:2315;" fillcolor="#FFFFFF" filled="t" stroked="t" coordsize="21600,21600" o:gfxdata="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Js0Vy5AAAA2wAA&#10;AA8AAAAAAAAAAQAgAAAAIgAAAGRycy9kb3ducmV2LnhtbFBLAQIUABQAAAAIAIdO4kAzLwWeOwAA&#10;ADkAAAAQAAAAAAAAAAEAIAAAAAgBAABkcnMvc2hhcGV4bWwueG1sUEsFBgAAAAAGAAYAWwEAALID&#10;AAAAAA==&#10;">
                  <v:fill type="gradient" on="t" color2="#FFFFFF" angle="90" focus="100%" focussize="0,0">
                    <o:fill type="gradientUnscaled" v:ext="backwardCompatible"/>
                  </v:fill>
                  <v:stroke weight="1.25pt" color="#000000" joinstyle="miter"/>
                  <v:imagedata o:title=""/>
                  <o:lock v:ext="edit" aspectratio="f"/>
                  <v:textbox>
                    <w:txbxContent>
                      <w:p w14:paraId="469CF43F">
                        <w:pPr>
                          <w:pStyle w:val="43"/>
                          <w:bidi w:val="0"/>
                          <w:rPr>
                            <w:rFonts w:hint="eastAsia"/>
                          </w:rPr>
                        </w:pPr>
                        <w:r>
                          <w:rPr>
                            <w:rFonts w:hint="eastAsia"/>
                          </w:rPr>
                          <w:t>电动汽车动力蓄电池</w:t>
                        </w:r>
                      </w:p>
                    </w:txbxContent>
                  </v:textbox>
                </v:shape>
              </v:group>
            </w:pict>
          </mc:Fallback>
        </mc:AlternateContent>
      </w:r>
    </w:p>
    <w:p w14:paraId="047DE0B9">
      <w:pPr>
        <w:pStyle w:val="5"/>
        <w:bidi w:val="0"/>
        <w:rPr>
          <w:rFonts w:hint="eastAsia"/>
          <w:color w:val="auto"/>
          <w:lang w:val="en-US" w:eastAsia="zh-CN"/>
        </w:rPr>
      </w:pPr>
      <w:bookmarkStart w:id="32" w:name="_Toc22822"/>
      <w:r>
        <w:rPr>
          <w:rFonts w:hint="eastAsia"/>
          <w:color w:val="auto"/>
          <w:lang w:val="en-US" w:eastAsia="zh-CN"/>
        </w:rPr>
        <w:t>2.7公用工程及辅助设施</w:t>
      </w:r>
      <w:bookmarkEnd w:id="32"/>
    </w:p>
    <w:p w14:paraId="11AE2446">
      <w:pPr>
        <w:pStyle w:val="6"/>
        <w:bidi w:val="0"/>
        <w:rPr>
          <w:rFonts w:hint="eastAsia"/>
          <w:color w:val="auto"/>
          <w:lang w:val="en-US" w:eastAsia="zh-CN"/>
        </w:rPr>
      </w:pPr>
      <w:bookmarkStart w:id="33" w:name="_Toc30364"/>
      <w:r>
        <w:rPr>
          <w:rFonts w:hint="eastAsia"/>
          <w:color w:val="auto"/>
          <w:lang w:val="en-US" w:eastAsia="zh-CN"/>
        </w:rPr>
        <w:t>2.7.1供配电</w:t>
      </w:r>
      <w:bookmarkEnd w:id="33"/>
    </w:p>
    <w:p w14:paraId="20CB4E88">
      <w:pPr>
        <w:rPr>
          <w:rFonts w:hint="default"/>
          <w:color w:val="auto"/>
          <w:lang w:val="en-US" w:eastAsia="zh-CN"/>
        </w:rPr>
      </w:pPr>
      <w:r>
        <w:rPr>
          <w:rFonts w:hint="eastAsia"/>
          <w:color w:val="auto"/>
          <w:lang w:val="en-US" w:eastAsia="zh-CN"/>
        </w:rPr>
        <w:t>1、电源</w:t>
      </w:r>
    </w:p>
    <w:p w14:paraId="75620909">
      <w:pPr>
        <w:wordWrap w:val="0"/>
        <w:adjustRightInd w:val="0"/>
        <w:snapToGrid w:val="0"/>
        <w:spacing w:line="560" w:lineRule="exact"/>
        <w:ind w:firstLine="570"/>
        <w:textAlignment w:val="center"/>
        <w:rPr>
          <w:rFonts w:hint="default" w:eastAsia="宋体"/>
          <w:color w:val="auto"/>
          <w:sz w:val="28"/>
          <w:szCs w:val="28"/>
          <w:lang w:val="en-US" w:eastAsia="zh-CN"/>
        </w:rPr>
      </w:pPr>
      <w:r>
        <w:rPr>
          <w:rFonts w:hint="eastAsia"/>
          <w:color w:val="auto"/>
          <w:sz w:val="28"/>
          <w:szCs w:val="28"/>
          <w:lang w:val="en-US" w:eastAsia="zh-CN"/>
        </w:rPr>
        <w:t>该项目电源拟由当地变电站引两路10kv高压电缆进线，经终端电杆上熔断器保护和高压刀闸、开关计量装置后，穿管埋地敷设至箱式变压器及变压器高压进线侧。经变压器变压至380/220V后接入服务区进线端，</w:t>
      </w:r>
      <w:r>
        <w:rPr>
          <w:rFonts w:hint="eastAsia"/>
          <w:color w:val="auto"/>
        </w:rPr>
        <w:t>采用放射式与树干式相结合的供电方式</w:t>
      </w:r>
      <w:r>
        <w:rPr>
          <w:rFonts w:hint="eastAsia"/>
          <w:color w:val="auto"/>
          <w:sz w:val="28"/>
          <w:szCs w:val="28"/>
          <w:lang w:val="en-US" w:eastAsia="zh-CN"/>
        </w:rPr>
        <w:t>。</w:t>
      </w:r>
      <w:r>
        <w:rPr>
          <w:rFonts w:hint="eastAsia"/>
          <w:color w:val="auto"/>
        </w:rPr>
        <w:t>配电干线均采用铜芯塑料绝缘电力电缆，所有干线直接埋地</w:t>
      </w:r>
      <w:r>
        <w:rPr>
          <w:rFonts w:hint="eastAsia"/>
          <w:color w:val="auto"/>
          <w:lang w:eastAsia="zh-CN"/>
        </w:rPr>
        <w:t>，</w:t>
      </w:r>
      <w:r>
        <w:rPr>
          <w:rFonts w:hint="eastAsia"/>
          <w:color w:val="auto"/>
        </w:rPr>
        <w:t>沿电缆沟敷设</w:t>
      </w:r>
      <w:r>
        <w:rPr>
          <w:rFonts w:hint="eastAsia"/>
          <w:color w:val="auto"/>
          <w:lang w:eastAsia="zh-CN"/>
        </w:rPr>
        <w:t>。</w:t>
      </w:r>
      <w:r>
        <w:rPr>
          <w:rFonts w:hint="eastAsia"/>
          <w:color w:val="auto"/>
          <w:lang w:val="en-US" w:eastAsia="zh-CN"/>
        </w:rPr>
        <w:t>电气一般配电线路暗装敷设，导线管及配线槽采用非燃烧材料。</w:t>
      </w:r>
    </w:p>
    <w:p w14:paraId="08A1BF54">
      <w:pPr>
        <w:wordWrap w:val="0"/>
        <w:adjustRightInd w:val="0"/>
        <w:snapToGrid w:val="0"/>
        <w:spacing w:line="560" w:lineRule="exact"/>
        <w:ind w:firstLine="570"/>
        <w:textAlignment w:val="center"/>
        <w:rPr>
          <w:rFonts w:hint="eastAsia"/>
          <w:color w:val="auto"/>
          <w:sz w:val="28"/>
          <w:szCs w:val="28"/>
          <w:lang w:val="en-US" w:eastAsia="zh-CN"/>
        </w:rPr>
      </w:pPr>
      <w:r>
        <w:rPr>
          <w:rFonts w:hint="eastAsia"/>
          <w:color w:val="auto"/>
          <w:sz w:val="28"/>
          <w:szCs w:val="28"/>
          <w:lang w:val="en-US" w:eastAsia="zh-CN"/>
        </w:rPr>
        <w:t>该项目西服务区供电拟设置2台1000KVA室外箱式变压器（其中一台为预留充电设施备用）、2台630KVA变压器为。东服务区供电拟设置2台1000KVA室外箱式变压器（其中一台为预留充电设施备用）、2台500KVA变压器为。</w:t>
      </w:r>
    </w:p>
    <w:p w14:paraId="397FCEAD">
      <w:pPr>
        <w:wordWrap w:val="0"/>
        <w:adjustRightInd w:val="0"/>
        <w:snapToGrid w:val="0"/>
        <w:spacing w:line="560" w:lineRule="exact"/>
        <w:ind w:firstLine="570"/>
        <w:textAlignment w:val="center"/>
        <w:rPr>
          <w:rFonts w:hint="eastAsia"/>
          <w:color w:val="auto"/>
          <w:sz w:val="28"/>
          <w:szCs w:val="28"/>
          <w:lang w:val="en-US" w:eastAsia="zh-CN"/>
        </w:rPr>
      </w:pPr>
      <w:r>
        <w:rPr>
          <w:rFonts w:hint="eastAsia"/>
          <w:color w:val="auto"/>
          <w:sz w:val="28"/>
          <w:szCs w:val="28"/>
          <w:lang w:val="en-US" w:eastAsia="zh-CN"/>
        </w:rPr>
        <w:t>弱电系统包括电话、数据网络、保护监控等。其室外线路均采用电缆直埋的方式，电话进户线方位由当地主管部门确定。</w:t>
      </w:r>
    </w:p>
    <w:p w14:paraId="672313CC">
      <w:pPr>
        <w:wordWrap w:val="0"/>
        <w:adjustRightInd w:val="0"/>
        <w:snapToGrid w:val="0"/>
        <w:spacing w:line="560" w:lineRule="exact"/>
        <w:ind w:firstLine="570"/>
        <w:textAlignment w:val="center"/>
        <w:rPr>
          <w:rFonts w:hint="eastAsia"/>
          <w:color w:val="auto"/>
          <w:sz w:val="28"/>
          <w:szCs w:val="28"/>
          <w:lang w:val="en-US" w:eastAsia="zh-CN"/>
        </w:rPr>
      </w:pPr>
      <w:r>
        <w:rPr>
          <w:rFonts w:hint="eastAsia"/>
          <w:color w:val="auto"/>
          <w:sz w:val="28"/>
          <w:szCs w:val="28"/>
          <w:lang w:val="en-US" w:eastAsia="zh-CN"/>
        </w:rPr>
        <w:t>2、用电负荷</w:t>
      </w:r>
    </w:p>
    <w:p w14:paraId="4EF8FE10">
      <w:pPr>
        <w:wordWrap w:val="0"/>
        <w:adjustRightInd w:val="0"/>
        <w:snapToGrid w:val="0"/>
        <w:spacing w:line="560" w:lineRule="exact"/>
        <w:ind w:firstLine="570"/>
        <w:textAlignment w:val="center"/>
        <w:rPr>
          <w:rFonts w:hint="eastAsia"/>
          <w:color w:val="auto"/>
          <w:sz w:val="28"/>
          <w:szCs w:val="28"/>
          <w:lang w:val="en-US" w:eastAsia="zh-CN"/>
        </w:rPr>
      </w:pPr>
      <w:r>
        <w:rPr>
          <w:rFonts w:hint="eastAsia"/>
          <w:color w:val="auto"/>
          <w:sz w:val="28"/>
          <w:szCs w:val="28"/>
          <w:lang w:val="en-US" w:eastAsia="zh-CN"/>
        </w:rPr>
        <w:t>1）负荷等级</w:t>
      </w:r>
    </w:p>
    <w:p w14:paraId="412E85AC">
      <w:pPr>
        <w:wordWrap w:val="0"/>
        <w:adjustRightInd w:val="0"/>
        <w:snapToGrid w:val="0"/>
        <w:spacing w:line="560" w:lineRule="exact"/>
        <w:ind w:firstLine="570"/>
        <w:textAlignment w:val="center"/>
        <w:rPr>
          <w:rFonts w:hint="default"/>
          <w:color w:val="auto"/>
          <w:sz w:val="28"/>
          <w:szCs w:val="28"/>
          <w:lang w:val="en-US" w:eastAsia="zh-CN"/>
        </w:rPr>
      </w:pPr>
      <w:r>
        <w:rPr>
          <w:rFonts w:hint="eastAsia"/>
          <w:color w:val="auto"/>
          <w:sz w:val="28"/>
          <w:szCs w:val="28"/>
          <w:lang w:val="en-US" w:eastAsia="zh-CN"/>
        </w:rPr>
        <w:t>该项目单侧服务区的综合楼内的餐厅和厨房用电（150kw）、汽修站（30kw）、设备房用电（30kw）、充电桩设备（720kw）、广场照明(包括高杆灯和进出口匝道路灯)（20kw）和污水处理器（16kw）、应急照明（1kw）、火灾报警系统（1kw）、消防设备（45kw）、监控设备（3kw）等用电为二级负荷，由两路供电提供保障，同时，两侧服务区分别拟新设1台400/440kw柴油发电机组作为照明、消防设备及办公等的保障用电。应急照明拟采用自带蓄电池，供电时长不小于90min。其余用电负荷为三级负荷供电。</w:t>
      </w:r>
    </w:p>
    <w:p w14:paraId="36AB5000">
      <w:pPr>
        <w:wordWrap w:val="0"/>
        <w:adjustRightInd w:val="0"/>
        <w:snapToGrid w:val="0"/>
        <w:spacing w:line="560" w:lineRule="exact"/>
        <w:ind w:firstLine="570"/>
        <w:textAlignment w:val="center"/>
        <w:rPr>
          <w:rFonts w:hint="eastAsia"/>
          <w:color w:val="auto"/>
          <w:sz w:val="28"/>
          <w:szCs w:val="28"/>
          <w:lang w:val="en-US" w:eastAsia="zh-CN"/>
        </w:rPr>
      </w:pPr>
      <w:r>
        <w:rPr>
          <w:rFonts w:hint="eastAsia"/>
          <w:color w:val="auto"/>
          <w:sz w:val="28"/>
          <w:szCs w:val="28"/>
          <w:lang w:val="en-US" w:eastAsia="zh-CN"/>
        </w:rPr>
        <w:t>2）用电负荷</w:t>
      </w:r>
    </w:p>
    <w:p w14:paraId="64941F65">
      <w:pPr>
        <w:pStyle w:val="48"/>
        <w:bidi w:val="0"/>
        <w:rPr>
          <w:rFonts w:hint="default"/>
          <w:color w:val="auto"/>
          <w:lang w:val="en-US" w:eastAsia="zh-CN"/>
        </w:rPr>
      </w:pPr>
      <w:r>
        <w:rPr>
          <w:rFonts w:hint="eastAsia"/>
          <w:color w:val="auto"/>
          <w:lang w:val="en-US" w:eastAsia="zh-CN"/>
        </w:rPr>
        <w:t>表2.7-1用电负荷计算表</w:t>
      </w:r>
    </w:p>
    <w:tbl>
      <w:tblPr>
        <w:tblStyle w:val="33"/>
        <w:tblW w:w="856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4"/>
        <w:gridCol w:w="1361"/>
        <w:gridCol w:w="1136"/>
        <w:gridCol w:w="814"/>
        <w:gridCol w:w="643"/>
        <w:gridCol w:w="857"/>
        <w:gridCol w:w="1050"/>
        <w:gridCol w:w="1136"/>
        <w:gridCol w:w="1114"/>
      </w:tblGrid>
      <w:tr w14:paraId="3B3DD5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3" w:hRule="atLeast"/>
          <w:jc w:val="center"/>
        </w:trPr>
        <w:tc>
          <w:tcPr>
            <w:tcW w:w="454" w:type="dxa"/>
            <w:vMerge w:val="restart"/>
            <w:tcBorders>
              <w:top w:val="single" w:color="auto" w:sz="4" w:space="0"/>
              <w:left w:val="single" w:color="auto" w:sz="4" w:space="0"/>
              <w:bottom w:val="single" w:color="auto" w:sz="4" w:space="0"/>
              <w:right w:val="single" w:color="auto" w:sz="4" w:space="0"/>
            </w:tcBorders>
            <w:shd w:val="clear" w:color="auto" w:fill="auto"/>
            <w:noWrap w:val="0"/>
            <w:textDirection w:val="tbRlV"/>
            <w:vAlign w:val="center"/>
          </w:tcPr>
          <w:p w14:paraId="5F9B1484">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6"/>
                <w:sz w:val="21"/>
                <w:szCs w:val="21"/>
              </w:rPr>
              <w:t>序</w:t>
            </w:r>
            <w:r>
              <w:rPr>
                <w:color w:val="auto"/>
                <w:spacing w:val="-38"/>
                <w:sz w:val="21"/>
                <w:szCs w:val="21"/>
              </w:rPr>
              <w:t xml:space="preserve"> </w:t>
            </w:r>
            <w:r>
              <w:rPr>
                <w:b/>
                <w:bCs/>
                <w:color w:val="auto"/>
                <w:spacing w:val="6"/>
                <w:sz w:val="21"/>
                <w:szCs w:val="21"/>
              </w:rPr>
              <w:t>号</w:t>
            </w:r>
          </w:p>
        </w:tc>
        <w:tc>
          <w:tcPr>
            <w:tcW w:w="1361" w:type="dxa"/>
            <w:vMerge w:val="restart"/>
            <w:tcBorders>
              <w:top w:val="single" w:color="auto" w:sz="4" w:space="0"/>
              <w:left w:val="single" w:color="auto" w:sz="4" w:space="0"/>
              <w:bottom w:val="nil"/>
            </w:tcBorders>
            <w:shd w:val="clear" w:color="auto" w:fill="auto"/>
            <w:noWrap w:val="0"/>
            <w:vAlign w:val="center"/>
          </w:tcPr>
          <w:p w14:paraId="44FE33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p w14:paraId="74D2BC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p w14:paraId="7D7CF328">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5"/>
                <w:sz w:val="21"/>
                <w:szCs w:val="21"/>
              </w:rPr>
              <w:t>名称</w:t>
            </w:r>
          </w:p>
        </w:tc>
        <w:tc>
          <w:tcPr>
            <w:tcW w:w="1136" w:type="dxa"/>
            <w:vMerge w:val="restart"/>
            <w:tcBorders>
              <w:top w:val="single" w:color="auto" w:sz="4" w:space="0"/>
              <w:bottom w:val="nil"/>
            </w:tcBorders>
            <w:shd w:val="clear" w:color="auto" w:fill="auto"/>
            <w:noWrap w:val="0"/>
            <w:vAlign w:val="center"/>
          </w:tcPr>
          <w:p w14:paraId="1FEAA423">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1"/>
                <w:sz w:val="21"/>
                <w:szCs w:val="21"/>
              </w:rPr>
              <w:t>总功</w:t>
            </w:r>
            <w:r>
              <w:rPr>
                <w:b/>
                <w:bCs/>
                <w:color w:val="auto"/>
                <w:spacing w:val="-3"/>
                <w:sz w:val="21"/>
                <w:szCs w:val="21"/>
              </w:rPr>
              <w:t>率</w:t>
            </w:r>
            <w:r>
              <w:rPr>
                <w:b/>
                <w:bCs/>
                <w:color w:val="auto"/>
                <w:spacing w:val="-2"/>
                <w:sz w:val="21"/>
                <w:szCs w:val="21"/>
              </w:rPr>
              <w:t>（kW</w:t>
            </w:r>
            <w:r>
              <w:rPr>
                <w:b/>
                <w:bCs/>
                <w:color w:val="auto"/>
                <w:spacing w:val="-3"/>
                <w:sz w:val="21"/>
                <w:szCs w:val="21"/>
              </w:rPr>
              <w:t>)</w:t>
            </w:r>
          </w:p>
        </w:tc>
        <w:tc>
          <w:tcPr>
            <w:tcW w:w="2314" w:type="dxa"/>
            <w:gridSpan w:val="3"/>
            <w:tcBorders>
              <w:top w:val="single" w:color="auto" w:sz="4" w:space="0"/>
            </w:tcBorders>
            <w:shd w:val="clear" w:color="auto" w:fill="auto"/>
            <w:noWrap w:val="0"/>
            <w:vAlign w:val="center"/>
          </w:tcPr>
          <w:p w14:paraId="1E1A3E89">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6"/>
                <w:sz w:val="21"/>
                <w:szCs w:val="21"/>
              </w:rPr>
              <w:t>计算系数</w:t>
            </w:r>
          </w:p>
        </w:tc>
        <w:tc>
          <w:tcPr>
            <w:tcW w:w="3300" w:type="dxa"/>
            <w:gridSpan w:val="3"/>
            <w:tcBorders>
              <w:top w:val="single" w:color="auto" w:sz="4" w:space="0"/>
              <w:right w:val="single" w:color="auto" w:sz="4" w:space="0"/>
            </w:tcBorders>
            <w:shd w:val="clear" w:color="auto" w:fill="auto"/>
            <w:noWrap w:val="0"/>
            <w:vAlign w:val="center"/>
          </w:tcPr>
          <w:p w14:paraId="5C70A170">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6"/>
                <w:sz w:val="21"/>
                <w:szCs w:val="21"/>
              </w:rPr>
              <w:t>计算负荷</w:t>
            </w:r>
          </w:p>
        </w:tc>
      </w:tr>
      <w:tr w14:paraId="7A68CF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vMerge w:val="continue"/>
            <w:tcBorders>
              <w:top w:val="single" w:color="auto" w:sz="4" w:space="0"/>
              <w:left w:val="single" w:color="auto" w:sz="4" w:space="0"/>
              <w:bottom w:val="single" w:color="auto" w:sz="4" w:space="0"/>
              <w:right w:val="single" w:color="auto" w:sz="4" w:space="0"/>
            </w:tcBorders>
            <w:shd w:val="clear" w:color="auto" w:fill="auto"/>
            <w:noWrap w:val="0"/>
            <w:textDirection w:val="tbRlV"/>
            <w:vAlign w:val="center"/>
          </w:tcPr>
          <w:p w14:paraId="228249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1361" w:type="dxa"/>
            <w:vMerge w:val="continue"/>
            <w:tcBorders>
              <w:top w:val="nil"/>
              <w:left w:val="single" w:color="auto" w:sz="4" w:space="0"/>
              <w:bottom w:val="single" w:color="auto" w:sz="4" w:space="0"/>
            </w:tcBorders>
            <w:shd w:val="clear" w:color="auto" w:fill="auto"/>
            <w:noWrap w:val="0"/>
            <w:vAlign w:val="center"/>
          </w:tcPr>
          <w:p w14:paraId="361471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1136" w:type="dxa"/>
            <w:vMerge w:val="continue"/>
            <w:tcBorders>
              <w:top w:val="nil"/>
              <w:bottom w:val="single" w:color="auto" w:sz="4" w:space="0"/>
            </w:tcBorders>
            <w:shd w:val="clear" w:color="auto" w:fill="auto"/>
            <w:noWrap w:val="0"/>
            <w:vAlign w:val="center"/>
          </w:tcPr>
          <w:p w14:paraId="509F5F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814" w:type="dxa"/>
            <w:tcBorders>
              <w:bottom w:val="single" w:color="auto" w:sz="4" w:space="0"/>
            </w:tcBorders>
            <w:shd w:val="clear" w:color="auto" w:fill="auto"/>
            <w:noWrap w:val="0"/>
            <w:vAlign w:val="center"/>
          </w:tcPr>
          <w:p w14:paraId="2EF78D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p w14:paraId="0F0635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1"/>
                <w:position w:val="1"/>
                <w:sz w:val="21"/>
                <w:szCs w:val="21"/>
              </w:rPr>
              <w:t>Kx</w:t>
            </w:r>
          </w:p>
        </w:tc>
        <w:tc>
          <w:tcPr>
            <w:tcW w:w="643" w:type="dxa"/>
            <w:tcBorders>
              <w:bottom w:val="single" w:color="auto" w:sz="4" w:space="0"/>
            </w:tcBorders>
            <w:shd w:val="clear" w:color="auto" w:fill="auto"/>
            <w:noWrap w:val="0"/>
            <w:vAlign w:val="center"/>
          </w:tcPr>
          <w:p w14:paraId="24B8C6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微软雅黑" w:hAnsi="微软雅黑" w:eastAsia="微软雅黑" w:cs="微软雅黑"/>
                <w:color w:val="auto"/>
                <w:sz w:val="21"/>
                <w:szCs w:val="21"/>
              </w:rPr>
            </w:pPr>
            <w:r>
              <w:rPr>
                <w:rFonts w:ascii="楷体" w:hAnsi="楷体" w:eastAsia="楷体" w:cs="楷体"/>
                <w:b/>
                <w:bCs/>
                <w:color w:val="auto"/>
                <w:spacing w:val="1"/>
                <w:sz w:val="21"/>
                <w:szCs w:val="21"/>
              </w:rPr>
              <w:t>cos</w:t>
            </w:r>
            <w:r>
              <w:rPr>
                <w:rFonts w:ascii="楷体" w:hAnsi="楷体" w:eastAsia="楷体" w:cs="楷体"/>
                <w:color w:val="auto"/>
                <w:sz w:val="21"/>
                <w:szCs w:val="21"/>
              </w:rPr>
              <w:t xml:space="preserve"> </w:t>
            </w:r>
          </w:p>
        </w:tc>
        <w:tc>
          <w:tcPr>
            <w:tcW w:w="857" w:type="dxa"/>
            <w:tcBorders>
              <w:bottom w:val="single" w:color="auto" w:sz="4" w:space="0"/>
            </w:tcBorders>
            <w:shd w:val="clear" w:color="auto" w:fill="auto"/>
            <w:noWrap w:val="0"/>
            <w:vAlign w:val="center"/>
          </w:tcPr>
          <w:p w14:paraId="62C3EB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微软雅黑" w:hAnsi="微软雅黑" w:eastAsia="微软雅黑" w:cs="微软雅黑"/>
                <w:color w:val="auto"/>
                <w:sz w:val="21"/>
                <w:szCs w:val="21"/>
              </w:rPr>
            </w:pPr>
            <w:r>
              <w:rPr>
                <w:rFonts w:ascii="楷体" w:hAnsi="楷体" w:eastAsia="楷体" w:cs="楷体"/>
                <w:b/>
                <w:bCs/>
                <w:color w:val="auto"/>
                <w:position w:val="6"/>
                <w:sz w:val="21"/>
                <w:szCs w:val="21"/>
              </w:rPr>
              <w:t>tg</w:t>
            </w:r>
          </w:p>
        </w:tc>
        <w:tc>
          <w:tcPr>
            <w:tcW w:w="1050" w:type="dxa"/>
            <w:tcBorders>
              <w:bottom w:val="single" w:color="auto" w:sz="4" w:space="0"/>
            </w:tcBorders>
            <w:shd w:val="clear" w:color="auto" w:fill="auto"/>
            <w:noWrap w:val="0"/>
            <w:vAlign w:val="center"/>
          </w:tcPr>
          <w:p w14:paraId="0AB6C5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5"/>
                <w:sz w:val="21"/>
                <w:szCs w:val="21"/>
              </w:rPr>
              <w:t>有功功</w:t>
            </w:r>
            <w:r>
              <w:rPr>
                <w:rFonts w:ascii="楷体" w:hAnsi="楷体" w:eastAsia="楷体" w:cs="楷体"/>
                <w:b/>
                <w:bCs/>
                <w:color w:val="auto"/>
                <w:spacing w:val="-4"/>
                <w:sz w:val="21"/>
                <w:szCs w:val="21"/>
              </w:rPr>
              <w:t>率</w:t>
            </w:r>
            <w:r>
              <w:rPr>
                <w:rFonts w:ascii="楷体" w:hAnsi="楷体" w:eastAsia="楷体" w:cs="楷体"/>
                <w:color w:val="auto"/>
                <w:spacing w:val="-35"/>
                <w:sz w:val="21"/>
                <w:szCs w:val="21"/>
              </w:rPr>
              <w:t xml:space="preserve"> </w:t>
            </w:r>
            <w:r>
              <w:rPr>
                <w:rFonts w:ascii="楷体" w:hAnsi="楷体" w:eastAsia="楷体" w:cs="楷体"/>
                <w:b/>
                <w:bCs/>
                <w:color w:val="auto"/>
                <w:spacing w:val="-4"/>
                <w:sz w:val="21"/>
                <w:szCs w:val="21"/>
              </w:rPr>
              <w:t>kW</w:t>
            </w:r>
          </w:p>
        </w:tc>
        <w:tc>
          <w:tcPr>
            <w:tcW w:w="1136" w:type="dxa"/>
            <w:tcBorders>
              <w:bottom w:val="single" w:color="auto" w:sz="4" w:space="0"/>
            </w:tcBorders>
            <w:shd w:val="clear" w:color="auto" w:fill="auto"/>
            <w:noWrap w:val="0"/>
            <w:vAlign w:val="center"/>
          </w:tcPr>
          <w:p w14:paraId="65F073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5"/>
                <w:sz w:val="21"/>
                <w:szCs w:val="21"/>
              </w:rPr>
              <w:t>无功功</w:t>
            </w:r>
            <w:r>
              <w:rPr>
                <w:rFonts w:ascii="楷体" w:hAnsi="楷体" w:eastAsia="楷体" w:cs="楷体"/>
                <w:b/>
                <w:bCs/>
                <w:color w:val="auto"/>
                <w:spacing w:val="-1"/>
                <w:sz w:val="21"/>
                <w:szCs w:val="21"/>
              </w:rPr>
              <w:t>率</w:t>
            </w:r>
            <w:r>
              <w:rPr>
                <w:rFonts w:ascii="楷体" w:hAnsi="楷体" w:eastAsia="楷体" w:cs="楷体"/>
                <w:color w:val="auto"/>
                <w:spacing w:val="-36"/>
                <w:sz w:val="21"/>
                <w:szCs w:val="21"/>
              </w:rPr>
              <w:t xml:space="preserve"> </w:t>
            </w:r>
            <w:r>
              <w:rPr>
                <w:rFonts w:ascii="楷体" w:hAnsi="楷体" w:eastAsia="楷体" w:cs="楷体"/>
                <w:b/>
                <w:bCs/>
                <w:color w:val="auto"/>
                <w:spacing w:val="-1"/>
                <w:sz w:val="21"/>
                <w:szCs w:val="21"/>
              </w:rPr>
              <w:t>kvar</w:t>
            </w:r>
          </w:p>
        </w:tc>
        <w:tc>
          <w:tcPr>
            <w:tcW w:w="1114" w:type="dxa"/>
            <w:tcBorders>
              <w:bottom w:val="single" w:color="auto" w:sz="4" w:space="0"/>
              <w:right w:val="single" w:color="auto" w:sz="4" w:space="0"/>
            </w:tcBorders>
            <w:shd w:val="clear" w:color="auto" w:fill="auto"/>
            <w:noWrap w:val="0"/>
            <w:vAlign w:val="center"/>
          </w:tcPr>
          <w:p w14:paraId="081EAB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6"/>
                <w:sz w:val="21"/>
                <w:szCs w:val="21"/>
              </w:rPr>
              <w:t>视在功</w:t>
            </w:r>
            <w:r>
              <w:rPr>
                <w:rFonts w:ascii="楷体" w:hAnsi="楷体" w:eastAsia="楷体" w:cs="楷体"/>
                <w:b/>
                <w:bCs/>
                <w:color w:val="auto"/>
                <w:spacing w:val="-2"/>
                <w:sz w:val="21"/>
                <w:szCs w:val="21"/>
              </w:rPr>
              <w:t>率</w:t>
            </w:r>
            <w:r>
              <w:rPr>
                <w:rFonts w:ascii="楷体" w:hAnsi="楷体" w:eastAsia="楷体" w:cs="楷体"/>
                <w:color w:val="auto"/>
                <w:spacing w:val="-33"/>
                <w:sz w:val="21"/>
                <w:szCs w:val="21"/>
              </w:rPr>
              <w:t xml:space="preserve"> </w:t>
            </w:r>
            <w:r>
              <w:rPr>
                <w:rFonts w:ascii="楷体" w:hAnsi="楷体" w:eastAsia="楷体" w:cs="楷体"/>
                <w:b/>
                <w:bCs/>
                <w:color w:val="auto"/>
                <w:spacing w:val="-2"/>
                <w:sz w:val="21"/>
                <w:szCs w:val="21"/>
              </w:rPr>
              <w:t>kVA</w:t>
            </w:r>
          </w:p>
        </w:tc>
      </w:tr>
      <w:tr w14:paraId="7B7DF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tcBorders>
              <w:top w:val="single" w:color="auto" w:sz="4" w:space="0"/>
            </w:tcBorders>
            <w:shd w:val="clear" w:color="auto" w:fill="auto"/>
            <w:noWrap w:val="0"/>
            <w:textDirection w:val="tbRlV"/>
            <w:vAlign w:val="center"/>
          </w:tcPr>
          <w:p w14:paraId="137413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8111" w:type="dxa"/>
            <w:gridSpan w:val="8"/>
            <w:tcBorders>
              <w:top w:val="single" w:color="auto" w:sz="4" w:space="0"/>
            </w:tcBorders>
            <w:shd w:val="clear" w:color="auto" w:fill="auto"/>
            <w:noWrap w:val="0"/>
            <w:vAlign w:val="center"/>
          </w:tcPr>
          <w:p w14:paraId="4CC0B6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楷体" w:hAnsi="楷体" w:eastAsia="楷体" w:cs="楷体"/>
                <w:b/>
                <w:bCs/>
                <w:color w:val="auto"/>
                <w:spacing w:val="6"/>
                <w:sz w:val="21"/>
                <w:szCs w:val="21"/>
              </w:rPr>
            </w:pPr>
            <w:r>
              <w:rPr>
                <w:rFonts w:hint="eastAsia" w:ascii="楷体" w:hAnsi="楷体" w:eastAsia="楷体" w:cs="楷体"/>
                <w:b/>
                <w:bCs/>
                <w:color w:val="auto"/>
                <w:spacing w:val="6"/>
                <w:sz w:val="21"/>
                <w:szCs w:val="21"/>
              </w:rPr>
              <w:t>东服务区（选用2*500KVA变压器）</w:t>
            </w:r>
          </w:p>
        </w:tc>
      </w:tr>
      <w:tr w14:paraId="68D97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575550F0">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1</w:t>
            </w:r>
          </w:p>
        </w:tc>
        <w:tc>
          <w:tcPr>
            <w:tcW w:w="1361" w:type="dxa"/>
            <w:shd w:val="clear" w:color="auto" w:fill="auto"/>
            <w:noWrap w:val="0"/>
            <w:vAlign w:val="center"/>
          </w:tcPr>
          <w:p w14:paraId="00D1A128">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综合楼</w:t>
            </w:r>
          </w:p>
        </w:tc>
        <w:tc>
          <w:tcPr>
            <w:tcW w:w="1136" w:type="dxa"/>
            <w:shd w:val="clear" w:color="auto" w:fill="auto"/>
            <w:noWrap w:val="0"/>
            <w:vAlign w:val="center"/>
          </w:tcPr>
          <w:p w14:paraId="640005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864</w:t>
            </w:r>
          </w:p>
        </w:tc>
        <w:tc>
          <w:tcPr>
            <w:tcW w:w="814" w:type="dxa"/>
            <w:shd w:val="clear" w:color="auto" w:fill="auto"/>
            <w:noWrap w:val="0"/>
            <w:vAlign w:val="center"/>
          </w:tcPr>
          <w:p w14:paraId="178CB6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0.75</w:t>
            </w:r>
          </w:p>
        </w:tc>
        <w:tc>
          <w:tcPr>
            <w:tcW w:w="643" w:type="dxa"/>
            <w:shd w:val="clear" w:color="auto" w:fill="auto"/>
            <w:noWrap w:val="0"/>
            <w:vAlign w:val="center"/>
          </w:tcPr>
          <w:p w14:paraId="3511E8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5D303A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693B5C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648</w:t>
            </w:r>
          </w:p>
        </w:tc>
        <w:tc>
          <w:tcPr>
            <w:tcW w:w="1136" w:type="dxa"/>
            <w:shd w:val="clear" w:color="auto" w:fill="auto"/>
            <w:noWrap w:val="0"/>
            <w:vAlign w:val="center"/>
          </w:tcPr>
          <w:p w14:paraId="20DC02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401.59</w:t>
            </w:r>
          </w:p>
        </w:tc>
        <w:tc>
          <w:tcPr>
            <w:tcW w:w="1114" w:type="dxa"/>
            <w:shd w:val="clear" w:color="auto" w:fill="auto"/>
            <w:noWrap w:val="0"/>
            <w:vAlign w:val="center"/>
          </w:tcPr>
          <w:p w14:paraId="3FB054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762.35</w:t>
            </w:r>
          </w:p>
        </w:tc>
      </w:tr>
      <w:tr w14:paraId="1E35B7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26220FB5">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2</w:t>
            </w:r>
          </w:p>
        </w:tc>
        <w:tc>
          <w:tcPr>
            <w:tcW w:w="1361" w:type="dxa"/>
            <w:shd w:val="clear" w:color="auto" w:fill="auto"/>
            <w:noWrap w:val="0"/>
            <w:vAlign w:val="center"/>
          </w:tcPr>
          <w:p w14:paraId="26A69CFC">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修车库</w:t>
            </w:r>
          </w:p>
        </w:tc>
        <w:tc>
          <w:tcPr>
            <w:tcW w:w="1136" w:type="dxa"/>
            <w:shd w:val="clear" w:color="auto" w:fill="auto"/>
            <w:noWrap w:val="0"/>
            <w:vAlign w:val="center"/>
          </w:tcPr>
          <w:p w14:paraId="73B6F7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30</w:t>
            </w:r>
          </w:p>
        </w:tc>
        <w:tc>
          <w:tcPr>
            <w:tcW w:w="814" w:type="dxa"/>
            <w:shd w:val="clear" w:color="auto" w:fill="auto"/>
            <w:noWrap w:val="0"/>
            <w:vAlign w:val="center"/>
          </w:tcPr>
          <w:p w14:paraId="53E50D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w:t>
            </w:r>
          </w:p>
        </w:tc>
        <w:tc>
          <w:tcPr>
            <w:tcW w:w="643" w:type="dxa"/>
            <w:shd w:val="clear" w:color="auto" w:fill="auto"/>
            <w:noWrap w:val="0"/>
            <w:vAlign w:val="center"/>
          </w:tcPr>
          <w:p w14:paraId="54297A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0D9233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1D188D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24</w:t>
            </w:r>
          </w:p>
        </w:tc>
        <w:tc>
          <w:tcPr>
            <w:tcW w:w="1136" w:type="dxa"/>
            <w:shd w:val="clear" w:color="auto" w:fill="auto"/>
            <w:noWrap w:val="0"/>
            <w:vAlign w:val="center"/>
          </w:tcPr>
          <w:p w14:paraId="7BCC97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14.87</w:t>
            </w:r>
          </w:p>
        </w:tc>
        <w:tc>
          <w:tcPr>
            <w:tcW w:w="1114" w:type="dxa"/>
            <w:shd w:val="clear" w:color="auto" w:fill="auto"/>
            <w:noWrap w:val="0"/>
            <w:vAlign w:val="center"/>
          </w:tcPr>
          <w:p w14:paraId="7013AD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28.24</w:t>
            </w:r>
          </w:p>
        </w:tc>
      </w:tr>
      <w:tr w14:paraId="205C65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4300C2FD">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3</w:t>
            </w:r>
          </w:p>
        </w:tc>
        <w:tc>
          <w:tcPr>
            <w:tcW w:w="1361" w:type="dxa"/>
            <w:shd w:val="clear" w:color="auto" w:fill="auto"/>
            <w:noWrap w:val="0"/>
            <w:vAlign w:val="center"/>
          </w:tcPr>
          <w:p w14:paraId="7D6FF333">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设备房</w:t>
            </w:r>
          </w:p>
        </w:tc>
        <w:tc>
          <w:tcPr>
            <w:tcW w:w="1136" w:type="dxa"/>
            <w:shd w:val="clear" w:color="auto" w:fill="auto"/>
            <w:noWrap w:val="0"/>
            <w:vAlign w:val="center"/>
          </w:tcPr>
          <w:p w14:paraId="5B5801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30</w:t>
            </w:r>
          </w:p>
        </w:tc>
        <w:tc>
          <w:tcPr>
            <w:tcW w:w="814" w:type="dxa"/>
            <w:shd w:val="clear" w:color="auto" w:fill="auto"/>
            <w:noWrap w:val="0"/>
            <w:vAlign w:val="center"/>
          </w:tcPr>
          <w:p w14:paraId="2B5ADD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rPr>
            </w:pPr>
            <w:r>
              <w:rPr>
                <w:rFonts w:hint="eastAsia"/>
                <w:color w:val="auto"/>
                <w:sz w:val="21"/>
                <w:szCs w:val="21"/>
              </w:rPr>
              <w:t>1</w:t>
            </w:r>
          </w:p>
        </w:tc>
        <w:tc>
          <w:tcPr>
            <w:tcW w:w="643" w:type="dxa"/>
            <w:shd w:val="clear" w:color="auto" w:fill="auto"/>
            <w:noWrap w:val="0"/>
            <w:vAlign w:val="center"/>
          </w:tcPr>
          <w:p w14:paraId="564107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w:t>
            </w:r>
          </w:p>
        </w:tc>
        <w:tc>
          <w:tcPr>
            <w:tcW w:w="857" w:type="dxa"/>
            <w:shd w:val="clear" w:color="auto" w:fill="auto"/>
            <w:noWrap w:val="0"/>
            <w:vAlign w:val="center"/>
          </w:tcPr>
          <w:p w14:paraId="3393AD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0.75</w:t>
            </w:r>
          </w:p>
        </w:tc>
        <w:tc>
          <w:tcPr>
            <w:tcW w:w="1050" w:type="dxa"/>
            <w:shd w:val="clear" w:color="auto" w:fill="auto"/>
            <w:noWrap w:val="0"/>
            <w:vAlign w:val="center"/>
          </w:tcPr>
          <w:p w14:paraId="7E86AF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30</w:t>
            </w:r>
          </w:p>
        </w:tc>
        <w:tc>
          <w:tcPr>
            <w:tcW w:w="1136" w:type="dxa"/>
            <w:shd w:val="clear" w:color="auto" w:fill="auto"/>
            <w:noWrap w:val="0"/>
            <w:vAlign w:val="center"/>
          </w:tcPr>
          <w:p w14:paraId="1BE59E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22.5</w:t>
            </w:r>
          </w:p>
        </w:tc>
        <w:tc>
          <w:tcPr>
            <w:tcW w:w="1114" w:type="dxa"/>
            <w:shd w:val="clear" w:color="auto" w:fill="auto"/>
            <w:noWrap w:val="0"/>
            <w:vAlign w:val="center"/>
          </w:tcPr>
          <w:p w14:paraId="1E4C65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37.50</w:t>
            </w:r>
          </w:p>
        </w:tc>
      </w:tr>
      <w:tr w14:paraId="480265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7414DF0A">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5</w:t>
            </w:r>
          </w:p>
        </w:tc>
        <w:tc>
          <w:tcPr>
            <w:tcW w:w="1361" w:type="dxa"/>
            <w:shd w:val="clear" w:color="auto" w:fill="auto"/>
            <w:noWrap w:val="0"/>
            <w:vAlign w:val="center"/>
          </w:tcPr>
          <w:p w14:paraId="6D7F82B2">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rFonts w:hint="eastAsia"/>
                <w:color w:val="auto"/>
                <w:sz w:val="21"/>
                <w:szCs w:val="21"/>
                <w:lang w:eastAsia="zh-CN"/>
              </w:rPr>
              <w:t>污水处理</w:t>
            </w:r>
          </w:p>
        </w:tc>
        <w:tc>
          <w:tcPr>
            <w:tcW w:w="1136" w:type="dxa"/>
            <w:shd w:val="clear" w:color="auto" w:fill="auto"/>
            <w:noWrap w:val="0"/>
            <w:vAlign w:val="center"/>
          </w:tcPr>
          <w:p w14:paraId="088523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rPr>
            </w:pPr>
            <w:r>
              <w:rPr>
                <w:rFonts w:hint="eastAsia"/>
                <w:color w:val="auto"/>
                <w:sz w:val="21"/>
                <w:szCs w:val="21"/>
              </w:rPr>
              <w:t>16</w:t>
            </w:r>
          </w:p>
        </w:tc>
        <w:tc>
          <w:tcPr>
            <w:tcW w:w="814" w:type="dxa"/>
            <w:shd w:val="clear" w:color="auto" w:fill="auto"/>
            <w:noWrap w:val="0"/>
            <w:vAlign w:val="center"/>
          </w:tcPr>
          <w:p w14:paraId="02BAC1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rPr>
            </w:pPr>
            <w:r>
              <w:rPr>
                <w:rFonts w:hint="eastAsia"/>
                <w:color w:val="auto"/>
                <w:sz w:val="21"/>
                <w:szCs w:val="21"/>
              </w:rPr>
              <w:t>1</w:t>
            </w:r>
          </w:p>
        </w:tc>
        <w:tc>
          <w:tcPr>
            <w:tcW w:w="643" w:type="dxa"/>
            <w:shd w:val="clear" w:color="auto" w:fill="auto"/>
            <w:noWrap w:val="0"/>
            <w:vAlign w:val="center"/>
          </w:tcPr>
          <w:p w14:paraId="20AAF8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5CA5C3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7B2EB0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16</w:t>
            </w:r>
          </w:p>
        </w:tc>
        <w:tc>
          <w:tcPr>
            <w:tcW w:w="1136" w:type="dxa"/>
            <w:shd w:val="clear" w:color="auto" w:fill="auto"/>
            <w:noWrap w:val="0"/>
            <w:vAlign w:val="center"/>
          </w:tcPr>
          <w:p w14:paraId="09E8A9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9.92</w:t>
            </w:r>
          </w:p>
        </w:tc>
        <w:tc>
          <w:tcPr>
            <w:tcW w:w="1114" w:type="dxa"/>
            <w:shd w:val="clear" w:color="auto" w:fill="auto"/>
            <w:noWrap w:val="0"/>
            <w:vAlign w:val="center"/>
          </w:tcPr>
          <w:p w14:paraId="37E13A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18.82</w:t>
            </w:r>
          </w:p>
        </w:tc>
      </w:tr>
      <w:tr w14:paraId="78FE78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431E16AA">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6</w:t>
            </w:r>
          </w:p>
        </w:tc>
        <w:tc>
          <w:tcPr>
            <w:tcW w:w="1361" w:type="dxa"/>
            <w:shd w:val="clear" w:color="auto" w:fill="auto"/>
            <w:noWrap w:val="0"/>
            <w:vAlign w:val="center"/>
          </w:tcPr>
          <w:p w14:paraId="107890C4">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广场照明</w:t>
            </w:r>
          </w:p>
        </w:tc>
        <w:tc>
          <w:tcPr>
            <w:tcW w:w="1136" w:type="dxa"/>
            <w:shd w:val="clear" w:color="auto" w:fill="auto"/>
            <w:noWrap w:val="0"/>
            <w:vAlign w:val="center"/>
          </w:tcPr>
          <w:p w14:paraId="09039B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20</w:t>
            </w:r>
          </w:p>
        </w:tc>
        <w:tc>
          <w:tcPr>
            <w:tcW w:w="814" w:type="dxa"/>
            <w:shd w:val="clear" w:color="auto" w:fill="auto"/>
            <w:noWrap w:val="0"/>
            <w:vAlign w:val="center"/>
          </w:tcPr>
          <w:p w14:paraId="3E9166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w:t>
            </w:r>
          </w:p>
        </w:tc>
        <w:tc>
          <w:tcPr>
            <w:tcW w:w="643" w:type="dxa"/>
            <w:shd w:val="clear" w:color="auto" w:fill="auto"/>
            <w:noWrap w:val="0"/>
            <w:vAlign w:val="center"/>
          </w:tcPr>
          <w:p w14:paraId="4C96EE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28B80D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59EF9F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16</w:t>
            </w:r>
          </w:p>
        </w:tc>
        <w:tc>
          <w:tcPr>
            <w:tcW w:w="1136" w:type="dxa"/>
            <w:shd w:val="clear" w:color="auto" w:fill="auto"/>
            <w:noWrap w:val="0"/>
            <w:vAlign w:val="center"/>
          </w:tcPr>
          <w:p w14:paraId="701D00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9.92</w:t>
            </w:r>
          </w:p>
        </w:tc>
        <w:tc>
          <w:tcPr>
            <w:tcW w:w="1114" w:type="dxa"/>
            <w:shd w:val="clear" w:color="auto" w:fill="auto"/>
            <w:noWrap w:val="0"/>
            <w:vAlign w:val="center"/>
          </w:tcPr>
          <w:p w14:paraId="6E671F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18.82</w:t>
            </w:r>
          </w:p>
        </w:tc>
      </w:tr>
      <w:tr w14:paraId="25C17C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0CC886EB">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7</w:t>
            </w:r>
          </w:p>
        </w:tc>
        <w:tc>
          <w:tcPr>
            <w:tcW w:w="1361" w:type="dxa"/>
            <w:shd w:val="clear" w:color="auto" w:fill="auto"/>
            <w:noWrap w:val="0"/>
            <w:vAlign w:val="center"/>
          </w:tcPr>
          <w:p w14:paraId="11FC709A">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rFonts w:hint="eastAsia"/>
                <w:color w:val="auto"/>
                <w:sz w:val="21"/>
                <w:szCs w:val="21"/>
                <w:lang w:val="en-US" w:eastAsia="zh-CN"/>
              </w:rPr>
              <w:t>其他</w:t>
            </w:r>
          </w:p>
        </w:tc>
        <w:tc>
          <w:tcPr>
            <w:tcW w:w="1136" w:type="dxa"/>
            <w:shd w:val="clear" w:color="auto" w:fill="auto"/>
            <w:noWrap w:val="0"/>
            <w:vAlign w:val="center"/>
          </w:tcPr>
          <w:p w14:paraId="501915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60</w:t>
            </w:r>
          </w:p>
        </w:tc>
        <w:tc>
          <w:tcPr>
            <w:tcW w:w="814" w:type="dxa"/>
            <w:shd w:val="clear" w:color="auto" w:fill="auto"/>
            <w:noWrap w:val="0"/>
            <w:vAlign w:val="center"/>
          </w:tcPr>
          <w:p w14:paraId="046EF8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w:t>
            </w:r>
          </w:p>
        </w:tc>
        <w:tc>
          <w:tcPr>
            <w:tcW w:w="643" w:type="dxa"/>
            <w:shd w:val="clear" w:color="auto" w:fill="auto"/>
            <w:noWrap w:val="0"/>
            <w:vAlign w:val="center"/>
          </w:tcPr>
          <w:p w14:paraId="6CF8E8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32F225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3E0050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48</w:t>
            </w:r>
          </w:p>
        </w:tc>
        <w:tc>
          <w:tcPr>
            <w:tcW w:w="1136" w:type="dxa"/>
            <w:shd w:val="clear" w:color="auto" w:fill="auto"/>
            <w:noWrap w:val="0"/>
            <w:vAlign w:val="center"/>
          </w:tcPr>
          <w:p w14:paraId="77B057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29.75</w:t>
            </w:r>
          </w:p>
        </w:tc>
        <w:tc>
          <w:tcPr>
            <w:tcW w:w="1114" w:type="dxa"/>
            <w:shd w:val="clear" w:color="auto" w:fill="auto"/>
            <w:noWrap w:val="0"/>
            <w:vAlign w:val="center"/>
          </w:tcPr>
          <w:p w14:paraId="4647C5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56.47</w:t>
            </w:r>
          </w:p>
        </w:tc>
      </w:tr>
      <w:tr w14:paraId="4745A3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3B28A6CD">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pacing w:val="4"/>
                <w:sz w:val="21"/>
                <w:szCs w:val="21"/>
              </w:rPr>
              <w:t>合计</w:t>
            </w:r>
          </w:p>
        </w:tc>
        <w:tc>
          <w:tcPr>
            <w:tcW w:w="1050" w:type="dxa"/>
            <w:shd w:val="clear" w:color="auto" w:fill="auto"/>
            <w:noWrap w:val="0"/>
            <w:vAlign w:val="center"/>
          </w:tcPr>
          <w:p w14:paraId="2A1B62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782</w:t>
            </w:r>
          </w:p>
        </w:tc>
        <w:tc>
          <w:tcPr>
            <w:tcW w:w="1136" w:type="dxa"/>
            <w:shd w:val="clear" w:color="auto" w:fill="auto"/>
            <w:noWrap w:val="0"/>
            <w:vAlign w:val="center"/>
          </w:tcPr>
          <w:p w14:paraId="7FDE39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479</w:t>
            </w:r>
          </w:p>
        </w:tc>
        <w:tc>
          <w:tcPr>
            <w:tcW w:w="1114" w:type="dxa"/>
            <w:shd w:val="clear" w:color="auto" w:fill="auto"/>
            <w:noWrap w:val="0"/>
            <w:vAlign w:val="center"/>
          </w:tcPr>
          <w:p w14:paraId="371027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916.8</w:t>
            </w:r>
          </w:p>
        </w:tc>
      </w:tr>
      <w:tr w14:paraId="5A9659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43A6F849">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color w:val="auto"/>
                <w:spacing w:val="5"/>
                <w:sz w:val="21"/>
                <w:szCs w:val="21"/>
                <w:lang w:eastAsia="zh-CN"/>
              </w:rPr>
              <w:t>乘同时系数∑</w:t>
            </w:r>
            <w:r>
              <w:rPr>
                <w:color w:val="auto"/>
                <w:sz w:val="21"/>
                <w:szCs w:val="21"/>
                <w:lang w:eastAsia="zh-CN"/>
              </w:rPr>
              <w:t>Kp</w:t>
            </w:r>
            <w:r>
              <w:rPr>
                <w:color w:val="auto"/>
                <w:spacing w:val="5"/>
                <w:sz w:val="21"/>
                <w:szCs w:val="21"/>
                <w:lang w:eastAsia="zh-CN"/>
              </w:rPr>
              <w:t>=0.9；</w:t>
            </w:r>
            <w:r>
              <w:rPr>
                <w:color w:val="auto"/>
                <w:spacing w:val="-50"/>
                <w:sz w:val="21"/>
                <w:szCs w:val="21"/>
                <w:lang w:eastAsia="zh-CN"/>
              </w:rPr>
              <w:t xml:space="preserve"> </w:t>
            </w:r>
            <w:r>
              <w:rPr>
                <w:color w:val="auto"/>
                <w:spacing w:val="5"/>
                <w:sz w:val="21"/>
                <w:szCs w:val="21"/>
                <w:lang w:eastAsia="zh-CN"/>
              </w:rPr>
              <w:t>∑</w:t>
            </w:r>
            <w:r>
              <w:rPr>
                <w:color w:val="auto"/>
                <w:sz w:val="21"/>
                <w:szCs w:val="21"/>
                <w:lang w:eastAsia="zh-CN"/>
              </w:rPr>
              <w:t>Kq</w:t>
            </w:r>
            <w:r>
              <w:rPr>
                <w:color w:val="auto"/>
                <w:spacing w:val="5"/>
                <w:sz w:val="21"/>
                <w:szCs w:val="21"/>
                <w:lang w:eastAsia="zh-CN"/>
              </w:rPr>
              <w:t>=0.95</w:t>
            </w:r>
          </w:p>
        </w:tc>
        <w:tc>
          <w:tcPr>
            <w:tcW w:w="1050" w:type="dxa"/>
            <w:shd w:val="clear" w:color="auto" w:fill="auto"/>
            <w:noWrap w:val="0"/>
            <w:vAlign w:val="center"/>
          </w:tcPr>
          <w:p w14:paraId="33EA5B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703.2</w:t>
            </w:r>
          </w:p>
        </w:tc>
        <w:tc>
          <w:tcPr>
            <w:tcW w:w="1136" w:type="dxa"/>
            <w:shd w:val="clear" w:color="auto" w:fill="auto"/>
            <w:noWrap w:val="0"/>
            <w:vAlign w:val="center"/>
          </w:tcPr>
          <w:p w14:paraId="4E64B8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454.7</w:t>
            </w:r>
          </w:p>
        </w:tc>
        <w:tc>
          <w:tcPr>
            <w:tcW w:w="1114" w:type="dxa"/>
            <w:shd w:val="clear" w:color="auto" w:fill="auto"/>
            <w:noWrap w:val="0"/>
            <w:vAlign w:val="center"/>
          </w:tcPr>
          <w:p w14:paraId="507A19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r>
              <w:rPr>
                <w:rFonts w:hint="eastAsia" w:ascii="Arial"/>
                <w:color w:val="auto"/>
                <w:sz w:val="21"/>
                <w:szCs w:val="21"/>
              </w:rPr>
              <w:t>837.9</w:t>
            </w:r>
          </w:p>
        </w:tc>
      </w:tr>
      <w:tr w14:paraId="16B965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7B84BC47">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pacing w:val="8"/>
                <w:sz w:val="21"/>
                <w:szCs w:val="21"/>
              </w:rPr>
              <w:t>无功功率补偿量</w:t>
            </w:r>
          </w:p>
        </w:tc>
        <w:tc>
          <w:tcPr>
            <w:tcW w:w="1050" w:type="dxa"/>
            <w:shd w:val="clear" w:color="auto" w:fill="auto"/>
            <w:noWrap w:val="0"/>
            <w:vAlign w:val="center"/>
          </w:tcPr>
          <w:p w14:paraId="633D6D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p>
        </w:tc>
        <w:tc>
          <w:tcPr>
            <w:tcW w:w="1136" w:type="dxa"/>
            <w:shd w:val="clear" w:color="auto" w:fill="auto"/>
            <w:noWrap w:val="0"/>
            <w:vAlign w:val="center"/>
          </w:tcPr>
          <w:p w14:paraId="5DE3B0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300</w:t>
            </w:r>
          </w:p>
        </w:tc>
        <w:tc>
          <w:tcPr>
            <w:tcW w:w="1114" w:type="dxa"/>
            <w:shd w:val="clear" w:color="auto" w:fill="auto"/>
            <w:noWrap w:val="0"/>
            <w:vAlign w:val="center"/>
          </w:tcPr>
          <w:p w14:paraId="6CE13F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p>
        </w:tc>
      </w:tr>
      <w:tr w14:paraId="07C589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tcBorders>
              <w:bottom w:val="single" w:color="auto" w:sz="4" w:space="0"/>
            </w:tcBorders>
            <w:shd w:val="clear" w:color="auto" w:fill="auto"/>
            <w:noWrap w:val="0"/>
            <w:vAlign w:val="center"/>
          </w:tcPr>
          <w:p w14:paraId="1AE1DE16">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pacing w:val="8"/>
                <w:sz w:val="21"/>
                <w:szCs w:val="21"/>
              </w:rPr>
              <w:t>补偿后(功率因数</w:t>
            </w:r>
            <w:r>
              <w:rPr>
                <w:color w:val="auto"/>
                <w:spacing w:val="-13"/>
                <w:sz w:val="21"/>
                <w:szCs w:val="21"/>
              </w:rPr>
              <w:t xml:space="preserve"> </w:t>
            </w:r>
            <w:r>
              <w:rPr>
                <w:rFonts w:ascii="Times New Roman" w:hAnsi="Times New Roman" w:eastAsia="Times New Roman" w:cs="Times New Roman"/>
                <w:color w:val="auto"/>
                <w:spacing w:val="8"/>
                <w:sz w:val="21"/>
                <w:szCs w:val="21"/>
              </w:rPr>
              <w:t>0.95</w:t>
            </w:r>
            <w:r>
              <w:rPr>
                <w:color w:val="auto"/>
                <w:spacing w:val="8"/>
                <w:sz w:val="21"/>
                <w:szCs w:val="21"/>
              </w:rPr>
              <w:t>）</w:t>
            </w:r>
          </w:p>
        </w:tc>
        <w:tc>
          <w:tcPr>
            <w:tcW w:w="1050" w:type="dxa"/>
            <w:tcBorders>
              <w:bottom w:val="single" w:color="auto" w:sz="4" w:space="0"/>
            </w:tcBorders>
            <w:shd w:val="clear" w:color="auto" w:fill="auto"/>
            <w:noWrap w:val="0"/>
            <w:vAlign w:val="center"/>
          </w:tcPr>
          <w:p w14:paraId="1E3DC9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711</w:t>
            </w:r>
          </w:p>
        </w:tc>
        <w:tc>
          <w:tcPr>
            <w:tcW w:w="1136" w:type="dxa"/>
            <w:tcBorders>
              <w:bottom w:val="single" w:color="auto" w:sz="4" w:space="0"/>
            </w:tcBorders>
            <w:shd w:val="clear" w:color="auto" w:fill="auto"/>
            <w:noWrap w:val="0"/>
            <w:vAlign w:val="center"/>
          </w:tcPr>
          <w:p w14:paraId="3E9EC3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154.7</w:t>
            </w:r>
          </w:p>
        </w:tc>
        <w:tc>
          <w:tcPr>
            <w:tcW w:w="1114" w:type="dxa"/>
            <w:tcBorders>
              <w:bottom w:val="single" w:color="auto" w:sz="4" w:space="0"/>
            </w:tcBorders>
            <w:shd w:val="clear" w:color="auto" w:fill="auto"/>
            <w:noWrap w:val="0"/>
            <w:vAlign w:val="center"/>
          </w:tcPr>
          <w:p w14:paraId="0D5665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736.1</w:t>
            </w:r>
          </w:p>
        </w:tc>
      </w:tr>
      <w:tr w14:paraId="22ED54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8565" w:type="dxa"/>
            <w:gridSpan w:val="9"/>
            <w:tcBorders>
              <w:bottom w:val="single" w:color="auto" w:sz="4" w:space="0"/>
            </w:tcBorders>
            <w:shd w:val="clear" w:color="auto" w:fill="auto"/>
            <w:noWrap w:val="0"/>
            <w:vAlign w:val="center"/>
          </w:tcPr>
          <w:p w14:paraId="107055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rPr>
            </w:pPr>
            <w:r>
              <w:rPr>
                <w:rFonts w:hint="eastAsia"/>
                <w:color w:val="auto"/>
                <w:spacing w:val="8"/>
                <w:sz w:val="21"/>
                <w:szCs w:val="21"/>
                <w:lang w:val="en-US" w:eastAsia="zh-CN"/>
              </w:rPr>
              <w:t>变压器负荷率：选用2台500KVA变压器，KH=73.61%</w:t>
            </w:r>
          </w:p>
        </w:tc>
      </w:tr>
      <w:tr w14:paraId="70D502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vMerge w:val="restart"/>
            <w:tcBorders>
              <w:top w:val="single" w:color="auto" w:sz="4" w:space="0"/>
              <w:left w:val="single" w:color="auto" w:sz="4" w:space="0"/>
              <w:bottom w:val="nil"/>
            </w:tcBorders>
            <w:shd w:val="clear" w:color="auto" w:fill="auto"/>
            <w:noWrap w:val="0"/>
            <w:textDirection w:val="tbRlV"/>
            <w:vAlign w:val="center"/>
          </w:tcPr>
          <w:p w14:paraId="6EAE76A5">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6"/>
                <w:sz w:val="21"/>
                <w:szCs w:val="21"/>
              </w:rPr>
              <w:t>序</w:t>
            </w:r>
            <w:r>
              <w:rPr>
                <w:color w:val="auto"/>
                <w:spacing w:val="-38"/>
                <w:sz w:val="21"/>
                <w:szCs w:val="21"/>
              </w:rPr>
              <w:t xml:space="preserve"> </w:t>
            </w:r>
            <w:r>
              <w:rPr>
                <w:b/>
                <w:bCs/>
                <w:color w:val="auto"/>
                <w:spacing w:val="6"/>
                <w:sz w:val="21"/>
                <w:szCs w:val="21"/>
              </w:rPr>
              <w:t>号</w:t>
            </w:r>
          </w:p>
        </w:tc>
        <w:tc>
          <w:tcPr>
            <w:tcW w:w="1361" w:type="dxa"/>
            <w:vMerge w:val="restart"/>
            <w:tcBorders>
              <w:top w:val="single" w:color="auto" w:sz="4" w:space="0"/>
              <w:bottom w:val="nil"/>
            </w:tcBorders>
            <w:shd w:val="clear" w:color="auto" w:fill="auto"/>
            <w:noWrap w:val="0"/>
            <w:vAlign w:val="center"/>
          </w:tcPr>
          <w:p w14:paraId="44D8FD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p w14:paraId="14D961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p w14:paraId="69D547AC">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5"/>
                <w:sz w:val="21"/>
                <w:szCs w:val="21"/>
              </w:rPr>
              <w:t>名称</w:t>
            </w:r>
          </w:p>
        </w:tc>
        <w:tc>
          <w:tcPr>
            <w:tcW w:w="1136" w:type="dxa"/>
            <w:vMerge w:val="restart"/>
            <w:tcBorders>
              <w:top w:val="single" w:color="auto" w:sz="4" w:space="0"/>
              <w:bottom w:val="nil"/>
            </w:tcBorders>
            <w:shd w:val="clear" w:color="auto" w:fill="auto"/>
            <w:noWrap w:val="0"/>
            <w:vAlign w:val="center"/>
          </w:tcPr>
          <w:p w14:paraId="1FE98CE9">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1"/>
                <w:sz w:val="21"/>
                <w:szCs w:val="21"/>
              </w:rPr>
              <w:t>总功</w:t>
            </w:r>
            <w:r>
              <w:rPr>
                <w:b/>
                <w:bCs/>
                <w:color w:val="auto"/>
                <w:spacing w:val="-3"/>
                <w:sz w:val="21"/>
                <w:szCs w:val="21"/>
              </w:rPr>
              <w:t>率</w:t>
            </w:r>
            <w:r>
              <w:rPr>
                <w:b/>
                <w:bCs/>
                <w:color w:val="auto"/>
                <w:spacing w:val="-2"/>
                <w:sz w:val="21"/>
                <w:szCs w:val="21"/>
              </w:rPr>
              <w:t>（kW</w:t>
            </w:r>
            <w:r>
              <w:rPr>
                <w:b/>
                <w:bCs/>
                <w:color w:val="auto"/>
                <w:spacing w:val="-3"/>
                <w:sz w:val="21"/>
                <w:szCs w:val="21"/>
              </w:rPr>
              <w:t>)</w:t>
            </w:r>
          </w:p>
        </w:tc>
        <w:tc>
          <w:tcPr>
            <w:tcW w:w="2314" w:type="dxa"/>
            <w:gridSpan w:val="3"/>
            <w:tcBorders>
              <w:top w:val="single" w:color="auto" w:sz="4" w:space="0"/>
            </w:tcBorders>
            <w:shd w:val="clear" w:color="auto" w:fill="auto"/>
            <w:noWrap w:val="0"/>
            <w:vAlign w:val="center"/>
          </w:tcPr>
          <w:p w14:paraId="7BA4F6C1">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6"/>
                <w:sz w:val="21"/>
                <w:szCs w:val="21"/>
              </w:rPr>
              <w:t>计算系数</w:t>
            </w:r>
          </w:p>
        </w:tc>
        <w:tc>
          <w:tcPr>
            <w:tcW w:w="3300" w:type="dxa"/>
            <w:gridSpan w:val="3"/>
            <w:tcBorders>
              <w:top w:val="single" w:color="auto" w:sz="4" w:space="0"/>
              <w:right w:val="single" w:color="auto" w:sz="4" w:space="0"/>
            </w:tcBorders>
            <w:shd w:val="clear" w:color="auto" w:fill="auto"/>
            <w:noWrap w:val="0"/>
            <w:vAlign w:val="center"/>
          </w:tcPr>
          <w:p w14:paraId="586C9B28">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6"/>
                <w:sz w:val="21"/>
                <w:szCs w:val="21"/>
              </w:rPr>
              <w:t>计算负荷</w:t>
            </w:r>
          </w:p>
        </w:tc>
      </w:tr>
      <w:tr w14:paraId="0C9F20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vMerge w:val="continue"/>
            <w:tcBorders>
              <w:top w:val="nil"/>
              <w:left w:val="single" w:color="auto" w:sz="4" w:space="0"/>
              <w:bottom w:val="single" w:color="auto" w:sz="4" w:space="0"/>
            </w:tcBorders>
            <w:shd w:val="clear" w:color="auto" w:fill="auto"/>
            <w:noWrap w:val="0"/>
            <w:textDirection w:val="tbRlV"/>
            <w:vAlign w:val="center"/>
          </w:tcPr>
          <w:p w14:paraId="0BCD27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1361" w:type="dxa"/>
            <w:vMerge w:val="continue"/>
            <w:tcBorders>
              <w:top w:val="nil"/>
              <w:bottom w:val="single" w:color="auto" w:sz="4" w:space="0"/>
            </w:tcBorders>
            <w:shd w:val="clear" w:color="auto" w:fill="auto"/>
            <w:noWrap w:val="0"/>
            <w:vAlign w:val="center"/>
          </w:tcPr>
          <w:p w14:paraId="4B60DD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1136" w:type="dxa"/>
            <w:vMerge w:val="continue"/>
            <w:tcBorders>
              <w:top w:val="nil"/>
              <w:bottom w:val="single" w:color="auto" w:sz="4" w:space="0"/>
            </w:tcBorders>
            <w:shd w:val="clear" w:color="auto" w:fill="auto"/>
            <w:noWrap w:val="0"/>
            <w:vAlign w:val="center"/>
          </w:tcPr>
          <w:p w14:paraId="3F6BF9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814" w:type="dxa"/>
            <w:tcBorders>
              <w:bottom w:val="single" w:color="auto" w:sz="4" w:space="0"/>
            </w:tcBorders>
            <w:shd w:val="clear" w:color="auto" w:fill="auto"/>
            <w:noWrap w:val="0"/>
            <w:vAlign w:val="center"/>
          </w:tcPr>
          <w:p w14:paraId="617EC7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p w14:paraId="6152FF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1"/>
                <w:position w:val="1"/>
                <w:sz w:val="21"/>
                <w:szCs w:val="21"/>
              </w:rPr>
              <w:t>Kx</w:t>
            </w:r>
          </w:p>
        </w:tc>
        <w:tc>
          <w:tcPr>
            <w:tcW w:w="643" w:type="dxa"/>
            <w:tcBorders>
              <w:bottom w:val="single" w:color="auto" w:sz="4" w:space="0"/>
            </w:tcBorders>
            <w:shd w:val="clear" w:color="auto" w:fill="auto"/>
            <w:noWrap w:val="0"/>
            <w:vAlign w:val="center"/>
          </w:tcPr>
          <w:p w14:paraId="70CAE1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微软雅黑" w:hAnsi="微软雅黑" w:eastAsia="微软雅黑" w:cs="微软雅黑"/>
                <w:color w:val="auto"/>
                <w:sz w:val="21"/>
                <w:szCs w:val="21"/>
              </w:rPr>
            </w:pPr>
            <w:r>
              <w:rPr>
                <w:rFonts w:ascii="楷体" w:hAnsi="楷体" w:eastAsia="楷体" w:cs="楷体"/>
                <w:b/>
                <w:bCs/>
                <w:color w:val="auto"/>
                <w:spacing w:val="1"/>
                <w:sz w:val="21"/>
                <w:szCs w:val="21"/>
              </w:rPr>
              <w:t>cos</w:t>
            </w:r>
            <w:r>
              <w:rPr>
                <w:rFonts w:ascii="楷体" w:hAnsi="楷体" w:eastAsia="楷体" w:cs="楷体"/>
                <w:color w:val="auto"/>
                <w:sz w:val="21"/>
                <w:szCs w:val="21"/>
              </w:rPr>
              <w:t xml:space="preserve"> </w:t>
            </w:r>
          </w:p>
        </w:tc>
        <w:tc>
          <w:tcPr>
            <w:tcW w:w="857" w:type="dxa"/>
            <w:tcBorders>
              <w:bottom w:val="single" w:color="auto" w:sz="4" w:space="0"/>
            </w:tcBorders>
            <w:shd w:val="clear" w:color="auto" w:fill="auto"/>
            <w:noWrap w:val="0"/>
            <w:vAlign w:val="center"/>
          </w:tcPr>
          <w:p w14:paraId="5FB1B0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微软雅黑" w:hAnsi="微软雅黑" w:eastAsia="微软雅黑" w:cs="微软雅黑"/>
                <w:color w:val="auto"/>
                <w:sz w:val="21"/>
                <w:szCs w:val="21"/>
              </w:rPr>
            </w:pPr>
            <w:r>
              <w:rPr>
                <w:rFonts w:ascii="楷体" w:hAnsi="楷体" w:eastAsia="楷体" w:cs="楷体"/>
                <w:b/>
                <w:bCs/>
                <w:color w:val="auto"/>
                <w:position w:val="6"/>
                <w:sz w:val="21"/>
                <w:szCs w:val="21"/>
              </w:rPr>
              <w:t>tg</w:t>
            </w:r>
          </w:p>
        </w:tc>
        <w:tc>
          <w:tcPr>
            <w:tcW w:w="1050" w:type="dxa"/>
            <w:tcBorders>
              <w:bottom w:val="single" w:color="auto" w:sz="4" w:space="0"/>
            </w:tcBorders>
            <w:shd w:val="clear" w:color="auto" w:fill="auto"/>
            <w:noWrap w:val="0"/>
            <w:vAlign w:val="center"/>
          </w:tcPr>
          <w:p w14:paraId="20EF51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5"/>
                <w:sz w:val="21"/>
                <w:szCs w:val="21"/>
              </w:rPr>
              <w:t>有功功</w:t>
            </w:r>
            <w:r>
              <w:rPr>
                <w:rFonts w:ascii="楷体" w:hAnsi="楷体" w:eastAsia="楷体" w:cs="楷体"/>
                <w:b/>
                <w:bCs/>
                <w:color w:val="auto"/>
                <w:spacing w:val="-4"/>
                <w:sz w:val="21"/>
                <w:szCs w:val="21"/>
              </w:rPr>
              <w:t>率</w:t>
            </w:r>
            <w:r>
              <w:rPr>
                <w:rFonts w:ascii="楷体" w:hAnsi="楷体" w:eastAsia="楷体" w:cs="楷体"/>
                <w:color w:val="auto"/>
                <w:spacing w:val="-35"/>
                <w:sz w:val="21"/>
                <w:szCs w:val="21"/>
              </w:rPr>
              <w:t xml:space="preserve"> </w:t>
            </w:r>
            <w:r>
              <w:rPr>
                <w:rFonts w:ascii="楷体" w:hAnsi="楷体" w:eastAsia="楷体" w:cs="楷体"/>
                <w:b/>
                <w:bCs/>
                <w:color w:val="auto"/>
                <w:spacing w:val="-4"/>
                <w:sz w:val="21"/>
                <w:szCs w:val="21"/>
              </w:rPr>
              <w:t>kW</w:t>
            </w:r>
          </w:p>
        </w:tc>
        <w:tc>
          <w:tcPr>
            <w:tcW w:w="1136" w:type="dxa"/>
            <w:tcBorders>
              <w:bottom w:val="single" w:color="auto" w:sz="4" w:space="0"/>
            </w:tcBorders>
            <w:shd w:val="clear" w:color="auto" w:fill="auto"/>
            <w:noWrap w:val="0"/>
            <w:vAlign w:val="center"/>
          </w:tcPr>
          <w:p w14:paraId="072D48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5"/>
                <w:sz w:val="21"/>
                <w:szCs w:val="21"/>
              </w:rPr>
              <w:t>无功功</w:t>
            </w:r>
            <w:r>
              <w:rPr>
                <w:rFonts w:ascii="楷体" w:hAnsi="楷体" w:eastAsia="楷体" w:cs="楷体"/>
                <w:b/>
                <w:bCs/>
                <w:color w:val="auto"/>
                <w:spacing w:val="-1"/>
                <w:sz w:val="21"/>
                <w:szCs w:val="21"/>
              </w:rPr>
              <w:t>率</w:t>
            </w:r>
            <w:r>
              <w:rPr>
                <w:rFonts w:ascii="楷体" w:hAnsi="楷体" w:eastAsia="楷体" w:cs="楷体"/>
                <w:color w:val="auto"/>
                <w:spacing w:val="-36"/>
                <w:sz w:val="21"/>
                <w:szCs w:val="21"/>
              </w:rPr>
              <w:t xml:space="preserve"> </w:t>
            </w:r>
            <w:r>
              <w:rPr>
                <w:rFonts w:ascii="楷体" w:hAnsi="楷体" w:eastAsia="楷体" w:cs="楷体"/>
                <w:b/>
                <w:bCs/>
                <w:color w:val="auto"/>
                <w:spacing w:val="-1"/>
                <w:sz w:val="21"/>
                <w:szCs w:val="21"/>
              </w:rPr>
              <w:t>kvar</w:t>
            </w:r>
          </w:p>
        </w:tc>
        <w:tc>
          <w:tcPr>
            <w:tcW w:w="1114" w:type="dxa"/>
            <w:tcBorders>
              <w:bottom w:val="single" w:color="auto" w:sz="4" w:space="0"/>
              <w:right w:val="single" w:color="auto" w:sz="4" w:space="0"/>
            </w:tcBorders>
            <w:shd w:val="clear" w:color="auto" w:fill="auto"/>
            <w:noWrap w:val="0"/>
            <w:vAlign w:val="center"/>
          </w:tcPr>
          <w:p w14:paraId="76AF77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6"/>
                <w:sz w:val="21"/>
                <w:szCs w:val="21"/>
              </w:rPr>
              <w:t>视在功</w:t>
            </w:r>
            <w:r>
              <w:rPr>
                <w:rFonts w:ascii="楷体" w:hAnsi="楷体" w:eastAsia="楷体" w:cs="楷体"/>
                <w:b/>
                <w:bCs/>
                <w:color w:val="auto"/>
                <w:spacing w:val="-2"/>
                <w:sz w:val="21"/>
                <w:szCs w:val="21"/>
              </w:rPr>
              <w:t>率</w:t>
            </w:r>
            <w:r>
              <w:rPr>
                <w:rFonts w:ascii="楷体" w:hAnsi="楷体" w:eastAsia="楷体" w:cs="楷体"/>
                <w:color w:val="auto"/>
                <w:spacing w:val="-33"/>
                <w:sz w:val="21"/>
                <w:szCs w:val="21"/>
              </w:rPr>
              <w:t xml:space="preserve"> </w:t>
            </w:r>
            <w:r>
              <w:rPr>
                <w:rFonts w:ascii="楷体" w:hAnsi="楷体" w:eastAsia="楷体" w:cs="楷体"/>
                <w:b/>
                <w:bCs/>
                <w:color w:val="auto"/>
                <w:spacing w:val="-2"/>
                <w:sz w:val="21"/>
                <w:szCs w:val="21"/>
              </w:rPr>
              <w:t>kVA</w:t>
            </w:r>
          </w:p>
        </w:tc>
      </w:tr>
      <w:tr w14:paraId="658BCE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tcBorders>
              <w:top w:val="single" w:color="auto" w:sz="4" w:space="0"/>
            </w:tcBorders>
            <w:shd w:val="clear" w:color="auto" w:fill="auto"/>
            <w:noWrap w:val="0"/>
            <w:textDirection w:val="tbRlV"/>
            <w:vAlign w:val="center"/>
          </w:tcPr>
          <w:p w14:paraId="4635AF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8111" w:type="dxa"/>
            <w:gridSpan w:val="8"/>
            <w:tcBorders>
              <w:top w:val="single" w:color="auto" w:sz="4" w:space="0"/>
            </w:tcBorders>
            <w:shd w:val="clear" w:color="auto" w:fill="auto"/>
            <w:noWrap w:val="0"/>
            <w:vAlign w:val="center"/>
          </w:tcPr>
          <w:p w14:paraId="3C862A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楷体" w:hAnsi="楷体" w:eastAsia="楷体" w:cs="楷体"/>
                <w:b/>
                <w:bCs/>
                <w:color w:val="auto"/>
                <w:spacing w:val="6"/>
                <w:sz w:val="21"/>
                <w:szCs w:val="21"/>
              </w:rPr>
            </w:pPr>
            <w:r>
              <w:rPr>
                <w:rFonts w:hint="eastAsia" w:ascii="楷体" w:hAnsi="楷体" w:eastAsia="楷体" w:cs="楷体"/>
                <w:b/>
                <w:bCs/>
                <w:color w:val="auto"/>
                <w:spacing w:val="6"/>
                <w:sz w:val="21"/>
                <w:szCs w:val="21"/>
              </w:rPr>
              <w:t>西服务区（选用2*630KVA变压器）</w:t>
            </w:r>
          </w:p>
        </w:tc>
      </w:tr>
      <w:tr w14:paraId="65C4AB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35200578">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1</w:t>
            </w:r>
          </w:p>
        </w:tc>
        <w:tc>
          <w:tcPr>
            <w:tcW w:w="1361" w:type="dxa"/>
            <w:shd w:val="clear" w:color="auto" w:fill="auto"/>
            <w:noWrap w:val="0"/>
            <w:vAlign w:val="center"/>
          </w:tcPr>
          <w:p w14:paraId="0BA16447">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综合楼</w:t>
            </w:r>
          </w:p>
        </w:tc>
        <w:tc>
          <w:tcPr>
            <w:tcW w:w="1136" w:type="dxa"/>
            <w:shd w:val="clear" w:color="auto" w:fill="auto"/>
            <w:noWrap w:val="0"/>
            <w:vAlign w:val="center"/>
          </w:tcPr>
          <w:p w14:paraId="254843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864</w:t>
            </w:r>
          </w:p>
        </w:tc>
        <w:tc>
          <w:tcPr>
            <w:tcW w:w="814" w:type="dxa"/>
            <w:shd w:val="clear" w:color="auto" w:fill="auto"/>
            <w:noWrap w:val="0"/>
            <w:vAlign w:val="center"/>
          </w:tcPr>
          <w:p w14:paraId="15D880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864</w:t>
            </w:r>
          </w:p>
        </w:tc>
        <w:tc>
          <w:tcPr>
            <w:tcW w:w="643" w:type="dxa"/>
            <w:shd w:val="clear" w:color="auto" w:fill="auto"/>
            <w:noWrap w:val="0"/>
            <w:vAlign w:val="center"/>
          </w:tcPr>
          <w:p w14:paraId="2709DB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0.75</w:t>
            </w:r>
          </w:p>
        </w:tc>
        <w:tc>
          <w:tcPr>
            <w:tcW w:w="857" w:type="dxa"/>
            <w:shd w:val="clear" w:color="auto" w:fill="auto"/>
            <w:noWrap w:val="0"/>
            <w:vAlign w:val="center"/>
          </w:tcPr>
          <w:p w14:paraId="1EC335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0.85</w:t>
            </w:r>
          </w:p>
        </w:tc>
        <w:tc>
          <w:tcPr>
            <w:tcW w:w="1050" w:type="dxa"/>
            <w:shd w:val="clear" w:color="auto" w:fill="auto"/>
            <w:noWrap w:val="0"/>
            <w:vAlign w:val="center"/>
          </w:tcPr>
          <w:p w14:paraId="78631A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0.62</w:t>
            </w:r>
          </w:p>
        </w:tc>
        <w:tc>
          <w:tcPr>
            <w:tcW w:w="1136" w:type="dxa"/>
            <w:shd w:val="clear" w:color="auto" w:fill="auto"/>
            <w:noWrap w:val="0"/>
            <w:vAlign w:val="center"/>
          </w:tcPr>
          <w:p w14:paraId="20981B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648</w:t>
            </w:r>
          </w:p>
        </w:tc>
        <w:tc>
          <w:tcPr>
            <w:tcW w:w="1114" w:type="dxa"/>
            <w:shd w:val="clear" w:color="auto" w:fill="auto"/>
            <w:noWrap w:val="0"/>
            <w:vAlign w:val="center"/>
          </w:tcPr>
          <w:p w14:paraId="2DD123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401.59</w:t>
            </w:r>
          </w:p>
        </w:tc>
      </w:tr>
      <w:tr w14:paraId="11D309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4403F23E">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2</w:t>
            </w:r>
          </w:p>
        </w:tc>
        <w:tc>
          <w:tcPr>
            <w:tcW w:w="1361" w:type="dxa"/>
            <w:shd w:val="clear" w:color="auto" w:fill="auto"/>
            <w:noWrap w:val="0"/>
            <w:vAlign w:val="center"/>
          </w:tcPr>
          <w:p w14:paraId="1CE76D90">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修车库</w:t>
            </w:r>
          </w:p>
        </w:tc>
        <w:tc>
          <w:tcPr>
            <w:tcW w:w="1136" w:type="dxa"/>
            <w:shd w:val="clear" w:color="auto" w:fill="auto"/>
            <w:noWrap w:val="0"/>
            <w:vAlign w:val="center"/>
          </w:tcPr>
          <w:p w14:paraId="0F56D1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30</w:t>
            </w:r>
          </w:p>
        </w:tc>
        <w:tc>
          <w:tcPr>
            <w:tcW w:w="814" w:type="dxa"/>
            <w:shd w:val="clear" w:color="auto" w:fill="auto"/>
            <w:noWrap w:val="0"/>
            <w:vAlign w:val="center"/>
          </w:tcPr>
          <w:p w14:paraId="6CBDD8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0.8</w:t>
            </w:r>
          </w:p>
        </w:tc>
        <w:tc>
          <w:tcPr>
            <w:tcW w:w="643" w:type="dxa"/>
            <w:shd w:val="clear" w:color="auto" w:fill="auto"/>
            <w:noWrap w:val="0"/>
            <w:vAlign w:val="center"/>
          </w:tcPr>
          <w:p w14:paraId="05B950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46D66D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62DCDD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24</w:t>
            </w:r>
          </w:p>
        </w:tc>
        <w:tc>
          <w:tcPr>
            <w:tcW w:w="1136" w:type="dxa"/>
            <w:shd w:val="clear" w:color="auto" w:fill="auto"/>
            <w:noWrap w:val="0"/>
            <w:vAlign w:val="center"/>
          </w:tcPr>
          <w:p w14:paraId="2B87F8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14.87</w:t>
            </w:r>
          </w:p>
        </w:tc>
        <w:tc>
          <w:tcPr>
            <w:tcW w:w="1114" w:type="dxa"/>
            <w:shd w:val="clear" w:color="auto" w:fill="auto"/>
            <w:noWrap w:val="0"/>
            <w:vAlign w:val="center"/>
          </w:tcPr>
          <w:p w14:paraId="06B6F4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28.24</w:t>
            </w:r>
          </w:p>
        </w:tc>
      </w:tr>
      <w:tr w14:paraId="5A3933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4A6B267A">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3</w:t>
            </w:r>
          </w:p>
        </w:tc>
        <w:tc>
          <w:tcPr>
            <w:tcW w:w="1361" w:type="dxa"/>
            <w:shd w:val="clear" w:color="auto" w:fill="auto"/>
            <w:noWrap w:val="0"/>
            <w:vAlign w:val="center"/>
          </w:tcPr>
          <w:p w14:paraId="73771ED8">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设备房</w:t>
            </w:r>
          </w:p>
        </w:tc>
        <w:tc>
          <w:tcPr>
            <w:tcW w:w="1136" w:type="dxa"/>
            <w:shd w:val="clear" w:color="auto" w:fill="auto"/>
            <w:noWrap w:val="0"/>
            <w:vAlign w:val="center"/>
          </w:tcPr>
          <w:p w14:paraId="56ED7D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30</w:t>
            </w:r>
          </w:p>
        </w:tc>
        <w:tc>
          <w:tcPr>
            <w:tcW w:w="814" w:type="dxa"/>
            <w:shd w:val="clear" w:color="auto" w:fill="auto"/>
            <w:noWrap w:val="0"/>
            <w:vAlign w:val="center"/>
          </w:tcPr>
          <w:p w14:paraId="545498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1</w:t>
            </w:r>
          </w:p>
        </w:tc>
        <w:tc>
          <w:tcPr>
            <w:tcW w:w="643" w:type="dxa"/>
            <w:shd w:val="clear" w:color="auto" w:fill="auto"/>
            <w:noWrap w:val="0"/>
            <w:vAlign w:val="center"/>
          </w:tcPr>
          <w:p w14:paraId="2F70EB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w:t>
            </w:r>
          </w:p>
        </w:tc>
        <w:tc>
          <w:tcPr>
            <w:tcW w:w="857" w:type="dxa"/>
            <w:shd w:val="clear" w:color="auto" w:fill="auto"/>
            <w:noWrap w:val="0"/>
            <w:vAlign w:val="center"/>
          </w:tcPr>
          <w:p w14:paraId="6DD8CB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0.75</w:t>
            </w:r>
          </w:p>
        </w:tc>
        <w:tc>
          <w:tcPr>
            <w:tcW w:w="1050" w:type="dxa"/>
            <w:shd w:val="clear" w:color="auto" w:fill="auto"/>
            <w:noWrap w:val="0"/>
            <w:vAlign w:val="center"/>
          </w:tcPr>
          <w:p w14:paraId="746608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30</w:t>
            </w:r>
          </w:p>
        </w:tc>
        <w:tc>
          <w:tcPr>
            <w:tcW w:w="1136" w:type="dxa"/>
            <w:shd w:val="clear" w:color="auto" w:fill="auto"/>
            <w:noWrap w:val="0"/>
            <w:vAlign w:val="center"/>
          </w:tcPr>
          <w:p w14:paraId="25C272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22.5</w:t>
            </w:r>
          </w:p>
        </w:tc>
        <w:tc>
          <w:tcPr>
            <w:tcW w:w="1114" w:type="dxa"/>
            <w:shd w:val="clear" w:color="auto" w:fill="auto"/>
            <w:noWrap w:val="0"/>
            <w:vAlign w:val="center"/>
          </w:tcPr>
          <w:p w14:paraId="08C6CE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37.50</w:t>
            </w:r>
          </w:p>
        </w:tc>
      </w:tr>
      <w:tr w14:paraId="4BC24B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67CCF390">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4</w:t>
            </w:r>
          </w:p>
        </w:tc>
        <w:tc>
          <w:tcPr>
            <w:tcW w:w="1361" w:type="dxa"/>
            <w:shd w:val="clear" w:color="auto" w:fill="auto"/>
            <w:noWrap w:val="0"/>
            <w:vAlign w:val="center"/>
          </w:tcPr>
          <w:p w14:paraId="7E5545BE">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rFonts w:hint="eastAsia"/>
                <w:color w:val="auto"/>
                <w:sz w:val="21"/>
                <w:szCs w:val="21"/>
                <w:lang w:eastAsia="zh-CN"/>
              </w:rPr>
              <w:t>两室</w:t>
            </w:r>
          </w:p>
        </w:tc>
        <w:tc>
          <w:tcPr>
            <w:tcW w:w="1136" w:type="dxa"/>
            <w:shd w:val="clear" w:color="auto" w:fill="auto"/>
            <w:noWrap w:val="0"/>
            <w:vAlign w:val="center"/>
          </w:tcPr>
          <w:p w14:paraId="49BF93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20</w:t>
            </w:r>
          </w:p>
        </w:tc>
        <w:tc>
          <w:tcPr>
            <w:tcW w:w="814" w:type="dxa"/>
            <w:shd w:val="clear" w:color="auto" w:fill="auto"/>
            <w:noWrap w:val="0"/>
            <w:vAlign w:val="center"/>
          </w:tcPr>
          <w:p w14:paraId="301CF7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w:t>
            </w:r>
          </w:p>
        </w:tc>
        <w:tc>
          <w:tcPr>
            <w:tcW w:w="643" w:type="dxa"/>
            <w:shd w:val="clear" w:color="auto" w:fill="auto"/>
            <w:noWrap w:val="0"/>
            <w:vAlign w:val="center"/>
          </w:tcPr>
          <w:p w14:paraId="38230E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5DF78B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528FD6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16</w:t>
            </w:r>
          </w:p>
        </w:tc>
        <w:tc>
          <w:tcPr>
            <w:tcW w:w="1136" w:type="dxa"/>
            <w:shd w:val="clear" w:color="auto" w:fill="auto"/>
            <w:noWrap w:val="0"/>
            <w:vAlign w:val="center"/>
          </w:tcPr>
          <w:p w14:paraId="6D51A5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9.92</w:t>
            </w:r>
          </w:p>
        </w:tc>
        <w:tc>
          <w:tcPr>
            <w:tcW w:w="1114" w:type="dxa"/>
            <w:shd w:val="clear" w:color="auto" w:fill="auto"/>
            <w:noWrap w:val="0"/>
            <w:vAlign w:val="center"/>
          </w:tcPr>
          <w:p w14:paraId="7D36D9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18.82</w:t>
            </w:r>
          </w:p>
        </w:tc>
      </w:tr>
      <w:tr w14:paraId="5A2731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3605CC49">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5</w:t>
            </w:r>
          </w:p>
        </w:tc>
        <w:tc>
          <w:tcPr>
            <w:tcW w:w="1361" w:type="dxa"/>
            <w:shd w:val="clear" w:color="auto" w:fill="auto"/>
            <w:noWrap w:val="0"/>
            <w:vAlign w:val="center"/>
          </w:tcPr>
          <w:p w14:paraId="09196834">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rFonts w:hint="eastAsia"/>
                <w:color w:val="auto"/>
                <w:sz w:val="21"/>
                <w:szCs w:val="21"/>
                <w:lang w:eastAsia="zh-CN"/>
              </w:rPr>
              <w:t>办公配套用房</w:t>
            </w:r>
          </w:p>
        </w:tc>
        <w:tc>
          <w:tcPr>
            <w:tcW w:w="1136" w:type="dxa"/>
            <w:shd w:val="clear" w:color="auto" w:fill="auto"/>
            <w:noWrap w:val="0"/>
            <w:vAlign w:val="center"/>
          </w:tcPr>
          <w:p w14:paraId="2E2E50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186</w:t>
            </w:r>
          </w:p>
        </w:tc>
        <w:tc>
          <w:tcPr>
            <w:tcW w:w="814" w:type="dxa"/>
            <w:shd w:val="clear" w:color="auto" w:fill="auto"/>
            <w:noWrap w:val="0"/>
            <w:vAlign w:val="center"/>
          </w:tcPr>
          <w:p w14:paraId="01FBC1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w:t>
            </w:r>
          </w:p>
        </w:tc>
        <w:tc>
          <w:tcPr>
            <w:tcW w:w="643" w:type="dxa"/>
            <w:shd w:val="clear" w:color="auto" w:fill="auto"/>
            <w:noWrap w:val="0"/>
            <w:vAlign w:val="center"/>
          </w:tcPr>
          <w:p w14:paraId="6BED3D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503FBF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690B53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148.8</w:t>
            </w:r>
          </w:p>
        </w:tc>
        <w:tc>
          <w:tcPr>
            <w:tcW w:w="1136" w:type="dxa"/>
            <w:shd w:val="clear" w:color="auto" w:fill="auto"/>
            <w:noWrap w:val="0"/>
            <w:vAlign w:val="center"/>
          </w:tcPr>
          <w:p w14:paraId="603E04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92.22</w:t>
            </w:r>
          </w:p>
        </w:tc>
        <w:tc>
          <w:tcPr>
            <w:tcW w:w="1114" w:type="dxa"/>
            <w:shd w:val="clear" w:color="auto" w:fill="auto"/>
            <w:noWrap w:val="0"/>
            <w:vAlign w:val="center"/>
          </w:tcPr>
          <w:p w14:paraId="47F2EA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175.06</w:t>
            </w:r>
          </w:p>
        </w:tc>
      </w:tr>
      <w:tr w14:paraId="1CD524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3638503A">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7</w:t>
            </w:r>
          </w:p>
        </w:tc>
        <w:tc>
          <w:tcPr>
            <w:tcW w:w="1361" w:type="dxa"/>
            <w:shd w:val="clear" w:color="auto" w:fill="auto"/>
            <w:noWrap w:val="0"/>
            <w:vAlign w:val="center"/>
          </w:tcPr>
          <w:p w14:paraId="588DA605">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rFonts w:hint="eastAsia"/>
                <w:color w:val="auto"/>
                <w:sz w:val="21"/>
                <w:szCs w:val="21"/>
                <w:lang w:eastAsia="zh-CN"/>
              </w:rPr>
              <w:t>污水处理</w:t>
            </w:r>
          </w:p>
        </w:tc>
        <w:tc>
          <w:tcPr>
            <w:tcW w:w="1136" w:type="dxa"/>
            <w:shd w:val="clear" w:color="auto" w:fill="auto"/>
            <w:noWrap w:val="0"/>
            <w:vAlign w:val="center"/>
          </w:tcPr>
          <w:p w14:paraId="635E25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16</w:t>
            </w:r>
          </w:p>
        </w:tc>
        <w:tc>
          <w:tcPr>
            <w:tcW w:w="814" w:type="dxa"/>
            <w:shd w:val="clear" w:color="auto" w:fill="auto"/>
            <w:noWrap w:val="0"/>
            <w:vAlign w:val="center"/>
          </w:tcPr>
          <w:p w14:paraId="5580FB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1</w:t>
            </w:r>
          </w:p>
        </w:tc>
        <w:tc>
          <w:tcPr>
            <w:tcW w:w="643" w:type="dxa"/>
            <w:shd w:val="clear" w:color="auto" w:fill="auto"/>
            <w:noWrap w:val="0"/>
            <w:vAlign w:val="center"/>
          </w:tcPr>
          <w:p w14:paraId="1E5B38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0.80</w:t>
            </w:r>
          </w:p>
        </w:tc>
        <w:tc>
          <w:tcPr>
            <w:tcW w:w="857" w:type="dxa"/>
            <w:shd w:val="clear" w:color="auto" w:fill="auto"/>
            <w:noWrap w:val="0"/>
            <w:vAlign w:val="center"/>
          </w:tcPr>
          <w:p w14:paraId="308725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75951F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16</w:t>
            </w:r>
          </w:p>
        </w:tc>
        <w:tc>
          <w:tcPr>
            <w:tcW w:w="1136" w:type="dxa"/>
            <w:shd w:val="clear" w:color="auto" w:fill="auto"/>
            <w:noWrap w:val="0"/>
            <w:vAlign w:val="center"/>
          </w:tcPr>
          <w:p w14:paraId="51670E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12</w:t>
            </w:r>
          </w:p>
        </w:tc>
        <w:tc>
          <w:tcPr>
            <w:tcW w:w="1114" w:type="dxa"/>
            <w:shd w:val="clear" w:color="auto" w:fill="auto"/>
            <w:noWrap w:val="0"/>
            <w:vAlign w:val="center"/>
          </w:tcPr>
          <w:p w14:paraId="7F3F50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20</w:t>
            </w:r>
          </w:p>
        </w:tc>
      </w:tr>
      <w:tr w14:paraId="7F01F1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5272BAE0">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8</w:t>
            </w:r>
          </w:p>
        </w:tc>
        <w:tc>
          <w:tcPr>
            <w:tcW w:w="1361" w:type="dxa"/>
            <w:shd w:val="clear" w:color="auto" w:fill="auto"/>
            <w:noWrap w:val="0"/>
            <w:vAlign w:val="center"/>
          </w:tcPr>
          <w:p w14:paraId="418A09A6">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广场照明</w:t>
            </w:r>
          </w:p>
        </w:tc>
        <w:tc>
          <w:tcPr>
            <w:tcW w:w="1136" w:type="dxa"/>
            <w:shd w:val="clear" w:color="auto" w:fill="auto"/>
            <w:noWrap w:val="0"/>
            <w:vAlign w:val="center"/>
          </w:tcPr>
          <w:p w14:paraId="1D733E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20</w:t>
            </w:r>
          </w:p>
        </w:tc>
        <w:tc>
          <w:tcPr>
            <w:tcW w:w="814" w:type="dxa"/>
            <w:shd w:val="clear" w:color="auto" w:fill="auto"/>
            <w:noWrap w:val="0"/>
            <w:vAlign w:val="center"/>
          </w:tcPr>
          <w:p w14:paraId="2A4A50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0.8</w:t>
            </w:r>
          </w:p>
        </w:tc>
        <w:tc>
          <w:tcPr>
            <w:tcW w:w="643" w:type="dxa"/>
            <w:shd w:val="clear" w:color="auto" w:fill="auto"/>
            <w:noWrap w:val="0"/>
            <w:vAlign w:val="center"/>
          </w:tcPr>
          <w:p w14:paraId="193422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318A25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6DFB45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16</w:t>
            </w:r>
          </w:p>
        </w:tc>
        <w:tc>
          <w:tcPr>
            <w:tcW w:w="1136" w:type="dxa"/>
            <w:shd w:val="clear" w:color="auto" w:fill="auto"/>
            <w:noWrap w:val="0"/>
            <w:vAlign w:val="center"/>
          </w:tcPr>
          <w:p w14:paraId="097D4F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9.92</w:t>
            </w:r>
          </w:p>
        </w:tc>
        <w:tc>
          <w:tcPr>
            <w:tcW w:w="1114" w:type="dxa"/>
            <w:shd w:val="clear" w:color="auto" w:fill="auto"/>
            <w:noWrap w:val="0"/>
            <w:vAlign w:val="center"/>
          </w:tcPr>
          <w:p w14:paraId="333E8C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18.82</w:t>
            </w:r>
          </w:p>
        </w:tc>
      </w:tr>
      <w:tr w14:paraId="77BC85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7124069A">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rFonts w:hint="eastAsia"/>
                <w:color w:val="auto"/>
                <w:sz w:val="21"/>
                <w:szCs w:val="21"/>
                <w:lang w:eastAsia="zh-CN"/>
              </w:rPr>
              <w:t>9</w:t>
            </w:r>
          </w:p>
        </w:tc>
        <w:tc>
          <w:tcPr>
            <w:tcW w:w="1361" w:type="dxa"/>
            <w:shd w:val="clear" w:color="auto" w:fill="auto"/>
            <w:noWrap w:val="0"/>
            <w:vAlign w:val="center"/>
          </w:tcPr>
          <w:p w14:paraId="474DAFDF">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rFonts w:hint="eastAsia"/>
                <w:color w:val="auto"/>
                <w:sz w:val="21"/>
                <w:szCs w:val="21"/>
                <w:lang w:val="en-US" w:eastAsia="zh-CN"/>
              </w:rPr>
              <w:t>其他</w:t>
            </w:r>
          </w:p>
        </w:tc>
        <w:tc>
          <w:tcPr>
            <w:tcW w:w="1136" w:type="dxa"/>
            <w:shd w:val="clear" w:color="auto" w:fill="auto"/>
            <w:noWrap w:val="0"/>
            <w:vAlign w:val="center"/>
          </w:tcPr>
          <w:p w14:paraId="65F583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60</w:t>
            </w:r>
          </w:p>
        </w:tc>
        <w:tc>
          <w:tcPr>
            <w:tcW w:w="814" w:type="dxa"/>
            <w:shd w:val="clear" w:color="auto" w:fill="auto"/>
            <w:noWrap w:val="0"/>
            <w:vAlign w:val="center"/>
          </w:tcPr>
          <w:p w14:paraId="36F810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0.8</w:t>
            </w:r>
          </w:p>
        </w:tc>
        <w:tc>
          <w:tcPr>
            <w:tcW w:w="643" w:type="dxa"/>
            <w:shd w:val="clear" w:color="auto" w:fill="auto"/>
            <w:noWrap w:val="0"/>
            <w:vAlign w:val="center"/>
          </w:tcPr>
          <w:p w14:paraId="6E1619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0.85</w:t>
            </w:r>
          </w:p>
        </w:tc>
        <w:tc>
          <w:tcPr>
            <w:tcW w:w="857" w:type="dxa"/>
            <w:shd w:val="clear" w:color="auto" w:fill="auto"/>
            <w:noWrap w:val="0"/>
            <w:vAlign w:val="center"/>
          </w:tcPr>
          <w:p w14:paraId="052475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0.62</w:t>
            </w:r>
          </w:p>
        </w:tc>
        <w:tc>
          <w:tcPr>
            <w:tcW w:w="1050" w:type="dxa"/>
            <w:shd w:val="clear" w:color="auto" w:fill="auto"/>
            <w:noWrap w:val="0"/>
            <w:vAlign w:val="center"/>
          </w:tcPr>
          <w:p w14:paraId="0BE2F5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48</w:t>
            </w:r>
          </w:p>
        </w:tc>
        <w:tc>
          <w:tcPr>
            <w:tcW w:w="1136" w:type="dxa"/>
            <w:shd w:val="clear" w:color="auto" w:fill="auto"/>
            <w:noWrap w:val="0"/>
            <w:vAlign w:val="center"/>
          </w:tcPr>
          <w:p w14:paraId="205221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29.75</w:t>
            </w:r>
          </w:p>
        </w:tc>
        <w:tc>
          <w:tcPr>
            <w:tcW w:w="1114" w:type="dxa"/>
            <w:shd w:val="clear" w:color="auto" w:fill="auto"/>
            <w:noWrap w:val="0"/>
            <w:vAlign w:val="center"/>
          </w:tcPr>
          <w:p w14:paraId="2CE2E8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r>
              <w:rPr>
                <w:rFonts w:hint="eastAsia"/>
                <w:color w:val="auto"/>
                <w:sz w:val="21"/>
                <w:szCs w:val="21"/>
              </w:rPr>
              <w:t>56.47</w:t>
            </w:r>
          </w:p>
        </w:tc>
      </w:tr>
      <w:tr w14:paraId="2E1EF8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3C9FC9D6">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pacing w:val="4"/>
                <w:sz w:val="21"/>
                <w:szCs w:val="21"/>
              </w:rPr>
              <w:t>合计</w:t>
            </w:r>
          </w:p>
        </w:tc>
        <w:tc>
          <w:tcPr>
            <w:tcW w:w="1050" w:type="dxa"/>
            <w:shd w:val="clear" w:color="auto" w:fill="auto"/>
            <w:noWrap w:val="0"/>
            <w:vAlign w:val="center"/>
          </w:tcPr>
          <w:p w14:paraId="546ADC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947</w:t>
            </w:r>
          </w:p>
        </w:tc>
        <w:tc>
          <w:tcPr>
            <w:tcW w:w="1136" w:type="dxa"/>
            <w:shd w:val="clear" w:color="auto" w:fill="auto"/>
            <w:noWrap w:val="0"/>
            <w:vAlign w:val="center"/>
          </w:tcPr>
          <w:p w14:paraId="200154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583</w:t>
            </w:r>
          </w:p>
        </w:tc>
        <w:tc>
          <w:tcPr>
            <w:tcW w:w="1114" w:type="dxa"/>
            <w:shd w:val="clear" w:color="auto" w:fill="auto"/>
            <w:noWrap w:val="0"/>
            <w:vAlign w:val="center"/>
          </w:tcPr>
          <w:p w14:paraId="5557A0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1111.8</w:t>
            </w:r>
          </w:p>
        </w:tc>
      </w:tr>
      <w:tr w14:paraId="5621B2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600E7318">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color w:val="auto"/>
                <w:spacing w:val="5"/>
                <w:sz w:val="21"/>
                <w:szCs w:val="21"/>
                <w:lang w:eastAsia="zh-CN"/>
              </w:rPr>
              <w:t>乘同时系数∑</w:t>
            </w:r>
            <w:r>
              <w:rPr>
                <w:color w:val="auto"/>
                <w:sz w:val="21"/>
                <w:szCs w:val="21"/>
                <w:lang w:eastAsia="zh-CN"/>
              </w:rPr>
              <w:t>Kp</w:t>
            </w:r>
            <w:r>
              <w:rPr>
                <w:color w:val="auto"/>
                <w:spacing w:val="5"/>
                <w:sz w:val="21"/>
                <w:szCs w:val="21"/>
                <w:lang w:eastAsia="zh-CN"/>
              </w:rPr>
              <w:t>=0.9；</w:t>
            </w:r>
            <w:r>
              <w:rPr>
                <w:color w:val="auto"/>
                <w:spacing w:val="-50"/>
                <w:sz w:val="21"/>
                <w:szCs w:val="21"/>
                <w:lang w:eastAsia="zh-CN"/>
              </w:rPr>
              <w:t xml:space="preserve"> </w:t>
            </w:r>
            <w:r>
              <w:rPr>
                <w:color w:val="auto"/>
                <w:spacing w:val="5"/>
                <w:sz w:val="21"/>
                <w:szCs w:val="21"/>
                <w:lang w:eastAsia="zh-CN"/>
              </w:rPr>
              <w:t>∑</w:t>
            </w:r>
            <w:r>
              <w:rPr>
                <w:color w:val="auto"/>
                <w:sz w:val="21"/>
                <w:szCs w:val="21"/>
                <w:lang w:eastAsia="zh-CN"/>
              </w:rPr>
              <w:t>Kq</w:t>
            </w:r>
            <w:r>
              <w:rPr>
                <w:color w:val="auto"/>
                <w:spacing w:val="5"/>
                <w:sz w:val="21"/>
                <w:szCs w:val="21"/>
                <w:lang w:eastAsia="zh-CN"/>
              </w:rPr>
              <w:t>=0.95</w:t>
            </w:r>
          </w:p>
        </w:tc>
        <w:tc>
          <w:tcPr>
            <w:tcW w:w="1050" w:type="dxa"/>
            <w:shd w:val="clear" w:color="auto" w:fill="auto"/>
            <w:noWrap w:val="0"/>
            <w:vAlign w:val="center"/>
          </w:tcPr>
          <w:p w14:paraId="5454CF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852.1</w:t>
            </w:r>
          </w:p>
        </w:tc>
        <w:tc>
          <w:tcPr>
            <w:tcW w:w="1136" w:type="dxa"/>
            <w:shd w:val="clear" w:color="auto" w:fill="auto"/>
            <w:noWrap w:val="0"/>
            <w:vAlign w:val="center"/>
          </w:tcPr>
          <w:p w14:paraId="3D447F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553.7</w:t>
            </w:r>
          </w:p>
        </w:tc>
        <w:tc>
          <w:tcPr>
            <w:tcW w:w="1114" w:type="dxa"/>
            <w:shd w:val="clear" w:color="auto" w:fill="auto"/>
            <w:noWrap w:val="0"/>
            <w:vAlign w:val="center"/>
          </w:tcPr>
          <w:p w14:paraId="144783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r>
              <w:rPr>
                <w:rFonts w:hint="eastAsia" w:ascii="Arial"/>
                <w:color w:val="auto"/>
                <w:sz w:val="21"/>
                <w:szCs w:val="21"/>
              </w:rPr>
              <w:t>1016.2</w:t>
            </w:r>
          </w:p>
        </w:tc>
      </w:tr>
      <w:tr w14:paraId="71FCEC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0A0B3A15">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pacing w:val="8"/>
                <w:sz w:val="21"/>
                <w:szCs w:val="21"/>
              </w:rPr>
              <w:t>无功功率补偿量</w:t>
            </w:r>
          </w:p>
        </w:tc>
        <w:tc>
          <w:tcPr>
            <w:tcW w:w="1050" w:type="dxa"/>
            <w:shd w:val="clear" w:color="auto" w:fill="auto"/>
            <w:noWrap w:val="0"/>
            <w:vAlign w:val="center"/>
          </w:tcPr>
          <w:p w14:paraId="053406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p>
        </w:tc>
        <w:tc>
          <w:tcPr>
            <w:tcW w:w="1136" w:type="dxa"/>
            <w:shd w:val="clear" w:color="auto" w:fill="auto"/>
            <w:noWrap w:val="0"/>
            <w:vAlign w:val="center"/>
          </w:tcPr>
          <w:p w14:paraId="06DAD6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400</w:t>
            </w:r>
          </w:p>
        </w:tc>
        <w:tc>
          <w:tcPr>
            <w:tcW w:w="1114" w:type="dxa"/>
            <w:shd w:val="clear" w:color="auto" w:fill="auto"/>
            <w:noWrap w:val="0"/>
            <w:vAlign w:val="center"/>
          </w:tcPr>
          <w:p w14:paraId="43648C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p>
        </w:tc>
      </w:tr>
      <w:tr w14:paraId="5633D6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3EFF6ED7">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pacing w:val="8"/>
                <w:sz w:val="21"/>
                <w:szCs w:val="21"/>
              </w:rPr>
              <w:t>补偿后(功率因数</w:t>
            </w:r>
            <w:r>
              <w:rPr>
                <w:color w:val="auto"/>
                <w:spacing w:val="-13"/>
                <w:sz w:val="21"/>
                <w:szCs w:val="21"/>
              </w:rPr>
              <w:t xml:space="preserve"> </w:t>
            </w:r>
            <w:r>
              <w:rPr>
                <w:rFonts w:ascii="Times New Roman" w:hAnsi="Times New Roman" w:eastAsia="Times New Roman" w:cs="Times New Roman"/>
                <w:color w:val="auto"/>
                <w:spacing w:val="8"/>
                <w:sz w:val="21"/>
                <w:szCs w:val="21"/>
              </w:rPr>
              <w:t>0.95</w:t>
            </w:r>
            <w:r>
              <w:rPr>
                <w:color w:val="auto"/>
                <w:spacing w:val="8"/>
                <w:sz w:val="21"/>
                <w:szCs w:val="21"/>
              </w:rPr>
              <w:t>）</w:t>
            </w:r>
          </w:p>
        </w:tc>
        <w:tc>
          <w:tcPr>
            <w:tcW w:w="1050" w:type="dxa"/>
            <w:shd w:val="clear" w:color="auto" w:fill="auto"/>
            <w:noWrap w:val="0"/>
            <w:vAlign w:val="center"/>
          </w:tcPr>
          <w:p w14:paraId="5FFE46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860</w:t>
            </w:r>
          </w:p>
        </w:tc>
        <w:tc>
          <w:tcPr>
            <w:tcW w:w="1136" w:type="dxa"/>
            <w:shd w:val="clear" w:color="auto" w:fill="auto"/>
            <w:noWrap w:val="0"/>
            <w:vAlign w:val="center"/>
          </w:tcPr>
          <w:p w14:paraId="16A89F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197</w:t>
            </w:r>
          </w:p>
        </w:tc>
        <w:tc>
          <w:tcPr>
            <w:tcW w:w="1114" w:type="dxa"/>
            <w:shd w:val="clear" w:color="auto" w:fill="auto"/>
            <w:noWrap w:val="0"/>
            <w:vAlign w:val="center"/>
          </w:tcPr>
          <w:p w14:paraId="56C278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883</w:t>
            </w:r>
          </w:p>
        </w:tc>
      </w:tr>
      <w:tr w14:paraId="0CC5F1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8565" w:type="dxa"/>
            <w:gridSpan w:val="9"/>
            <w:shd w:val="clear" w:color="auto" w:fill="auto"/>
            <w:noWrap w:val="0"/>
            <w:vAlign w:val="center"/>
          </w:tcPr>
          <w:p w14:paraId="0A6026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rPr>
            </w:pPr>
            <w:r>
              <w:rPr>
                <w:rFonts w:hint="eastAsia"/>
                <w:color w:val="auto"/>
                <w:spacing w:val="8"/>
                <w:sz w:val="21"/>
                <w:szCs w:val="21"/>
                <w:lang w:val="en-US" w:eastAsia="zh-CN"/>
              </w:rPr>
              <w:t>变压器负荷率：选用2台630KVA变压器，KH=70%</w:t>
            </w:r>
          </w:p>
        </w:tc>
      </w:tr>
      <w:tr w14:paraId="1834B1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vMerge w:val="restart"/>
            <w:tcBorders>
              <w:top w:val="single" w:color="auto" w:sz="4" w:space="0"/>
              <w:left w:val="single" w:color="auto" w:sz="4" w:space="0"/>
              <w:bottom w:val="single" w:color="auto" w:sz="4" w:space="0"/>
              <w:right w:val="single" w:color="auto" w:sz="4" w:space="0"/>
            </w:tcBorders>
            <w:shd w:val="clear" w:color="auto" w:fill="auto"/>
            <w:noWrap w:val="0"/>
            <w:textDirection w:val="tbRlV"/>
            <w:vAlign w:val="center"/>
          </w:tcPr>
          <w:p w14:paraId="08F62F1E">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6"/>
                <w:sz w:val="21"/>
                <w:szCs w:val="21"/>
              </w:rPr>
              <w:t>序</w:t>
            </w:r>
            <w:r>
              <w:rPr>
                <w:color w:val="auto"/>
                <w:spacing w:val="-38"/>
                <w:sz w:val="21"/>
                <w:szCs w:val="21"/>
              </w:rPr>
              <w:t xml:space="preserve"> </w:t>
            </w:r>
            <w:r>
              <w:rPr>
                <w:b/>
                <w:bCs/>
                <w:color w:val="auto"/>
                <w:spacing w:val="6"/>
                <w:sz w:val="21"/>
                <w:szCs w:val="21"/>
              </w:rPr>
              <w:t>号</w:t>
            </w:r>
          </w:p>
        </w:tc>
        <w:tc>
          <w:tcPr>
            <w:tcW w:w="136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1DEB7C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p w14:paraId="3CFF9A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p w14:paraId="49669FD0">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5"/>
                <w:sz w:val="21"/>
                <w:szCs w:val="21"/>
              </w:rPr>
              <w:t>名称</w:t>
            </w:r>
          </w:p>
        </w:tc>
        <w:tc>
          <w:tcPr>
            <w:tcW w:w="1136"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70A250F1">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1"/>
                <w:sz w:val="21"/>
                <w:szCs w:val="21"/>
              </w:rPr>
              <w:t>总功</w:t>
            </w:r>
            <w:r>
              <w:rPr>
                <w:b/>
                <w:bCs/>
                <w:color w:val="auto"/>
                <w:spacing w:val="-3"/>
                <w:sz w:val="21"/>
                <w:szCs w:val="21"/>
              </w:rPr>
              <w:t>率</w:t>
            </w:r>
            <w:r>
              <w:rPr>
                <w:b/>
                <w:bCs/>
                <w:color w:val="auto"/>
                <w:spacing w:val="-2"/>
                <w:sz w:val="21"/>
                <w:szCs w:val="21"/>
              </w:rPr>
              <w:t>（kW</w:t>
            </w:r>
            <w:r>
              <w:rPr>
                <w:b/>
                <w:bCs/>
                <w:color w:val="auto"/>
                <w:spacing w:val="-3"/>
                <w:sz w:val="21"/>
                <w:szCs w:val="21"/>
              </w:rPr>
              <w:t>)</w:t>
            </w:r>
          </w:p>
        </w:tc>
        <w:tc>
          <w:tcPr>
            <w:tcW w:w="2314" w:type="dxa"/>
            <w:gridSpan w:val="3"/>
            <w:tcBorders>
              <w:top w:val="single" w:color="auto" w:sz="4" w:space="0"/>
              <w:left w:val="single" w:color="auto" w:sz="4" w:space="0"/>
            </w:tcBorders>
            <w:shd w:val="clear" w:color="auto" w:fill="auto"/>
            <w:noWrap w:val="0"/>
            <w:vAlign w:val="center"/>
          </w:tcPr>
          <w:p w14:paraId="7F0D5362">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6"/>
                <w:sz w:val="21"/>
                <w:szCs w:val="21"/>
              </w:rPr>
              <w:t>计算系数</w:t>
            </w:r>
          </w:p>
        </w:tc>
        <w:tc>
          <w:tcPr>
            <w:tcW w:w="3300" w:type="dxa"/>
            <w:gridSpan w:val="3"/>
            <w:tcBorders>
              <w:top w:val="single" w:color="auto" w:sz="4" w:space="0"/>
              <w:right w:val="single" w:color="auto" w:sz="4" w:space="0"/>
            </w:tcBorders>
            <w:shd w:val="clear" w:color="auto" w:fill="auto"/>
            <w:noWrap w:val="0"/>
            <w:vAlign w:val="center"/>
          </w:tcPr>
          <w:p w14:paraId="6E0485DA">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b/>
                <w:bCs/>
                <w:color w:val="auto"/>
                <w:spacing w:val="6"/>
                <w:sz w:val="21"/>
                <w:szCs w:val="21"/>
              </w:rPr>
              <w:t>计算负荷</w:t>
            </w:r>
          </w:p>
        </w:tc>
      </w:tr>
      <w:tr w14:paraId="3E064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vMerge w:val="continue"/>
            <w:tcBorders>
              <w:top w:val="single" w:color="auto" w:sz="4" w:space="0"/>
              <w:left w:val="single" w:color="auto" w:sz="4" w:space="0"/>
              <w:bottom w:val="single" w:color="auto" w:sz="4" w:space="0"/>
              <w:right w:val="single" w:color="auto" w:sz="4" w:space="0"/>
            </w:tcBorders>
            <w:shd w:val="clear" w:color="auto" w:fill="auto"/>
            <w:noWrap w:val="0"/>
            <w:textDirection w:val="tbRlV"/>
            <w:vAlign w:val="center"/>
          </w:tcPr>
          <w:p w14:paraId="2ED960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136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18C89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113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CC142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814" w:type="dxa"/>
            <w:tcBorders>
              <w:left w:val="single" w:color="auto" w:sz="4" w:space="0"/>
              <w:bottom w:val="single" w:color="auto" w:sz="4" w:space="0"/>
            </w:tcBorders>
            <w:shd w:val="clear" w:color="auto" w:fill="auto"/>
            <w:noWrap w:val="0"/>
            <w:vAlign w:val="center"/>
          </w:tcPr>
          <w:p w14:paraId="0B02B3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p w14:paraId="6D7275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1"/>
                <w:position w:val="1"/>
                <w:sz w:val="21"/>
                <w:szCs w:val="21"/>
              </w:rPr>
              <w:t>Kx</w:t>
            </w:r>
          </w:p>
        </w:tc>
        <w:tc>
          <w:tcPr>
            <w:tcW w:w="643" w:type="dxa"/>
            <w:tcBorders>
              <w:bottom w:val="single" w:color="auto" w:sz="4" w:space="0"/>
            </w:tcBorders>
            <w:shd w:val="clear" w:color="auto" w:fill="auto"/>
            <w:noWrap w:val="0"/>
            <w:vAlign w:val="center"/>
          </w:tcPr>
          <w:p w14:paraId="1209A7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微软雅黑" w:hAnsi="微软雅黑" w:eastAsia="微软雅黑" w:cs="微软雅黑"/>
                <w:color w:val="auto"/>
                <w:sz w:val="21"/>
                <w:szCs w:val="21"/>
              </w:rPr>
            </w:pPr>
            <w:r>
              <w:rPr>
                <w:rFonts w:ascii="楷体" w:hAnsi="楷体" w:eastAsia="楷体" w:cs="楷体"/>
                <w:b/>
                <w:bCs/>
                <w:color w:val="auto"/>
                <w:spacing w:val="1"/>
                <w:sz w:val="21"/>
                <w:szCs w:val="21"/>
              </w:rPr>
              <w:t>cos</w:t>
            </w:r>
            <w:r>
              <w:rPr>
                <w:rFonts w:ascii="楷体" w:hAnsi="楷体" w:eastAsia="楷体" w:cs="楷体"/>
                <w:color w:val="auto"/>
                <w:sz w:val="21"/>
                <w:szCs w:val="21"/>
              </w:rPr>
              <w:t xml:space="preserve"> </w:t>
            </w:r>
          </w:p>
        </w:tc>
        <w:tc>
          <w:tcPr>
            <w:tcW w:w="857" w:type="dxa"/>
            <w:tcBorders>
              <w:bottom w:val="single" w:color="auto" w:sz="4" w:space="0"/>
            </w:tcBorders>
            <w:shd w:val="clear" w:color="auto" w:fill="auto"/>
            <w:noWrap w:val="0"/>
            <w:vAlign w:val="center"/>
          </w:tcPr>
          <w:p w14:paraId="2542CB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微软雅黑" w:hAnsi="微软雅黑" w:eastAsia="微软雅黑" w:cs="微软雅黑"/>
                <w:color w:val="auto"/>
                <w:sz w:val="21"/>
                <w:szCs w:val="21"/>
              </w:rPr>
            </w:pPr>
            <w:r>
              <w:rPr>
                <w:rFonts w:ascii="楷体" w:hAnsi="楷体" w:eastAsia="楷体" w:cs="楷体"/>
                <w:b/>
                <w:bCs/>
                <w:color w:val="auto"/>
                <w:position w:val="6"/>
                <w:sz w:val="21"/>
                <w:szCs w:val="21"/>
              </w:rPr>
              <w:t>tg</w:t>
            </w:r>
          </w:p>
        </w:tc>
        <w:tc>
          <w:tcPr>
            <w:tcW w:w="1050" w:type="dxa"/>
            <w:tcBorders>
              <w:bottom w:val="single" w:color="auto" w:sz="4" w:space="0"/>
            </w:tcBorders>
            <w:shd w:val="clear" w:color="auto" w:fill="auto"/>
            <w:noWrap w:val="0"/>
            <w:vAlign w:val="center"/>
          </w:tcPr>
          <w:p w14:paraId="64A662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5"/>
                <w:sz w:val="21"/>
                <w:szCs w:val="21"/>
              </w:rPr>
              <w:t>有功功</w:t>
            </w:r>
            <w:r>
              <w:rPr>
                <w:rFonts w:ascii="楷体" w:hAnsi="楷体" w:eastAsia="楷体" w:cs="楷体"/>
                <w:b/>
                <w:bCs/>
                <w:color w:val="auto"/>
                <w:spacing w:val="-4"/>
                <w:sz w:val="21"/>
                <w:szCs w:val="21"/>
              </w:rPr>
              <w:t>率</w:t>
            </w:r>
            <w:r>
              <w:rPr>
                <w:rFonts w:ascii="楷体" w:hAnsi="楷体" w:eastAsia="楷体" w:cs="楷体"/>
                <w:color w:val="auto"/>
                <w:spacing w:val="-35"/>
                <w:sz w:val="21"/>
                <w:szCs w:val="21"/>
              </w:rPr>
              <w:t xml:space="preserve"> </w:t>
            </w:r>
            <w:r>
              <w:rPr>
                <w:rFonts w:ascii="楷体" w:hAnsi="楷体" w:eastAsia="楷体" w:cs="楷体"/>
                <w:b/>
                <w:bCs/>
                <w:color w:val="auto"/>
                <w:spacing w:val="-4"/>
                <w:sz w:val="21"/>
                <w:szCs w:val="21"/>
              </w:rPr>
              <w:t>kW</w:t>
            </w:r>
          </w:p>
        </w:tc>
        <w:tc>
          <w:tcPr>
            <w:tcW w:w="1136" w:type="dxa"/>
            <w:tcBorders>
              <w:bottom w:val="single" w:color="auto" w:sz="4" w:space="0"/>
            </w:tcBorders>
            <w:shd w:val="clear" w:color="auto" w:fill="auto"/>
            <w:noWrap w:val="0"/>
            <w:vAlign w:val="center"/>
          </w:tcPr>
          <w:p w14:paraId="6FD8EC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5"/>
                <w:sz w:val="21"/>
                <w:szCs w:val="21"/>
              </w:rPr>
              <w:t>无功功</w:t>
            </w:r>
            <w:r>
              <w:rPr>
                <w:rFonts w:ascii="楷体" w:hAnsi="楷体" w:eastAsia="楷体" w:cs="楷体"/>
                <w:b/>
                <w:bCs/>
                <w:color w:val="auto"/>
                <w:spacing w:val="-1"/>
                <w:sz w:val="21"/>
                <w:szCs w:val="21"/>
              </w:rPr>
              <w:t>率</w:t>
            </w:r>
            <w:r>
              <w:rPr>
                <w:rFonts w:ascii="楷体" w:hAnsi="楷体" w:eastAsia="楷体" w:cs="楷体"/>
                <w:color w:val="auto"/>
                <w:spacing w:val="-36"/>
                <w:sz w:val="21"/>
                <w:szCs w:val="21"/>
              </w:rPr>
              <w:t xml:space="preserve"> </w:t>
            </w:r>
            <w:r>
              <w:rPr>
                <w:rFonts w:ascii="楷体" w:hAnsi="楷体" w:eastAsia="楷体" w:cs="楷体"/>
                <w:b/>
                <w:bCs/>
                <w:color w:val="auto"/>
                <w:spacing w:val="-1"/>
                <w:sz w:val="21"/>
                <w:szCs w:val="21"/>
              </w:rPr>
              <w:t>kvar</w:t>
            </w:r>
          </w:p>
        </w:tc>
        <w:tc>
          <w:tcPr>
            <w:tcW w:w="1114" w:type="dxa"/>
            <w:tcBorders>
              <w:bottom w:val="single" w:color="auto" w:sz="4" w:space="0"/>
              <w:right w:val="single" w:color="auto" w:sz="4" w:space="0"/>
            </w:tcBorders>
            <w:shd w:val="clear" w:color="auto" w:fill="auto"/>
            <w:noWrap w:val="0"/>
            <w:vAlign w:val="center"/>
          </w:tcPr>
          <w:p w14:paraId="1406AC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楷体" w:hAnsi="楷体" w:eastAsia="楷体" w:cs="楷体"/>
                <w:color w:val="auto"/>
                <w:sz w:val="21"/>
                <w:szCs w:val="21"/>
              </w:rPr>
            </w:pPr>
            <w:r>
              <w:rPr>
                <w:rFonts w:ascii="楷体" w:hAnsi="楷体" w:eastAsia="楷体" w:cs="楷体"/>
                <w:b/>
                <w:bCs/>
                <w:color w:val="auto"/>
                <w:spacing w:val="6"/>
                <w:sz w:val="21"/>
                <w:szCs w:val="21"/>
              </w:rPr>
              <w:t>视在功</w:t>
            </w:r>
            <w:r>
              <w:rPr>
                <w:rFonts w:ascii="楷体" w:hAnsi="楷体" w:eastAsia="楷体" w:cs="楷体"/>
                <w:b/>
                <w:bCs/>
                <w:color w:val="auto"/>
                <w:spacing w:val="-2"/>
                <w:sz w:val="21"/>
                <w:szCs w:val="21"/>
              </w:rPr>
              <w:t>率</w:t>
            </w:r>
            <w:r>
              <w:rPr>
                <w:rFonts w:ascii="楷体" w:hAnsi="楷体" w:eastAsia="楷体" w:cs="楷体"/>
                <w:color w:val="auto"/>
                <w:spacing w:val="-33"/>
                <w:sz w:val="21"/>
                <w:szCs w:val="21"/>
              </w:rPr>
              <w:t xml:space="preserve"> </w:t>
            </w:r>
            <w:r>
              <w:rPr>
                <w:rFonts w:ascii="楷体" w:hAnsi="楷体" w:eastAsia="楷体" w:cs="楷体"/>
                <w:b/>
                <w:bCs/>
                <w:color w:val="auto"/>
                <w:spacing w:val="-2"/>
                <w:sz w:val="21"/>
                <w:szCs w:val="21"/>
              </w:rPr>
              <w:t>kVA</w:t>
            </w:r>
          </w:p>
        </w:tc>
      </w:tr>
      <w:tr w14:paraId="74026F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tcBorders>
              <w:top w:val="nil"/>
            </w:tcBorders>
            <w:shd w:val="clear" w:color="auto" w:fill="auto"/>
            <w:noWrap w:val="0"/>
            <w:textDirection w:val="tbRlV"/>
            <w:vAlign w:val="center"/>
          </w:tcPr>
          <w:p w14:paraId="7794F9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p>
        </w:tc>
        <w:tc>
          <w:tcPr>
            <w:tcW w:w="8111" w:type="dxa"/>
            <w:gridSpan w:val="8"/>
            <w:tcBorders>
              <w:top w:val="single" w:color="auto" w:sz="4" w:space="0"/>
            </w:tcBorders>
            <w:shd w:val="clear" w:color="auto" w:fill="auto"/>
            <w:noWrap w:val="0"/>
            <w:vAlign w:val="center"/>
          </w:tcPr>
          <w:p w14:paraId="7339EF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楷体" w:hAnsi="楷体" w:eastAsia="楷体" w:cs="楷体"/>
                <w:b/>
                <w:bCs/>
                <w:color w:val="auto"/>
                <w:spacing w:val="6"/>
                <w:sz w:val="21"/>
                <w:szCs w:val="21"/>
              </w:rPr>
            </w:pPr>
            <w:r>
              <w:rPr>
                <w:rFonts w:hint="eastAsia" w:ascii="楷体" w:hAnsi="楷体" w:eastAsia="楷体" w:cs="楷体"/>
                <w:b/>
                <w:bCs/>
                <w:color w:val="auto"/>
                <w:spacing w:val="6"/>
                <w:sz w:val="21"/>
                <w:szCs w:val="21"/>
              </w:rPr>
              <w:t>充电桩服务区（选用</w:t>
            </w:r>
            <w:r>
              <w:rPr>
                <w:rFonts w:hint="eastAsia" w:ascii="楷体" w:hAnsi="楷体" w:eastAsia="楷体" w:cs="楷体"/>
                <w:b/>
                <w:bCs/>
                <w:color w:val="auto"/>
                <w:spacing w:val="6"/>
                <w:sz w:val="21"/>
                <w:szCs w:val="21"/>
                <w:lang w:val="en-US" w:eastAsia="zh-CN"/>
              </w:rPr>
              <w:t>1</w:t>
            </w:r>
            <w:r>
              <w:rPr>
                <w:rFonts w:hint="eastAsia" w:ascii="楷体" w:hAnsi="楷体" w:eastAsia="楷体" w:cs="楷体"/>
                <w:b/>
                <w:bCs/>
                <w:color w:val="auto"/>
                <w:spacing w:val="6"/>
                <w:sz w:val="21"/>
                <w:szCs w:val="21"/>
              </w:rPr>
              <w:t>*1000KVA变压器）</w:t>
            </w:r>
          </w:p>
        </w:tc>
      </w:tr>
      <w:tr w14:paraId="060FD9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7188DBF0">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1</w:t>
            </w:r>
          </w:p>
        </w:tc>
        <w:tc>
          <w:tcPr>
            <w:tcW w:w="1361" w:type="dxa"/>
            <w:shd w:val="clear" w:color="auto" w:fill="auto"/>
            <w:noWrap w:val="0"/>
            <w:vAlign w:val="center"/>
          </w:tcPr>
          <w:p w14:paraId="7B8FFF52">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rFonts w:hint="eastAsia"/>
                <w:color w:val="auto"/>
                <w:sz w:val="21"/>
                <w:szCs w:val="21"/>
                <w:lang w:eastAsia="zh-CN"/>
              </w:rPr>
              <w:t>快充1</w:t>
            </w:r>
          </w:p>
        </w:tc>
        <w:tc>
          <w:tcPr>
            <w:tcW w:w="1136" w:type="dxa"/>
            <w:shd w:val="clear" w:color="auto" w:fill="auto"/>
            <w:noWrap w:val="0"/>
            <w:vAlign w:val="center"/>
          </w:tcPr>
          <w:p w14:paraId="5A0236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240</w:t>
            </w:r>
          </w:p>
        </w:tc>
        <w:tc>
          <w:tcPr>
            <w:tcW w:w="814" w:type="dxa"/>
            <w:shd w:val="clear" w:color="auto" w:fill="auto"/>
            <w:noWrap w:val="0"/>
            <w:vAlign w:val="center"/>
          </w:tcPr>
          <w:p w14:paraId="5C14D2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w:t>
            </w:r>
          </w:p>
        </w:tc>
        <w:tc>
          <w:tcPr>
            <w:tcW w:w="643" w:type="dxa"/>
            <w:shd w:val="clear" w:color="auto" w:fill="auto"/>
            <w:noWrap w:val="0"/>
            <w:vAlign w:val="center"/>
          </w:tcPr>
          <w:p w14:paraId="3EDAAD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0.95</w:t>
            </w:r>
          </w:p>
        </w:tc>
        <w:tc>
          <w:tcPr>
            <w:tcW w:w="857" w:type="dxa"/>
            <w:shd w:val="clear" w:color="auto" w:fill="auto"/>
            <w:noWrap w:val="0"/>
            <w:vAlign w:val="center"/>
          </w:tcPr>
          <w:p w14:paraId="5EDDB3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69051E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240</w:t>
            </w:r>
          </w:p>
        </w:tc>
        <w:tc>
          <w:tcPr>
            <w:tcW w:w="1136" w:type="dxa"/>
            <w:shd w:val="clear" w:color="auto" w:fill="auto"/>
            <w:noWrap w:val="0"/>
            <w:vAlign w:val="center"/>
          </w:tcPr>
          <w:p w14:paraId="2EFE57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78.88</w:t>
            </w:r>
          </w:p>
        </w:tc>
        <w:tc>
          <w:tcPr>
            <w:tcW w:w="1114" w:type="dxa"/>
            <w:shd w:val="clear" w:color="auto" w:fill="auto"/>
            <w:noWrap w:val="0"/>
            <w:vAlign w:val="center"/>
          </w:tcPr>
          <w:p w14:paraId="1869BC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252.63</w:t>
            </w:r>
          </w:p>
        </w:tc>
      </w:tr>
      <w:tr w14:paraId="7E919D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06BFB371">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2</w:t>
            </w:r>
          </w:p>
        </w:tc>
        <w:tc>
          <w:tcPr>
            <w:tcW w:w="1361" w:type="dxa"/>
            <w:shd w:val="clear" w:color="auto" w:fill="auto"/>
            <w:noWrap w:val="0"/>
            <w:vAlign w:val="center"/>
          </w:tcPr>
          <w:p w14:paraId="1B68EE86">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快充2</w:t>
            </w:r>
          </w:p>
        </w:tc>
        <w:tc>
          <w:tcPr>
            <w:tcW w:w="1136" w:type="dxa"/>
            <w:shd w:val="clear" w:color="auto" w:fill="auto"/>
            <w:noWrap w:val="0"/>
            <w:vAlign w:val="center"/>
          </w:tcPr>
          <w:p w14:paraId="5788AC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240</w:t>
            </w:r>
          </w:p>
        </w:tc>
        <w:tc>
          <w:tcPr>
            <w:tcW w:w="814" w:type="dxa"/>
            <w:shd w:val="clear" w:color="auto" w:fill="auto"/>
            <w:noWrap w:val="0"/>
            <w:vAlign w:val="center"/>
          </w:tcPr>
          <w:p w14:paraId="6D4445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w:t>
            </w:r>
          </w:p>
        </w:tc>
        <w:tc>
          <w:tcPr>
            <w:tcW w:w="643" w:type="dxa"/>
            <w:shd w:val="clear" w:color="auto" w:fill="auto"/>
            <w:noWrap w:val="0"/>
            <w:vAlign w:val="center"/>
          </w:tcPr>
          <w:p w14:paraId="52B99A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067EDF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10FA7B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240</w:t>
            </w:r>
          </w:p>
        </w:tc>
        <w:tc>
          <w:tcPr>
            <w:tcW w:w="1136" w:type="dxa"/>
            <w:shd w:val="clear" w:color="auto" w:fill="auto"/>
            <w:noWrap w:val="0"/>
            <w:vAlign w:val="center"/>
          </w:tcPr>
          <w:p w14:paraId="3091DF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78.88</w:t>
            </w:r>
          </w:p>
        </w:tc>
        <w:tc>
          <w:tcPr>
            <w:tcW w:w="1114" w:type="dxa"/>
            <w:shd w:val="clear" w:color="auto" w:fill="auto"/>
            <w:noWrap w:val="0"/>
            <w:vAlign w:val="center"/>
          </w:tcPr>
          <w:p w14:paraId="135233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252.63</w:t>
            </w:r>
          </w:p>
        </w:tc>
      </w:tr>
      <w:tr w14:paraId="036FD0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188876CC">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3</w:t>
            </w:r>
          </w:p>
        </w:tc>
        <w:tc>
          <w:tcPr>
            <w:tcW w:w="1361" w:type="dxa"/>
            <w:shd w:val="clear" w:color="auto" w:fill="auto"/>
            <w:noWrap w:val="0"/>
            <w:vAlign w:val="center"/>
          </w:tcPr>
          <w:p w14:paraId="16AD5DBD">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快充3</w:t>
            </w:r>
          </w:p>
        </w:tc>
        <w:tc>
          <w:tcPr>
            <w:tcW w:w="1136" w:type="dxa"/>
            <w:shd w:val="clear" w:color="auto" w:fill="auto"/>
            <w:noWrap w:val="0"/>
            <w:vAlign w:val="center"/>
          </w:tcPr>
          <w:p w14:paraId="091785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120</w:t>
            </w:r>
          </w:p>
        </w:tc>
        <w:tc>
          <w:tcPr>
            <w:tcW w:w="814" w:type="dxa"/>
            <w:shd w:val="clear" w:color="auto" w:fill="auto"/>
            <w:noWrap w:val="0"/>
            <w:vAlign w:val="center"/>
          </w:tcPr>
          <w:p w14:paraId="776398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rPr>
            </w:pPr>
            <w:r>
              <w:rPr>
                <w:rFonts w:hint="eastAsia"/>
                <w:color w:val="auto"/>
                <w:sz w:val="21"/>
                <w:szCs w:val="21"/>
              </w:rPr>
              <w:t>1</w:t>
            </w:r>
          </w:p>
        </w:tc>
        <w:tc>
          <w:tcPr>
            <w:tcW w:w="643" w:type="dxa"/>
            <w:shd w:val="clear" w:color="auto" w:fill="auto"/>
            <w:noWrap w:val="0"/>
            <w:vAlign w:val="center"/>
          </w:tcPr>
          <w:p w14:paraId="0B0D6F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w:t>
            </w:r>
          </w:p>
        </w:tc>
        <w:tc>
          <w:tcPr>
            <w:tcW w:w="857" w:type="dxa"/>
            <w:shd w:val="clear" w:color="auto" w:fill="auto"/>
            <w:noWrap w:val="0"/>
            <w:vAlign w:val="center"/>
          </w:tcPr>
          <w:p w14:paraId="6F0D43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0.75</w:t>
            </w:r>
          </w:p>
        </w:tc>
        <w:tc>
          <w:tcPr>
            <w:tcW w:w="1050" w:type="dxa"/>
            <w:shd w:val="clear" w:color="auto" w:fill="auto"/>
            <w:noWrap w:val="0"/>
            <w:vAlign w:val="center"/>
          </w:tcPr>
          <w:p w14:paraId="579714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120</w:t>
            </w:r>
          </w:p>
        </w:tc>
        <w:tc>
          <w:tcPr>
            <w:tcW w:w="1136" w:type="dxa"/>
            <w:shd w:val="clear" w:color="auto" w:fill="auto"/>
            <w:noWrap w:val="0"/>
            <w:vAlign w:val="center"/>
          </w:tcPr>
          <w:p w14:paraId="5B117C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39.44</w:t>
            </w:r>
          </w:p>
        </w:tc>
        <w:tc>
          <w:tcPr>
            <w:tcW w:w="1114" w:type="dxa"/>
            <w:shd w:val="clear" w:color="auto" w:fill="auto"/>
            <w:noWrap w:val="0"/>
            <w:vAlign w:val="center"/>
          </w:tcPr>
          <w:p w14:paraId="3BB2CB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126.32</w:t>
            </w:r>
          </w:p>
        </w:tc>
      </w:tr>
      <w:tr w14:paraId="698A1B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454" w:type="dxa"/>
            <w:shd w:val="clear" w:color="auto" w:fill="auto"/>
            <w:noWrap w:val="0"/>
            <w:vAlign w:val="center"/>
          </w:tcPr>
          <w:p w14:paraId="1A207C6C">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z w:val="21"/>
                <w:szCs w:val="21"/>
              </w:rPr>
              <w:t>5</w:t>
            </w:r>
          </w:p>
        </w:tc>
        <w:tc>
          <w:tcPr>
            <w:tcW w:w="1361" w:type="dxa"/>
            <w:shd w:val="clear" w:color="auto" w:fill="auto"/>
            <w:noWrap w:val="0"/>
            <w:vAlign w:val="center"/>
          </w:tcPr>
          <w:p w14:paraId="58080013">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rFonts w:hint="eastAsia"/>
                <w:color w:val="auto"/>
                <w:sz w:val="21"/>
                <w:szCs w:val="21"/>
                <w:lang w:eastAsia="zh-CN"/>
              </w:rPr>
              <w:t>快充4</w:t>
            </w:r>
          </w:p>
        </w:tc>
        <w:tc>
          <w:tcPr>
            <w:tcW w:w="1136" w:type="dxa"/>
            <w:shd w:val="clear" w:color="auto" w:fill="auto"/>
            <w:noWrap w:val="0"/>
            <w:vAlign w:val="center"/>
          </w:tcPr>
          <w:p w14:paraId="2C4D62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120</w:t>
            </w:r>
          </w:p>
        </w:tc>
        <w:tc>
          <w:tcPr>
            <w:tcW w:w="814" w:type="dxa"/>
            <w:shd w:val="clear" w:color="auto" w:fill="auto"/>
            <w:noWrap w:val="0"/>
            <w:vAlign w:val="center"/>
          </w:tcPr>
          <w:p w14:paraId="63516D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rPr>
            </w:pPr>
            <w:r>
              <w:rPr>
                <w:rFonts w:hint="eastAsia"/>
                <w:color w:val="auto"/>
                <w:sz w:val="21"/>
                <w:szCs w:val="21"/>
              </w:rPr>
              <w:t>1</w:t>
            </w:r>
          </w:p>
        </w:tc>
        <w:tc>
          <w:tcPr>
            <w:tcW w:w="643" w:type="dxa"/>
            <w:shd w:val="clear" w:color="auto" w:fill="auto"/>
            <w:noWrap w:val="0"/>
            <w:vAlign w:val="center"/>
          </w:tcPr>
          <w:p w14:paraId="6D8570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0.85</w:t>
            </w:r>
          </w:p>
        </w:tc>
        <w:tc>
          <w:tcPr>
            <w:tcW w:w="857" w:type="dxa"/>
            <w:shd w:val="clear" w:color="auto" w:fill="auto"/>
            <w:noWrap w:val="0"/>
            <w:vAlign w:val="center"/>
          </w:tcPr>
          <w:p w14:paraId="465A44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0.62</w:t>
            </w:r>
          </w:p>
        </w:tc>
        <w:tc>
          <w:tcPr>
            <w:tcW w:w="1050" w:type="dxa"/>
            <w:shd w:val="clear" w:color="auto" w:fill="auto"/>
            <w:noWrap w:val="0"/>
            <w:vAlign w:val="center"/>
          </w:tcPr>
          <w:p w14:paraId="54F016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120</w:t>
            </w:r>
          </w:p>
        </w:tc>
        <w:tc>
          <w:tcPr>
            <w:tcW w:w="1136" w:type="dxa"/>
            <w:shd w:val="clear" w:color="auto" w:fill="auto"/>
            <w:noWrap w:val="0"/>
            <w:vAlign w:val="center"/>
          </w:tcPr>
          <w:p w14:paraId="09DB08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39.44</w:t>
            </w:r>
          </w:p>
        </w:tc>
        <w:tc>
          <w:tcPr>
            <w:tcW w:w="1114" w:type="dxa"/>
            <w:shd w:val="clear" w:color="auto" w:fill="auto"/>
            <w:noWrap w:val="0"/>
            <w:vAlign w:val="center"/>
          </w:tcPr>
          <w:p w14:paraId="43B62A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126.32</w:t>
            </w:r>
          </w:p>
        </w:tc>
      </w:tr>
      <w:tr w14:paraId="30417F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32F37184">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pacing w:val="4"/>
                <w:sz w:val="21"/>
                <w:szCs w:val="21"/>
              </w:rPr>
              <w:t>合计</w:t>
            </w:r>
          </w:p>
        </w:tc>
        <w:tc>
          <w:tcPr>
            <w:tcW w:w="1050" w:type="dxa"/>
            <w:shd w:val="clear" w:color="auto" w:fill="auto"/>
            <w:noWrap w:val="0"/>
            <w:vAlign w:val="center"/>
          </w:tcPr>
          <w:p w14:paraId="5E7B27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720</w:t>
            </w:r>
          </w:p>
        </w:tc>
        <w:tc>
          <w:tcPr>
            <w:tcW w:w="1136" w:type="dxa"/>
            <w:shd w:val="clear" w:color="auto" w:fill="auto"/>
            <w:noWrap w:val="0"/>
            <w:vAlign w:val="center"/>
          </w:tcPr>
          <w:p w14:paraId="634792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197</w:t>
            </w:r>
          </w:p>
        </w:tc>
        <w:tc>
          <w:tcPr>
            <w:tcW w:w="1114" w:type="dxa"/>
            <w:shd w:val="clear" w:color="auto" w:fill="auto"/>
            <w:noWrap w:val="0"/>
            <w:vAlign w:val="center"/>
          </w:tcPr>
          <w:p w14:paraId="72924F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746.5</w:t>
            </w:r>
          </w:p>
        </w:tc>
      </w:tr>
      <w:tr w14:paraId="55460B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16F4CF8B">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lang w:eastAsia="zh-CN"/>
              </w:rPr>
            </w:pPr>
            <w:r>
              <w:rPr>
                <w:color w:val="auto"/>
                <w:spacing w:val="5"/>
                <w:sz w:val="21"/>
                <w:szCs w:val="21"/>
                <w:lang w:eastAsia="zh-CN"/>
              </w:rPr>
              <w:t>乘同时系数∑</w:t>
            </w:r>
            <w:r>
              <w:rPr>
                <w:color w:val="auto"/>
                <w:sz w:val="21"/>
                <w:szCs w:val="21"/>
                <w:lang w:eastAsia="zh-CN"/>
              </w:rPr>
              <w:t>Kp</w:t>
            </w:r>
            <w:r>
              <w:rPr>
                <w:color w:val="auto"/>
                <w:spacing w:val="5"/>
                <w:sz w:val="21"/>
                <w:szCs w:val="21"/>
                <w:lang w:eastAsia="zh-CN"/>
              </w:rPr>
              <w:t>=0.9；</w:t>
            </w:r>
            <w:r>
              <w:rPr>
                <w:color w:val="auto"/>
                <w:spacing w:val="-50"/>
                <w:sz w:val="21"/>
                <w:szCs w:val="21"/>
                <w:lang w:eastAsia="zh-CN"/>
              </w:rPr>
              <w:t xml:space="preserve"> </w:t>
            </w:r>
            <w:r>
              <w:rPr>
                <w:color w:val="auto"/>
                <w:spacing w:val="5"/>
                <w:sz w:val="21"/>
                <w:szCs w:val="21"/>
                <w:lang w:eastAsia="zh-CN"/>
              </w:rPr>
              <w:t>∑</w:t>
            </w:r>
            <w:r>
              <w:rPr>
                <w:color w:val="auto"/>
                <w:sz w:val="21"/>
                <w:szCs w:val="21"/>
                <w:lang w:eastAsia="zh-CN"/>
              </w:rPr>
              <w:t>Kq</w:t>
            </w:r>
            <w:r>
              <w:rPr>
                <w:color w:val="auto"/>
                <w:spacing w:val="5"/>
                <w:sz w:val="21"/>
                <w:szCs w:val="21"/>
                <w:lang w:eastAsia="zh-CN"/>
              </w:rPr>
              <w:t>=0.95</w:t>
            </w:r>
          </w:p>
        </w:tc>
        <w:tc>
          <w:tcPr>
            <w:tcW w:w="1050" w:type="dxa"/>
            <w:shd w:val="clear" w:color="auto" w:fill="auto"/>
            <w:noWrap w:val="0"/>
            <w:vAlign w:val="center"/>
          </w:tcPr>
          <w:p w14:paraId="77902F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648.8</w:t>
            </w:r>
          </w:p>
        </w:tc>
        <w:tc>
          <w:tcPr>
            <w:tcW w:w="1136" w:type="dxa"/>
            <w:shd w:val="clear" w:color="auto" w:fill="auto"/>
            <w:noWrap w:val="0"/>
            <w:vAlign w:val="center"/>
          </w:tcPr>
          <w:p w14:paraId="10C770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187.3</w:t>
            </w:r>
          </w:p>
        </w:tc>
        <w:tc>
          <w:tcPr>
            <w:tcW w:w="1114" w:type="dxa"/>
            <w:shd w:val="clear" w:color="auto" w:fill="auto"/>
            <w:noWrap w:val="0"/>
            <w:vAlign w:val="center"/>
          </w:tcPr>
          <w:p w14:paraId="366E12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Arial"/>
                <w:color w:val="auto"/>
                <w:sz w:val="21"/>
                <w:szCs w:val="21"/>
              </w:rPr>
            </w:pPr>
            <w:r>
              <w:rPr>
                <w:rFonts w:hint="eastAsia" w:ascii="Arial"/>
                <w:color w:val="auto"/>
                <w:sz w:val="21"/>
                <w:szCs w:val="21"/>
              </w:rPr>
              <w:t>674.5</w:t>
            </w:r>
          </w:p>
        </w:tc>
      </w:tr>
      <w:tr w14:paraId="3C1B4F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4A2A8C42">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pacing w:val="8"/>
                <w:sz w:val="21"/>
                <w:szCs w:val="21"/>
              </w:rPr>
              <w:t>无功功率补偿量</w:t>
            </w:r>
          </w:p>
        </w:tc>
        <w:tc>
          <w:tcPr>
            <w:tcW w:w="1050" w:type="dxa"/>
            <w:shd w:val="clear" w:color="auto" w:fill="auto"/>
            <w:noWrap w:val="0"/>
            <w:vAlign w:val="center"/>
          </w:tcPr>
          <w:p w14:paraId="7DD3EF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p>
        </w:tc>
        <w:tc>
          <w:tcPr>
            <w:tcW w:w="1136" w:type="dxa"/>
            <w:shd w:val="clear" w:color="auto" w:fill="auto"/>
            <w:noWrap w:val="0"/>
            <w:vAlign w:val="center"/>
          </w:tcPr>
          <w:p w14:paraId="274B21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100</w:t>
            </w:r>
          </w:p>
        </w:tc>
        <w:tc>
          <w:tcPr>
            <w:tcW w:w="1114" w:type="dxa"/>
            <w:shd w:val="clear" w:color="auto" w:fill="auto"/>
            <w:noWrap w:val="0"/>
            <w:vAlign w:val="center"/>
          </w:tcPr>
          <w:p w14:paraId="252D87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Times New Roman"/>
                <w:color w:val="auto"/>
                <w:sz w:val="21"/>
                <w:szCs w:val="21"/>
              </w:rPr>
            </w:pPr>
          </w:p>
        </w:tc>
      </w:tr>
      <w:tr w14:paraId="4DE074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265" w:type="dxa"/>
            <w:gridSpan w:val="6"/>
            <w:shd w:val="clear" w:color="auto" w:fill="auto"/>
            <w:noWrap w:val="0"/>
            <w:vAlign w:val="center"/>
          </w:tcPr>
          <w:p w14:paraId="61BC8F29">
            <w:pPr>
              <w:pStyle w:val="8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color w:val="auto"/>
                <w:spacing w:val="8"/>
                <w:sz w:val="21"/>
                <w:szCs w:val="21"/>
              </w:rPr>
              <w:t>补偿后(功率因数</w:t>
            </w:r>
            <w:r>
              <w:rPr>
                <w:color w:val="auto"/>
                <w:spacing w:val="-13"/>
                <w:sz w:val="21"/>
                <w:szCs w:val="21"/>
              </w:rPr>
              <w:t xml:space="preserve"> </w:t>
            </w:r>
            <w:r>
              <w:rPr>
                <w:rFonts w:ascii="Times New Roman" w:hAnsi="Times New Roman" w:eastAsia="Times New Roman" w:cs="Times New Roman"/>
                <w:color w:val="auto"/>
                <w:spacing w:val="8"/>
                <w:sz w:val="21"/>
                <w:szCs w:val="21"/>
              </w:rPr>
              <w:t>0.95</w:t>
            </w:r>
            <w:r>
              <w:rPr>
                <w:color w:val="auto"/>
                <w:spacing w:val="8"/>
                <w:sz w:val="21"/>
                <w:szCs w:val="21"/>
              </w:rPr>
              <w:t>）</w:t>
            </w:r>
          </w:p>
        </w:tc>
        <w:tc>
          <w:tcPr>
            <w:tcW w:w="1050" w:type="dxa"/>
            <w:shd w:val="clear" w:color="auto" w:fill="auto"/>
            <w:noWrap w:val="0"/>
            <w:vAlign w:val="center"/>
          </w:tcPr>
          <w:p w14:paraId="0B4BFC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654.7</w:t>
            </w:r>
          </w:p>
        </w:tc>
        <w:tc>
          <w:tcPr>
            <w:tcW w:w="1136" w:type="dxa"/>
            <w:shd w:val="clear" w:color="auto" w:fill="auto"/>
            <w:noWrap w:val="0"/>
            <w:vAlign w:val="center"/>
          </w:tcPr>
          <w:p w14:paraId="772E23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120</w:t>
            </w:r>
          </w:p>
        </w:tc>
        <w:tc>
          <w:tcPr>
            <w:tcW w:w="1114" w:type="dxa"/>
            <w:shd w:val="clear" w:color="auto" w:fill="auto"/>
            <w:noWrap w:val="0"/>
            <w:vAlign w:val="center"/>
          </w:tcPr>
          <w:p w14:paraId="3CF269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rPr>
            </w:pPr>
            <w:r>
              <w:rPr>
                <w:rFonts w:hint="eastAsia"/>
                <w:color w:val="auto"/>
                <w:sz w:val="21"/>
                <w:szCs w:val="21"/>
              </w:rPr>
              <w:t>665.5</w:t>
            </w:r>
          </w:p>
        </w:tc>
      </w:tr>
      <w:tr w14:paraId="6AB703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8565" w:type="dxa"/>
            <w:gridSpan w:val="9"/>
            <w:shd w:val="clear" w:color="auto" w:fill="auto"/>
            <w:noWrap w:val="0"/>
            <w:vAlign w:val="center"/>
          </w:tcPr>
          <w:p w14:paraId="3ABE0F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lang w:val="en-US"/>
              </w:rPr>
            </w:pPr>
            <w:r>
              <w:rPr>
                <w:rFonts w:hint="eastAsia"/>
                <w:color w:val="auto"/>
                <w:spacing w:val="8"/>
                <w:sz w:val="21"/>
                <w:szCs w:val="21"/>
                <w:lang w:val="en-US" w:eastAsia="zh-CN"/>
              </w:rPr>
              <w:t>变压器负荷率：选用1台1000KVA室外箱式变压器，KH=66.55%</w:t>
            </w:r>
          </w:p>
        </w:tc>
      </w:tr>
    </w:tbl>
    <w:p w14:paraId="7BC137C8">
      <w:pPr>
        <w:pStyle w:val="6"/>
        <w:bidi w:val="0"/>
        <w:rPr>
          <w:rFonts w:hint="eastAsia"/>
          <w:color w:val="auto"/>
          <w:lang w:val="en-US" w:eastAsia="zh-CN"/>
        </w:rPr>
      </w:pPr>
      <w:bookmarkStart w:id="34" w:name="_Toc24488"/>
      <w:r>
        <w:rPr>
          <w:rFonts w:hint="eastAsia"/>
          <w:color w:val="auto"/>
          <w:lang w:val="en-US" w:eastAsia="zh-CN"/>
        </w:rPr>
        <w:t>2.7.2照明</w:t>
      </w:r>
      <w:bookmarkEnd w:id="34"/>
    </w:p>
    <w:p w14:paraId="1A462225">
      <w:pPr>
        <w:rPr>
          <w:rFonts w:hint="default"/>
          <w:color w:val="auto"/>
          <w:lang w:val="en-US" w:eastAsia="zh-CN"/>
        </w:rPr>
      </w:pPr>
      <w:r>
        <w:rPr>
          <w:rFonts w:hint="eastAsia"/>
          <w:color w:val="auto"/>
          <w:lang w:val="en-US" w:eastAsia="zh-CN"/>
        </w:rPr>
        <w:t>该项目照明拟执行</w:t>
      </w:r>
      <w:r>
        <w:rPr>
          <w:rFonts w:hint="default"/>
          <w:color w:val="auto"/>
          <w:lang w:val="en-US" w:eastAsia="zh-CN"/>
        </w:rPr>
        <w:t>现行国家标准GB50034的规定。</w:t>
      </w:r>
    </w:p>
    <w:p w14:paraId="1CBB9D46">
      <w:pPr>
        <w:rPr>
          <w:rFonts w:hint="default"/>
          <w:color w:val="auto"/>
          <w:lang w:val="en-US" w:eastAsia="zh-CN"/>
        </w:rPr>
      </w:pPr>
      <w:r>
        <w:rPr>
          <w:rFonts w:hint="default"/>
          <w:color w:val="auto"/>
          <w:lang w:val="en-US" w:eastAsia="zh-CN"/>
        </w:rPr>
        <w:t>综合主楼内宜设置智能照明控制系统</w:t>
      </w:r>
      <w:r>
        <w:rPr>
          <w:rFonts w:hint="eastAsia"/>
          <w:color w:val="auto"/>
          <w:lang w:val="en-US" w:eastAsia="zh-CN"/>
        </w:rPr>
        <w:t>，</w:t>
      </w:r>
      <w:r>
        <w:rPr>
          <w:rFonts w:hint="default"/>
          <w:color w:val="auto"/>
          <w:lang w:val="en-US" w:eastAsia="zh-CN"/>
        </w:rPr>
        <w:t>并应具有随室外自然光的变化自动控制或调节人工照明照度的功能。</w:t>
      </w:r>
    </w:p>
    <w:p w14:paraId="18BCAD3D">
      <w:pPr>
        <w:rPr>
          <w:rFonts w:hint="default"/>
          <w:color w:val="auto"/>
          <w:lang w:val="en-US" w:eastAsia="zh-CN"/>
        </w:rPr>
      </w:pPr>
      <w:r>
        <w:rPr>
          <w:rFonts w:hint="default"/>
          <w:color w:val="auto"/>
          <w:lang w:val="en-US" w:eastAsia="zh-CN"/>
        </w:rPr>
        <w:t>照明光源</w:t>
      </w:r>
      <w:r>
        <w:rPr>
          <w:rFonts w:hint="eastAsia"/>
          <w:color w:val="auto"/>
          <w:lang w:val="en-US" w:eastAsia="zh-CN"/>
        </w:rPr>
        <w:t>拟</w:t>
      </w:r>
      <w:r>
        <w:rPr>
          <w:rFonts w:hint="default"/>
          <w:color w:val="auto"/>
          <w:lang w:val="en-US" w:eastAsia="zh-CN"/>
        </w:rPr>
        <w:t>优先选择节能灯具，并符合下列要求</w:t>
      </w:r>
      <w:r>
        <w:rPr>
          <w:rFonts w:hint="eastAsia"/>
          <w:color w:val="auto"/>
          <w:lang w:val="en-US" w:eastAsia="zh-CN"/>
        </w:rPr>
        <w:t>：</w:t>
      </w:r>
    </w:p>
    <w:p w14:paraId="11C5CEF0">
      <w:pPr>
        <w:rPr>
          <w:rFonts w:hint="default"/>
          <w:color w:val="auto"/>
          <w:lang w:val="en-US" w:eastAsia="zh-CN"/>
        </w:rPr>
      </w:pPr>
      <w:r>
        <w:rPr>
          <w:rFonts w:hint="eastAsia"/>
          <w:color w:val="auto"/>
          <w:lang w:val="en-US" w:eastAsia="zh-CN"/>
        </w:rPr>
        <w:t>a）</w:t>
      </w:r>
      <w:r>
        <w:rPr>
          <w:rFonts w:hint="default"/>
          <w:color w:val="auto"/>
          <w:lang w:val="en-US" w:eastAsia="zh-CN"/>
        </w:rPr>
        <w:t>室内照明宜采用直管型节能灯具和紧凑型节能灯具，灯具应无眩光</w:t>
      </w:r>
      <w:r>
        <w:rPr>
          <w:rFonts w:hint="eastAsia"/>
          <w:color w:val="auto"/>
          <w:lang w:val="en-US" w:eastAsia="zh-CN"/>
        </w:rPr>
        <w:t>；</w:t>
      </w:r>
    </w:p>
    <w:p w14:paraId="154C905D">
      <w:pPr>
        <w:rPr>
          <w:rFonts w:hint="default"/>
          <w:color w:val="auto"/>
          <w:lang w:val="en-US" w:eastAsia="zh-CN"/>
        </w:rPr>
      </w:pPr>
      <w:r>
        <w:rPr>
          <w:rFonts w:hint="eastAsia"/>
          <w:color w:val="auto"/>
          <w:lang w:val="en-US" w:eastAsia="zh-CN"/>
        </w:rPr>
        <w:t>b）</w:t>
      </w:r>
      <w:r>
        <w:rPr>
          <w:rFonts w:hint="default"/>
          <w:color w:val="auto"/>
          <w:lang w:val="en-US" w:eastAsia="zh-CN"/>
        </w:rPr>
        <w:t>服务区的每侧广场的高杆灯宜不少于1座，高度不宜超过30m，宜使用LED光源</w:t>
      </w:r>
      <w:r>
        <w:rPr>
          <w:rFonts w:hint="eastAsia"/>
          <w:color w:val="auto"/>
          <w:lang w:val="en-US" w:eastAsia="zh-CN"/>
        </w:rPr>
        <w:t>；</w:t>
      </w:r>
    </w:p>
    <w:p w14:paraId="392C7564">
      <w:pPr>
        <w:rPr>
          <w:rFonts w:hint="default"/>
          <w:color w:val="auto"/>
          <w:lang w:val="en-US" w:eastAsia="zh-CN"/>
        </w:rPr>
      </w:pPr>
      <w:r>
        <w:rPr>
          <w:rFonts w:hint="eastAsia"/>
          <w:color w:val="auto"/>
          <w:lang w:val="en-US" w:eastAsia="zh-CN"/>
        </w:rPr>
        <w:t>c）</w:t>
      </w:r>
      <w:r>
        <w:rPr>
          <w:rFonts w:hint="default"/>
          <w:color w:val="auto"/>
          <w:lang w:val="en-US" w:eastAsia="zh-CN"/>
        </w:rPr>
        <w:t>进出口匝道两边宜设置LED光源或独立太阳能的中杆灯，高度不宜超过8m</w:t>
      </w:r>
      <w:r>
        <w:rPr>
          <w:rFonts w:hint="eastAsia"/>
          <w:color w:val="auto"/>
          <w:lang w:val="en-US" w:eastAsia="zh-CN"/>
        </w:rPr>
        <w:t>；</w:t>
      </w:r>
    </w:p>
    <w:p w14:paraId="12237D10">
      <w:pPr>
        <w:rPr>
          <w:rFonts w:hint="default"/>
          <w:color w:val="auto"/>
          <w:lang w:val="en-US" w:eastAsia="zh-CN"/>
        </w:rPr>
      </w:pPr>
      <w:r>
        <w:rPr>
          <w:rFonts w:hint="eastAsia"/>
          <w:color w:val="auto"/>
          <w:lang w:val="en-US" w:eastAsia="zh-CN"/>
        </w:rPr>
        <w:t>d）</w:t>
      </w:r>
      <w:r>
        <w:rPr>
          <w:rFonts w:hint="default"/>
          <w:color w:val="auto"/>
          <w:lang w:val="en-US" w:eastAsia="zh-CN"/>
        </w:rPr>
        <w:t>综合楼宜设置外轮廓灯带，采用节能灯。</w:t>
      </w:r>
    </w:p>
    <w:p w14:paraId="156EED02">
      <w:pPr>
        <w:rPr>
          <w:rFonts w:hint="default"/>
          <w:color w:val="auto"/>
          <w:lang w:val="en-US" w:eastAsia="zh-CN"/>
        </w:rPr>
      </w:pPr>
      <w:r>
        <w:rPr>
          <w:rFonts w:hint="default"/>
          <w:color w:val="auto"/>
          <w:lang w:val="en-US" w:eastAsia="zh-CN"/>
        </w:rPr>
        <w:t>综合楼内的疏散走道、楼梯间应设置消防应急照明灯具，疏散门正上方应设置灯光疏散指示标志，均符合GB13495的有关规定，并符合下列要求</w:t>
      </w:r>
      <w:r>
        <w:rPr>
          <w:rFonts w:hint="eastAsia"/>
          <w:color w:val="auto"/>
          <w:lang w:val="en-US" w:eastAsia="zh-CN"/>
        </w:rPr>
        <w:t>：</w:t>
      </w:r>
    </w:p>
    <w:p w14:paraId="709028C6">
      <w:pPr>
        <w:rPr>
          <w:rFonts w:hint="default"/>
          <w:color w:val="auto"/>
          <w:lang w:val="en-US" w:eastAsia="zh-CN"/>
        </w:rPr>
      </w:pPr>
      <w:r>
        <w:rPr>
          <w:rFonts w:hint="eastAsia"/>
          <w:color w:val="auto"/>
          <w:lang w:val="en-US" w:eastAsia="zh-CN"/>
        </w:rPr>
        <w:t>a）</w:t>
      </w:r>
      <w:r>
        <w:rPr>
          <w:rFonts w:hint="default"/>
          <w:color w:val="auto"/>
          <w:lang w:val="en-US" w:eastAsia="zh-CN"/>
        </w:rPr>
        <w:t>安全出口和疏散门的正上方应设置“安全出口”指示标志</w:t>
      </w:r>
      <w:r>
        <w:rPr>
          <w:rFonts w:hint="eastAsia"/>
          <w:color w:val="auto"/>
          <w:lang w:val="en-US" w:eastAsia="zh-CN"/>
        </w:rPr>
        <w:t>；</w:t>
      </w:r>
    </w:p>
    <w:p w14:paraId="4BDD119E">
      <w:pPr>
        <w:rPr>
          <w:rFonts w:hint="default"/>
          <w:color w:val="auto"/>
          <w:lang w:val="en-US" w:eastAsia="zh-CN"/>
        </w:rPr>
      </w:pPr>
      <w:r>
        <w:rPr>
          <w:rFonts w:hint="eastAsia"/>
          <w:color w:val="auto"/>
          <w:lang w:val="en-US" w:eastAsia="zh-CN"/>
        </w:rPr>
        <w:t>b）</w:t>
      </w:r>
      <w:r>
        <w:rPr>
          <w:rFonts w:hint="default"/>
          <w:color w:val="auto"/>
          <w:lang w:val="en-US" w:eastAsia="zh-CN"/>
        </w:rPr>
        <w:t>疏散走道灯光疏散指示标志，应设置在转角处、距地面高度1.0m以下的墙面上，灯光疏散指示标志间距不应大于20m</w:t>
      </w:r>
      <w:r>
        <w:rPr>
          <w:rFonts w:hint="eastAsia"/>
          <w:color w:val="auto"/>
          <w:lang w:val="en-US" w:eastAsia="zh-CN"/>
        </w:rPr>
        <w:t>；</w:t>
      </w:r>
      <w:r>
        <w:rPr>
          <w:rFonts w:hint="default"/>
          <w:color w:val="auto"/>
          <w:lang w:val="en-US" w:eastAsia="zh-CN"/>
        </w:rPr>
        <w:t>对于袋形走道，不应大于10m</w:t>
      </w:r>
      <w:r>
        <w:rPr>
          <w:rFonts w:hint="eastAsia"/>
          <w:color w:val="auto"/>
          <w:lang w:val="en-US" w:eastAsia="zh-CN"/>
        </w:rPr>
        <w:t>；</w:t>
      </w:r>
      <w:r>
        <w:rPr>
          <w:rFonts w:hint="default"/>
          <w:color w:val="auto"/>
          <w:lang w:val="en-US" w:eastAsia="zh-CN"/>
        </w:rPr>
        <w:t>在转角区，不应大于1.0m</w:t>
      </w:r>
      <w:r>
        <w:rPr>
          <w:rFonts w:hint="eastAsia"/>
          <w:color w:val="auto"/>
          <w:lang w:val="en-US" w:eastAsia="zh-CN"/>
        </w:rPr>
        <w:t>；</w:t>
      </w:r>
    </w:p>
    <w:p w14:paraId="0E45B0B0">
      <w:pPr>
        <w:rPr>
          <w:rFonts w:hint="default"/>
          <w:color w:val="auto"/>
          <w:lang w:val="en-US" w:eastAsia="zh-CN"/>
        </w:rPr>
      </w:pPr>
      <w:r>
        <w:rPr>
          <w:rFonts w:hint="eastAsia"/>
          <w:color w:val="auto"/>
          <w:lang w:val="en-US" w:eastAsia="zh-CN"/>
        </w:rPr>
        <w:t>c）</w:t>
      </w:r>
      <w:r>
        <w:rPr>
          <w:rFonts w:hint="default"/>
          <w:color w:val="auto"/>
          <w:lang w:val="en-US" w:eastAsia="zh-CN"/>
        </w:rPr>
        <w:t>消防应急照明灯具和灯光疏散指示标志的备用电源的连续供电时间不应少于30min。</w:t>
      </w:r>
    </w:p>
    <w:p w14:paraId="41C9D15B">
      <w:pPr>
        <w:pStyle w:val="6"/>
        <w:bidi w:val="0"/>
        <w:rPr>
          <w:rFonts w:hint="eastAsia"/>
          <w:color w:val="auto"/>
          <w:lang w:val="en-US" w:eastAsia="zh-CN"/>
        </w:rPr>
      </w:pPr>
      <w:bookmarkStart w:id="35" w:name="_Toc8174"/>
      <w:r>
        <w:rPr>
          <w:rFonts w:hint="eastAsia"/>
          <w:color w:val="auto"/>
          <w:lang w:val="en-US" w:eastAsia="zh-CN"/>
        </w:rPr>
        <w:t>2.7.3防雷接地</w:t>
      </w:r>
      <w:bookmarkEnd w:id="35"/>
    </w:p>
    <w:p w14:paraId="64E1E8AA">
      <w:pPr>
        <w:bidi w:val="0"/>
        <w:rPr>
          <w:rFonts w:hint="eastAsia"/>
          <w:color w:val="auto"/>
          <w:lang w:val="en-US" w:eastAsia="zh-CN"/>
        </w:rPr>
      </w:pPr>
      <w:r>
        <w:rPr>
          <w:rFonts w:hint="eastAsia"/>
          <w:color w:val="auto"/>
          <w:lang w:val="en-US" w:eastAsia="zh-CN"/>
        </w:rPr>
        <w:t>该项目各建筑物按第三类防雷设防，</w:t>
      </w:r>
    </w:p>
    <w:p w14:paraId="03D61184">
      <w:pPr>
        <w:bidi w:val="0"/>
        <w:rPr>
          <w:rFonts w:hint="eastAsia"/>
          <w:color w:val="C00000"/>
          <w:lang w:val="en-US" w:eastAsia="zh-CN"/>
        </w:rPr>
      </w:pPr>
      <w:r>
        <w:rPr>
          <w:rFonts w:hint="eastAsia"/>
          <w:color w:val="auto"/>
          <w:lang w:val="en-US" w:eastAsia="zh-CN"/>
        </w:rPr>
        <w:t>第三类防雷建筑物外部防雷的措施拟采用装设在建筑物上的接闪网、接闪带或接闪杆，也可采用由接闪网、接闪带或接闪杆混合组成的接闪器。接闪网、接闪带应按GB50057附录B的规定沿屋角、屋脊、屋檐和檐角等易受雷击的部位敷设，并在整个屋面组成不大于20m×20m或24 m×16 m的网格；接闪器之间互相连接。</w:t>
      </w:r>
    </w:p>
    <w:p w14:paraId="70D04FC3">
      <w:pPr>
        <w:bidi w:val="0"/>
        <w:rPr>
          <w:rFonts w:hint="eastAsia" w:eastAsia="宋体"/>
          <w:color w:val="auto"/>
          <w:lang w:eastAsia="zh-CN"/>
        </w:rPr>
      </w:pPr>
      <w:r>
        <w:rPr>
          <w:rFonts w:hint="eastAsia"/>
          <w:color w:val="auto"/>
          <w:lang w:val="en-US" w:eastAsia="zh-CN"/>
        </w:rPr>
        <w:t>室内及充电桩</w:t>
      </w:r>
      <w:r>
        <w:rPr>
          <w:rFonts w:hint="eastAsia"/>
          <w:color w:val="auto"/>
        </w:rPr>
        <w:t>防雷与接地设计符合GB50057和GB50343的规定，并符合下列要求</w:t>
      </w:r>
      <w:r>
        <w:rPr>
          <w:rFonts w:hint="eastAsia"/>
          <w:color w:val="auto"/>
          <w:lang w:eastAsia="zh-CN"/>
        </w:rPr>
        <w:t>：</w:t>
      </w:r>
    </w:p>
    <w:p w14:paraId="7D95EC41">
      <w:pPr>
        <w:numPr>
          <w:ilvl w:val="0"/>
          <w:numId w:val="4"/>
        </w:numPr>
        <w:bidi w:val="0"/>
        <w:rPr>
          <w:rFonts w:hint="eastAsia"/>
          <w:color w:val="auto"/>
          <w:lang w:eastAsia="zh-CN"/>
        </w:rPr>
      </w:pPr>
      <w:r>
        <w:rPr>
          <w:rFonts w:hint="eastAsia"/>
          <w:color w:val="auto"/>
        </w:rPr>
        <w:t>监控室配电箱进线处设置浪涌保护器以防电磁脉冲侵入</w:t>
      </w:r>
      <w:r>
        <w:rPr>
          <w:rFonts w:hint="eastAsia"/>
          <w:color w:val="auto"/>
          <w:lang w:eastAsia="zh-CN"/>
        </w:rPr>
        <w:t>；</w:t>
      </w:r>
    </w:p>
    <w:p w14:paraId="03C41838">
      <w:pPr>
        <w:numPr>
          <w:ilvl w:val="0"/>
          <w:numId w:val="4"/>
        </w:numPr>
        <w:bidi w:val="0"/>
        <w:rPr>
          <w:rFonts w:hint="eastAsia"/>
          <w:color w:val="auto"/>
          <w:lang w:eastAsia="zh-CN"/>
        </w:rPr>
      </w:pPr>
      <w:r>
        <w:rPr>
          <w:rFonts w:hint="eastAsia"/>
          <w:color w:val="auto"/>
          <w:lang w:eastAsia="zh-CN"/>
        </w:rPr>
        <w:t>监控室静电地板要求与整栋建筑的防雷接地系统联通，且搭接处不小于4点；</w:t>
      </w:r>
    </w:p>
    <w:p w14:paraId="7A08A783">
      <w:pPr>
        <w:numPr>
          <w:ilvl w:val="0"/>
          <w:numId w:val="4"/>
        </w:numPr>
        <w:bidi w:val="0"/>
        <w:rPr>
          <w:rFonts w:hint="eastAsia"/>
          <w:color w:val="auto"/>
          <w:lang w:eastAsia="zh-CN"/>
        </w:rPr>
      </w:pPr>
      <w:r>
        <w:rPr>
          <w:rFonts w:hint="eastAsia"/>
          <w:color w:val="auto"/>
          <w:lang w:eastAsia="zh-CN"/>
        </w:rPr>
        <w:t>接地电阻实测达不到1欧姆的建筑物应与其他建筑物可靠联通,确保联合接地体接地电阻小1欧姆；</w:t>
      </w:r>
    </w:p>
    <w:p w14:paraId="3DCFD1AF">
      <w:pPr>
        <w:numPr>
          <w:ilvl w:val="0"/>
          <w:numId w:val="4"/>
        </w:numPr>
        <w:bidi w:val="0"/>
        <w:rPr>
          <w:rFonts w:hint="eastAsia"/>
          <w:color w:val="auto"/>
          <w:lang w:eastAsia="zh-CN"/>
        </w:rPr>
      </w:pPr>
      <w:r>
        <w:rPr>
          <w:rFonts w:hint="eastAsia"/>
          <w:color w:val="auto"/>
          <w:lang w:eastAsia="zh-CN"/>
        </w:rPr>
        <w:t>充电桩的接地系统</w:t>
      </w:r>
      <w:r>
        <w:rPr>
          <w:rFonts w:hint="eastAsia"/>
          <w:color w:val="auto"/>
          <w:lang w:val="en-US" w:eastAsia="zh-CN"/>
        </w:rPr>
        <w:t>拟</w:t>
      </w:r>
      <w:r>
        <w:rPr>
          <w:rFonts w:hint="eastAsia"/>
          <w:color w:val="auto"/>
          <w:lang w:eastAsia="zh-CN"/>
        </w:rPr>
        <w:t>采用TN-S。</w:t>
      </w:r>
    </w:p>
    <w:p w14:paraId="58761E35">
      <w:pPr>
        <w:pStyle w:val="6"/>
        <w:bidi w:val="0"/>
        <w:rPr>
          <w:rFonts w:hint="eastAsia"/>
          <w:color w:val="auto"/>
          <w:lang w:val="en-US" w:eastAsia="zh-CN"/>
        </w:rPr>
      </w:pPr>
      <w:bookmarkStart w:id="36" w:name="_Toc28106"/>
      <w:r>
        <w:rPr>
          <w:rFonts w:hint="eastAsia"/>
          <w:color w:val="auto"/>
          <w:lang w:val="en-US" w:eastAsia="zh-CN"/>
        </w:rPr>
        <w:t>2.7.4给排水</w:t>
      </w:r>
      <w:bookmarkEnd w:id="36"/>
    </w:p>
    <w:p w14:paraId="3D30D095">
      <w:pPr>
        <w:wordWrap w:val="0"/>
        <w:adjustRightInd w:val="0"/>
        <w:snapToGrid w:val="0"/>
        <w:spacing w:line="560" w:lineRule="exact"/>
        <w:ind w:firstLine="570"/>
        <w:textAlignment w:val="center"/>
        <w:rPr>
          <w:rFonts w:hint="default"/>
          <w:color w:val="auto"/>
          <w:sz w:val="28"/>
          <w:szCs w:val="28"/>
          <w:lang w:val="en-US" w:eastAsia="zh-CN"/>
        </w:rPr>
      </w:pPr>
      <w:r>
        <w:rPr>
          <w:rFonts w:hint="eastAsia"/>
          <w:color w:val="auto"/>
          <w:sz w:val="28"/>
          <w:szCs w:val="28"/>
          <w:lang w:val="en-US" w:eastAsia="zh-CN"/>
        </w:rPr>
        <w:t>1、给水</w:t>
      </w:r>
    </w:p>
    <w:p w14:paraId="1D7DCC77">
      <w:pPr>
        <w:wordWrap w:val="0"/>
        <w:adjustRightInd w:val="0"/>
        <w:snapToGrid w:val="0"/>
        <w:spacing w:line="560" w:lineRule="exact"/>
        <w:ind w:firstLine="570"/>
        <w:textAlignment w:val="center"/>
        <w:rPr>
          <w:rFonts w:hint="default"/>
          <w:color w:val="auto"/>
          <w:sz w:val="28"/>
          <w:szCs w:val="28"/>
          <w:lang w:val="en-US" w:eastAsia="zh-CN"/>
        </w:rPr>
      </w:pPr>
      <w:r>
        <w:rPr>
          <w:rFonts w:hint="eastAsia"/>
          <w:color w:val="auto"/>
          <w:sz w:val="28"/>
          <w:szCs w:val="28"/>
          <w:lang w:val="en-US" w:eastAsia="zh-CN"/>
        </w:rPr>
        <w:t>服务区现有水源来自地下水，该项目水源拟改由当地自来水供给，供水管网重新敷设。供水管径DN200，供水压力不小于0.3MPa，接入管径DN100。</w:t>
      </w:r>
    </w:p>
    <w:p w14:paraId="16B8CB0A">
      <w:pPr>
        <w:wordWrap w:val="0"/>
        <w:adjustRightInd w:val="0"/>
        <w:snapToGrid w:val="0"/>
        <w:spacing w:line="560" w:lineRule="exact"/>
        <w:ind w:firstLine="570"/>
        <w:textAlignment w:val="center"/>
        <w:rPr>
          <w:rFonts w:hint="default"/>
          <w:color w:val="auto"/>
          <w:sz w:val="28"/>
          <w:szCs w:val="28"/>
          <w:lang w:val="en-US" w:eastAsia="zh-CN"/>
        </w:rPr>
      </w:pPr>
      <w:r>
        <w:rPr>
          <w:rFonts w:hint="eastAsia"/>
          <w:color w:val="auto"/>
          <w:sz w:val="28"/>
          <w:szCs w:val="28"/>
          <w:lang w:val="en-US" w:eastAsia="zh-CN"/>
        </w:rPr>
        <w:t>2、排水</w:t>
      </w:r>
    </w:p>
    <w:p w14:paraId="4A7056CF">
      <w:pPr>
        <w:wordWrap w:val="0"/>
        <w:adjustRightInd w:val="0"/>
        <w:snapToGrid w:val="0"/>
        <w:spacing w:line="560" w:lineRule="exact"/>
        <w:ind w:firstLine="570"/>
        <w:textAlignment w:val="center"/>
        <w:rPr>
          <w:rFonts w:hint="eastAsia"/>
          <w:color w:val="auto"/>
          <w:sz w:val="28"/>
          <w:szCs w:val="28"/>
          <w:lang w:val="en-US" w:eastAsia="zh-CN"/>
        </w:rPr>
      </w:pPr>
      <w:r>
        <w:rPr>
          <w:rFonts w:hint="eastAsia"/>
          <w:color w:val="auto"/>
          <w:sz w:val="28"/>
          <w:szCs w:val="28"/>
          <w:lang w:val="en-US" w:eastAsia="zh-CN"/>
        </w:rPr>
        <w:t>服务区独立设置排水系统、排水处理设施。</w:t>
      </w:r>
    </w:p>
    <w:p w14:paraId="5D76DAFE">
      <w:pPr>
        <w:wordWrap w:val="0"/>
        <w:adjustRightInd w:val="0"/>
        <w:snapToGrid w:val="0"/>
        <w:spacing w:line="560" w:lineRule="exact"/>
        <w:ind w:firstLine="570"/>
        <w:textAlignment w:val="center"/>
        <w:rPr>
          <w:rFonts w:hint="eastAsia"/>
          <w:color w:val="auto"/>
          <w:sz w:val="28"/>
          <w:szCs w:val="28"/>
          <w:lang w:val="en-US" w:eastAsia="zh-CN"/>
        </w:rPr>
      </w:pPr>
      <w:r>
        <w:rPr>
          <w:rFonts w:hint="eastAsia"/>
          <w:color w:val="auto"/>
          <w:sz w:val="28"/>
          <w:szCs w:val="28"/>
          <w:lang w:val="en-US" w:eastAsia="zh-CN"/>
        </w:rPr>
        <w:t>污、废水经拟新建的污水处理设备处理达标后排放。排水口拟与高速公路主线排水口相衔接。</w:t>
      </w:r>
    </w:p>
    <w:p w14:paraId="5F34B18B">
      <w:pPr>
        <w:wordWrap w:val="0"/>
        <w:adjustRightInd w:val="0"/>
        <w:snapToGrid w:val="0"/>
        <w:spacing w:line="560" w:lineRule="exact"/>
        <w:ind w:firstLine="570"/>
        <w:textAlignment w:val="center"/>
        <w:rPr>
          <w:rFonts w:hint="eastAsia"/>
          <w:color w:val="auto"/>
          <w:sz w:val="28"/>
          <w:szCs w:val="28"/>
          <w:lang w:val="en-US" w:eastAsia="zh-CN"/>
        </w:rPr>
      </w:pPr>
      <w:r>
        <w:rPr>
          <w:rFonts w:hint="eastAsia"/>
          <w:color w:val="auto"/>
          <w:sz w:val="28"/>
          <w:szCs w:val="28"/>
          <w:lang w:val="en-US" w:eastAsia="zh-CN"/>
        </w:rPr>
        <w:t>污水、雨水及含油与不含油污水，拟采用分流制排放。</w:t>
      </w:r>
    </w:p>
    <w:p w14:paraId="4DB239E5">
      <w:pPr>
        <w:pStyle w:val="6"/>
        <w:bidi w:val="0"/>
        <w:rPr>
          <w:rFonts w:hint="eastAsia"/>
          <w:color w:val="auto"/>
          <w:lang w:val="en-US" w:eastAsia="zh-CN"/>
        </w:rPr>
      </w:pPr>
      <w:bookmarkStart w:id="37" w:name="_Toc5469"/>
      <w:r>
        <w:rPr>
          <w:rFonts w:hint="eastAsia"/>
          <w:color w:val="auto"/>
          <w:lang w:val="en-US" w:eastAsia="zh-CN"/>
        </w:rPr>
        <w:t>2.7.5供气</w:t>
      </w:r>
      <w:bookmarkEnd w:id="37"/>
    </w:p>
    <w:p w14:paraId="6EB5F565">
      <w:pPr>
        <w:rPr>
          <w:rFonts w:hint="default"/>
          <w:color w:val="auto"/>
          <w:lang w:val="en-US" w:eastAsia="zh-CN"/>
        </w:rPr>
      </w:pPr>
      <w:r>
        <w:rPr>
          <w:rFonts w:hint="eastAsia"/>
          <w:color w:val="auto"/>
          <w:lang w:val="en-US" w:eastAsia="zh-CN"/>
        </w:rPr>
        <w:t>该项目未拟设置供气系统，综合楼内餐饮服务拟采用电能。</w:t>
      </w:r>
    </w:p>
    <w:p w14:paraId="247493F5">
      <w:pPr>
        <w:pStyle w:val="6"/>
        <w:bidi w:val="0"/>
        <w:rPr>
          <w:rFonts w:hint="default"/>
          <w:color w:val="auto"/>
          <w:lang w:val="en-US" w:eastAsia="zh-CN"/>
        </w:rPr>
      </w:pPr>
      <w:bookmarkStart w:id="38" w:name="_Toc29597"/>
      <w:r>
        <w:rPr>
          <w:rFonts w:hint="eastAsia"/>
          <w:color w:val="auto"/>
          <w:lang w:val="en-US" w:eastAsia="zh-CN"/>
        </w:rPr>
        <w:t>2.7.6采暖通风</w:t>
      </w:r>
      <w:bookmarkEnd w:id="38"/>
    </w:p>
    <w:p w14:paraId="4D604509">
      <w:pPr>
        <w:bidi w:val="0"/>
        <w:rPr>
          <w:rFonts w:hint="eastAsia"/>
          <w:color w:val="auto"/>
          <w:lang w:val="en-US" w:eastAsia="zh-CN"/>
        </w:rPr>
      </w:pPr>
      <w:r>
        <w:rPr>
          <w:rFonts w:hint="eastAsia"/>
          <w:color w:val="auto"/>
          <w:lang w:val="en-US" w:eastAsia="zh-CN"/>
        </w:rPr>
        <w:t>综合楼内休息场所、餐厅、超市、商店拟设空调。</w:t>
      </w:r>
    </w:p>
    <w:p w14:paraId="57BBCC5E">
      <w:pPr>
        <w:bidi w:val="0"/>
        <w:rPr>
          <w:rFonts w:hint="eastAsia"/>
          <w:color w:val="auto"/>
          <w:lang w:val="en-US" w:eastAsia="zh-CN"/>
        </w:rPr>
      </w:pPr>
      <w:r>
        <w:rPr>
          <w:rFonts w:hint="eastAsia"/>
          <w:color w:val="auto"/>
          <w:lang w:val="en-US" w:eastAsia="zh-CN"/>
        </w:rPr>
        <w:t>空调系统的设置应符合下列要求：</w:t>
      </w:r>
    </w:p>
    <w:p w14:paraId="4DDAD7B3">
      <w:pPr>
        <w:bidi w:val="0"/>
        <w:rPr>
          <w:rFonts w:hint="eastAsia"/>
          <w:color w:val="auto"/>
          <w:lang w:val="en-US" w:eastAsia="zh-CN"/>
        </w:rPr>
      </w:pPr>
      <w:r>
        <w:rPr>
          <w:rFonts w:hint="eastAsia"/>
          <w:color w:val="auto"/>
          <w:lang w:val="en-US" w:eastAsia="zh-CN"/>
        </w:rPr>
        <w:t>a）综合楼门厅出入口宜采用冷、热风空气幕；</w:t>
      </w:r>
    </w:p>
    <w:p w14:paraId="06B6D769">
      <w:pPr>
        <w:bidi w:val="0"/>
        <w:rPr>
          <w:rFonts w:hint="eastAsia"/>
          <w:color w:val="auto"/>
          <w:lang w:val="en-US" w:eastAsia="zh-CN"/>
        </w:rPr>
      </w:pPr>
      <w:r>
        <w:rPr>
          <w:rFonts w:hint="eastAsia"/>
          <w:color w:val="auto"/>
          <w:lang w:val="en-US" w:eastAsia="zh-CN"/>
        </w:rPr>
        <w:t>b）餐厅、超市、商店等宜采用节能型空调系统；</w:t>
      </w:r>
    </w:p>
    <w:p w14:paraId="4ACB9BA5">
      <w:pPr>
        <w:bidi w:val="0"/>
        <w:rPr>
          <w:rFonts w:hint="eastAsia"/>
          <w:color w:val="auto"/>
          <w:lang w:val="en-US" w:eastAsia="zh-CN"/>
        </w:rPr>
      </w:pPr>
      <w:r>
        <w:rPr>
          <w:rFonts w:hint="eastAsia"/>
          <w:color w:val="auto"/>
          <w:lang w:val="en-US" w:eastAsia="zh-CN"/>
        </w:rPr>
        <w:t>c）厨房应保持负压，用餐场所应保持正压；餐厅宜采用新风系统通风；</w:t>
      </w:r>
    </w:p>
    <w:p w14:paraId="37C9F378">
      <w:pPr>
        <w:bidi w:val="0"/>
        <w:rPr>
          <w:rFonts w:hint="eastAsia"/>
          <w:color w:val="auto"/>
          <w:lang w:val="en-US" w:eastAsia="zh-CN"/>
        </w:rPr>
      </w:pPr>
      <w:r>
        <w:rPr>
          <w:rFonts w:hint="eastAsia"/>
          <w:color w:val="auto"/>
          <w:lang w:val="en-US" w:eastAsia="zh-CN"/>
        </w:rPr>
        <w:t>d）客房的新风量宜按30m</w:t>
      </w:r>
      <w:r>
        <w:rPr>
          <w:rFonts w:hint="eastAsia"/>
          <w:color w:val="auto"/>
          <w:vertAlign w:val="superscript"/>
          <w:lang w:val="en-US" w:eastAsia="zh-CN"/>
        </w:rPr>
        <w:t>3</w:t>
      </w:r>
      <w:r>
        <w:rPr>
          <w:rFonts w:hint="eastAsia"/>
          <w:color w:val="auto"/>
          <w:lang w:val="en-US" w:eastAsia="zh-CN"/>
        </w:rPr>
        <w:t>/人计算，并应保持负压。</w:t>
      </w:r>
    </w:p>
    <w:p w14:paraId="02361501">
      <w:pPr>
        <w:bidi w:val="0"/>
        <w:rPr>
          <w:rFonts w:hint="eastAsia"/>
          <w:color w:val="auto"/>
          <w:lang w:val="en-US" w:eastAsia="zh-CN"/>
        </w:rPr>
      </w:pPr>
      <w:r>
        <w:rPr>
          <w:rFonts w:hint="eastAsia"/>
          <w:color w:val="auto"/>
          <w:lang w:val="en-US" w:eastAsia="zh-CN"/>
        </w:rPr>
        <w:t>空气调节的室内计算温度，冬季宜为18±2℃，相对湿度不小于40%；夏季宜为28±2℃，相对湿度宜为40%~65%。</w:t>
      </w:r>
    </w:p>
    <w:p w14:paraId="59DF153B">
      <w:pPr>
        <w:bidi w:val="0"/>
        <w:rPr>
          <w:rFonts w:hint="eastAsia"/>
          <w:color w:val="auto"/>
          <w:lang w:val="en-US" w:eastAsia="zh-CN"/>
        </w:rPr>
      </w:pPr>
      <w:r>
        <w:rPr>
          <w:rFonts w:hint="eastAsia"/>
          <w:color w:val="auto"/>
          <w:lang w:val="en-US" w:eastAsia="zh-CN"/>
        </w:rPr>
        <w:t>建筑通风应符合下列要求:</w:t>
      </w:r>
    </w:p>
    <w:p w14:paraId="230A610D">
      <w:pPr>
        <w:bidi w:val="0"/>
        <w:rPr>
          <w:rFonts w:hint="eastAsia"/>
          <w:color w:val="auto"/>
          <w:lang w:val="en-US" w:eastAsia="zh-CN"/>
        </w:rPr>
      </w:pPr>
      <w:r>
        <w:rPr>
          <w:rFonts w:hint="eastAsia"/>
          <w:color w:val="auto"/>
          <w:lang w:val="en-US" w:eastAsia="zh-CN"/>
        </w:rPr>
        <w:t>a)客房、员工宿舍、办公等用房的通风开口有效面积不应小于该房间地板面积的1/20；厨房的通风开口有效面积应不小于该房间地板面积的1/10，并不得小于0.6m</w:t>
      </w:r>
      <w:r>
        <w:rPr>
          <w:rFonts w:hint="eastAsia"/>
          <w:color w:val="auto"/>
          <w:vertAlign w:val="superscript"/>
          <w:lang w:val="en-US" w:eastAsia="zh-CN"/>
        </w:rPr>
        <w:t>2</w:t>
      </w:r>
      <w:r>
        <w:rPr>
          <w:rFonts w:hint="eastAsia"/>
          <w:color w:val="auto"/>
          <w:lang w:val="en-US" w:eastAsia="zh-CN"/>
        </w:rPr>
        <w:t>；厨房的炉灶上方应安装排除油烟设备，并设排烟道；</w:t>
      </w:r>
    </w:p>
    <w:p w14:paraId="5DB7868F">
      <w:pPr>
        <w:bidi w:val="0"/>
        <w:rPr>
          <w:rFonts w:hint="eastAsia"/>
          <w:color w:val="auto"/>
          <w:lang w:val="en-US" w:eastAsia="zh-CN"/>
        </w:rPr>
      </w:pPr>
      <w:r>
        <w:rPr>
          <w:rFonts w:hint="eastAsia"/>
          <w:color w:val="auto"/>
          <w:lang w:val="en-US" w:eastAsia="zh-CN"/>
        </w:rPr>
        <w:t>b）无外窗的浴室和厕所应设机械通风换气设施，并设通风道；</w:t>
      </w:r>
    </w:p>
    <w:p w14:paraId="0966B3A0">
      <w:pPr>
        <w:bidi w:val="0"/>
        <w:rPr>
          <w:rFonts w:hint="eastAsia"/>
          <w:color w:val="auto"/>
          <w:lang w:val="en-US" w:eastAsia="zh-CN"/>
        </w:rPr>
      </w:pPr>
      <w:r>
        <w:rPr>
          <w:rFonts w:hint="eastAsia"/>
          <w:color w:val="auto"/>
          <w:lang w:val="en-US" w:eastAsia="zh-CN"/>
        </w:rPr>
        <w:t>c）厨房、卫生间的门的下方宜设进风固定百叶，或留有进风缝隙；</w:t>
      </w:r>
    </w:p>
    <w:p w14:paraId="7695A6B5">
      <w:pPr>
        <w:bidi w:val="0"/>
        <w:rPr>
          <w:rFonts w:hint="eastAsia"/>
          <w:color w:val="auto"/>
          <w:lang w:val="en-US" w:eastAsia="zh-CN"/>
        </w:rPr>
      </w:pPr>
      <w:r>
        <w:rPr>
          <w:rFonts w:hint="eastAsia"/>
          <w:color w:val="auto"/>
          <w:lang w:val="en-US" w:eastAsia="zh-CN"/>
        </w:rPr>
        <w:t>d）机械新风系统的进风口应设置在室外空气清新、洁净的位置；</w:t>
      </w:r>
    </w:p>
    <w:p w14:paraId="47B1E861">
      <w:pPr>
        <w:bidi w:val="0"/>
        <w:rPr>
          <w:rFonts w:hint="eastAsia"/>
          <w:color w:val="auto"/>
          <w:lang w:val="en-US" w:eastAsia="zh-CN"/>
        </w:rPr>
      </w:pPr>
      <w:r>
        <w:rPr>
          <w:rFonts w:hint="eastAsia"/>
          <w:color w:val="auto"/>
          <w:lang w:val="en-US" w:eastAsia="zh-CN"/>
        </w:rPr>
        <w:t>e）废气排放不应设置在有人停留或通行的地带；</w:t>
      </w:r>
    </w:p>
    <w:p w14:paraId="6952AE43">
      <w:pPr>
        <w:bidi w:val="0"/>
        <w:rPr>
          <w:rFonts w:hint="eastAsia"/>
          <w:color w:val="auto"/>
          <w:lang w:val="en-US" w:eastAsia="zh-CN"/>
        </w:rPr>
      </w:pPr>
      <w:r>
        <w:rPr>
          <w:rFonts w:hint="eastAsia"/>
          <w:color w:val="auto"/>
          <w:lang w:val="en-US" w:eastAsia="zh-CN"/>
        </w:rPr>
        <w:t>f）机械新风系统的管道应选用不燃材料。</w:t>
      </w:r>
    </w:p>
    <w:p w14:paraId="07D23FEA">
      <w:pPr>
        <w:bidi w:val="0"/>
        <w:rPr>
          <w:rFonts w:hint="eastAsia"/>
          <w:color w:val="auto"/>
          <w:lang w:val="en-US" w:eastAsia="zh-CN"/>
        </w:rPr>
      </w:pPr>
      <w:r>
        <w:rPr>
          <w:rFonts w:hint="eastAsia"/>
          <w:color w:val="auto"/>
          <w:lang w:val="en-US" w:eastAsia="zh-CN"/>
        </w:rPr>
        <w:t>综合楼内休息场所、餐厅、超市、商店自然通风达不到要求时，可采用机械通风或自然与机械通风相结合的通风方式，其通风量人均不应小于 8m</w:t>
      </w:r>
      <w:r>
        <w:rPr>
          <w:rFonts w:hint="eastAsia"/>
          <w:color w:val="auto"/>
          <w:vertAlign w:val="superscript"/>
          <w:lang w:val="en-US" w:eastAsia="zh-CN"/>
        </w:rPr>
        <w:t>3</w:t>
      </w:r>
      <w:r>
        <w:rPr>
          <w:rFonts w:hint="eastAsia"/>
          <w:color w:val="auto"/>
          <w:lang w:val="en-US" w:eastAsia="zh-CN"/>
        </w:rPr>
        <w:t>/h。</w:t>
      </w:r>
    </w:p>
    <w:p w14:paraId="30D6F920">
      <w:pPr>
        <w:bidi w:val="0"/>
        <w:rPr>
          <w:rFonts w:hint="eastAsia"/>
          <w:color w:val="auto"/>
          <w:lang w:val="en-US" w:eastAsia="zh-CN"/>
        </w:rPr>
      </w:pPr>
      <w:r>
        <w:rPr>
          <w:rFonts w:hint="eastAsia"/>
          <w:color w:val="auto"/>
          <w:lang w:val="en-US" w:eastAsia="zh-CN"/>
        </w:rPr>
        <w:t>公共厕所应优先采用自然通风，当自然通风不能满足要求时应增设机械通风，并应满足相关规定。</w:t>
      </w:r>
    </w:p>
    <w:p w14:paraId="2A41E34C">
      <w:pPr>
        <w:pStyle w:val="6"/>
        <w:bidi w:val="0"/>
        <w:rPr>
          <w:rFonts w:hint="eastAsia"/>
          <w:color w:val="auto"/>
          <w:lang w:val="en-US" w:eastAsia="zh-CN"/>
        </w:rPr>
      </w:pPr>
      <w:bookmarkStart w:id="39" w:name="_Toc159"/>
      <w:r>
        <w:rPr>
          <w:rFonts w:hint="eastAsia"/>
          <w:color w:val="auto"/>
          <w:lang w:val="en-US" w:eastAsia="zh-CN"/>
        </w:rPr>
        <w:t>2.7.8视频监控</w:t>
      </w:r>
      <w:bookmarkEnd w:id="39"/>
    </w:p>
    <w:p w14:paraId="266AF143">
      <w:pPr>
        <w:rPr>
          <w:rFonts w:hint="default"/>
          <w:color w:val="auto"/>
          <w:lang w:val="en-US" w:eastAsia="zh-CN"/>
        </w:rPr>
      </w:pPr>
      <w:r>
        <w:rPr>
          <w:rFonts w:hint="default"/>
          <w:color w:val="auto"/>
          <w:lang w:val="en-US" w:eastAsia="zh-CN"/>
        </w:rPr>
        <w:t>监控系统应符合下列要求:</w:t>
      </w:r>
    </w:p>
    <w:p w14:paraId="792EF2C8">
      <w:pPr>
        <w:rPr>
          <w:rFonts w:hint="default"/>
          <w:color w:val="auto"/>
          <w:lang w:val="en-US" w:eastAsia="zh-CN"/>
        </w:rPr>
      </w:pPr>
      <w:r>
        <w:rPr>
          <w:rFonts w:hint="eastAsia"/>
          <w:color w:val="auto"/>
          <w:lang w:val="en-US" w:eastAsia="zh-CN"/>
        </w:rPr>
        <w:t>a）</w:t>
      </w:r>
      <w:r>
        <w:rPr>
          <w:rFonts w:hint="default"/>
          <w:color w:val="auto"/>
          <w:lang w:val="en-US" w:eastAsia="zh-CN"/>
        </w:rPr>
        <w:t>在服务区入口匝道处设置摄像头，对驶进服务区车辆进行监控。</w:t>
      </w:r>
    </w:p>
    <w:p w14:paraId="6C6D82E9">
      <w:pPr>
        <w:rPr>
          <w:rFonts w:hint="default"/>
          <w:color w:val="auto"/>
          <w:lang w:val="en-US" w:eastAsia="zh-CN"/>
        </w:rPr>
      </w:pPr>
      <w:r>
        <w:rPr>
          <w:rFonts w:hint="eastAsia"/>
          <w:color w:val="auto"/>
          <w:lang w:val="en-US" w:eastAsia="zh-CN"/>
        </w:rPr>
        <w:t>b）</w:t>
      </w:r>
      <w:r>
        <w:rPr>
          <w:rFonts w:hint="default"/>
          <w:color w:val="auto"/>
          <w:lang w:val="en-US" w:eastAsia="zh-CN"/>
        </w:rPr>
        <w:t>在服务区广场设置摄像头，对服务区停放车辆进行监控，根据选用摄像头的监控距离调整安位置，保证无盲区。</w:t>
      </w:r>
    </w:p>
    <w:p w14:paraId="54C186E6">
      <w:pPr>
        <w:rPr>
          <w:rFonts w:hint="default"/>
          <w:color w:val="auto"/>
          <w:lang w:val="en-US" w:eastAsia="zh-CN"/>
        </w:rPr>
      </w:pPr>
      <w:r>
        <w:rPr>
          <w:rFonts w:hint="eastAsia"/>
          <w:color w:val="auto"/>
          <w:lang w:val="en-US" w:eastAsia="zh-CN"/>
        </w:rPr>
        <w:t>c）</w:t>
      </w:r>
      <w:r>
        <w:rPr>
          <w:rFonts w:hint="default"/>
          <w:color w:val="auto"/>
          <w:lang w:val="en-US" w:eastAsia="zh-CN"/>
        </w:rPr>
        <w:t>在服务区出口匝道处设置摄像头，对驶出服务区车辆进行监控。</w:t>
      </w:r>
    </w:p>
    <w:p w14:paraId="18885A02">
      <w:pPr>
        <w:rPr>
          <w:rFonts w:hint="default"/>
          <w:color w:val="auto"/>
          <w:lang w:val="en-US" w:eastAsia="zh-CN"/>
        </w:rPr>
      </w:pPr>
      <w:r>
        <w:rPr>
          <w:rFonts w:hint="eastAsia"/>
          <w:color w:val="auto"/>
          <w:lang w:val="en-US" w:eastAsia="zh-CN"/>
        </w:rPr>
        <w:t>d）</w:t>
      </w:r>
      <w:r>
        <w:rPr>
          <w:rFonts w:hint="default"/>
          <w:color w:val="auto"/>
          <w:lang w:val="en-US" w:eastAsia="zh-CN"/>
        </w:rPr>
        <w:t>在综合楼、公共厕所进出口处设置摄像头，对进出人员进行监控。</w:t>
      </w:r>
    </w:p>
    <w:p w14:paraId="796D60AA">
      <w:pPr>
        <w:rPr>
          <w:rFonts w:hint="default"/>
          <w:color w:val="auto"/>
          <w:lang w:val="en-US" w:eastAsia="zh-CN"/>
        </w:rPr>
      </w:pPr>
      <w:r>
        <w:rPr>
          <w:rFonts w:hint="eastAsia"/>
          <w:color w:val="auto"/>
          <w:lang w:val="en-US" w:eastAsia="zh-CN"/>
        </w:rPr>
        <w:t>e）</w:t>
      </w:r>
      <w:r>
        <w:rPr>
          <w:rFonts w:hint="default"/>
          <w:color w:val="auto"/>
          <w:lang w:val="en-US" w:eastAsia="zh-CN"/>
        </w:rPr>
        <w:t>在客房楼梯口、走廊设置摄像头，对进出人员进行监控。</w:t>
      </w:r>
    </w:p>
    <w:p w14:paraId="7215FD48">
      <w:pPr>
        <w:rPr>
          <w:rFonts w:hint="default"/>
          <w:color w:val="auto"/>
          <w:lang w:val="en-US" w:eastAsia="zh-CN"/>
        </w:rPr>
      </w:pPr>
      <w:r>
        <w:rPr>
          <w:rFonts w:hint="eastAsia"/>
          <w:color w:val="auto"/>
          <w:lang w:val="en-US" w:eastAsia="zh-CN"/>
        </w:rPr>
        <w:t>f）</w:t>
      </w:r>
      <w:r>
        <w:rPr>
          <w:rFonts w:hint="default"/>
          <w:color w:val="auto"/>
          <w:lang w:val="en-US" w:eastAsia="zh-CN"/>
        </w:rPr>
        <w:t>服务区重要位置的摄像头宜具备红外及夜视功能。</w:t>
      </w:r>
    </w:p>
    <w:p w14:paraId="5E4F5A91">
      <w:pPr>
        <w:rPr>
          <w:rFonts w:hint="default"/>
          <w:color w:val="auto"/>
          <w:lang w:val="en-US" w:eastAsia="zh-CN"/>
        </w:rPr>
      </w:pPr>
      <w:r>
        <w:rPr>
          <w:rFonts w:hint="default"/>
          <w:color w:val="auto"/>
          <w:lang w:val="en-US" w:eastAsia="zh-CN"/>
        </w:rPr>
        <w:t>匝道进出口宜设置同步声光信号装置。</w:t>
      </w:r>
    </w:p>
    <w:p w14:paraId="1C2F877F">
      <w:pPr>
        <w:pStyle w:val="6"/>
        <w:bidi w:val="0"/>
        <w:rPr>
          <w:rFonts w:hint="eastAsia"/>
          <w:color w:val="auto"/>
          <w:lang w:val="en-US" w:eastAsia="zh-CN"/>
        </w:rPr>
      </w:pPr>
      <w:bookmarkStart w:id="40" w:name="_Toc11843"/>
      <w:r>
        <w:rPr>
          <w:rFonts w:hint="eastAsia"/>
          <w:color w:val="auto"/>
          <w:lang w:val="en-US" w:eastAsia="zh-CN"/>
        </w:rPr>
        <w:t>2.7.7三废处理</w:t>
      </w:r>
      <w:bookmarkEnd w:id="40"/>
    </w:p>
    <w:p w14:paraId="61F8A3FD">
      <w:pPr>
        <w:rPr>
          <w:rFonts w:hint="default"/>
          <w:color w:val="auto"/>
          <w:spacing w:val="-6"/>
          <w:sz w:val="28"/>
          <w:lang w:val="en-US" w:eastAsia="zh-CN"/>
        </w:rPr>
      </w:pPr>
      <w:r>
        <w:rPr>
          <w:rFonts w:hint="eastAsia"/>
          <w:color w:val="auto"/>
          <w:spacing w:val="-6"/>
          <w:sz w:val="28"/>
          <w:lang w:val="en-US" w:eastAsia="zh-CN"/>
        </w:rPr>
        <w:t>该项目</w:t>
      </w:r>
      <w:r>
        <w:rPr>
          <w:rFonts w:hint="default"/>
          <w:color w:val="auto"/>
          <w:spacing w:val="-6"/>
          <w:sz w:val="28"/>
          <w:lang w:val="en-US" w:eastAsia="zh-CN"/>
        </w:rPr>
        <w:t>废气、废水、废渣、噪声应符合GB8978及GB20952的有关规定。</w:t>
      </w:r>
    </w:p>
    <w:p w14:paraId="7F3C76B7">
      <w:pPr>
        <w:rPr>
          <w:rFonts w:hint="default"/>
          <w:color w:val="auto"/>
          <w:lang w:val="en-US" w:eastAsia="zh-CN"/>
        </w:rPr>
      </w:pPr>
      <w:r>
        <w:rPr>
          <w:rFonts w:hint="eastAsia"/>
          <w:color w:val="auto"/>
          <w:lang w:val="en-US" w:eastAsia="zh-CN"/>
        </w:rPr>
        <w:t>1、</w:t>
      </w:r>
      <w:r>
        <w:rPr>
          <w:rFonts w:hint="default"/>
          <w:color w:val="auto"/>
          <w:lang w:val="en-US" w:eastAsia="zh-CN"/>
        </w:rPr>
        <w:t xml:space="preserve"> 废气处理</w:t>
      </w:r>
    </w:p>
    <w:p w14:paraId="0AD85A16">
      <w:pPr>
        <w:rPr>
          <w:rFonts w:hint="default"/>
          <w:color w:val="auto"/>
          <w:lang w:val="en-US" w:eastAsia="zh-CN"/>
        </w:rPr>
      </w:pPr>
      <w:r>
        <w:rPr>
          <w:rFonts w:hint="default"/>
          <w:color w:val="auto"/>
          <w:lang w:val="en-US" w:eastAsia="zh-CN"/>
        </w:rPr>
        <w:t>餐厅的油烟废气经处理后，应达到GB18483排放标准规定。</w:t>
      </w:r>
    </w:p>
    <w:p w14:paraId="45C10434">
      <w:pPr>
        <w:rPr>
          <w:rFonts w:hint="default"/>
          <w:color w:val="auto"/>
          <w:lang w:val="en-US" w:eastAsia="zh-CN"/>
        </w:rPr>
      </w:pPr>
      <w:r>
        <w:rPr>
          <w:rFonts w:hint="eastAsia"/>
          <w:color w:val="auto"/>
          <w:lang w:val="en-US" w:eastAsia="zh-CN"/>
        </w:rPr>
        <w:t>2、</w:t>
      </w:r>
      <w:r>
        <w:rPr>
          <w:rFonts w:hint="default"/>
          <w:color w:val="auto"/>
          <w:lang w:val="en-US" w:eastAsia="zh-CN"/>
        </w:rPr>
        <w:t>废水处理</w:t>
      </w:r>
    </w:p>
    <w:p w14:paraId="53497BF0">
      <w:pPr>
        <w:rPr>
          <w:rFonts w:hint="default"/>
          <w:color w:val="auto"/>
          <w:lang w:val="en-US" w:eastAsia="zh-CN"/>
        </w:rPr>
      </w:pPr>
      <w:r>
        <w:rPr>
          <w:rFonts w:hint="default"/>
          <w:color w:val="auto"/>
          <w:lang w:val="en-US" w:eastAsia="zh-CN"/>
        </w:rPr>
        <w:t>汽车修理等含油废水应进行油水分离处理后达到GB8978的规定。</w:t>
      </w:r>
    </w:p>
    <w:p w14:paraId="58997104">
      <w:pPr>
        <w:rPr>
          <w:rFonts w:hint="default"/>
          <w:color w:val="auto"/>
          <w:lang w:val="en-US" w:eastAsia="zh-CN"/>
        </w:rPr>
      </w:pPr>
      <w:r>
        <w:rPr>
          <w:rFonts w:hint="default"/>
          <w:color w:val="auto"/>
          <w:lang w:val="en-US" w:eastAsia="zh-CN"/>
        </w:rPr>
        <w:t>生活废水和餐饮废水处理应符合JT/T645.1要求。</w:t>
      </w:r>
    </w:p>
    <w:p w14:paraId="7E8E4667">
      <w:pPr>
        <w:rPr>
          <w:rFonts w:hint="default"/>
          <w:color w:val="auto"/>
          <w:lang w:val="en-US" w:eastAsia="zh-CN"/>
        </w:rPr>
      </w:pPr>
      <w:r>
        <w:rPr>
          <w:rFonts w:hint="default"/>
          <w:color w:val="auto"/>
          <w:lang w:val="en-US" w:eastAsia="zh-CN"/>
        </w:rPr>
        <w:t>洗车废水应经沉凝沉降油水分离处理。</w:t>
      </w:r>
    </w:p>
    <w:p w14:paraId="499D592D">
      <w:pPr>
        <w:rPr>
          <w:rFonts w:hint="default"/>
          <w:color w:val="auto"/>
          <w:lang w:val="en-US" w:eastAsia="zh-CN"/>
        </w:rPr>
      </w:pPr>
      <w:r>
        <w:rPr>
          <w:rFonts w:hint="eastAsia"/>
          <w:color w:val="auto"/>
          <w:lang w:val="en-US" w:eastAsia="zh-CN"/>
        </w:rPr>
        <w:t>3、</w:t>
      </w:r>
      <w:r>
        <w:rPr>
          <w:rFonts w:hint="default"/>
          <w:color w:val="auto"/>
          <w:lang w:val="en-US" w:eastAsia="zh-CN"/>
        </w:rPr>
        <w:t>固废处理</w:t>
      </w:r>
    </w:p>
    <w:p w14:paraId="60B0EA5F">
      <w:pPr>
        <w:rPr>
          <w:rFonts w:hint="default"/>
          <w:color w:val="auto"/>
          <w:lang w:val="en-US" w:eastAsia="zh-CN"/>
        </w:rPr>
      </w:pPr>
      <w:r>
        <w:rPr>
          <w:rFonts w:hint="default"/>
          <w:color w:val="auto"/>
          <w:lang w:val="en-US" w:eastAsia="zh-CN"/>
        </w:rPr>
        <w:t>汽车维修等生产服务产生的废旧轮胎、废金属等，应分类储放，并运送有关地方妥善处理。</w:t>
      </w:r>
    </w:p>
    <w:p w14:paraId="59526FCD">
      <w:pPr>
        <w:rPr>
          <w:rFonts w:hint="default"/>
          <w:color w:val="auto"/>
          <w:lang w:val="en-US" w:eastAsia="zh-CN"/>
        </w:rPr>
      </w:pPr>
      <w:r>
        <w:rPr>
          <w:rFonts w:hint="default"/>
          <w:color w:val="auto"/>
          <w:lang w:val="en-US" w:eastAsia="zh-CN"/>
        </w:rPr>
        <w:t>生活餐饮的垃圾应进行分类储存，采用集装箱式并送附近的垃圾处理场进行处理。</w:t>
      </w:r>
    </w:p>
    <w:p w14:paraId="503221C1">
      <w:pPr>
        <w:rPr>
          <w:rFonts w:hint="default"/>
          <w:color w:val="auto"/>
          <w:lang w:val="en-US" w:eastAsia="zh-CN"/>
        </w:rPr>
      </w:pPr>
      <w:r>
        <w:rPr>
          <w:rFonts w:hint="default"/>
          <w:color w:val="auto"/>
          <w:lang w:val="en-US" w:eastAsia="zh-CN"/>
        </w:rPr>
        <w:t>汽车维修产生的废油、乳化油等应按GB18597的规定，设置专门的存放地、存放容器进行收集储存。</w:t>
      </w:r>
    </w:p>
    <w:p w14:paraId="1245DF46">
      <w:pPr>
        <w:pStyle w:val="5"/>
        <w:bidi w:val="0"/>
        <w:rPr>
          <w:color w:val="auto"/>
        </w:rPr>
      </w:pPr>
      <w:bookmarkStart w:id="41" w:name="_Toc906"/>
      <w:r>
        <w:rPr>
          <w:rFonts w:hint="eastAsia"/>
          <w:color w:val="auto"/>
          <w:lang w:val="en-US" w:eastAsia="zh-CN"/>
        </w:rPr>
        <w:t>2.8</w:t>
      </w:r>
      <w:r>
        <w:rPr>
          <w:color w:val="auto"/>
        </w:rPr>
        <w:t>消防</w:t>
      </w:r>
      <w:bookmarkEnd w:id="41"/>
    </w:p>
    <w:p w14:paraId="5DBD96CA">
      <w:pPr>
        <w:tabs>
          <w:tab w:val="left" w:pos="520"/>
        </w:tabs>
        <w:spacing w:line="600" w:lineRule="exact"/>
        <w:ind w:firstLine="560" w:firstLineChars="200"/>
        <w:rPr>
          <w:rFonts w:hint="default" w:eastAsia="宋体"/>
          <w:color w:val="auto"/>
          <w:sz w:val="28"/>
          <w:szCs w:val="28"/>
          <w:lang w:val="en-US" w:eastAsia="zh-CN"/>
        </w:rPr>
      </w:pPr>
      <w:r>
        <w:rPr>
          <w:rFonts w:hint="eastAsia"/>
          <w:color w:val="auto"/>
          <w:lang w:val="en-US" w:eastAsia="zh-CN"/>
        </w:rPr>
        <w:t>根据</w:t>
      </w:r>
      <w:r>
        <w:rPr>
          <w:rFonts w:hint="default"/>
          <w:color w:val="auto"/>
          <w:sz w:val="28"/>
          <w:szCs w:val="28"/>
        </w:rPr>
        <w:t>《消防给水及消火栓系统技术规范》（GB50974-2014）</w:t>
      </w:r>
      <w:r>
        <w:rPr>
          <w:rFonts w:hint="eastAsia"/>
          <w:color w:val="auto"/>
          <w:sz w:val="28"/>
          <w:szCs w:val="28"/>
          <w:lang w:val="en-US" w:eastAsia="zh-CN"/>
        </w:rPr>
        <w:t>3.2.2，该项目消防由该项目建构筑物数据可知，综合楼的消防</w:t>
      </w:r>
      <w:r>
        <w:rPr>
          <w:rFonts w:hint="default"/>
          <w:color w:val="auto"/>
          <w:sz w:val="28"/>
          <w:szCs w:val="28"/>
        </w:rPr>
        <w:t>用水量</w:t>
      </w:r>
      <w:r>
        <w:rPr>
          <w:rFonts w:hint="eastAsia"/>
          <w:color w:val="auto"/>
          <w:sz w:val="28"/>
          <w:szCs w:val="28"/>
          <w:lang w:val="en-US" w:eastAsia="zh-CN"/>
        </w:rPr>
        <w:t>最大，</w:t>
      </w:r>
      <w:r>
        <w:rPr>
          <w:rFonts w:hint="eastAsia"/>
          <w:color w:val="auto"/>
          <w:lang w:val="en-US" w:eastAsia="zh-CN"/>
        </w:rPr>
        <w:t>根据</w:t>
      </w:r>
      <w:r>
        <w:rPr>
          <w:rFonts w:hint="default"/>
          <w:color w:val="auto"/>
          <w:sz w:val="28"/>
          <w:szCs w:val="28"/>
        </w:rPr>
        <w:t>《消防给水及消火栓系统技术规范》（GB50974-2014）表3.3.2、</w:t>
      </w:r>
      <w:r>
        <w:rPr>
          <w:rFonts w:hint="eastAsia"/>
          <w:color w:val="auto"/>
          <w:sz w:val="28"/>
          <w:szCs w:val="28"/>
          <w:lang w:val="en-US" w:eastAsia="zh-CN"/>
        </w:rPr>
        <w:t>3.5.2、</w:t>
      </w:r>
      <w:r>
        <w:rPr>
          <w:rFonts w:hint="default"/>
          <w:color w:val="auto"/>
          <w:sz w:val="28"/>
          <w:szCs w:val="28"/>
        </w:rPr>
        <w:t>3.6.2：</w:t>
      </w:r>
      <w:r>
        <w:rPr>
          <w:rFonts w:hint="eastAsia"/>
          <w:color w:val="auto"/>
          <w:sz w:val="28"/>
          <w:szCs w:val="28"/>
          <w:lang w:val="en-US" w:eastAsia="zh-CN"/>
        </w:rPr>
        <w:t>综合楼室外消火栓设计流量为30</w:t>
      </w:r>
      <w:r>
        <w:rPr>
          <w:rFonts w:hint="default"/>
          <w:color w:val="auto"/>
          <w:sz w:val="28"/>
          <w:szCs w:val="28"/>
        </w:rPr>
        <w:t>L/s</w:t>
      </w:r>
      <w:r>
        <w:rPr>
          <w:rFonts w:hint="eastAsia"/>
          <w:color w:val="auto"/>
          <w:sz w:val="28"/>
          <w:szCs w:val="28"/>
          <w:lang w:eastAsia="zh-CN"/>
        </w:rPr>
        <w:t>，</w:t>
      </w:r>
      <w:r>
        <w:rPr>
          <w:rFonts w:hint="eastAsia"/>
          <w:color w:val="auto"/>
          <w:sz w:val="28"/>
          <w:szCs w:val="28"/>
          <w:lang w:val="en-US" w:eastAsia="zh-CN"/>
        </w:rPr>
        <w:t>室内消火栓设计流量为15</w:t>
      </w:r>
      <w:r>
        <w:rPr>
          <w:rFonts w:hint="default"/>
          <w:color w:val="auto"/>
          <w:sz w:val="28"/>
          <w:szCs w:val="28"/>
        </w:rPr>
        <w:t>L/s</w:t>
      </w:r>
      <w:r>
        <w:rPr>
          <w:rFonts w:hint="eastAsia"/>
          <w:color w:val="auto"/>
          <w:sz w:val="28"/>
          <w:szCs w:val="28"/>
          <w:lang w:eastAsia="zh-CN"/>
        </w:rPr>
        <w:t>，</w:t>
      </w:r>
      <w:r>
        <w:rPr>
          <w:rFonts w:hint="eastAsia"/>
          <w:color w:val="auto"/>
          <w:sz w:val="28"/>
          <w:szCs w:val="28"/>
          <w:lang w:val="en-US" w:eastAsia="zh-CN"/>
        </w:rPr>
        <w:t>火灾持续时间按3h计算，则一次消防用水量V=3h×3600s×（30+15）</w:t>
      </w:r>
      <w:r>
        <w:rPr>
          <w:rFonts w:hint="default"/>
          <w:color w:val="auto"/>
          <w:sz w:val="28"/>
          <w:szCs w:val="28"/>
        </w:rPr>
        <w:t>L/s</w:t>
      </w:r>
      <w:r>
        <w:rPr>
          <w:rFonts w:hint="eastAsia"/>
          <w:color w:val="auto"/>
          <w:sz w:val="28"/>
          <w:szCs w:val="28"/>
          <w:lang w:val="en-US" w:eastAsia="zh-CN"/>
        </w:rPr>
        <w:t>=4.86×10</w:t>
      </w:r>
      <w:r>
        <w:rPr>
          <w:rFonts w:hint="eastAsia"/>
          <w:color w:val="auto"/>
          <w:sz w:val="28"/>
          <w:szCs w:val="28"/>
          <w:vertAlign w:val="superscript"/>
          <w:lang w:val="en-US" w:eastAsia="zh-CN"/>
        </w:rPr>
        <w:t>5</w:t>
      </w:r>
      <w:r>
        <w:rPr>
          <w:rFonts w:hint="eastAsia"/>
          <w:color w:val="auto"/>
          <w:sz w:val="28"/>
          <w:szCs w:val="28"/>
          <w:lang w:val="en-US" w:eastAsia="zh-CN"/>
        </w:rPr>
        <w:t>L=486m</w:t>
      </w:r>
      <w:r>
        <w:rPr>
          <w:rFonts w:hint="eastAsia"/>
          <w:color w:val="auto"/>
          <w:sz w:val="28"/>
          <w:szCs w:val="28"/>
          <w:vertAlign w:val="superscript"/>
          <w:lang w:val="en-US" w:eastAsia="zh-CN"/>
        </w:rPr>
        <w:t>3</w:t>
      </w:r>
      <w:r>
        <w:rPr>
          <w:rFonts w:hint="eastAsia"/>
          <w:color w:val="auto"/>
          <w:sz w:val="28"/>
          <w:szCs w:val="28"/>
          <w:vertAlign w:val="baseline"/>
          <w:lang w:val="en-US" w:eastAsia="zh-CN"/>
        </w:rPr>
        <w:t>。</w:t>
      </w:r>
    </w:p>
    <w:p w14:paraId="0EC3A7B3">
      <w:pPr>
        <w:bidi w:val="0"/>
        <w:rPr>
          <w:rFonts w:hint="default"/>
          <w:color w:val="auto"/>
          <w:lang w:val="en-US" w:eastAsia="zh-CN"/>
        </w:rPr>
      </w:pPr>
      <w:r>
        <w:rPr>
          <w:rFonts w:hint="eastAsia"/>
          <w:color w:val="auto"/>
          <w:lang w:val="en-US" w:eastAsia="zh-CN"/>
        </w:rPr>
        <w:t>该项目拟在两区设备用房各设置两台消防水泵（Q=55L/s，H=50m，N=55kW，一用一备），1处消防水池（有效容积为506m</w:t>
      </w:r>
      <w:r>
        <w:rPr>
          <w:rFonts w:hint="eastAsia"/>
          <w:color w:val="auto"/>
          <w:vertAlign w:val="superscript"/>
          <w:lang w:val="en-US" w:eastAsia="zh-CN"/>
        </w:rPr>
        <w:t>3</w:t>
      </w:r>
      <w:r>
        <w:rPr>
          <w:rFonts w:hint="eastAsia"/>
          <w:color w:val="auto"/>
          <w:lang w:val="en-US" w:eastAsia="zh-CN"/>
        </w:rPr>
        <w:t>），可以满足该项目消防用水的需求。</w:t>
      </w:r>
    </w:p>
    <w:p w14:paraId="320ABEE5">
      <w:pPr>
        <w:bidi w:val="0"/>
        <w:rPr>
          <w:rFonts w:hint="eastAsia"/>
          <w:color w:val="auto"/>
          <w:lang w:val="en-US" w:eastAsia="zh-CN"/>
        </w:rPr>
      </w:pPr>
      <w:r>
        <w:rPr>
          <w:rFonts w:hint="eastAsia"/>
          <w:color w:val="auto"/>
          <w:lang w:val="en-US" w:eastAsia="zh-CN"/>
        </w:rPr>
        <w:t>该项目原有消防设施拟全部拆除，重新设置火灾自动报警、应急照明疏散系统、室内消火栓系统、室外消火栓系统、自动喷淋系统，并按要求配置灭火器。</w:t>
      </w:r>
    </w:p>
    <w:p w14:paraId="18BC637C">
      <w:pPr>
        <w:numPr>
          <w:ilvl w:val="0"/>
          <w:numId w:val="0"/>
        </w:numPr>
        <w:spacing w:line="600" w:lineRule="exact"/>
        <w:ind w:leftChars="0" w:firstLine="560" w:firstLineChars="200"/>
        <w:rPr>
          <w:rFonts w:hint="eastAsia"/>
          <w:color w:val="auto"/>
          <w:highlight w:val="none"/>
          <w:lang w:eastAsia="zh-CN"/>
        </w:rPr>
      </w:pPr>
      <w:r>
        <w:rPr>
          <w:rFonts w:hint="eastAsia"/>
          <w:color w:val="auto"/>
          <w:lang w:val="en-US" w:eastAsia="zh-CN"/>
        </w:rPr>
        <w:t>该项目防排烟设置：</w:t>
      </w:r>
      <w:r>
        <w:rPr>
          <w:rFonts w:hint="eastAsia"/>
          <w:color w:val="auto"/>
          <w:highlight w:val="none"/>
          <w:lang w:eastAsia="zh-CN"/>
        </w:rPr>
        <w:t>所有楼梯间每5层内可开启外窗面积之和不小于2平方米，且布置间隔不大于3层楼梯间，顶部可开启外窗面积不小于1平方米满足自然通风条件，采用自然通风。中间高大空间设置自然排烟系统,排烟量按211000m</w:t>
      </w:r>
      <w:r>
        <w:rPr>
          <w:rFonts w:hint="eastAsia"/>
          <w:color w:val="auto"/>
          <w:highlight w:val="none"/>
          <w:vertAlign w:val="superscript"/>
          <w:lang w:eastAsia="zh-CN"/>
        </w:rPr>
        <w:t>3</w:t>
      </w:r>
      <w:r>
        <w:rPr>
          <w:rFonts w:hint="eastAsia"/>
          <w:color w:val="auto"/>
          <w:highlight w:val="none"/>
          <w:lang w:eastAsia="zh-CN"/>
        </w:rPr>
        <w:t>/H'm</w:t>
      </w:r>
      <w:r>
        <w:rPr>
          <w:rFonts w:hint="eastAsia"/>
          <w:color w:val="auto"/>
          <w:highlight w:val="none"/>
          <w:vertAlign w:val="superscript"/>
          <w:lang w:eastAsia="zh-CN"/>
        </w:rPr>
        <w:t>2</w:t>
      </w:r>
      <w:r>
        <w:rPr>
          <w:rFonts w:hint="eastAsia"/>
          <w:color w:val="auto"/>
          <w:highlight w:val="none"/>
          <w:lang w:eastAsia="zh-CN"/>
        </w:rPr>
        <w:t>计算，自然有效开窗面积不小于60m</w:t>
      </w:r>
      <w:r>
        <w:rPr>
          <w:rFonts w:hint="eastAsia"/>
          <w:color w:val="auto"/>
          <w:highlight w:val="none"/>
          <w:vertAlign w:val="superscript"/>
          <w:lang w:eastAsia="zh-CN"/>
        </w:rPr>
        <w:t>2</w:t>
      </w:r>
      <w:r>
        <w:rPr>
          <w:rFonts w:hint="eastAsia"/>
          <w:color w:val="auto"/>
          <w:highlight w:val="none"/>
          <w:lang w:eastAsia="zh-CN"/>
        </w:rPr>
        <w:t>；大于100</w:t>
      </w:r>
      <w:r>
        <w:rPr>
          <w:rFonts w:hint="eastAsia"/>
          <w:color w:val="auto"/>
          <w:spacing w:val="-6"/>
          <w:sz w:val="28"/>
          <w:highlight w:val="none"/>
          <w:lang w:eastAsia="zh-CN"/>
        </w:rPr>
        <w:t>平方米的房间和大于20m的走道设置自然排烟系统，开窗条件满足规范要求。</w:t>
      </w:r>
    </w:p>
    <w:p w14:paraId="4D8771BA">
      <w:pPr>
        <w:bidi w:val="0"/>
        <w:rPr>
          <w:rFonts w:hint="default"/>
          <w:color w:val="C00000"/>
          <w:lang w:val="en-US" w:eastAsia="zh-CN"/>
        </w:rPr>
      </w:pPr>
      <w:r>
        <w:rPr>
          <w:rFonts w:hint="eastAsia"/>
          <w:color w:val="auto"/>
          <w:lang w:val="en-US" w:eastAsia="zh-CN"/>
        </w:rPr>
        <w:t>企业提供的资料中，未提及疏散通道、疏散标志等的措施设计，将在安全对策措施中提出。</w:t>
      </w:r>
    </w:p>
    <w:p w14:paraId="5589B677">
      <w:pPr>
        <w:pStyle w:val="5"/>
        <w:bidi w:val="0"/>
        <w:rPr>
          <w:rFonts w:hint="eastAsia" w:ascii="宋体" w:hAnsi="宋体" w:eastAsia="宋体" w:cs="宋体"/>
          <w:color w:val="auto"/>
        </w:rPr>
      </w:pPr>
      <w:bookmarkStart w:id="42" w:name="_Toc5257"/>
      <w:r>
        <w:rPr>
          <w:color w:val="auto"/>
        </w:rPr>
        <w:t>2.</w:t>
      </w:r>
      <w:r>
        <w:rPr>
          <w:rFonts w:hint="eastAsia"/>
          <w:color w:val="auto"/>
          <w:lang w:val="en-US" w:eastAsia="zh-CN"/>
        </w:rPr>
        <w:t>9</w:t>
      </w:r>
      <w:r>
        <w:rPr>
          <w:rFonts w:hint="eastAsia" w:ascii="宋体" w:hAnsi="宋体" w:eastAsia="宋体" w:cs="宋体"/>
          <w:color w:val="auto"/>
        </w:rPr>
        <w:t>安全管理体系</w:t>
      </w:r>
      <w:bookmarkEnd w:id="42"/>
    </w:p>
    <w:p w14:paraId="2A6E42CF">
      <w:pPr>
        <w:adjustRightInd w:val="0"/>
        <w:snapToGrid w:val="0"/>
        <w:spacing w:line="600" w:lineRule="exact"/>
        <w:ind w:firstLine="560" w:firstLineChars="200"/>
        <w:jc w:val="left"/>
        <w:textAlignment w:val="center"/>
        <w:rPr>
          <w:rFonts w:ascii="Times New Roman" w:hAnsi="Times New Roman"/>
          <w:bCs/>
          <w:color w:val="auto"/>
          <w:kern w:val="0"/>
          <w:sz w:val="28"/>
          <w:szCs w:val="28"/>
        </w:rPr>
      </w:pPr>
      <w:bookmarkStart w:id="43" w:name="_Toc3831"/>
      <w:bookmarkStart w:id="44" w:name="_Toc350517378"/>
      <w:r>
        <w:rPr>
          <w:rFonts w:hint="eastAsia"/>
          <w:color w:val="auto"/>
          <w:lang w:val="en-US" w:eastAsia="zh-CN"/>
        </w:rPr>
        <w:t>该项目安全管理依托</w:t>
      </w:r>
      <w:r>
        <w:rPr>
          <w:rFonts w:hint="eastAsia" w:hAnsi="宋体"/>
          <w:color w:val="auto"/>
          <w:lang w:eastAsia="zh-CN"/>
        </w:rPr>
        <w:t>江西省交通投资集团有限责任公司大广高速修水服务区</w:t>
      </w:r>
      <w:r>
        <w:rPr>
          <w:rFonts w:hint="eastAsia" w:hAnsi="宋体"/>
          <w:color w:val="auto"/>
          <w:lang w:val="en-US" w:eastAsia="zh-CN"/>
        </w:rPr>
        <w:t>现有管理机构及人员，</w:t>
      </w:r>
      <w:r>
        <w:rPr>
          <w:rFonts w:ascii="Times New Roman" w:hAnsi="Times New Roman"/>
          <w:bCs/>
          <w:color w:val="auto"/>
          <w:kern w:val="0"/>
          <w:sz w:val="28"/>
          <w:szCs w:val="28"/>
        </w:rPr>
        <w:t>在</w:t>
      </w:r>
      <w:r>
        <w:rPr>
          <w:rFonts w:hint="eastAsia" w:ascii="Times New Roman" w:hAnsi="Times New Roman"/>
          <w:bCs/>
          <w:color w:val="auto"/>
          <w:kern w:val="0"/>
          <w:sz w:val="28"/>
          <w:szCs w:val="28"/>
          <w:lang w:eastAsia="zh-CN"/>
        </w:rPr>
        <w:t>“</w:t>
      </w:r>
      <w:r>
        <w:rPr>
          <w:rFonts w:ascii="Times New Roman" w:hAnsi="Times New Roman"/>
          <w:bCs/>
          <w:color w:val="auto"/>
          <w:kern w:val="0"/>
          <w:sz w:val="28"/>
          <w:szCs w:val="28"/>
        </w:rPr>
        <w:t>安全第一，预防为主，综合治理</w:t>
      </w:r>
      <w:r>
        <w:rPr>
          <w:rFonts w:hint="eastAsia" w:ascii="Times New Roman" w:hAnsi="Times New Roman"/>
          <w:bCs/>
          <w:color w:val="auto"/>
          <w:kern w:val="0"/>
          <w:sz w:val="28"/>
          <w:szCs w:val="28"/>
          <w:lang w:eastAsia="zh-CN"/>
        </w:rPr>
        <w:t>”</w:t>
      </w:r>
      <w:r>
        <w:rPr>
          <w:rFonts w:ascii="Times New Roman" w:hAnsi="Times New Roman"/>
          <w:bCs/>
          <w:color w:val="auto"/>
          <w:kern w:val="0"/>
          <w:sz w:val="28"/>
          <w:szCs w:val="28"/>
        </w:rPr>
        <w:t>的安全方针指导下，明确各级行政正职为安全</w:t>
      </w:r>
      <w:r>
        <w:rPr>
          <w:rFonts w:hint="eastAsia" w:ascii="Times New Roman" w:hAnsi="Times New Roman"/>
          <w:bCs/>
          <w:color w:val="auto"/>
          <w:kern w:val="0"/>
          <w:sz w:val="28"/>
          <w:szCs w:val="28"/>
          <w:lang w:val="en-US" w:eastAsia="zh-CN"/>
        </w:rPr>
        <w:t>经营</w:t>
      </w:r>
      <w:r>
        <w:rPr>
          <w:rFonts w:ascii="Times New Roman" w:hAnsi="Times New Roman"/>
          <w:bCs/>
          <w:color w:val="auto"/>
          <w:kern w:val="0"/>
          <w:sz w:val="28"/>
          <w:szCs w:val="28"/>
        </w:rPr>
        <w:t>的第一责任者，对安全工作负全面领导责</w:t>
      </w:r>
      <w:r>
        <w:rPr>
          <w:rFonts w:hint="eastAsia"/>
          <w:bCs/>
          <w:color w:val="auto"/>
          <w:kern w:val="0"/>
          <w:sz w:val="28"/>
          <w:szCs w:val="28"/>
          <w:lang w:val="en-US" w:eastAsia="zh-CN"/>
        </w:rPr>
        <w:t>任</w:t>
      </w:r>
      <w:r>
        <w:rPr>
          <w:rFonts w:ascii="Times New Roman" w:hAnsi="Times New Roman"/>
          <w:bCs/>
          <w:color w:val="auto"/>
          <w:kern w:val="0"/>
          <w:sz w:val="28"/>
          <w:szCs w:val="28"/>
        </w:rPr>
        <w:t>。</w:t>
      </w:r>
    </w:p>
    <w:p w14:paraId="460B2D4B">
      <w:pPr>
        <w:adjustRightInd w:val="0"/>
        <w:snapToGrid w:val="0"/>
        <w:spacing w:line="600" w:lineRule="exact"/>
        <w:ind w:firstLine="560" w:firstLineChars="200"/>
        <w:jc w:val="left"/>
        <w:textAlignment w:val="center"/>
        <w:rPr>
          <w:rFonts w:hint="default" w:ascii="Times New Roman" w:hAnsi="Times New Roman" w:eastAsia="宋体"/>
          <w:bCs/>
          <w:color w:val="auto"/>
          <w:kern w:val="0"/>
          <w:sz w:val="28"/>
          <w:szCs w:val="28"/>
          <w:lang w:val="en-US" w:eastAsia="zh-CN"/>
        </w:rPr>
      </w:pPr>
      <w:r>
        <w:rPr>
          <w:rFonts w:hint="eastAsia" w:ascii="Times New Roman" w:hAnsi="Times New Roman"/>
          <w:bCs/>
          <w:color w:val="auto"/>
          <w:kern w:val="0"/>
          <w:sz w:val="28"/>
          <w:szCs w:val="28"/>
          <w:lang w:val="en-US" w:eastAsia="zh-CN"/>
        </w:rPr>
        <w:t>该公司已制定了较完善的安全生产责任制度、安全生产管理制度等规章制度，该项目依托公司现有的安全生产管理制度能有效的保障。</w:t>
      </w:r>
    </w:p>
    <w:p w14:paraId="5CFA22DA">
      <w:pPr>
        <w:adjustRightInd w:val="0"/>
        <w:snapToGrid w:val="0"/>
        <w:spacing w:line="600" w:lineRule="exact"/>
        <w:ind w:firstLine="560" w:firstLineChars="200"/>
        <w:textAlignment w:val="center"/>
        <w:rPr>
          <w:rFonts w:hint="eastAsia" w:hAnsi="宋体"/>
          <w:color w:val="auto"/>
          <w:sz w:val="28"/>
          <w:szCs w:val="28"/>
          <w:lang w:val="en-US" w:eastAsia="zh-CN"/>
        </w:rPr>
      </w:pPr>
      <w:r>
        <w:rPr>
          <w:rFonts w:hint="eastAsia" w:hAnsi="宋体"/>
          <w:color w:val="auto"/>
          <w:sz w:val="28"/>
          <w:szCs w:val="28"/>
          <w:lang w:val="en-US" w:eastAsia="zh-CN"/>
        </w:rPr>
        <w:t>该项目依托现有劳动定员，不新增员工。</w:t>
      </w:r>
    </w:p>
    <w:p w14:paraId="7944C000">
      <w:pPr>
        <w:adjustRightInd w:val="0"/>
        <w:snapToGrid w:val="0"/>
        <w:spacing w:line="600" w:lineRule="exact"/>
        <w:ind w:firstLine="560" w:firstLineChars="200"/>
        <w:textAlignment w:val="center"/>
        <w:rPr>
          <w:rFonts w:hint="eastAsia"/>
          <w:color w:val="auto"/>
          <w:sz w:val="28"/>
          <w:szCs w:val="28"/>
          <w:lang w:eastAsia="zh-CN"/>
        </w:rPr>
      </w:pPr>
      <w:r>
        <w:rPr>
          <w:rFonts w:hint="eastAsia"/>
          <w:color w:val="auto"/>
          <w:sz w:val="28"/>
          <w:szCs w:val="28"/>
        </w:rPr>
        <w:t>所有特种作人员必须经有关部门培训，培训合格取得相关资格证书后方可上岗操作</w:t>
      </w:r>
      <w:r>
        <w:rPr>
          <w:rFonts w:hint="eastAsia"/>
          <w:color w:val="auto"/>
          <w:sz w:val="28"/>
          <w:szCs w:val="28"/>
          <w:lang w:eastAsia="zh-CN"/>
        </w:rPr>
        <w:t>。</w:t>
      </w:r>
    </w:p>
    <w:p w14:paraId="0B778271">
      <w:pPr>
        <w:pStyle w:val="5"/>
        <w:bidi w:val="0"/>
        <w:rPr>
          <w:rFonts w:hint="eastAsia"/>
          <w:color w:val="auto"/>
          <w:lang w:val="en-US" w:eastAsia="zh-CN"/>
        </w:rPr>
      </w:pPr>
      <w:bookmarkStart w:id="45" w:name="_Toc27842"/>
      <w:r>
        <w:rPr>
          <w:rFonts w:hint="eastAsia"/>
          <w:color w:val="auto"/>
          <w:lang w:val="en-US" w:eastAsia="zh-CN"/>
        </w:rPr>
        <w:t>2.10安全投入</w:t>
      </w:r>
      <w:bookmarkEnd w:id="45"/>
    </w:p>
    <w:p w14:paraId="61D9760A">
      <w:pPr>
        <w:rPr>
          <w:rFonts w:hint="default"/>
          <w:color w:val="auto"/>
          <w:lang w:val="en-US" w:eastAsia="zh-CN"/>
        </w:rPr>
      </w:pPr>
      <w:r>
        <w:rPr>
          <w:rFonts w:hint="eastAsia"/>
          <w:color w:val="auto"/>
          <w:lang w:val="en-US" w:eastAsia="zh-CN"/>
        </w:rPr>
        <w:t>该项目拟根据《企业安全生产费用提取和使用管理办法》（财资[2022]136号）相关规定进行安全生产费用的提取和使用。</w:t>
      </w:r>
    </w:p>
    <w:p w14:paraId="7FE7D210">
      <w:pPr>
        <w:pStyle w:val="51"/>
        <w:rPr>
          <w:rFonts w:ascii="Times New Roman" w:hAnsi="Times New Roman"/>
          <w:bCs/>
          <w:color w:val="auto"/>
          <w:kern w:val="0"/>
          <w:sz w:val="28"/>
          <w:szCs w:val="28"/>
        </w:rPr>
      </w:pPr>
    </w:p>
    <w:p w14:paraId="24602359">
      <w:pPr>
        <w:pStyle w:val="4"/>
        <w:rPr>
          <w:rFonts w:hint="eastAsia" w:ascii="宋体" w:hAnsi="宋体" w:eastAsia="宋体" w:cs="宋体"/>
          <w:b w:val="0"/>
          <w:color w:val="auto"/>
        </w:rPr>
      </w:pPr>
      <w:bookmarkStart w:id="46" w:name="_Toc18794"/>
      <w:r>
        <w:rPr>
          <w:color w:val="auto"/>
          <w:sz w:val="36"/>
          <w:szCs w:val="36"/>
        </w:rPr>
        <w:t>3</w:t>
      </w:r>
      <w:r>
        <w:rPr>
          <w:rFonts w:hint="eastAsia" w:ascii="宋体" w:hAnsi="宋体" w:eastAsia="宋体" w:cs="宋体"/>
          <w:color w:val="auto"/>
          <w:sz w:val="36"/>
          <w:szCs w:val="36"/>
        </w:rPr>
        <w:t>主要危险、有害因素分析</w:t>
      </w:r>
      <w:bookmarkEnd w:id="43"/>
      <w:bookmarkEnd w:id="44"/>
      <w:bookmarkEnd w:id="46"/>
    </w:p>
    <w:p w14:paraId="7E0F795C">
      <w:pPr>
        <w:bidi w:val="0"/>
        <w:ind w:firstLine="560" w:firstLineChars="200"/>
        <w:rPr>
          <w:rFonts w:hint="default"/>
          <w:color w:val="auto"/>
          <w:lang w:val="en-US" w:eastAsia="zh-CN"/>
        </w:rPr>
      </w:pPr>
      <w:bookmarkStart w:id="47" w:name="_Toc350517379"/>
      <w:r>
        <w:rPr>
          <w:rFonts w:hint="eastAsia"/>
          <w:color w:val="auto"/>
          <w:lang w:val="en-US" w:eastAsia="zh-CN"/>
        </w:rPr>
        <w:t>本章从该项目涉及的建构筑物、设备设施、公用辅助设施等方面对该项目存在的危险有害因素进行分析，来确定项目危险、有害因素的类型和程度，为评价单元的划分、评价方法的选择提供依据。</w:t>
      </w:r>
    </w:p>
    <w:p w14:paraId="09352E0B">
      <w:pPr>
        <w:pStyle w:val="5"/>
        <w:bidi w:val="0"/>
        <w:rPr>
          <w:rFonts w:hint="default" w:ascii="宋体" w:hAnsi="宋体" w:eastAsia="楷体" w:cs="宋体"/>
          <w:color w:val="auto"/>
          <w:lang w:val="en-US" w:eastAsia="zh-CN"/>
        </w:rPr>
      </w:pPr>
      <w:bookmarkStart w:id="48" w:name="_Toc11949"/>
      <w:r>
        <w:rPr>
          <w:color w:val="auto"/>
        </w:rPr>
        <w:t>3.1</w:t>
      </w:r>
      <w:bookmarkEnd w:id="47"/>
      <w:r>
        <w:rPr>
          <w:rFonts w:hint="eastAsia" w:ascii="宋体" w:hAnsi="宋体" w:eastAsia="宋体" w:cs="宋体"/>
          <w:color w:val="auto"/>
          <w:lang w:val="en-US" w:eastAsia="zh-CN"/>
        </w:rPr>
        <w:t>危险有害因素辨识的依据</w:t>
      </w:r>
      <w:bookmarkEnd w:id="48"/>
    </w:p>
    <w:p w14:paraId="316BA5A6">
      <w:pPr>
        <w:bidi w:val="0"/>
        <w:ind w:firstLine="560"/>
        <w:rPr>
          <w:rFonts w:hint="eastAsia"/>
          <w:color w:val="auto"/>
          <w:lang w:val="en-US" w:eastAsia="zh-CN"/>
        </w:rPr>
      </w:pPr>
      <w:r>
        <w:rPr>
          <w:rFonts w:hint="eastAsia"/>
          <w:color w:val="auto"/>
          <w:lang w:val="en-US" w:eastAsia="zh-CN"/>
        </w:rPr>
        <w:t>危险因素是指能对人造成伤亡或对物造成突发性损害的因素；有害因素是指能影响人的身体健康，导致疾病，或对物造成缓慢性损害的因素。通常情况下，二者并不加以区分，统称为危险、有害因素。危险、有害因素的分类方法有多种，在安全评价过程中常用“可能导致生产过程中的危险和有害因索的性质”和“参照事故类别”的方法进行分类。</w:t>
      </w:r>
    </w:p>
    <w:p w14:paraId="0AA9ACE6">
      <w:pPr>
        <w:bidi w:val="0"/>
        <w:ind w:firstLine="560"/>
        <w:rPr>
          <w:rFonts w:hint="eastAsia"/>
          <w:b/>
          <w:bCs/>
          <w:color w:val="auto"/>
          <w:lang w:val="en-US" w:eastAsia="zh-CN"/>
        </w:rPr>
      </w:pPr>
      <w:r>
        <w:rPr>
          <w:rFonts w:hint="eastAsia"/>
          <w:b/>
          <w:bCs/>
          <w:color w:val="auto"/>
          <w:lang w:val="en-US" w:eastAsia="zh-CN"/>
        </w:rPr>
        <w:t>1、按可能导致生产过程中危险和有害因素的性质进行分类</w:t>
      </w:r>
    </w:p>
    <w:p w14:paraId="04AFB003">
      <w:pPr>
        <w:bidi w:val="0"/>
        <w:ind w:firstLine="560"/>
        <w:rPr>
          <w:rFonts w:hint="eastAsia"/>
          <w:color w:val="auto"/>
          <w:lang w:val="en-US" w:eastAsia="zh-CN"/>
        </w:rPr>
      </w:pPr>
      <w:r>
        <w:rPr>
          <w:rFonts w:hint="eastAsia"/>
          <w:color w:val="auto"/>
          <w:lang w:val="en-US" w:eastAsia="zh-CN"/>
        </w:rPr>
        <w:t xml:space="preserve">根据《生产过程危险和有害因素分类与代码》的规定，将生产过程中的危险、有害因索分为“人的因索”、“物的因索”、“环境因素”和“管理因素”四大类。 </w:t>
      </w:r>
    </w:p>
    <w:p w14:paraId="47B5F404">
      <w:pPr>
        <w:bidi w:val="0"/>
        <w:ind w:firstLine="560"/>
        <w:rPr>
          <w:rFonts w:hint="eastAsia"/>
          <w:b/>
          <w:bCs/>
          <w:color w:val="auto"/>
          <w:lang w:val="en-US" w:eastAsia="zh-CN"/>
        </w:rPr>
      </w:pPr>
      <w:r>
        <w:rPr>
          <w:rFonts w:hint="eastAsia"/>
          <w:b/>
          <w:bCs/>
          <w:color w:val="auto"/>
          <w:lang w:val="en-US" w:eastAsia="zh-CN"/>
        </w:rPr>
        <w:t>2、参照《企业职工伤亡事故分类》 进行分类</w:t>
      </w:r>
    </w:p>
    <w:p w14:paraId="12E94B6C">
      <w:pPr>
        <w:bidi w:val="0"/>
        <w:ind w:firstLine="560"/>
        <w:rPr>
          <w:rFonts w:hint="eastAsia"/>
          <w:color w:val="auto"/>
          <w:lang w:val="en-US" w:eastAsia="zh-CN"/>
        </w:rPr>
      </w:pPr>
      <w:r>
        <w:rPr>
          <w:rFonts w:hint="eastAsia"/>
          <w:color w:val="auto"/>
          <w:lang w:val="en-US" w:eastAsia="zh-CN"/>
        </w:rPr>
        <w:t>参照《企业职工伤亡事故分类》综合考虑起因物、引起事故的诱导性原因、致害物、伤害方式等，将事故分为物体打击、车辆伤害、机械伤害、起重伤害、触电、淹溺、灼烫、火灾、高处坠落、坍塌、冒顶片帮、透水、放炮、火药爆炸、瓦斯爆炸、锅炉爆炸、容器爆炸、其他爆炸、中毒和窒息、其他伤害共20类。</w:t>
      </w:r>
    </w:p>
    <w:p w14:paraId="2D0F21A7">
      <w:pPr>
        <w:bidi w:val="0"/>
        <w:ind w:firstLine="560"/>
        <w:rPr>
          <w:rFonts w:hint="eastAsia"/>
          <w:b/>
          <w:bCs/>
          <w:color w:val="auto"/>
          <w:lang w:val="en-US" w:eastAsia="zh-CN"/>
        </w:rPr>
      </w:pPr>
      <w:r>
        <w:rPr>
          <w:rFonts w:hint="eastAsia"/>
          <w:b/>
          <w:bCs/>
          <w:color w:val="auto"/>
          <w:lang w:val="en-US" w:eastAsia="zh-CN"/>
        </w:rPr>
        <w:t>3、按职业健康分类</w:t>
      </w:r>
    </w:p>
    <w:p w14:paraId="56D8F543">
      <w:pPr>
        <w:bidi w:val="0"/>
        <w:ind w:firstLine="560"/>
        <w:rPr>
          <w:rFonts w:hint="eastAsia"/>
          <w:color w:val="auto"/>
          <w:lang w:val="en-US" w:eastAsia="zh-CN"/>
        </w:rPr>
      </w:pPr>
      <w:r>
        <w:rPr>
          <w:rFonts w:hint="eastAsia"/>
          <w:color w:val="auto"/>
          <w:lang w:val="en-US" w:eastAsia="zh-CN"/>
        </w:rPr>
        <w:t>参照卫生部、原劳动部、总工会等颁发的《职业病范围和职业病患者处理办法的规定》，将危险、有害因素分为生产性粉尘、毒物、噪声与振动、高温、低温、辐射（电离辐射、非电离辐射）及其他有害因索等7类。</w:t>
      </w:r>
    </w:p>
    <w:p w14:paraId="27951324">
      <w:pPr>
        <w:bidi w:val="0"/>
        <w:ind w:firstLine="560" w:firstLineChars="200"/>
        <w:rPr>
          <w:rFonts w:hint="default"/>
          <w:color w:val="auto"/>
          <w:lang w:val="en-US" w:eastAsia="zh-CN"/>
        </w:rPr>
      </w:pPr>
      <w:r>
        <w:rPr>
          <w:rFonts w:hint="default"/>
          <w:color w:val="auto"/>
          <w:lang w:val="en-US" w:eastAsia="zh-CN"/>
        </w:rPr>
        <w:t>在本报告中，根据经营的实际情况，综合上述三种分类方式对危险、有害因索进行辨识和分析。</w:t>
      </w:r>
    </w:p>
    <w:p w14:paraId="217B5B20">
      <w:pPr>
        <w:pStyle w:val="5"/>
        <w:bidi w:val="0"/>
        <w:rPr>
          <w:rFonts w:hint="eastAsia"/>
          <w:color w:val="auto"/>
          <w:lang w:val="en-US" w:eastAsia="zh-CN"/>
        </w:rPr>
      </w:pPr>
      <w:bookmarkStart w:id="49" w:name="_Toc19357"/>
      <w:bookmarkStart w:id="50" w:name="_Toc35241864"/>
      <w:bookmarkStart w:id="51" w:name="_Toc350517381"/>
      <w:r>
        <w:rPr>
          <w:rFonts w:hint="eastAsia"/>
          <w:color w:val="auto"/>
          <w:lang w:val="en-US" w:eastAsia="zh-CN"/>
        </w:rPr>
        <w:t>3.2</w:t>
      </w:r>
      <w:r>
        <w:rPr>
          <w:color w:val="auto"/>
        </w:rPr>
        <w:t>物料的危险、有害因素分析</w:t>
      </w:r>
      <w:bookmarkEnd w:id="49"/>
    </w:p>
    <w:p w14:paraId="410D13BA">
      <w:pPr>
        <w:rPr>
          <w:rFonts w:hint="eastAsia"/>
          <w:color w:val="auto"/>
          <w:sz w:val="28"/>
          <w:lang w:val="en-US" w:eastAsia="zh-CN"/>
        </w:rPr>
      </w:pPr>
      <w:r>
        <w:rPr>
          <w:rFonts w:hint="eastAsia"/>
          <w:color w:val="auto"/>
          <w:lang w:val="en-US" w:eastAsia="zh-CN"/>
        </w:rPr>
        <w:t>该项目经营过程中涉及的物料，列入</w:t>
      </w:r>
      <w:r>
        <w:rPr>
          <w:rFonts w:hint="eastAsia"/>
          <w:color w:val="auto"/>
          <w:sz w:val="28"/>
        </w:rPr>
        <w:t>《危险化学品目录（2015年版）》</w:t>
      </w:r>
      <w:r>
        <w:rPr>
          <w:rFonts w:hint="eastAsia"/>
          <w:color w:val="auto"/>
          <w:sz w:val="28"/>
          <w:lang w:eastAsia="zh-CN"/>
        </w:rPr>
        <w:t>（</w:t>
      </w:r>
      <w:r>
        <w:rPr>
          <w:rFonts w:hint="eastAsia"/>
          <w:color w:val="auto"/>
          <w:sz w:val="28"/>
          <w:lang w:val="en-US" w:eastAsia="zh-CN"/>
        </w:rPr>
        <w:t>2022年修订</w:t>
      </w:r>
      <w:r>
        <w:rPr>
          <w:rFonts w:hint="eastAsia"/>
          <w:color w:val="auto"/>
          <w:sz w:val="28"/>
          <w:lang w:eastAsia="zh-CN"/>
        </w:rPr>
        <w:t>）</w:t>
      </w:r>
      <w:r>
        <w:rPr>
          <w:rFonts w:hint="eastAsia"/>
          <w:color w:val="auto"/>
          <w:sz w:val="28"/>
        </w:rPr>
        <w:t>有：</w:t>
      </w:r>
      <w:r>
        <w:rPr>
          <w:rFonts w:hint="eastAsia"/>
          <w:color w:val="auto"/>
          <w:sz w:val="28"/>
          <w:lang w:val="en-US" w:eastAsia="zh-CN"/>
        </w:rPr>
        <w:t>柴油（柴油发电机组燃料）。</w:t>
      </w:r>
    </w:p>
    <w:p w14:paraId="7B5DE2CD">
      <w:pPr>
        <w:pStyle w:val="42"/>
        <w:bidi w:val="0"/>
        <w:rPr>
          <w:b w:val="0"/>
          <w:color w:val="auto"/>
          <w:sz w:val="28"/>
        </w:rPr>
      </w:pPr>
      <w:r>
        <w:rPr>
          <w:rFonts w:hint="eastAsia"/>
          <w:bCs/>
          <w:color w:val="auto"/>
        </w:rPr>
        <w:t>表</w:t>
      </w:r>
      <w:r>
        <w:rPr>
          <w:bCs/>
          <w:color w:val="auto"/>
        </w:rPr>
        <w:t>3</w:t>
      </w:r>
      <w:r>
        <w:rPr>
          <w:rFonts w:hint="eastAsia"/>
          <w:bCs/>
          <w:color w:val="auto"/>
        </w:rPr>
        <w:t>.</w:t>
      </w:r>
      <w:r>
        <w:rPr>
          <w:rFonts w:hint="eastAsia"/>
          <w:bCs/>
          <w:color w:val="auto"/>
          <w:lang w:val="en-US" w:eastAsia="zh-CN"/>
        </w:rPr>
        <w:t>2</w:t>
      </w:r>
      <w:r>
        <w:rPr>
          <w:bCs/>
          <w:color w:val="auto"/>
        </w:rPr>
        <w:t>-</w:t>
      </w:r>
      <w:r>
        <w:rPr>
          <w:rFonts w:hint="eastAsia"/>
          <w:bCs/>
          <w:color w:val="auto"/>
          <w:lang w:val="en-US" w:eastAsia="zh-CN"/>
        </w:rPr>
        <w:t>1</w:t>
      </w:r>
      <w:r>
        <w:rPr>
          <w:bCs/>
          <w:color w:val="auto"/>
        </w:rPr>
        <w:t xml:space="preserve"> </w:t>
      </w:r>
      <w:r>
        <w:rPr>
          <w:rFonts w:hint="eastAsia"/>
          <w:bCs/>
          <w:color w:val="auto"/>
        </w:rPr>
        <w:t>柴油</w:t>
      </w:r>
    </w:p>
    <w:tbl>
      <w:tblPr>
        <w:tblStyle w:val="33"/>
        <w:tblW w:w="0" w:type="auto"/>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1948"/>
        <w:gridCol w:w="1428"/>
        <w:gridCol w:w="976"/>
        <w:gridCol w:w="1333"/>
        <w:gridCol w:w="2300"/>
      </w:tblGrid>
      <w:tr w14:paraId="0883B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067" w:type="dxa"/>
            <w:noWrap w:val="0"/>
            <w:vAlign w:val="center"/>
          </w:tcPr>
          <w:p w14:paraId="4A29365D">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品    名</w:t>
            </w:r>
          </w:p>
        </w:tc>
        <w:tc>
          <w:tcPr>
            <w:tcW w:w="1948" w:type="dxa"/>
            <w:noWrap w:val="0"/>
            <w:vAlign w:val="center"/>
          </w:tcPr>
          <w:p w14:paraId="74FBA805">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color w:val="auto"/>
                <w:sz w:val="21"/>
                <w:szCs w:val="21"/>
              </w:rPr>
            </w:pPr>
            <w:r>
              <w:rPr>
                <w:color w:val="auto"/>
                <w:sz w:val="21"/>
                <w:szCs w:val="21"/>
              </w:rPr>
              <w:t>柴油</w:t>
            </w:r>
          </w:p>
        </w:tc>
        <w:tc>
          <w:tcPr>
            <w:tcW w:w="1428" w:type="dxa"/>
            <w:noWrap w:val="0"/>
            <w:vAlign w:val="center"/>
          </w:tcPr>
          <w:p w14:paraId="0E723573">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别      名</w:t>
            </w:r>
          </w:p>
        </w:tc>
        <w:tc>
          <w:tcPr>
            <w:tcW w:w="976" w:type="dxa"/>
            <w:noWrap w:val="0"/>
            <w:vAlign w:val="center"/>
          </w:tcPr>
          <w:p w14:paraId="6286F459">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color w:val="auto"/>
                <w:sz w:val="21"/>
                <w:szCs w:val="21"/>
              </w:rPr>
            </w:pPr>
          </w:p>
        </w:tc>
        <w:tc>
          <w:tcPr>
            <w:tcW w:w="1333" w:type="dxa"/>
            <w:noWrap w:val="0"/>
            <w:vAlign w:val="center"/>
          </w:tcPr>
          <w:p w14:paraId="419E68CE">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b/>
                <w:bCs/>
                <w:color w:val="auto"/>
                <w:sz w:val="21"/>
                <w:szCs w:val="21"/>
              </w:rPr>
            </w:pPr>
            <w:r>
              <w:rPr>
                <w:b/>
                <w:bCs/>
                <w:color w:val="auto"/>
                <w:sz w:val="21"/>
                <w:szCs w:val="21"/>
              </w:rPr>
              <w:t>危险货物编号</w:t>
            </w:r>
          </w:p>
        </w:tc>
        <w:tc>
          <w:tcPr>
            <w:tcW w:w="2300" w:type="dxa"/>
            <w:noWrap w:val="0"/>
            <w:vAlign w:val="center"/>
          </w:tcPr>
          <w:p w14:paraId="139DFE0B">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color w:val="auto"/>
                <w:sz w:val="21"/>
                <w:szCs w:val="21"/>
              </w:rPr>
            </w:pPr>
            <w:r>
              <w:rPr>
                <w:rFonts w:hint="eastAsia"/>
                <w:color w:val="auto"/>
                <w:sz w:val="21"/>
                <w:szCs w:val="21"/>
              </w:rPr>
              <w:t>1674</w:t>
            </w:r>
          </w:p>
        </w:tc>
      </w:tr>
      <w:tr w14:paraId="16FEE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7" w:type="dxa"/>
            <w:noWrap w:val="0"/>
            <w:vAlign w:val="center"/>
          </w:tcPr>
          <w:p w14:paraId="022061ED">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英文名称</w:t>
            </w:r>
          </w:p>
        </w:tc>
        <w:tc>
          <w:tcPr>
            <w:tcW w:w="1948" w:type="dxa"/>
            <w:noWrap w:val="0"/>
            <w:vAlign w:val="center"/>
          </w:tcPr>
          <w:p w14:paraId="156353F0">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left"/>
              <w:textAlignment w:val="auto"/>
              <w:rPr>
                <w:color w:val="auto"/>
                <w:sz w:val="21"/>
                <w:szCs w:val="21"/>
              </w:rPr>
            </w:pPr>
            <w:r>
              <w:rPr>
                <w:color w:val="auto"/>
                <w:sz w:val="21"/>
                <w:szCs w:val="21"/>
              </w:rPr>
              <w:t>Diesel  oil</w:t>
            </w:r>
          </w:p>
        </w:tc>
        <w:tc>
          <w:tcPr>
            <w:tcW w:w="1428" w:type="dxa"/>
            <w:noWrap w:val="0"/>
            <w:vAlign w:val="center"/>
          </w:tcPr>
          <w:p w14:paraId="50530667">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分  子  式</w:t>
            </w:r>
          </w:p>
        </w:tc>
        <w:tc>
          <w:tcPr>
            <w:tcW w:w="976" w:type="dxa"/>
            <w:noWrap w:val="0"/>
            <w:vAlign w:val="center"/>
          </w:tcPr>
          <w:p w14:paraId="1766F276">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color w:val="auto"/>
                <w:sz w:val="21"/>
                <w:szCs w:val="21"/>
              </w:rPr>
            </w:pPr>
          </w:p>
        </w:tc>
        <w:tc>
          <w:tcPr>
            <w:tcW w:w="1333" w:type="dxa"/>
            <w:noWrap w:val="0"/>
            <w:vAlign w:val="center"/>
          </w:tcPr>
          <w:p w14:paraId="5B7F4CB3">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rFonts w:hint="default" w:eastAsia="宋体"/>
                <w:b/>
                <w:bCs/>
                <w:color w:val="auto"/>
                <w:sz w:val="21"/>
                <w:szCs w:val="21"/>
                <w:lang w:val="en-US" w:eastAsia="zh-CN"/>
              </w:rPr>
            </w:pPr>
            <w:r>
              <w:rPr>
                <w:rFonts w:hint="eastAsia"/>
                <w:b/>
                <w:bCs/>
                <w:color w:val="auto"/>
                <w:sz w:val="21"/>
                <w:szCs w:val="21"/>
                <w:lang w:val="en-US" w:eastAsia="zh-CN"/>
              </w:rPr>
              <w:t>CAS号</w:t>
            </w:r>
          </w:p>
        </w:tc>
        <w:tc>
          <w:tcPr>
            <w:tcW w:w="2300" w:type="dxa"/>
            <w:noWrap w:val="0"/>
            <w:vAlign w:val="center"/>
          </w:tcPr>
          <w:p w14:paraId="0BDDAA03">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68334-30-5</w:t>
            </w:r>
          </w:p>
        </w:tc>
      </w:tr>
      <w:tr w14:paraId="27DC0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7" w:hRule="atLeast"/>
        </w:trPr>
        <w:tc>
          <w:tcPr>
            <w:tcW w:w="1067" w:type="dxa"/>
            <w:tcBorders>
              <w:bottom w:val="single" w:color="auto" w:sz="4" w:space="0"/>
            </w:tcBorders>
            <w:noWrap w:val="0"/>
            <w:vAlign w:val="center"/>
          </w:tcPr>
          <w:p w14:paraId="7A90F6F1">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理化</w:t>
            </w:r>
          </w:p>
          <w:p w14:paraId="288CCC61">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性质</w:t>
            </w:r>
          </w:p>
        </w:tc>
        <w:tc>
          <w:tcPr>
            <w:tcW w:w="7985" w:type="dxa"/>
            <w:gridSpan w:val="5"/>
            <w:tcBorders>
              <w:bottom w:val="single" w:color="auto" w:sz="4" w:space="0"/>
            </w:tcBorders>
            <w:noWrap w:val="0"/>
            <w:vAlign w:val="center"/>
          </w:tcPr>
          <w:p w14:paraId="3C9A64ED">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left"/>
              <w:textAlignment w:val="auto"/>
              <w:rPr>
                <w:color w:val="auto"/>
                <w:sz w:val="21"/>
                <w:szCs w:val="21"/>
              </w:rPr>
            </w:pPr>
            <w:r>
              <w:rPr>
                <w:color w:val="auto"/>
                <w:sz w:val="21"/>
                <w:szCs w:val="21"/>
              </w:rPr>
              <w:t>外观与性状：稍有粘性的棕色液体。</w:t>
            </w:r>
            <w:r>
              <w:rPr>
                <w:rFonts w:hint="eastAsia"/>
                <w:color w:val="auto"/>
                <w:sz w:val="21"/>
                <w:szCs w:val="21"/>
              </w:rPr>
              <w:t xml:space="preserve">    </w:t>
            </w:r>
            <w:r>
              <w:rPr>
                <w:color w:val="auto"/>
                <w:sz w:val="21"/>
                <w:szCs w:val="21"/>
              </w:rPr>
              <w:t>熔点（℃）：　&lt;-18　  沸点（℃）：　282-338</w:t>
            </w:r>
          </w:p>
          <w:p w14:paraId="251AF063">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left"/>
              <w:textAlignment w:val="auto"/>
              <w:rPr>
                <w:color w:val="auto"/>
                <w:sz w:val="21"/>
                <w:szCs w:val="21"/>
              </w:rPr>
            </w:pPr>
            <w:r>
              <w:rPr>
                <w:color w:val="auto"/>
                <w:sz w:val="21"/>
                <w:szCs w:val="21"/>
              </w:rPr>
              <w:t>相对密度（水＝1）：　0.8-0.9     相对密度（空气＝1）：　</w:t>
            </w:r>
          </w:p>
          <w:p w14:paraId="3EF14063">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left"/>
              <w:textAlignment w:val="auto"/>
              <w:rPr>
                <w:color w:val="auto"/>
                <w:sz w:val="21"/>
                <w:szCs w:val="21"/>
              </w:rPr>
            </w:pPr>
            <w:r>
              <w:rPr>
                <w:color w:val="auto"/>
                <w:sz w:val="21"/>
                <w:szCs w:val="21"/>
              </w:rPr>
              <w:t xml:space="preserve">饱和蒸气压（kPa）：无资料         燃烧热（Kj/mol） ：无资料 </w:t>
            </w:r>
          </w:p>
        </w:tc>
      </w:tr>
      <w:tr w14:paraId="30AC0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067" w:type="dxa"/>
            <w:tcBorders>
              <w:bottom w:val="single" w:color="auto" w:sz="4" w:space="0"/>
            </w:tcBorders>
            <w:noWrap w:val="0"/>
            <w:vAlign w:val="center"/>
          </w:tcPr>
          <w:p w14:paraId="1CD077D8">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燃烧</w:t>
            </w:r>
          </w:p>
          <w:p w14:paraId="44F1B6FB">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爆炸</w:t>
            </w:r>
          </w:p>
          <w:p w14:paraId="7359B411">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危险</w:t>
            </w:r>
          </w:p>
          <w:p w14:paraId="6DCC7164">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性</w:t>
            </w:r>
          </w:p>
        </w:tc>
        <w:tc>
          <w:tcPr>
            <w:tcW w:w="7985" w:type="dxa"/>
            <w:gridSpan w:val="5"/>
            <w:noWrap w:val="0"/>
            <w:vAlign w:val="top"/>
          </w:tcPr>
          <w:p w14:paraId="605F6CD3">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燃烧性：可燃   建规火险等级：</w:t>
            </w:r>
            <w:r>
              <w:rPr>
                <w:rFonts w:hint="eastAsia"/>
                <w:color w:val="auto"/>
                <w:sz w:val="21"/>
                <w:szCs w:val="21"/>
              </w:rPr>
              <w:t>丙</w:t>
            </w:r>
            <w:r>
              <w:rPr>
                <w:rFonts w:hint="eastAsia"/>
                <w:color w:val="auto"/>
                <w:sz w:val="21"/>
                <w:szCs w:val="21"/>
                <w:vertAlign w:val="subscript"/>
              </w:rPr>
              <w:t>A</w:t>
            </w:r>
            <w:r>
              <w:rPr>
                <w:color w:val="auto"/>
                <w:sz w:val="21"/>
                <w:szCs w:val="21"/>
              </w:rPr>
              <w:t>类</w:t>
            </w:r>
            <w:r>
              <w:rPr>
                <w:rFonts w:hint="eastAsia"/>
                <w:color w:val="auto"/>
                <w:sz w:val="21"/>
                <w:szCs w:val="21"/>
              </w:rPr>
              <w:t xml:space="preserve">  </w:t>
            </w:r>
            <w:r>
              <w:rPr>
                <w:color w:val="auto"/>
                <w:sz w:val="21"/>
                <w:szCs w:val="21"/>
              </w:rPr>
              <w:t>闪点：</w:t>
            </w:r>
            <w:r>
              <w:rPr>
                <w:rFonts w:hint="eastAsia"/>
                <w:color w:val="auto"/>
                <w:sz w:val="21"/>
                <w:szCs w:val="21"/>
                <w:lang w:val="en-US" w:eastAsia="zh-CN"/>
              </w:rPr>
              <w:t>＞</w:t>
            </w:r>
            <w:r>
              <w:rPr>
                <w:rFonts w:hint="eastAsia"/>
                <w:color w:val="auto"/>
                <w:sz w:val="21"/>
                <w:szCs w:val="21"/>
              </w:rPr>
              <w:t>60</w:t>
            </w:r>
            <w:r>
              <w:rPr>
                <w:color w:val="auto"/>
                <w:sz w:val="21"/>
                <w:szCs w:val="21"/>
              </w:rPr>
              <w:t>℃     爆炸下限（V%）：无资料      自燃温度：257℃</w:t>
            </w:r>
            <w:r>
              <w:rPr>
                <w:rFonts w:hint="eastAsia"/>
                <w:color w:val="auto"/>
                <w:sz w:val="21"/>
                <w:szCs w:val="21"/>
              </w:rPr>
              <w:t xml:space="preserve">  </w:t>
            </w:r>
            <w:r>
              <w:rPr>
                <w:color w:val="auto"/>
                <w:sz w:val="21"/>
                <w:szCs w:val="21"/>
              </w:rPr>
              <w:t>危险特性：遇明火、高热或与氧化剂接触，有引起燃烧爆炸的危险。若遇高热，容器内压增大，有开裂和爆炸的危险。</w:t>
            </w:r>
          </w:p>
          <w:p w14:paraId="7EE92870">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稳定性：稳定            聚合危害：无</w:t>
            </w:r>
            <w:r>
              <w:rPr>
                <w:rFonts w:hint="eastAsia"/>
                <w:color w:val="auto"/>
                <w:sz w:val="21"/>
                <w:szCs w:val="21"/>
              </w:rPr>
              <w:t xml:space="preserve">       </w:t>
            </w:r>
            <w:r>
              <w:rPr>
                <w:color w:val="auto"/>
                <w:sz w:val="21"/>
                <w:szCs w:val="21"/>
              </w:rPr>
              <w:t>禁忌物：强氧化剂、卤素。</w:t>
            </w:r>
          </w:p>
          <w:p w14:paraId="68D61882">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灭火方法：泡沫、二氧化碳、干粉、砂土。</w:t>
            </w:r>
          </w:p>
        </w:tc>
      </w:tr>
      <w:tr w14:paraId="4E656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1067" w:type="dxa"/>
            <w:noWrap w:val="0"/>
            <w:vAlign w:val="center"/>
          </w:tcPr>
          <w:p w14:paraId="741D0959">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毒性</w:t>
            </w:r>
          </w:p>
          <w:p w14:paraId="468C9420">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及健康</w:t>
            </w:r>
          </w:p>
          <w:p w14:paraId="3B514A7C">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危害</w:t>
            </w:r>
          </w:p>
          <w:p w14:paraId="04BAB804">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性</w:t>
            </w:r>
          </w:p>
        </w:tc>
        <w:tc>
          <w:tcPr>
            <w:tcW w:w="7985" w:type="dxa"/>
            <w:gridSpan w:val="5"/>
            <w:noWrap w:val="0"/>
            <w:vAlign w:val="center"/>
          </w:tcPr>
          <w:p w14:paraId="60F3E49F">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 xml:space="preserve">接触限值：中国MAC：未制定标准。    </w:t>
            </w:r>
          </w:p>
          <w:p w14:paraId="770D549D">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侵入途径：吸入，食入，经皮吸收。</w:t>
            </w:r>
          </w:p>
          <w:p w14:paraId="29A2D6D5">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健康危害：具有刺激作用。皮肤接触柴油可引起接触性皮炎，油性痤疮，吸入可引起性肺炎。能经胎盘进入胎儿血中。柴油废气可引起眼、鼻刺激症状，头晕及头痛。</w:t>
            </w:r>
          </w:p>
        </w:tc>
      </w:tr>
      <w:tr w14:paraId="77150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067" w:type="dxa"/>
            <w:noWrap w:val="0"/>
            <w:vAlign w:val="center"/>
          </w:tcPr>
          <w:p w14:paraId="2DCEFF63">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急救</w:t>
            </w:r>
          </w:p>
        </w:tc>
        <w:tc>
          <w:tcPr>
            <w:tcW w:w="7985" w:type="dxa"/>
            <w:gridSpan w:val="5"/>
            <w:noWrap w:val="0"/>
            <w:vAlign w:val="center"/>
          </w:tcPr>
          <w:p w14:paraId="55F8A138">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吸入：迅速脱离污染区，就医。防治吸入性肺炎。</w:t>
            </w:r>
          </w:p>
          <w:p w14:paraId="67FD5241">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食入：误服者饮牛奶或植物油，洗胃或灌肠，就医。</w:t>
            </w:r>
            <w:r>
              <w:rPr>
                <w:color w:val="auto"/>
                <w:sz w:val="21"/>
                <w:szCs w:val="21"/>
              </w:rPr>
              <w:tab/>
            </w:r>
            <w:r>
              <w:rPr>
                <w:color w:val="auto"/>
                <w:sz w:val="21"/>
                <w:szCs w:val="21"/>
              </w:rPr>
              <w:tab/>
            </w:r>
          </w:p>
          <w:p w14:paraId="0303AD37">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眼睛接触：立即提起眼睑，用流动清水或生理盐水冲洗至少15分钟，就医。</w:t>
            </w:r>
          </w:p>
          <w:p w14:paraId="7939539C">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皮肤接触：脱去污染的衣着，用肥皂和大量清水清洗污染皮肤。</w:t>
            </w:r>
            <w:r>
              <w:rPr>
                <w:color w:val="auto"/>
                <w:sz w:val="21"/>
                <w:szCs w:val="21"/>
              </w:rPr>
              <w:tab/>
            </w:r>
          </w:p>
          <w:p w14:paraId="6D803029">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生产过程密闭，注意通风。高浓度接触时，戴防毒面具，工作场所禁止吸烟必要时戴防护眼镜，穿相应的工作服，戴防护手套。</w:t>
            </w:r>
          </w:p>
        </w:tc>
      </w:tr>
      <w:tr w14:paraId="61B7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1067" w:type="dxa"/>
            <w:noWrap w:val="0"/>
            <w:vAlign w:val="center"/>
          </w:tcPr>
          <w:p w14:paraId="03A878BD">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泄漏</w:t>
            </w:r>
          </w:p>
          <w:p w14:paraId="1932F298">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jc w:val="center"/>
              <w:textAlignment w:val="auto"/>
              <w:rPr>
                <w:b/>
                <w:bCs/>
                <w:color w:val="auto"/>
                <w:sz w:val="21"/>
                <w:szCs w:val="21"/>
              </w:rPr>
            </w:pPr>
            <w:r>
              <w:rPr>
                <w:b/>
                <w:bCs/>
                <w:color w:val="auto"/>
                <w:sz w:val="21"/>
                <w:szCs w:val="21"/>
              </w:rPr>
              <w:t>处置</w:t>
            </w:r>
          </w:p>
        </w:tc>
        <w:tc>
          <w:tcPr>
            <w:tcW w:w="7985" w:type="dxa"/>
            <w:gridSpan w:val="5"/>
            <w:noWrap w:val="0"/>
            <w:vAlign w:val="center"/>
          </w:tcPr>
          <w:p w14:paraId="5F608CCA">
            <w:pPr>
              <w:keepNext w:val="0"/>
              <w:keepLines w:val="0"/>
              <w:pageBreakBefore w:val="0"/>
              <w:widowControl w:val="0"/>
              <w:kinsoku/>
              <w:wordWrap/>
              <w:overflowPunct/>
              <w:topLinePunct w:val="0"/>
              <w:autoSpaceDE/>
              <w:autoSpaceDN/>
              <w:bidi w:val="0"/>
              <w:adjustRightInd/>
              <w:snapToGrid/>
              <w:spacing w:line="240" w:lineRule="exact"/>
              <w:ind w:left="0" w:right="0" w:firstLine="0" w:firstLineChars="0"/>
              <w:textAlignment w:val="auto"/>
              <w:rPr>
                <w:color w:val="auto"/>
                <w:sz w:val="21"/>
                <w:szCs w:val="21"/>
              </w:rPr>
            </w:pPr>
            <w:r>
              <w:rPr>
                <w:color w:val="auto"/>
                <w:sz w:val="21"/>
                <w:szCs w:val="21"/>
              </w:rPr>
              <w:t>切断一切火源，迅速撤离污染区人员至上风处。使用防毒面具，穿防静电工作服。在确保安全的前提下堵漏。用砂土或其它不燃性吸附剂混合吸收，然后收集至废物处理。</w:t>
            </w:r>
          </w:p>
        </w:tc>
      </w:tr>
    </w:tbl>
    <w:p w14:paraId="7F172DA7">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
          <w:color w:val="auto"/>
        </w:rPr>
      </w:pPr>
      <w:r>
        <w:rPr>
          <w:rFonts w:hint="eastAsia"/>
          <w:bCs/>
          <w:color w:val="auto"/>
        </w:rPr>
        <w:t>特殊危险化学品的</w:t>
      </w:r>
      <w:r>
        <w:rPr>
          <w:bCs/>
          <w:color w:val="auto"/>
        </w:rPr>
        <w:t>辨识</w:t>
      </w:r>
    </w:p>
    <w:p w14:paraId="385C6603">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rFonts w:hint="eastAsia"/>
          <w:bCs/>
          <w:color w:val="auto"/>
          <w:kern w:val="0"/>
          <w:szCs w:val="28"/>
        </w:rPr>
        <w:t>（1）</w:t>
      </w:r>
      <w:r>
        <w:rPr>
          <w:bCs/>
          <w:color w:val="auto"/>
          <w:kern w:val="0"/>
          <w:szCs w:val="28"/>
        </w:rPr>
        <w:t>剧毒化学品</w:t>
      </w:r>
    </w:p>
    <w:p w14:paraId="20F0D425">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bCs/>
          <w:color w:val="auto"/>
          <w:kern w:val="0"/>
          <w:szCs w:val="28"/>
        </w:rPr>
        <w:t>根据</w:t>
      </w:r>
      <w:r>
        <w:rPr>
          <w:color w:val="auto"/>
          <w:szCs w:val="28"/>
        </w:rPr>
        <w:t>《危险化学品目录》（</w:t>
      </w:r>
      <w:r>
        <w:rPr>
          <w:rFonts w:hint="eastAsia"/>
          <w:color w:val="auto"/>
          <w:szCs w:val="28"/>
        </w:rPr>
        <w:t>2015年版</w:t>
      </w:r>
      <w:r>
        <w:rPr>
          <w:color w:val="auto"/>
          <w:szCs w:val="28"/>
        </w:rPr>
        <w:t>）安监总局等十部门第5号公告</w:t>
      </w:r>
      <w:r>
        <w:rPr>
          <w:color w:val="auto"/>
          <w:spacing w:val="-6"/>
          <w:szCs w:val="28"/>
        </w:rPr>
        <w:t>（应急管理部等十部门</w:t>
      </w:r>
      <w:r>
        <w:rPr>
          <w:rFonts w:hint="eastAsia"/>
          <w:color w:val="auto"/>
          <w:spacing w:val="-6"/>
          <w:szCs w:val="28"/>
        </w:rPr>
        <w:t>2022年</w:t>
      </w:r>
      <w:r>
        <w:rPr>
          <w:color w:val="auto"/>
          <w:spacing w:val="-6"/>
          <w:szCs w:val="28"/>
        </w:rPr>
        <w:t>第8号公告）</w:t>
      </w:r>
      <w:r>
        <w:rPr>
          <w:bCs/>
          <w:color w:val="auto"/>
          <w:spacing w:val="-6"/>
          <w:kern w:val="0"/>
          <w:szCs w:val="28"/>
        </w:rPr>
        <w:t>的规定，</w:t>
      </w:r>
      <w:r>
        <w:rPr>
          <w:rFonts w:hint="eastAsia"/>
          <w:bCs/>
          <w:color w:val="auto"/>
          <w:spacing w:val="-6"/>
          <w:kern w:val="0"/>
          <w:szCs w:val="28"/>
        </w:rPr>
        <w:t>该</w:t>
      </w:r>
      <w:r>
        <w:rPr>
          <w:rFonts w:hint="eastAsia"/>
          <w:bCs/>
          <w:color w:val="auto"/>
          <w:spacing w:val="-6"/>
          <w:kern w:val="0"/>
          <w:szCs w:val="28"/>
          <w:lang w:val="en-US" w:eastAsia="zh-CN"/>
        </w:rPr>
        <w:t>项目涉及的柴油为危险化学品，但</w:t>
      </w:r>
      <w:r>
        <w:rPr>
          <w:bCs/>
          <w:color w:val="auto"/>
          <w:spacing w:val="-6"/>
          <w:kern w:val="0"/>
          <w:szCs w:val="28"/>
        </w:rPr>
        <w:t>不涉及剧毒化学品。</w:t>
      </w:r>
    </w:p>
    <w:p w14:paraId="059BD6AC">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rFonts w:hint="eastAsia"/>
          <w:bCs/>
          <w:color w:val="auto"/>
          <w:kern w:val="0"/>
          <w:szCs w:val="28"/>
        </w:rPr>
        <w:t>（2）</w:t>
      </w:r>
      <w:r>
        <w:rPr>
          <w:bCs/>
          <w:color w:val="auto"/>
          <w:kern w:val="0"/>
          <w:szCs w:val="28"/>
        </w:rPr>
        <w:t>易制毒化学品辩识</w:t>
      </w:r>
    </w:p>
    <w:p w14:paraId="364247AC">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bCs/>
          <w:color w:val="auto"/>
          <w:kern w:val="0"/>
          <w:szCs w:val="28"/>
        </w:rPr>
        <w:t>根据《易制毒化学品管理条例》（国务院令第666号）的规定，</w:t>
      </w:r>
      <w:r>
        <w:rPr>
          <w:rFonts w:hint="eastAsia"/>
          <w:bCs/>
          <w:color w:val="auto"/>
          <w:kern w:val="0"/>
          <w:szCs w:val="28"/>
        </w:rPr>
        <w:t>该</w:t>
      </w:r>
      <w:r>
        <w:rPr>
          <w:rFonts w:hint="eastAsia"/>
          <w:bCs/>
          <w:color w:val="auto"/>
          <w:kern w:val="0"/>
          <w:szCs w:val="28"/>
          <w:lang w:val="en-US" w:eastAsia="zh-CN"/>
        </w:rPr>
        <w:t>项目</w:t>
      </w:r>
      <w:r>
        <w:rPr>
          <w:bCs/>
          <w:color w:val="auto"/>
          <w:kern w:val="0"/>
          <w:szCs w:val="28"/>
        </w:rPr>
        <w:t>不涉及易制毒化学品。</w:t>
      </w:r>
    </w:p>
    <w:p w14:paraId="26C09D79">
      <w:pPr>
        <w:keepNext w:val="0"/>
        <w:keepLines w:val="0"/>
        <w:pageBreakBefore w:val="0"/>
        <w:tabs>
          <w:tab w:val="left" w:pos="6845"/>
        </w:tabs>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rFonts w:hint="eastAsia"/>
          <w:bCs/>
          <w:color w:val="auto"/>
          <w:kern w:val="0"/>
          <w:szCs w:val="28"/>
        </w:rPr>
        <w:t>（3）</w:t>
      </w:r>
      <w:r>
        <w:rPr>
          <w:bCs/>
          <w:color w:val="auto"/>
          <w:kern w:val="0"/>
          <w:szCs w:val="28"/>
        </w:rPr>
        <w:t>易制爆危险化学品辩识</w:t>
      </w:r>
    </w:p>
    <w:p w14:paraId="30FFE377">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bCs/>
          <w:color w:val="auto"/>
          <w:kern w:val="0"/>
          <w:szCs w:val="28"/>
        </w:rPr>
        <w:t>根据《易制爆危险化学品名录》（2017年版）的规定，</w:t>
      </w:r>
      <w:r>
        <w:rPr>
          <w:rFonts w:hint="eastAsia"/>
          <w:bCs/>
          <w:color w:val="auto"/>
          <w:kern w:val="0"/>
          <w:szCs w:val="28"/>
        </w:rPr>
        <w:t>该</w:t>
      </w:r>
      <w:r>
        <w:rPr>
          <w:rFonts w:hint="eastAsia"/>
          <w:bCs/>
          <w:color w:val="auto"/>
          <w:kern w:val="0"/>
          <w:szCs w:val="28"/>
          <w:lang w:val="en-US" w:eastAsia="zh-CN"/>
        </w:rPr>
        <w:t>项目</w:t>
      </w:r>
      <w:r>
        <w:rPr>
          <w:bCs/>
          <w:color w:val="auto"/>
          <w:kern w:val="0"/>
          <w:szCs w:val="28"/>
        </w:rPr>
        <w:t>不涉及易制爆危险化学品。</w:t>
      </w:r>
    </w:p>
    <w:p w14:paraId="5C19F940">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rFonts w:hint="eastAsia"/>
          <w:bCs/>
          <w:color w:val="auto"/>
          <w:kern w:val="0"/>
          <w:szCs w:val="28"/>
        </w:rPr>
        <w:t>（4）</w:t>
      </w:r>
      <w:r>
        <w:rPr>
          <w:bCs/>
          <w:color w:val="auto"/>
          <w:kern w:val="0"/>
          <w:szCs w:val="28"/>
        </w:rPr>
        <w:t>监控化学品辩识</w:t>
      </w:r>
    </w:p>
    <w:p w14:paraId="245E5BE4">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bCs/>
          <w:color w:val="auto"/>
          <w:kern w:val="0"/>
          <w:szCs w:val="28"/>
        </w:rPr>
        <w:t>根据</w:t>
      </w:r>
      <w:r>
        <w:rPr>
          <w:rFonts w:hint="eastAsia" w:ascii="宋体" w:hAnsi="宋体" w:cs="宋体"/>
          <w:color w:val="auto"/>
          <w:szCs w:val="28"/>
          <w:shd w:val="clear" w:color="auto" w:fill="FFFFFF"/>
        </w:rPr>
        <w:t>《各类监控化学品名录》</w:t>
      </w:r>
      <w:r>
        <w:rPr>
          <w:bCs/>
          <w:color w:val="auto"/>
          <w:kern w:val="0"/>
          <w:szCs w:val="28"/>
        </w:rPr>
        <w:t>（</w:t>
      </w:r>
      <w:r>
        <w:rPr>
          <w:rFonts w:hint="eastAsia" w:ascii="宋体" w:hAnsi="宋体" w:cs="宋体"/>
          <w:color w:val="auto"/>
          <w:szCs w:val="28"/>
          <w:shd w:val="clear" w:color="auto" w:fill="FFFFFF"/>
        </w:rPr>
        <w:t>工业和信息化部令</w:t>
      </w:r>
      <w:r>
        <w:rPr>
          <w:bCs/>
          <w:color w:val="auto"/>
          <w:kern w:val="0"/>
          <w:szCs w:val="28"/>
        </w:rPr>
        <w:t>第</w:t>
      </w:r>
      <w:r>
        <w:rPr>
          <w:rFonts w:hint="eastAsia"/>
          <w:bCs/>
          <w:color w:val="auto"/>
          <w:kern w:val="0"/>
          <w:szCs w:val="28"/>
        </w:rPr>
        <w:t>52</w:t>
      </w:r>
      <w:r>
        <w:rPr>
          <w:bCs/>
          <w:color w:val="auto"/>
          <w:kern w:val="0"/>
          <w:szCs w:val="28"/>
        </w:rPr>
        <w:t>号）的规定，</w:t>
      </w:r>
      <w:r>
        <w:rPr>
          <w:rFonts w:hint="eastAsia"/>
          <w:bCs/>
          <w:color w:val="auto"/>
          <w:kern w:val="0"/>
          <w:szCs w:val="28"/>
        </w:rPr>
        <w:t>该</w:t>
      </w:r>
      <w:r>
        <w:rPr>
          <w:rFonts w:hint="eastAsia"/>
          <w:bCs/>
          <w:color w:val="auto"/>
          <w:kern w:val="0"/>
          <w:szCs w:val="28"/>
          <w:lang w:val="en-US" w:eastAsia="zh-CN"/>
        </w:rPr>
        <w:t>项目</w:t>
      </w:r>
      <w:r>
        <w:rPr>
          <w:rFonts w:hint="eastAsia"/>
          <w:bCs/>
          <w:color w:val="auto"/>
          <w:kern w:val="0"/>
          <w:szCs w:val="28"/>
        </w:rPr>
        <w:t>不</w:t>
      </w:r>
      <w:r>
        <w:rPr>
          <w:bCs/>
          <w:color w:val="auto"/>
          <w:kern w:val="0"/>
          <w:szCs w:val="28"/>
        </w:rPr>
        <w:t>涉及监控化学品。</w:t>
      </w:r>
    </w:p>
    <w:p w14:paraId="0801657D">
      <w:pPr>
        <w:pStyle w:val="51"/>
        <w:keepNext w:val="0"/>
        <w:keepLines w:val="0"/>
        <w:pageBreakBefore w:val="0"/>
        <w:numPr>
          <w:ilvl w:val="0"/>
          <w:numId w:val="5"/>
        </w:numPr>
        <w:kinsoku/>
        <w:overflowPunct/>
        <w:topLinePunct w:val="0"/>
        <w:autoSpaceDE/>
        <w:autoSpaceDN/>
        <w:bidi w:val="0"/>
        <w:spacing w:line="600" w:lineRule="exact"/>
        <w:ind w:firstLine="560" w:firstLineChars="200"/>
        <w:rPr>
          <w:rFonts w:hint="eastAsia"/>
          <w:bCs/>
          <w:color w:val="auto"/>
          <w:kern w:val="0"/>
          <w:sz w:val="28"/>
          <w:szCs w:val="28"/>
        </w:rPr>
      </w:pPr>
      <w:r>
        <w:rPr>
          <w:rFonts w:hint="eastAsia"/>
          <w:bCs/>
          <w:color w:val="auto"/>
          <w:kern w:val="0"/>
          <w:sz w:val="28"/>
          <w:szCs w:val="28"/>
        </w:rPr>
        <w:t>高毒物品辨识</w:t>
      </w:r>
    </w:p>
    <w:p w14:paraId="44E3DCF9">
      <w:pPr>
        <w:pStyle w:val="51"/>
        <w:keepNext w:val="0"/>
        <w:keepLines w:val="0"/>
        <w:pageBreakBefore w:val="0"/>
        <w:kinsoku/>
        <w:overflowPunct/>
        <w:topLinePunct w:val="0"/>
        <w:autoSpaceDE/>
        <w:autoSpaceDN/>
        <w:bidi w:val="0"/>
        <w:spacing w:line="600" w:lineRule="exact"/>
        <w:ind w:firstLine="560" w:firstLineChars="200"/>
        <w:rPr>
          <w:color w:val="auto"/>
        </w:rPr>
      </w:pPr>
      <w:r>
        <w:rPr>
          <w:rFonts w:hint="eastAsia"/>
          <w:color w:val="auto"/>
          <w:sz w:val="28"/>
          <w:szCs w:val="28"/>
        </w:rPr>
        <w:t>根据</w:t>
      </w:r>
      <w:r>
        <w:rPr>
          <w:color w:val="auto"/>
          <w:sz w:val="28"/>
          <w:szCs w:val="28"/>
        </w:rPr>
        <w:t>《高毒物品目录》</w:t>
      </w:r>
      <w:r>
        <w:rPr>
          <w:rFonts w:hint="eastAsia" w:ascii="宋体" w:hAnsi="宋体" w:cs="宋体"/>
          <w:color w:val="auto"/>
          <w:sz w:val="28"/>
          <w:szCs w:val="28"/>
          <w:shd w:val="clear" w:color="auto" w:fill="FFFFFF"/>
        </w:rPr>
        <w:t>卫法监发 [</w:t>
      </w:r>
      <w:r>
        <w:rPr>
          <w:color w:val="auto"/>
          <w:sz w:val="28"/>
          <w:szCs w:val="28"/>
          <w:shd w:val="clear" w:color="auto" w:fill="FFFFFF"/>
        </w:rPr>
        <w:t>2003</w:t>
      </w:r>
      <w:r>
        <w:rPr>
          <w:rFonts w:hint="eastAsia" w:ascii="宋体" w:hAnsi="宋体" w:cs="宋体"/>
          <w:color w:val="auto"/>
          <w:sz w:val="28"/>
          <w:szCs w:val="28"/>
          <w:shd w:val="clear" w:color="auto" w:fill="FFFFFF"/>
        </w:rPr>
        <w:t>]</w:t>
      </w:r>
      <w:r>
        <w:rPr>
          <w:color w:val="auto"/>
          <w:sz w:val="28"/>
          <w:szCs w:val="28"/>
          <w:shd w:val="clear" w:color="auto" w:fill="FFFFFF"/>
        </w:rPr>
        <w:t>142</w:t>
      </w:r>
      <w:r>
        <w:rPr>
          <w:rFonts w:hint="eastAsia" w:ascii="宋体" w:hAnsi="宋体" w:cs="宋体"/>
          <w:color w:val="auto"/>
          <w:sz w:val="28"/>
          <w:szCs w:val="28"/>
          <w:shd w:val="clear" w:color="auto" w:fill="FFFFFF"/>
        </w:rPr>
        <w:t>号的规定，该</w:t>
      </w:r>
      <w:r>
        <w:rPr>
          <w:rFonts w:hint="eastAsia" w:ascii="宋体" w:hAnsi="宋体" w:cs="宋体"/>
          <w:color w:val="auto"/>
          <w:sz w:val="28"/>
          <w:szCs w:val="28"/>
          <w:shd w:val="clear" w:color="auto" w:fill="FFFFFF"/>
          <w:lang w:val="en-US" w:eastAsia="zh-CN"/>
        </w:rPr>
        <w:t>项目</w:t>
      </w:r>
      <w:r>
        <w:rPr>
          <w:rFonts w:hint="eastAsia" w:ascii="宋体" w:hAnsi="宋体" w:cs="宋体"/>
          <w:color w:val="auto"/>
          <w:sz w:val="28"/>
          <w:szCs w:val="28"/>
          <w:shd w:val="clear" w:color="auto" w:fill="FFFFFF"/>
        </w:rPr>
        <w:t>不涉及高毒物品。</w:t>
      </w:r>
    </w:p>
    <w:p w14:paraId="2B0CFDED">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rFonts w:hint="eastAsia"/>
          <w:bCs/>
          <w:color w:val="auto"/>
          <w:kern w:val="0"/>
          <w:szCs w:val="28"/>
        </w:rPr>
        <w:t>（6）</w:t>
      </w:r>
      <w:r>
        <w:rPr>
          <w:bCs/>
          <w:color w:val="auto"/>
          <w:kern w:val="0"/>
          <w:szCs w:val="28"/>
        </w:rPr>
        <w:t>重点监管的危险化学品辨识</w:t>
      </w:r>
    </w:p>
    <w:p w14:paraId="6F5CC75E">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rFonts w:hint="eastAsia" w:eastAsia="宋体"/>
          <w:bCs/>
          <w:color w:val="auto"/>
          <w:kern w:val="0"/>
          <w:szCs w:val="28"/>
          <w:lang w:val="en-US" w:eastAsia="zh-CN"/>
        </w:rPr>
      </w:pPr>
      <w:r>
        <w:rPr>
          <w:bCs/>
          <w:color w:val="auto"/>
          <w:kern w:val="0"/>
        </w:rPr>
        <w:t>根据《重点监管危险化学品名录》（2013年版）的规定</w:t>
      </w:r>
      <w:r>
        <w:rPr>
          <w:bCs/>
          <w:color w:val="auto"/>
          <w:kern w:val="0"/>
          <w:szCs w:val="28"/>
        </w:rPr>
        <w:t>，</w:t>
      </w:r>
      <w:r>
        <w:rPr>
          <w:bCs/>
          <w:color w:val="auto"/>
          <w:kern w:val="0"/>
        </w:rPr>
        <w:t>该</w:t>
      </w:r>
      <w:r>
        <w:rPr>
          <w:rFonts w:hint="eastAsia"/>
          <w:bCs/>
          <w:color w:val="auto"/>
          <w:kern w:val="0"/>
          <w:lang w:val="en-US" w:eastAsia="zh-CN"/>
        </w:rPr>
        <w:t>项目不涉及</w:t>
      </w:r>
      <w:r>
        <w:rPr>
          <w:bCs/>
          <w:color w:val="auto"/>
          <w:kern w:val="0"/>
        </w:rPr>
        <w:t>重点监管危险化学品</w:t>
      </w:r>
      <w:r>
        <w:rPr>
          <w:rFonts w:hint="eastAsia"/>
          <w:bCs/>
          <w:color w:val="auto"/>
          <w:kern w:val="0"/>
          <w:lang w:eastAsia="zh-CN"/>
        </w:rPr>
        <w:t>。</w:t>
      </w:r>
    </w:p>
    <w:p w14:paraId="26E39AEC">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rFonts w:hint="eastAsia"/>
          <w:bCs/>
          <w:color w:val="auto"/>
          <w:kern w:val="0"/>
          <w:szCs w:val="28"/>
        </w:rPr>
      </w:pPr>
      <w:r>
        <w:rPr>
          <w:rFonts w:hint="eastAsia"/>
          <w:bCs/>
          <w:color w:val="auto"/>
          <w:kern w:val="0"/>
          <w:szCs w:val="28"/>
        </w:rPr>
        <w:t>（7）特别管控危险化学品的辨识</w:t>
      </w:r>
    </w:p>
    <w:p w14:paraId="391A0DE1">
      <w:pPr>
        <w:keepNext w:val="0"/>
        <w:keepLines w:val="0"/>
        <w:pageBreakBefore w:val="0"/>
        <w:kinsoku/>
        <w:wordWrap w:val="0"/>
        <w:overflowPunct/>
        <w:topLinePunct w:val="0"/>
        <w:autoSpaceDE/>
        <w:autoSpaceDN/>
        <w:bidi w:val="0"/>
        <w:adjustRightInd w:val="0"/>
        <w:snapToGrid w:val="0"/>
        <w:spacing w:line="600" w:lineRule="exact"/>
        <w:ind w:firstLine="560" w:firstLineChars="200"/>
        <w:textAlignment w:val="center"/>
        <w:rPr>
          <w:bCs/>
          <w:color w:val="auto"/>
          <w:kern w:val="0"/>
          <w:szCs w:val="28"/>
        </w:rPr>
      </w:pPr>
      <w:r>
        <w:rPr>
          <w:bCs/>
          <w:color w:val="auto"/>
          <w:kern w:val="0"/>
          <w:szCs w:val="28"/>
        </w:rPr>
        <w:t>根据《特别管控危险化学品目录（第一版）》，经辨识，该</w:t>
      </w:r>
      <w:r>
        <w:rPr>
          <w:rFonts w:hint="eastAsia"/>
          <w:bCs/>
          <w:color w:val="auto"/>
          <w:kern w:val="0"/>
          <w:szCs w:val="28"/>
          <w:lang w:val="en-US" w:eastAsia="zh-CN"/>
        </w:rPr>
        <w:t>项目不涉</w:t>
      </w:r>
      <w:r>
        <w:rPr>
          <w:bCs/>
          <w:color w:val="auto"/>
          <w:kern w:val="0"/>
          <w:szCs w:val="28"/>
        </w:rPr>
        <w:t>特别监控危险化学品。</w:t>
      </w:r>
    </w:p>
    <w:p w14:paraId="59E831C0">
      <w:pPr>
        <w:pStyle w:val="5"/>
        <w:bidi w:val="0"/>
        <w:rPr>
          <w:rFonts w:hint="eastAsia"/>
          <w:color w:val="auto"/>
          <w:lang w:val="en-US" w:eastAsia="zh-CN"/>
        </w:rPr>
      </w:pPr>
      <w:bookmarkStart w:id="52" w:name="_Toc4945"/>
      <w:r>
        <w:rPr>
          <w:rFonts w:hint="eastAsia"/>
          <w:color w:val="auto"/>
          <w:lang w:val="en-US" w:eastAsia="zh-CN"/>
        </w:rPr>
        <w:t>3.3重大危险源辨识</w:t>
      </w:r>
      <w:bookmarkEnd w:id="52"/>
    </w:p>
    <w:p w14:paraId="27792A4D">
      <w:pPr>
        <w:keepNext w:val="0"/>
        <w:keepLines w:val="0"/>
        <w:pageBreakBefore w:val="0"/>
        <w:kinsoku/>
        <w:overflowPunct/>
        <w:topLinePunct w:val="0"/>
        <w:autoSpaceDE/>
        <w:autoSpaceDN/>
        <w:bidi w:val="0"/>
        <w:spacing w:line="600" w:lineRule="exact"/>
        <w:ind w:firstLine="560" w:firstLineChars="200"/>
        <w:rPr>
          <w:rFonts w:hint="eastAsia"/>
          <w:color w:val="auto"/>
          <w:szCs w:val="28"/>
        </w:rPr>
      </w:pPr>
      <w:r>
        <w:rPr>
          <w:color w:val="auto"/>
          <w:szCs w:val="28"/>
        </w:rPr>
        <w:t>《危险化学品重大危险源辨识》规定：</w:t>
      </w:r>
    </w:p>
    <w:p w14:paraId="0FDD847E">
      <w:pPr>
        <w:keepNext w:val="0"/>
        <w:keepLines w:val="0"/>
        <w:pageBreakBefore w:val="0"/>
        <w:kinsoku/>
        <w:overflowPunct/>
        <w:topLinePunct w:val="0"/>
        <w:autoSpaceDE/>
        <w:autoSpaceDN/>
        <w:bidi w:val="0"/>
        <w:spacing w:line="600" w:lineRule="exact"/>
        <w:ind w:firstLine="560" w:firstLineChars="200"/>
        <w:rPr>
          <w:bCs/>
          <w:color w:val="auto"/>
          <w:kern w:val="0"/>
          <w:szCs w:val="28"/>
        </w:rPr>
      </w:pPr>
      <w:r>
        <w:rPr>
          <w:bCs/>
          <w:color w:val="auto"/>
          <w:kern w:val="0"/>
          <w:szCs w:val="28"/>
          <w:lang w:val="zh-CN"/>
        </w:rPr>
        <w:t>单元：</w:t>
      </w:r>
      <w:r>
        <w:rPr>
          <w:bCs/>
          <w:color w:val="auto"/>
          <w:kern w:val="0"/>
          <w:szCs w:val="28"/>
        </w:rPr>
        <w:t>涉及危险化学品生产、储存装置、设施或场所。分为生产单元和储存单元。</w:t>
      </w:r>
    </w:p>
    <w:p w14:paraId="5DDA8984">
      <w:pPr>
        <w:keepNext w:val="0"/>
        <w:keepLines w:val="0"/>
        <w:pageBreakBefore w:val="0"/>
        <w:kinsoku/>
        <w:overflowPunct/>
        <w:topLinePunct w:val="0"/>
        <w:autoSpaceDE/>
        <w:autoSpaceDN/>
        <w:bidi w:val="0"/>
        <w:spacing w:line="600" w:lineRule="exact"/>
        <w:ind w:firstLine="560" w:firstLineChars="200"/>
        <w:rPr>
          <w:bCs/>
          <w:color w:val="auto"/>
          <w:kern w:val="0"/>
          <w:szCs w:val="28"/>
        </w:rPr>
      </w:pPr>
      <w:r>
        <w:rPr>
          <w:bCs/>
          <w:color w:val="auto"/>
          <w:kern w:val="0"/>
          <w:szCs w:val="28"/>
        </w:rPr>
        <w:t>生产单元：</w:t>
      </w:r>
      <w:r>
        <w:rPr>
          <w:bCs/>
          <w:color w:val="auto"/>
          <w:kern w:val="0"/>
          <w:szCs w:val="28"/>
          <w:lang w:val="zh-CN"/>
        </w:rPr>
        <w:t>危险化学品的生产、加工及使用等的装置及设施，当装置及设施之间有切断阀时，以切断阀作为分隔界限划分为独立的单元。</w:t>
      </w:r>
    </w:p>
    <w:p w14:paraId="188DC84E">
      <w:pPr>
        <w:keepNext w:val="0"/>
        <w:keepLines w:val="0"/>
        <w:pageBreakBefore w:val="0"/>
        <w:kinsoku/>
        <w:overflowPunct/>
        <w:topLinePunct w:val="0"/>
        <w:autoSpaceDE/>
        <w:autoSpaceDN/>
        <w:bidi w:val="0"/>
        <w:spacing w:line="600" w:lineRule="exact"/>
        <w:ind w:firstLine="560" w:firstLineChars="200"/>
        <w:rPr>
          <w:bCs/>
          <w:color w:val="auto"/>
          <w:kern w:val="0"/>
          <w:szCs w:val="28"/>
        </w:rPr>
      </w:pPr>
      <w:r>
        <w:rPr>
          <w:bCs/>
          <w:color w:val="auto"/>
          <w:kern w:val="0"/>
          <w:szCs w:val="28"/>
        </w:rPr>
        <w:t>储存单元：</w:t>
      </w:r>
      <w:r>
        <w:rPr>
          <w:bCs/>
          <w:color w:val="auto"/>
          <w:kern w:val="0"/>
          <w:szCs w:val="28"/>
          <w:lang w:val="zh-CN"/>
        </w:rPr>
        <w:t>用于储存危险化学品的储罐或仓库组成的相对独立的区域，储罐区以罐区防火堤为界限划分为独立的单元，仓库以独立库房</w:t>
      </w:r>
      <w:r>
        <w:rPr>
          <w:rFonts w:hint="eastAsia"/>
          <w:bCs/>
          <w:color w:val="auto"/>
          <w:kern w:val="0"/>
          <w:szCs w:val="28"/>
        </w:rPr>
        <w:t>（</w:t>
      </w:r>
      <w:r>
        <w:rPr>
          <w:bCs/>
          <w:color w:val="auto"/>
          <w:kern w:val="0"/>
          <w:szCs w:val="28"/>
          <w:lang w:val="zh-CN"/>
        </w:rPr>
        <w:t>独立建筑物</w:t>
      </w:r>
      <w:r>
        <w:rPr>
          <w:rFonts w:hint="eastAsia"/>
          <w:bCs/>
          <w:color w:val="auto"/>
          <w:kern w:val="0"/>
          <w:szCs w:val="28"/>
          <w:lang w:val="zh-CN"/>
        </w:rPr>
        <w:t>）</w:t>
      </w:r>
      <w:r>
        <w:rPr>
          <w:bCs/>
          <w:color w:val="auto"/>
          <w:kern w:val="0"/>
          <w:szCs w:val="28"/>
          <w:lang w:val="zh-CN"/>
        </w:rPr>
        <w:t>为界限划分为独立的单元。</w:t>
      </w:r>
    </w:p>
    <w:p w14:paraId="4967C8C8">
      <w:pPr>
        <w:keepNext w:val="0"/>
        <w:keepLines w:val="0"/>
        <w:pageBreakBefore w:val="0"/>
        <w:kinsoku/>
        <w:overflowPunct/>
        <w:topLinePunct w:val="0"/>
        <w:autoSpaceDE/>
        <w:autoSpaceDN/>
        <w:bidi w:val="0"/>
        <w:spacing w:line="600" w:lineRule="exact"/>
        <w:ind w:firstLine="560" w:firstLineChars="200"/>
        <w:rPr>
          <w:bCs/>
          <w:color w:val="auto"/>
          <w:kern w:val="0"/>
          <w:szCs w:val="28"/>
        </w:rPr>
      </w:pPr>
      <w:r>
        <w:rPr>
          <w:bCs/>
          <w:color w:val="auto"/>
          <w:kern w:val="0"/>
          <w:szCs w:val="28"/>
        </w:rPr>
        <w:t>临界量：</w:t>
      </w:r>
      <w:r>
        <w:rPr>
          <w:bCs/>
          <w:color w:val="auto"/>
          <w:kern w:val="0"/>
          <w:szCs w:val="28"/>
          <w:lang w:val="zh-CN"/>
        </w:rPr>
        <w:t>某种或某类危险化学品构成重大危险源所规定的最小数量。</w:t>
      </w:r>
    </w:p>
    <w:p w14:paraId="25526C3F">
      <w:pPr>
        <w:keepNext w:val="0"/>
        <w:keepLines w:val="0"/>
        <w:pageBreakBefore w:val="0"/>
        <w:kinsoku/>
        <w:overflowPunct/>
        <w:topLinePunct w:val="0"/>
        <w:autoSpaceDE/>
        <w:autoSpaceDN/>
        <w:bidi w:val="0"/>
        <w:spacing w:line="600" w:lineRule="exact"/>
        <w:ind w:firstLine="560" w:firstLineChars="200"/>
        <w:rPr>
          <w:bCs/>
          <w:color w:val="auto"/>
          <w:kern w:val="0"/>
          <w:szCs w:val="28"/>
          <w:lang w:val="zh-CN"/>
        </w:rPr>
      </w:pPr>
      <w:r>
        <w:rPr>
          <w:bCs/>
          <w:color w:val="auto"/>
          <w:kern w:val="0"/>
          <w:szCs w:val="28"/>
        </w:rPr>
        <w:t>危险化学品重大危险源：</w:t>
      </w:r>
      <w:r>
        <w:rPr>
          <w:bCs/>
          <w:color w:val="auto"/>
          <w:kern w:val="0"/>
          <w:szCs w:val="28"/>
          <w:lang w:val="zh-CN"/>
        </w:rPr>
        <w:t>长期地或临时地生产、储存、使用和经营危险化学品，且危险化学品的数量等于或超过临界量的单元。</w:t>
      </w:r>
    </w:p>
    <w:p w14:paraId="5D4C2CAD">
      <w:pPr>
        <w:keepNext w:val="0"/>
        <w:keepLines w:val="0"/>
        <w:pageBreakBefore w:val="0"/>
        <w:kinsoku/>
        <w:overflowPunct/>
        <w:topLinePunct w:val="0"/>
        <w:autoSpaceDE/>
        <w:autoSpaceDN/>
        <w:bidi w:val="0"/>
        <w:spacing w:line="600" w:lineRule="exact"/>
        <w:ind w:firstLine="560" w:firstLineChars="200"/>
        <w:rPr>
          <w:bCs/>
          <w:color w:val="auto"/>
          <w:kern w:val="0"/>
          <w:szCs w:val="28"/>
        </w:rPr>
      </w:pPr>
      <w:r>
        <w:rPr>
          <w:bCs/>
          <w:color w:val="auto"/>
          <w:kern w:val="0"/>
          <w:szCs w:val="28"/>
        </w:rPr>
        <w:t>混合物：</w:t>
      </w:r>
      <w:r>
        <w:rPr>
          <w:bCs/>
          <w:color w:val="auto"/>
          <w:kern w:val="0"/>
          <w:szCs w:val="28"/>
          <w:lang w:val="zh-CN"/>
        </w:rPr>
        <w:t>由两种或者多种物质组成的混合体或者溶液。</w:t>
      </w:r>
    </w:p>
    <w:p w14:paraId="50A23D7D">
      <w:pPr>
        <w:keepNext w:val="0"/>
        <w:keepLines w:val="0"/>
        <w:pageBreakBefore w:val="0"/>
        <w:kinsoku/>
        <w:overflowPunct/>
        <w:topLinePunct w:val="0"/>
        <w:autoSpaceDE/>
        <w:autoSpaceDN/>
        <w:bidi w:val="0"/>
        <w:spacing w:line="600" w:lineRule="exact"/>
        <w:ind w:firstLine="560" w:firstLineChars="200"/>
        <w:rPr>
          <w:bCs/>
          <w:color w:val="auto"/>
          <w:kern w:val="0"/>
          <w:szCs w:val="28"/>
          <w:lang w:val="zh-CN"/>
        </w:rPr>
      </w:pPr>
      <w:r>
        <w:rPr>
          <w:bCs/>
          <w:color w:val="auto"/>
          <w:kern w:val="0"/>
          <w:szCs w:val="28"/>
          <w:lang w:val="zh-CN"/>
        </w:rPr>
        <w:t>生产单元、储存单元内存在的危险化学品为多品种时，则按下式计算，若满足下面公式，则为重大危险源：</w:t>
      </w:r>
    </w:p>
    <w:p w14:paraId="33BBA2B8">
      <w:pPr>
        <w:keepNext w:val="0"/>
        <w:keepLines w:val="0"/>
        <w:pageBreakBefore w:val="0"/>
        <w:kinsoku/>
        <w:overflowPunct/>
        <w:topLinePunct w:val="0"/>
        <w:autoSpaceDE/>
        <w:autoSpaceDN/>
        <w:bidi w:val="0"/>
        <w:spacing w:line="600" w:lineRule="exact"/>
        <w:ind w:firstLine="560" w:firstLineChars="200"/>
        <w:rPr>
          <w:bCs/>
          <w:color w:val="auto"/>
          <w:kern w:val="0"/>
          <w:szCs w:val="28"/>
          <w:lang w:val="zh-CN"/>
        </w:rPr>
      </w:pPr>
      <w:r>
        <w:rPr>
          <w:bCs/>
          <w:color w:val="auto"/>
          <w:kern w:val="0"/>
          <w:szCs w:val="28"/>
        </w:rPr>
        <w:t>S＝q</w:t>
      </w:r>
      <w:r>
        <w:rPr>
          <w:bCs/>
          <w:color w:val="auto"/>
          <w:kern w:val="0"/>
          <w:szCs w:val="28"/>
          <w:vertAlign w:val="subscript"/>
        </w:rPr>
        <w:t>1</w:t>
      </w:r>
      <w:r>
        <w:rPr>
          <w:bCs/>
          <w:color w:val="auto"/>
          <w:kern w:val="0"/>
          <w:szCs w:val="28"/>
        </w:rPr>
        <w:t>/Q</w:t>
      </w:r>
      <w:r>
        <w:rPr>
          <w:bCs/>
          <w:color w:val="auto"/>
          <w:kern w:val="0"/>
          <w:szCs w:val="28"/>
          <w:vertAlign w:val="subscript"/>
        </w:rPr>
        <w:t>1</w:t>
      </w:r>
      <w:r>
        <w:rPr>
          <w:bCs/>
          <w:color w:val="auto"/>
          <w:kern w:val="0"/>
          <w:szCs w:val="28"/>
        </w:rPr>
        <w:t>＋q</w:t>
      </w:r>
      <w:r>
        <w:rPr>
          <w:bCs/>
          <w:color w:val="auto"/>
          <w:kern w:val="0"/>
          <w:szCs w:val="28"/>
          <w:vertAlign w:val="subscript"/>
        </w:rPr>
        <w:t>2</w:t>
      </w:r>
      <w:r>
        <w:rPr>
          <w:bCs/>
          <w:color w:val="auto"/>
          <w:kern w:val="0"/>
          <w:szCs w:val="28"/>
        </w:rPr>
        <w:t>/Q</w:t>
      </w:r>
      <w:r>
        <w:rPr>
          <w:bCs/>
          <w:color w:val="auto"/>
          <w:kern w:val="0"/>
          <w:szCs w:val="28"/>
          <w:vertAlign w:val="subscript"/>
        </w:rPr>
        <w:t>2</w:t>
      </w:r>
      <w:r>
        <w:rPr>
          <w:bCs/>
          <w:color w:val="auto"/>
          <w:kern w:val="0"/>
          <w:szCs w:val="28"/>
        </w:rPr>
        <w:t>＋…＋q</w:t>
      </w:r>
      <w:r>
        <w:rPr>
          <w:bCs/>
          <w:color w:val="auto"/>
          <w:kern w:val="0"/>
          <w:szCs w:val="28"/>
          <w:vertAlign w:val="subscript"/>
        </w:rPr>
        <w:t>n</w:t>
      </w:r>
      <w:r>
        <w:rPr>
          <w:bCs/>
          <w:color w:val="auto"/>
          <w:kern w:val="0"/>
          <w:szCs w:val="28"/>
        </w:rPr>
        <w:t>/Q</w:t>
      </w:r>
      <w:r>
        <w:rPr>
          <w:bCs/>
          <w:color w:val="auto"/>
          <w:kern w:val="0"/>
          <w:szCs w:val="28"/>
          <w:vertAlign w:val="subscript"/>
        </w:rPr>
        <w:t>n</w:t>
      </w:r>
      <w:r>
        <w:rPr>
          <w:rFonts w:hint="eastAsia"/>
          <w:bCs/>
          <w:color w:val="auto"/>
          <w:kern w:val="0"/>
          <w:szCs w:val="28"/>
        </w:rPr>
        <w:t>≥</w:t>
      </w:r>
      <w:r>
        <w:rPr>
          <w:bCs/>
          <w:color w:val="auto"/>
          <w:kern w:val="0"/>
          <w:szCs w:val="28"/>
        </w:rPr>
        <w:t>1</w:t>
      </w:r>
    </w:p>
    <w:p w14:paraId="189725F5">
      <w:pPr>
        <w:keepNext w:val="0"/>
        <w:keepLines w:val="0"/>
        <w:pageBreakBefore w:val="0"/>
        <w:kinsoku/>
        <w:overflowPunct/>
        <w:topLinePunct w:val="0"/>
        <w:autoSpaceDE/>
        <w:autoSpaceDN/>
        <w:bidi w:val="0"/>
        <w:spacing w:line="600" w:lineRule="exact"/>
        <w:ind w:firstLine="560" w:firstLineChars="200"/>
        <w:rPr>
          <w:bCs/>
          <w:color w:val="auto"/>
          <w:kern w:val="0"/>
          <w:szCs w:val="28"/>
          <w:lang w:val="zh-CN"/>
        </w:rPr>
      </w:pPr>
      <w:r>
        <w:rPr>
          <w:bCs/>
          <w:color w:val="auto"/>
          <w:kern w:val="0"/>
          <w:szCs w:val="28"/>
          <w:lang w:val="zh-CN"/>
        </w:rPr>
        <w:t>式中：S－辨识指标；</w:t>
      </w:r>
    </w:p>
    <w:p w14:paraId="2C9E776A">
      <w:pPr>
        <w:keepNext w:val="0"/>
        <w:keepLines w:val="0"/>
        <w:pageBreakBefore w:val="0"/>
        <w:kinsoku/>
        <w:overflowPunct/>
        <w:topLinePunct w:val="0"/>
        <w:autoSpaceDE/>
        <w:autoSpaceDN/>
        <w:bidi w:val="0"/>
        <w:spacing w:line="600" w:lineRule="exact"/>
        <w:ind w:firstLine="560" w:firstLineChars="200"/>
        <w:rPr>
          <w:bCs/>
          <w:color w:val="auto"/>
          <w:kern w:val="0"/>
          <w:szCs w:val="28"/>
          <w:lang w:val="zh-CN"/>
        </w:rPr>
      </w:pPr>
      <w:r>
        <w:rPr>
          <w:bCs/>
          <w:color w:val="auto"/>
          <w:kern w:val="0"/>
          <w:szCs w:val="28"/>
          <w:lang w:val="zh-CN"/>
        </w:rPr>
        <w:t>q</w:t>
      </w:r>
      <w:r>
        <w:rPr>
          <w:bCs/>
          <w:color w:val="auto"/>
          <w:kern w:val="0"/>
          <w:szCs w:val="28"/>
          <w:vertAlign w:val="subscript"/>
          <w:lang w:val="zh-CN"/>
        </w:rPr>
        <w:t>1</w:t>
      </w:r>
      <w:r>
        <w:rPr>
          <w:bCs/>
          <w:color w:val="auto"/>
          <w:kern w:val="0"/>
          <w:szCs w:val="28"/>
          <w:lang w:val="zh-CN"/>
        </w:rPr>
        <w:t>,q</w:t>
      </w:r>
      <w:r>
        <w:rPr>
          <w:bCs/>
          <w:color w:val="auto"/>
          <w:kern w:val="0"/>
          <w:szCs w:val="28"/>
          <w:vertAlign w:val="subscript"/>
          <w:lang w:val="zh-CN"/>
        </w:rPr>
        <w:t>2</w:t>
      </w:r>
      <w:r>
        <w:rPr>
          <w:bCs/>
          <w:color w:val="auto"/>
          <w:kern w:val="0"/>
          <w:szCs w:val="28"/>
          <w:lang w:val="zh-CN"/>
        </w:rPr>
        <w:t xml:space="preserve"> , …q</w:t>
      </w:r>
      <w:r>
        <w:rPr>
          <w:bCs/>
          <w:color w:val="auto"/>
          <w:kern w:val="0"/>
          <w:szCs w:val="28"/>
          <w:vertAlign w:val="subscript"/>
          <w:lang w:val="zh-CN"/>
        </w:rPr>
        <w:t>n</w:t>
      </w:r>
      <w:r>
        <w:rPr>
          <w:bCs/>
          <w:color w:val="auto"/>
          <w:kern w:val="0"/>
          <w:szCs w:val="28"/>
          <w:lang w:val="zh-CN"/>
        </w:rPr>
        <w:t xml:space="preserve"> －每种危险化学品实际存在量，t；</w:t>
      </w:r>
    </w:p>
    <w:p w14:paraId="1BBD266B">
      <w:pPr>
        <w:keepNext w:val="0"/>
        <w:keepLines w:val="0"/>
        <w:pageBreakBefore w:val="0"/>
        <w:kinsoku/>
        <w:overflowPunct/>
        <w:topLinePunct w:val="0"/>
        <w:autoSpaceDE/>
        <w:autoSpaceDN/>
        <w:bidi w:val="0"/>
        <w:spacing w:line="600" w:lineRule="exact"/>
        <w:ind w:firstLine="560" w:firstLineChars="200"/>
        <w:rPr>
          <w:bCs/>
          <w:color w:val="auto"/>
          <w:kern w:val="0"/>
          <w:szCs w:val="28"/>
          <w:lang w:val="zh-CN"/>
        </w:rPr>
      </w:pPr>
      <w:r>
        <w:rPr>
          <w:bCs/>
          <w:color w:val="auto"/>
          <w:kern w:val="0"/>
          <w:szCs w:val="28"/>
          <w:lang w:val="zh-CN"/>
        </w:rPr>
        <w:t>Q</w:t>
      </w:r>
      <w:r>
        <w:rPr>
          <w:bCs/>
          <w:color w:val="auto"/>
          <w:kern w:val="0"/>
          <w:szCs w:val="28"/>
          <w:vertAlign w:val="subscript"/>
          <w:lang w:val="zh-CN"/>
        </w:rPr>
        <w:t>1</w:t>
      </w:r>
      <w:r>
        <w:rPr>
          <w:bCs/>
          <w:color w:val="auto"/>
          <w:kern w:val="0"/>
          <w:szCs w:val="28"/>
          <w:lang w:val="zh-CN"/>
        </w:rPr>
        <w:t>,Q</w:t>
      </w:r>
      <w:r>
        <w:rPr>
          <w:bCs/>
          <w:color w:val="auto"/>
          <w:kern w:val="0"/>
          <w:szCs w:val="28"/>
          <w:vertAlign w:val="subscript"/>
          <w:lang w:val="zh-CN"/>
        </w:rPr>
        <w:t>2</w:t>
      </w:r>
      <w:r>
        <w:rPr>
          <w:bCs/>
          <w:color w:val="auto"/>
          <w:kern w:val="0"/>
          <w:szCs w:val="28"/>
          <w:lang w:val="zh-CN"/>
        </w:rPr>
        <w:t>…Q</w:t>
      </w:r>
      <w:r>
        <w:rPr>
          <w:bCs/>
          <w:color w:val="auto"/>
          <w:kern w:val="0"/>
          <w:szCs w:val="28"/>
          <w:vertAlign w:val="subscript"/>
          <w:lang w:val="zh-CN"/>
        </w:rPr>
        <w:t>n</w:t>
      </w:r>
      <w:r>
        <w:rPr>
          <w:bCs/>
          <w:color w:val="auto"/>
          <w:kern w:val="0"/>
          <w:szCs w:val="28"/>
          <w:lang w:val="zh-CN"/>
        </w:rPr>
        <w:t>－与每种危险化学品相对应的临界量，t。</w:t>
      </w:r>
    </w:p>
    <w:p w14:paraId="756FBFAF">
      <w:pPr>
        <w:keepNext w:val="0"/>
        <w:keepLines w:val="0"/>
        <w:pageBreakBefore w:val="0"/>
        <w:kinsoku/>
        <w:overflowPunct/>
        <w:topLinePunct w:val="0"/>
        <w:autoSpaceDE/>
        <w:autoSpaceDN/>
        <w:bidi w:val="0"/>
        <w:spacing w:line="600" w:lineRule="exact"/>
        <w:ind w:firstLine="560" w:firstLineChars="200"/>
        <w:rPr>
          <w:bCs/>
          <w:color w:val="auto"/>
          <w:kern w:val="0"/>
          <w:szCs w:val="28"/>
          <w:lang w:val="zh-CN"/>
        </w:rPr>
      </w:pPr>
      <w:r>
        <w:rPr>
          <w:bCs/>
          <w:color w:val="auto"/>
          <w:kern w:val="0"/>
          <w:szCs w:val="28"/>
          <w:lang w:val="zh-CN"/>
        </w:rPr>
        <w:t>危险化学品储罐以及其他容器、设备或仓储区的危险化学品实际存在量按最大设计量确定。</w:t>
      </w:r>
    </w:p>
    <w:p w14:paraId="29992051">
      <w:pPr>
        <w:keepNext w:val="0"/>
        <w:keepLines w:val="0"/>
        <w:pageBreakBefore w:val="0"/>
        <w:kinsoku/>
        <w:overflowPunct/>
        <w:topLinePunct w:val="0"/>
        <w:autoSpaceDE/>
        <w:autoSpaceDN/>
        <w:bidi w:val="0"/>
        <w:spacing w:line="600" w:lineRule="exact"/>
        <w:ind w:firstLine="560" w:firstLineChars="200"/>
        <w:rPr>
          <w:bCs/>
          <w:color w:val="auto"/>
          <w:kern w:val="0"/>
          <w:szCs w:val="28"/>
          <w:lang w:val="zh-CN"/>
        </w:rPr>
      </w:pPr>
      <w:r>
        <w:rPr>
          <w:bCs/>
          <w:color w:val="auto"/>
          <w:kern w:val="0"/>
          <w:szCs w:val="28"/>
          <w:lang w:val="zh-CN"/>
        </w:rPr>
        <w:t>根据GB18218-2018的要求，构成危险化学品重大危险源的物质及临界量见表3</w:t>
      </w:r>
      <w:r>
        <w:rPr>
          <w:rFonts w:hint="eastAsia"/>
          <w:bCs/>
          <w:color w:val="auto"/>
          <w:kern w:val="0"/>
          <w:szCs w:val="28"/>
          <w:lang w:val="zh-CN"/>
        </w:rPr>
        <w:t>.</w:t>
      </w:r>
      <w:r>
        <w:rPr>
          <w:rFonts w:hint="eastAsia"/>
          <w:bCs/>
          <w:color w:val="auto"/>
          <w:kern w:val="0"/>
          <w:szCs w:val="28"/>
          <w:lang w:val="en-US" w:eastAsia="zh-CN"/>
        </w:rPr>
        <w:t>3</w:t>
      </w:r>
      <w:r>
        <w:rPr>
          <w:bCs/>
          <w:color w:val="auto"/>
          <w:kern w:val="0"/>
          <w:szCs w:val="28"/>
          <w:lang w:val="zh-CN"/>
        </w:rPr>
        <w:t>-</w:t>
      </w:r>
      <w:r>
        <w:rPr>
          <w:rFonts w:hint="eastAsia"/>
          <w:bCs/>
          <w:color w:val="auto"/>
          <w:kern w:val="0"/>
          <w:szCs w:val="28"/>
          <w:lang w:val="en-US" w:eastAsia="zh-CN"/>
        </w:rPr>
        <w:t>1</w:t>
      </w:r>
      <w:r>
        <w:rPr>
          <w:bCs/>
          <w:color w:val="auto"/>
          <w:kern w:val="0"/>
          <w:szCs w:val="28"/>
          <w:lang w:val="zh-CN"/>
        </w:rPr>
        <w:t>。</w:t>
      </w:r>
    </w:p>
    <w:p w14:paraId="556843BC">
      <w:pPr>
        <w:pStyle w:val="42"/>
        <w:bidi w:val="0"/>
        <w:rPr>
          <w:color w:val="auto"/>
          <w:lang w:val="zh-CN"/>
        </w:rPr>
      </w:pPr>
      <w:r>
        <w:rPr>
          <w:color w:val="auto"/>
          <w:lang w:val="zh-CN"/>
        </w:rPr>
        <w:t>表3</w:t>
      </w:r>
      <w:r>
        <w:rPr>
          <w:rFonts w:hint="eastAsia"/>
          <w:color w:val="auto"/>
          <w:lang w:val="zh-CN"/>
        </w:rPr>
        <w:t>.</w:t>
      </w:r>
      <w:r>
        <w:rPr>
          <w:rFonts w:hint="eastAsia"/>
          <w:color w:val="auto"/>
          <w:lang w:val="en-US" w:eastAsia="zh-CN"/>
        </w:rPr>
        <w:t>3</w:t>
      </w:r>
      <w:r>
        <w:rPr>
          <w:color w:val="auto"/>
          <w:lang w:val="zh-CN"/>
        </w:rPr>
        <w:t>-</w:t>
      </w:r>
      <w:r>
        <w:rPr>
          <w:rFonts w:hint="eastAsia"/>
          <w:color w:val="auto"/>
          <w:lang w:val="en-US" w:eastAsia="zh-CN"/>
        </w:rPr>
        <w:t>1</w:t>
      </w:r>
      <w:r>
        <w:rPr>
          <w:rFonts w:hint="eastAsia"/>
          <w:color w:val="auto"/>
          <w:lang w:val="zh-CN"/>
        </w:rPr>
        <w:t xml:space="preserve"> </w:t>
      </w:r>
      <w:r>
        <w:rPr>
          <w:color w:val="auto"/>
          <w:lang w:val="zh-CN"/>
        </w:rPr>
        <w:t>GB18218-2018表2列出的物质</w:t>
      </w:r>
    </w:p>
    <w:tbl>
      <w:tblPr>
        <w:tblStyle w:val="33"/>
        <w:tblW w:w="0" w:type="auto"/>
        <w:tblInd w:w="-1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2"/>
        <w:gridCol w:w="751"/>
        <w:gridCol w:w="2044"/>
        <w:gridCol w:w="3528"/>
        <w:gridCol w:w="1305"/>
        <w:gridCol w:w="736"/>
      </w:tblGrid>
      <w:tr w14:paraId="7560B4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732" w:type="dxa"/>
            <w:noWrap w:val="0"/>
            <w:vAlign w:val="center"/>
          </w:tcPr>
          <w:p w14:paraId="6018ACE0">
            <w:pPr>
              <w:pStyle w:val="43"/>
              <w:bidi w:val="0"/>
              <w:rPr>
                <w:color w:val="auto"/>
                <w:lang w:val="zh-CN"/>
              </w:rPr>
            </w:pPr>
            <w:r>
              <w:rPr>
                <w:rFonts w:hint="eastAsia"/>
                <w:color w:val="auto"/>
                <w:lang w:val="zh-CN"/>
              </w:rPr>
              <w:t>序号</w:t>
            </w:r>
          </w:p>
        </w:tc>
        <w:tc>
          <w:tcPr>
            <w:tcW w:w="751" w:type="dxa"/>
            <w:noWrap w:val="0"/>
            <w:vAlign w:val="center"/>
          </w:tcPr>
          <w:p w14:paraId="0AB0D67E">
            <w:pPr>
              <w:pStyle w:val="43"/>
              <w:bidi w:val="0"/>
              <w:rPr>
                <w:color w:val="auto"/>
                <w:lang w:val="zh-CN"/>
              </w:rPr>
            </w:pPr>
            <w:r>
              <w:rPr>
                <w:color w:val="auto"/>
                <w:lang w:val="zh-CN"/>
              </w:rPr>
              <w:t>名称</w:t>
            </w:r>
          </w:p>
        </w:tc>
        <w:tc>
          <w:tcPr>
            <w:tcW w:w="2044" w:type="dxa"/>
            <w:noWrap w:val="0"/>
            <w:vAlign w:val="center"/>
          </w:tcPr>
          <w:p w14:paraId="7D991A0D">
            <w:pPr>
              <w:pStyle w:val="43"/>
              <w:bidi w:val="0"/>
              <w:rPr>
                <w:color w:val="auto"/>
                <w:lang w:val="zh-CN"/>
              </w:rPr>
            </w:pPr>
            <w:r>
              <w:rPr>
                <w:color w:val="auto"/>
                <w:lang w:val="zh-CN"/>
              </w:rPr>
              <w:t>危险性分类及说明</w:t>
            </w:r>
          </w:p>
        </w:tc>
        <w:tc>
          <w:tcPr>
            <w:tcW w:w="3528" w:type="dxa"/>
            <w:noWrap w:val="0"/>
            <w:vAlign w:val="center"/>
          </w:tcPr>
          <w:p w14:paraId="0F468F48">
            <w:pPr>
              <w:pStyle w:val="43"/>
              <w:bidi w:val="0"/>
              <w:rPr>
                <w:color w:val="auto"/>
                <w:lang w:val="zh-CN"/>
              </w:rPr>
            </w:pPr>
            <w:r>
              <w:rPr>
                <w:rFonts w:hint="eastAsia"/>
                <w:color w:val="auto"/>
                <w:lang w:val="zh-CN"/>
              </w:rPr>
              <w:t>状态</w:t>
            </w:r>
          </w:p>
        </w:tc>
        <w:tc>
          <w:tcPr>
            <w:tcW w:w="1305" w:type="dxa"/>
            <w:noWrap w:val="0"/>
            <w:vAlign w:val="center"/>
          </w:tcPr>
          <w:p w14:paraId="3040E8C3">
            <w:pPr>
              <w:pStyle w:val="43"/>
              <w:bidi w:val="0"/>
              <w:rPr>
                <w:color w:val="auto"/>
                <w:lang w:val="zh-CN"/>
              </w:rPr>
            </w:pPr>
            <w:r>
              <w:rPr>
                <w:color w:val="auto"/>
                <w:lang w:val="zh-CN"/>
              </w:rPr>
              <w:t>临界量（吨）</w:t>
            </w:r>
          </w:p>
        </w:tc>
        <w:tc>
          <w:tcPr>
            <w:tcW w:w="736" w:type="dxa"/>
            <w:noWrap w:val="0"/>
            <w:vAlign w:val="center"/>
          </w:tcPr>
          <w:p w14:paraId="49D40C7B">
            <w:pPr>
              <w:pStyle w:val="43"/>
              <w:bidi w:val="0"/>
              <w:rPr>
                <w:color w:val="auto"/>
                <w:lang w:val="zh-CN"/>
              </w:rPr>
            </w:pPr>
            <w:r>
              <w:rPr>
                <w:color w:val="auto"/>
                <w:lang w:val="zh-CN"/>
              </w:rPr>
              <w:t>备注</w:t>
            </w:r>
          </w:p>
        </w:tc>
      </w:tr>
      <w:tr w14:paraId="69ABC1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32" w:type="dxa"/>
            <w:noWrap w:val="0"/>
            <w:vAlign w:val="center"/>
          </w:tcPr>
          <w:p w14:paraId="32FCC13F">
            <w:pPr>
              <w:pStyle w:val="43"/>
              <w:bidi w:val="0"/>
              <w:rPr>
                <w:rFonts w:hint="eastAsia"/>
                <w:color w:val="auto"/>
                <w:lang w:val="zh-CN"/>
              </w:rPr>
            </w:pPr>
            <w:r>
              <w:rPr>
                <w:color w:val="auto"/>
                <w:lang w:val="zh-CN"/>
              </w:rPr>
              <w:t>W5</w:t>
            </w:r>
            <w:r>
              <w:rPr>
                <w:rFonts w:hint="eastAsia"/>
                <w:color w:val="auto"/>
                <w:lang w:val="zh-CN"/>
              </w:rPr>
              <w:t>.</w:t>
            </w:r>
            <w:r>
              <w:rPr>
                <w:color w:val="auto"/>
                <w:lang w:val="zh-CN"/>
              </w:rPr>
              <w:t>4</w:t>
            </w:r>
          </w:p>
        </w:tc>
        <w:tc>
          <w:tcPr>
            <w:tcW w:w="751" w:type="dxa"/>
            <w:noWrap w:val="0"/>
            <w:vAlign w:val="center"/>
          </w:tcPr>
          <w:p w14:paraId="3F43088F">
            <w:pPr>
              <w:pStyle w:val="43"/>
              <w:bidi w:val="0"/>
              <w:rPr>
                <w:color w:val="auto"/>
                <w:lang w:val="zh-CN"/>
              </w:rPr>
            </w:pPr>
            <w:r>
              <w:rPr>
                <w:color w:val="auto"/>
                <w:lang w:val="zh-CN"/>
              </w:rPr>
              <w:t>柴油</w:t>
            </w:r>
          </w:p>
        </w:tc>
        <w:tc>
          <w:tcPr>
            <w:tcW w:w="2044" w:type="dxa"/>
            <w:noWrap w:val="0"/>
            <w:vAlign w:val="center"/>
          </w:tcPr>
          <w:p w14:paraId="5F97C7FE">
            <w:pPr>
              <w:pStyle w:val="43"/>
              <w:bidi w:val="0"/>
              <w:rPr>
                <w:color w:val="auto"/>
                <w:lang w:val="zh-CN"/>
              </w:rPr>
            </w:pPr>
            <w:r>
              <w:rPr>
                <w:color w:val="auto"/>
                <w:lang w:val="zh-CN"/>
              </w:rPr>
              <w:t>易燃液体</w:t>
            </w:r>
            <w:r>
              <w:rPr>
                <w:rFonts w:hint="eastAsia"/>
                <w:color w:val="auto"/>
                <w:lang w:val="zh-CN"/>
              </w:rPr>
              <w:t>，</w:t>
            </w:r>
            <w:r>
              <w:rPr>
                <w:color w:val="auto"/>
                <w:lang w:val="zh-CN"/>
              </w:rPr>
              <w:t>类别3</w:t>
            </w:r>
          </w:p>
        </w:tc>
        <w:tc>
          <w:tcPr>
            <w:tcW w:w="3528" w:type="dxa"/>
            <w:noWrap w:val="0"/>
            <w:vAlign w:val="center"/>
          </w:tcPr>
          <w:p w14:paraId="0301B82D">
            <w:pPr>
              <w:pStyle w:val="43"/>
              <w:bidi w:val="0"/>
              <w:rPr>
                <w:color w:val="auto"/>
                <w:lang w:val="zh-CN"/>
              </w:rPr>
            </w:pPr>
            <w:r>
              <w:rPr>
                <w:rFonts w:hint="eastAsia"/>
                <w:color w:val="auto"/>
                <w:lang w:val="zh-CN"/>
              </w:rPr>
              <w:t>-不属于W5.1或W5.2的其它类别三</w:t>
            </w:r>
          </w:p>
        </w:tc>
        <w:tc>
          <w:tcPr>
            <w:tcW w:w="1305" w:type="dxa"/>
            <w:noWrap w:val="0"/>
            <w:vAlign w:val="center"/>
          </w:tcPr>
          <w:p w14:paraId="02231D2D">
            <w:pPr>
              <w:pStyle w:val="43"/>
              <w:bidi w:val="0"/>
              <w:rPr>
                <w:color w:val="auto"/>
                <w:lang w:val="zh-CN"/>
              </w:rPr>
            </w:pPr>
            <w:r>
              <w:rPr>
                <w:color w:val="auto"/>
                <w:lang w:val="zh-CN"/>
              </w:rPr>
              <w:t>5000</w:t>
            </w:r>
          </w:p>
        </w:tc>
        <w:tc>
          <w:tcPr>
            <w:tcW w:w="736" w:type="dxa"/>
            <w:noWrap w:val="0"/>
            <w:vAlign w:val="center"/>
          </w:tcPr>
          <w:p w14:paraId="34A5E48D">
            <w:pPr>
              <w:pStyle w:val="43"/>
              <w:bidi w:val="0"/>
              <w:rPr>
                <w:color w:val="auto"/>
                <w:lang w:val="zh-CN"/>
              </w:rPr>
            </w:pPr>
          </w:p>
        </w:tc>
      </w:tr>
    </w:tbl>
    <w:p w14:paraId="6B6E27D3">
      <w:pPr>
        <w:keepNext w:val="0"/>
        <w:keepLines w:val="0"/>
        <w:pageBreakBefore w:val="0"/>
        <w:kinsoku/>
        <w:overflowPunct/>
        <w:topLinePunct w:val="0"/>
        <w:autoSpaceDE/>
        <w:autoSpaceDN/>
        <w:bidi w:val="0"/>
        <w:spacing w:line="600" w:lineRule="exact"/>
        <w:ind w:firstLine="560" w:firstLineChars="200"/>
        <w:rPr>
          <w:rFonts w:hint="default" w:eastAsia="宋体"/>
          <w:bCs/>
          <w:color w:val="auto"/>
          <w:kern w:val="0"/>
          <w:szCs w:val="28"/>
          <w:lang w:val="en-US" w:eastAsia="zh-CN"/>
        </w:rPr>
      </w:pPr>
      <w:r>
        <w:rPr>
          <w:rFonts w:hint="eastAsia"/>
          <w:bCs/>
          <w:color w:val="auto"/>
          <w:kern w:val="0"/>
          <w:szCs w:val="28"/>
          <w:lang w:val="en-US" w:eastAsia="zh-CN"/>
        </w:rPr>
        <w:t>该项目涉及的柴油作为柴油发电机组的燃料，不涉及生产，储存仅为一个容积为的200L储油箱，</w:t>
      </w:r>
      <w:r>
        <w:rPr>
          <w:rFonts w:hint="eastAsia"/>
          <w:color w:val="auto"/>
          <w:szCs w:val="28"/>
          <w:lang w:val="en-US" w:eastAsia="zh-CN"/>
        </w:rPr>
        <w:t>柴油密度取：0.9，该项目柴油最大存在量为：0.18t，</w:t>
      </w:r>
      <w:r>
        <w:rPr>
          <w:rFonts w:hint="eastAsia"/>
          <w:bCs/>
          <w:color w:val="auto"/>
          <w:kern w:val="0"/>
          <w:szCs w:val="28"/>
          <w:lang w:val="en-US" w:eastAsia="zh-CN"/>
        </w:rPr>
        <w:t>由上表可知，该项目涉及的柴油最大存在量远远小于其5000t的临界量，因此该项目不涉及危险化学品重大危险源。</w:t>
      </w:r>
    </w:p>
    <w:p w14:paraId="434DE5EE">
      <w:pPr>
        <w:pStyle w:val="5"/>
        <w:bidi w:val="0"/>
        <w:rPr>
          <w:color w:val="auto"/>
        </w:rPr>
      </w:pPr>
      <w:bookmarkStart w:id="53" w:name="_Toc4762"/>
      <w:r>
        <w:rPr>
          <w:color w:val="auto"/>
        </w:rPr>
        <w:t>3.</w:t>
      </w:r>
      <w:r>
        <w:rPr>
          <w:rFonts w:hint="eastAsia"/>
          <w:color w:val="auto"/>
          <w:lang w:val="en-US" w:eastAsia="zh-CN"/>
        </w:rPr>
        <w:t>4</w:t>
      </w:r>
      <w:r>
        <w:rPr>
          <w:rFonts w:hint="eastAsia" w:ascii="宋体" w:hAnsi="宋体" w:cs="宋体"/>
          <w:color w:val="auto"/>
          <w:lang w:val="en-US" w:eastAsia="zh-CN"/>
        </w:rPr>
        <w:t>主要</w:t>
      </w:r>
      <w:r>
        <w:rPr>
          <w:rFonts w:hint="eastAsia" w:ascii="宋体" w:hAnsi="宋体" w:eastAsia="宋体" w:cs="宋体"/>
          <w:color w:val="auto"/>
        </w:rPr>
        <w:t>危险</w:t>
      </w:r>
      <w:r>
        <w:rPr>
          <w:rFonts w:hint="eastAsia" w:ascii="宋体" w:hAnsi="宋体" w:cs="宋体"/>
          <w:color w:val="auto"/>
          <w:lang w:eastAsia="zh-CN"/>
        </w:rPr>
        <w:t>、</w:t>
      </w:r>
      <w:r>
        <w:rPr>
          <w:rFonts w:hint="eastAsia" w:ascii="宋体" w:hAnsi="宋体" w:eastAsia="宋体" w:cs="宋体"/>
          <w:color w:val="auto"/>
        </w:rPr>
        <w:t>有害因素分析</w:t>
      </w:r>
      <w:bookmarkEnd w:id="50"/>
      <w:bookmarkEnd w:id="53"/>
    </w:p>
    <w:bookmarkEnd w:id="51"/>
    <w:p w14:paraId="6246D6DA">
      <w:pPr>
        <w:ind w:firstLine="560" w:firstLineChars="200"/>
        <w:rPr>
          <w:color w:val="auto"/>
          <w:szCs w:val="28"/>
        </w:rPr>
      </w:pPr>
      <w:bookmarkStart w:id="54" w:name="_Toc350517383"/>
      <w:bookmarkStart w:id="55" w:name="_Toc17858"/>
      <w:r>
        <w:rPr>
          <w:color w:val="auto"/>
          <w:szCs w:val="28"/>
        </w:rPr>
        <w:t>按导致事故的直接原因进行分析，根据《生产过程危险和有害因素分类与代码》（GB/T13861-2022）的规定，</w:t>
      </w:r>
      <w:r>
        <w:rPr>
          <w:rFonts w:hint="eastAsia"/>
          <w:color w:val="auto"/>
          <w:szCs w:val="28"/>
          <w:lang w:eastAsia="zh-CN"/>
        </w:rPr>
        <w:t>该项目</w:t>
      </w:r>
      <w:r>
        <w:rPr>
          <w:color w:val="auto"/>
          <w:szCs w:val="28"/>
        </w:rPr>
        <w:t>存在以下四类危险、有害因素。</w:t>
      </w:r>
    </w:p>
    <w:p w14:paraId="216344E3">
      <w:pPr>
        <w:ind w:firstLine="560" w:firstLineChars="200"/>
        <w:rPr>
          <w:color w:val="auto"/>
          <w:szCs w:val="28"/>
        </w:rPr>
      </w:pPr>
      <w:r>
        <w:rPr>
          <w:color w:val="auto"/>
          <w:szCs w:val="28"/>
        </w:rPr>
        <w:t>1、人的因素</w:t>
      </w:r>
    </w:p>
    <w:p w14:paraId="1A3AA290">
      <w:pPr>
        <w:ind w:firstLine="560" w:firstLineChars="200"/>
        <w:rPr>
          <w:color w:val="auto"/>
          <w:szCs w:val="28"/>
        </w:rPr>
      </w:pPr>
      <w:r>
        <w:rPr>
          <w:color w:val="auto"/>
          <w:szCs w:val="28"/>
        </w:rPr>
        <w:t>1）心里、生理性危险和有害因素</w:t>
      </w:r>
    </w:p>
    <w:p w14:paraId="72E201B0">
      <w:pPr>
        <w:ind w:firstLine="560" w:firstLineChars="200"/>
        <w:rPr>
          <w:color w:val="auto"/>
          <w:szCs w:val="28"/>
        </w:rPr>
      </w:pPr>
      <w:r>
        <w:rPr>
          <w:rFonts w:hint="eastAsia"/>
          <w:color w:val="auto"/>
          <w:szCs w:val="28"/>
          <w:lang w:eastAsia="zh-CN"/>
        </w:rPr>
        <w:t>该项目</w:t>
      </w:r>
      <w:r>
        <w:rPr>
          <w:rFonts w:hint="eastAsia"/>
          <w:color w:val="auto"/>
          <w:szCs w:val="28"/>
          <w:lang w:val="en-US" w:eastAsia="zh-CN"/>
        </w:rPr>
        <w:t>服务于社会汽车</w:t>
      </w:r>
      <w:r>
        <w:rPr>
          <w:color w:val="auto"/>
          <w:szCs w:val="28"/>
        </w:rPr>
        <w:t>，</w:t>
      </w:r>
      <w:r>
        <w:rPr>
          <w:rFonts w:hint="eastAsia"/>
          <w:color w:val="auto"/>
          <w:szCs w:val="28"/>
          <w:lang w:val="en-US" w:eastAsia="zh-CN"/>
        </w:rPr>
        <w:t>汽车司机</w:t>
      </w:r>
      <w:r>
        <w:rPr>
          <w:color w:val="auto"/>
          <w:szCs w:val="28"/>
        </w:rPr>
        <w:t>存在年龄、体质、受教育程度、心理承受能力、对事物的反应速度、休息好坏等差异。在</w:t>
      </w:r>
      <w:r>
        <w:rPr>
          <w:rFonts w:hint="eastAsia"/>
          <w:color w:val="auto"/>
          <w:szCs w:val="28"/>
          <w:lang w:val="en-US" w:eastAsia="zh-CN"/>
        </w:rPr>
        <w:t>充电操作及服务区内行车</w:t>
      </w:r>
      <w:r>
        <w:rPr>
          <w:color w:val="auto"/>
          <w:szCs w:val="28"/>
        </w:rPr>
        <w:t>过程中，存在健康异常、心理异常（如情绪异常、冒险心里、过度紧张等）、辨识功能缺陷、操作失误，反应迟钝等，从而不能及时判断处理</w:t>
      </w:r>
      <w:r>
        <w:rPr>
          <w:rFonts w:hint="eastAsia"/>
          <w:color w:val="auto"/>
          <w:szCs w:val="28"/>
          <w:lang w:val="en-US" w:eastAsia="zh-CN"/>
        </w:rPr>
        <w:t>问题</w:t>
      </w:r>
      <w:r>
        <w:rPr>
          <w:color w:val="auto"/>
          <w:szCs w:val="28"/>
        </w:rPr>
        <w:t>发生事故或引发事故。</w:t>
      </w:r>
    </w:p>
    <w:p w14:paraId="63D07CC8">
      <w:pPr>
        <w:ind w:firstLine="560" w:firstLineChars="200"/>
        <w:rPr>
          <w:color w:val="auto"/>
          <w:szCs w:val="28"/>
        </w:rPr>
      </w:pPr>
      <w:r>
        <w:rPr>
          <w:color w:val="auto"/>
          <w:szCs w:val="28"/>
        </w:rPr>
        <w:t>2）行为性危险、有害因素</w:t>
      </w:r>
    </w:p>
    <w:p w14:paraId="01262F2B">
      <w:pPr>
        <w:ind w:firstLine="560" w:firstLineChars="200"/>
        <w:rPr>
          <w:color w:val="auto"/>
          <w:szCs w:val="28"/>
        </w:rPr>
      </w:pPr>
      <w:r>
        <w:rPr>
          <w:color w:val="auto"/>
          <w:szCs w:val="28"/>
        </w:rPr>
        <w:t>行为性危险、有害因素主要表现为指挥错误（如违章指挥，对故障或危险因素判断指挥错误等）、操作错误（如误操作、违章操作）或监护错误（如监护时未采取有效的监护手段及措施，监护时分心或脱离岗位等）。</w:t>
      </w:r>
    </w:p>
    <w:p w14:paraId="4EECABA4">
      <w:pPr>
        <w:ind w:firstLine="560" w:firstLineChars="200"/>
        <w:rPr>
          <w:bCs/>
          <w:color w:val="auto"/>
          <w:szCs w:val="28"/>
        </w:rPr>
      </w:pPr>
      <w:bookmarkStart w:id="56" w:name="_Toc233793122"/>
      <w:bookmarkStart w:id="57" w:name="_Toc226003587"/>
      <w:bookmarkStart w:id="58" w:name="_Toc231986597"/>
      <w:bookmarkStart w:id="59" w:name="_Toc238875727"/>
      <w:bookmarkStart w:id="60" w:name="_Toc219559438"/>
      <w:bookmarkStart w:id="61" w:name="_Toc237873172"/>
      <w:bookmarkStart w:id="62" w:name="_Toc240195035"/>
      <w:bookmarkStart w:id="63" w:name="_Toc231608309"/>
      <w:bookmarkStart w:id="64" w:name="_Toc223145303"/>
      <w:r>
        <w:rPr>
          <w:bCs/>
          <w:color w:val="auto"/>
          <w:szCs w:val="28"/>
        </w:rPr>
        <w:t>2、物的因素</w:t>
      </w:r>
    </w:p>
    <w:p w14:paraId="7B54B9D3">
      <w:pPr>
        <w:ind w:firstLine="560" w:firstLineChars="200"/>
        <w:rPr>
          <w:bCs/>
          <w:color w:val="auto"/>
          <w:szCs w:val="28"/>
        </w:rPr>
      </w:pPr>
      <w:r>
        <w:rPr>
          <w:bCs/>
          <w:color w:val="auto"/>
          <w:szCs w:val="28"/>
        </w:rPr>
        <w:t>物理性危险和有害因素</w:t>
      </w:r>
      <w:bookmarkEnd w:id="56"/>
      <w:bookmarkEnd w:id="57"/>
      <w:bookmarkEnd w:id="58"/>
      <w:bookmarkEnd w:id="59"/>
      <w:bookmarkEnd w:id="60"/>
      <w:bookmarkEnd w:id="61"/>
      <w:bookmarkEnd w:id="62"/>
      <w:bookmarkEnd w:id="63"/>
      <w:bookmarkEnd w:id="64"/>
    </w:p>
    <w:p w14:paraId="73878F6B">
      <w:pPr>
        <w:ind w:firstLine="560" w:firstLineChars="200"/>
        <w:rPr>
          <w:color w:val="auto"/>
          <w:szCs w:val="28"/>
        </w:rPr>
      </w:pPr>
      <w:r>
        <w:rPr>
          <w:color w:val="auto"/>
          <w:szCs w:val="28"/>
        </w:rPr>
        <w:t>(1)设备、设施缺陷</w:t>
      </w:r>
    </w:p>
    <w:p w14:paraId="23EB8AF1">
      <w:pPr>
        <w:ind w:firstLine="560" w:firstLineChars="200"/>
        <w:rPr>
          <w:color w:val="auto"/>
          <w:szCs w:val="28"/>
        </w:rPr>
      </w:pPr>
      <w:r>
        <w:rPr>
          <w:color w:val="auto"/>
          <w:szCs w:val="28"/>
        </w:rPr>
        <w:t>该项目中存在</w:t>
      </w:r>
      <w:r>
        <w:rPr>
          <w:rFonts w:hint="eastAsia"/>
          <w:color w:val="auto"/>
          <w:szCs w:val="28"/>
          <w:lang w:val="en-US" w:eastAsia="zh-CN"/>
        </w:rPr>
        <w:t>充电桩、箱式变压器</w:t>
      </w:r>
      <w:r>
        <w:rPr>
          <w:color w:val="auto"/>
          <w:szCs w:val="28"/>
        </w:rPr>
        <w:t>等设备、设施，如因设备基础、本体腐蚀、强度不够、安装质量低、密封不良等可能引发各类事故。</w:t>
      </w:r>
    </w:p>
    <w:p w14:paraId="0258D162">
      <w:pPr>
        <w:ind w:firstLine="560" w:firstLineChars="200"/>
        <w:rPr>
          <w:bCs/>
          <w:color w:val="auto"/>
          <w:szCs w:val="28"/>
        </w:rPr>
      </w:pPr>
      <w:r>
        <w:rPr>
          <w:bCs/>
          <w:color w:val="auto"/>
          <w:szCs w:val="28"/>
        </w:rPr>
        <w:t>(2)电危害</w:t>
      </w:r>
    </w:p>
    <w:p w14:paraId="246BDC26">
      <w:pPr>
        <w:ind w:firstLine="560" w:firstLineChars="200"/>
        <w:rPr>
          <w:bCs/>
          <w:color w:val="auto"/>
          <w:szCs w:val="28"/>
        </w:rPr>
      </w:pPr>
      <w:r>
        <w:rPr>
          <w:rFonts w:hint="eastAsia"/>
          <w:bCs/>
          <w:color w:val="auto"/>
          <w:szCs w:val="28"/>
          <w:lang w:eastAsia="zh-CN"/>
        </w:rPr>
        <w:t>该项目</w:t>
      </w:r>
      <w:r>
        <w:rPr>
          <w:bCs/>
          <w:color w:val="auto"/>
          <w:szCs w:val="28"/>
        </w:rPr>
        <w:t>使用的电气设备、设施，可能发生带电部位裸露、漏电、雷电、静电、电火花等电危害。</w:t>
      </w:r>
    </w:p>
    <w:p w14:paraId="486B754A">
      <w:pPr>
        <w:ind w:firstLine="560" w:firstLineChars="200"/>
        <w:rPr>
          <w:bCs/>
          <w:color w:val="auto"/>
          <w:szCs w:val="28"/>
        </w:rPr>
      </w:pPr>
      <w:r>
        <w:rPr>
          <w:bCs/>
          <w:color w:val="auto"/>
          <w:szCs w:val="28"/>
        </w:rPr>
        <w:t>(3)噪声危害</w:t>
      </w:r>
    </w:p>
    <w:p w14:paraId="0AF4F048">
      <w:pPr>
        <w:ind w:firstLine="560" w:firstLineChars="200"/>
        <w:rPr>
          <w:bCs/>
          <w:color w:val="auto"/>
          <w:szCs w:val="28"/>
        </w:rPr>
      </w:pPr>
      <w:r>
        <w:rPr>
          <w:rFonts w:hint="eastAsia"/>
          <w:bCs/>
          <w:color w:val="auto"/>
          <w:szCs w:val="28"/>
          <w:lang w:eastAsia="zh-CN"/>
        </w:rPr>
        <w:t>该项目</w:t>
      </w:r>
      <w:r>
        <w:rPr>
          <w:bCs/>
          <w:color w:val="auto"/>
          <w:szCs w:val="28"/>
        </w:rPr>
        <w:t>主要存在的</w:t>
      </w:r>
      <w:r>
        <w:rPr>
          <w:rFonts w:hint="eastAsia"/>
          <w:bCs/>
          <w:color w:val="auto"/>
          <w:szCs w:val="28"/>
          <w:lang w:val="en-US" w:eastAsia="zh-CN"/>
        </w:rPr>
        <w:t>充电桩充电过程中产生的噪音</w:t>
      </w:r>
      <w:r>
        <w:rPr>
          <w:bCs/>
          <w:color w:val="auto"/>
          <w:szCs w:val="28"/>
        </w:rPr>
        <w:t>。</w:t>
      </w:r>
    </w:p>
    <w:p w14:paraId="05EDAEE7">
      <w:pPr>
        <w:ind w:firstLine="560" w:firstLineChars="200"/>
        <w:rPr>
          <w:bCs/>
          <w:color w:val="auto"/>
          <w:szCs w:val="28"/>
        </w:rPr>
      </w:pPr>
      <w:r>
        <w:rPr>
          <w:bCs/>
          <w:color w:val="auto"/>
          <w:szCs w:val="28"/>
        </w:rPr>
        <w:t>(4)运动物危害</w:t>
      </w:r>
    </w:p>
    <w:p w14:paraId="0D9F1916">
      <w:pPr>
        <w:ind w:firstLine="560" w:firstLineChars="200"/>
        <w:rPr>
          <w:bCs/>
          <w:color w:val="auto"/>
          <w:szCs w:val="28"/>
        </w:rPr>
      </w:pPr>
      <w:r>
        <w:rPr>
          <w:rFonts w:hint="eastAsia"/>
          <w:bCs/>
          <w:color w:val="auto"/>
          <w:szCs w:val="28"/>
          <w:lang w:eastAsia="zh-CN"/>
        </w:rPr>
        <w:t>该项目</w:t>
      </w:r>
      <w:r>
        <w:rPr>
          <w:rFonts w:hint="eastAsia"/>
          <w:bCs/>
          <w:color w:val="auto"/>
          <w:szCs w:val="28"/>
          <w:lang w:val="en-US" w:eastAsia="zh-CN"/>
        </w:rPr>
        <w:t>内的机动车辆，</w:t>
      </w:r>
      <w:r>
        <w:rPr>
          <w:bCs/>
          <w:color w:val="auto"/>
          <w:szCs w:val="28"/>
        </w:rPr>
        <w:t>可能因各种原因发生撞击设备或人员等，另外，高处未固定好的物体或检修工具、器</w:t>
      </w:r>
      <w:r>
        <w:rPr>
          <w:rFonts w:hint="eastAsia"/>
          <w:bCs/>
          <w:color w:val="auto"/>
          <w:szCs w:val="28"/>
          <w:lang w:val="en-US" w:eastAsia="zh-CN"/>
        </w:rPr>
        <w:t>具</w:t>
      </w:r>
      <w:r>
        <w:rPr>
          <w:bCs/>
          <w:color w:val="auto"/>
          <w:szCs w:val="28"/>
        </w:rPr>
        <w:t>落下、飞出等。</w:t>
      </w:r>
    </w:p>
    <w:p w14:paraId="0D234151">
      <w:pPr>
        <w:ind w:firstLine="560" w:firstLineChars="200"/>
        <w:rPr>
          <w:bCs/>
          <w:color w:val="auto"/>
          <w:szCs w:val="28"/>
        </w:rPr>
      </w:pPr>
      <w:r>
        <w:rPr>
          <w:bCs/>
          <w:color w:val="auto"/>
          <w:szCs w:val="28"/>
        </w:rPr>
        <w:t>(</w:t>
      </w:r>
      <w:r>
        <w:rPr>
          <w:rFonts w:hint="eastAsia"/>
          <w:bCs/>
          <w:color w:val="auto"/>
          <w:szCs w:val="28"/>
          <w:lang w:val="en-US" w:eastAsia="zh-CN"/>
        </w:rPr>
        <w:t>5</w:t>
      </w:r>
      <w:r>
        <w:rPr>
          <w:bCs/>
          <w:color w:val="auto"/>
          <w:szCs w:val="28"/>
        </w:rPr>
        <w:t>)标志缺陷</w:t>
      </w:r>
    </w:p>
    <w:p w14:paraId="06A57DAC">
      <w:pPr>
        <w:ind w:firstLine="560" w:firstLineChars="200"/>
        <w:rPr>
          <w:bCs/>
          <w:color w:val="auto"/>
          <w:szCs w:val="28"/>
        </w:rPr>
      </w:pPr>
      <w:r>
        <w:rPr>
          <w:rFonts w:hint="eastAsia"/>
          <w:bCs/>
          <w:color w:val="auto"/>
          <w:szCs w:val="28"/>
          <w:lang w:eastAsia="zh-CN"/>
        </w:rPr>
        <w:t>该项目</w:t>
      </w:r>
      <w:r>
        <w:rPr>
          <w:bCs/>
          <w:color w:val="auto"/>
          <w:szCs w:val="28"/>
        </w:rPr>
        <w:t>标志缺陷主要可能在于未设置警示标志或标志不规范等。</w:t>
      </w:r>
    </w:p>
    <w:p w14:paraId="100DDAC4">
      <w:pPr>
        <w:ind w:firstLine="560" w:firstLineChars="200"/>
        <w:rPr>
          <w:bCs/>
          <w:color w:val="auto"/>
          <w:szCs w:val="28"/>
        </w:rPr>
      </w:pPr>
      <w:r>
        <w:rPr>
          <w:bCs/>
          <w:color w:val="auto"/>
          <w:szCs w:val="28"/>
        </w:rPr>
        <w:t>3、环境因素</w:t>
      </w:r>
    </w:p>
    <w:p w14:paraId="733A45BA">
      <w:pPr>
        <w:ind w:firstLine="560" w:firstLineChars="200"/>
        <w:rPr>
          <w:bCs/>
          <w:color w:val="auto"/>
          <w:szCs w:val="28"/>
        </w:rPr>
      </w:pPr>
      <w:r>
        <w:rPr>
          <w:rFonts w:hint="eastAsia"/>
          <w:bCs/>
          <w:color w:val="auto"/>
          <w:szCs w:val="28"/>
          <w:lang w:val="en-US" w:eastAsia="zh-CN"/>
        </w:rPr>
        <w:t>服务区</w:t>
      </w:r>
      <w:r>
        <w:rPr>
          <w:bCs/>
          <w:color w:val="auto"/>
          <w:szCs w:val="28"/>
        </w:rPr>
        <w:t>场所不良：如</w:t>
      </w:r>
      <w:r>
        <w:rPr>
          <w:rFonts w:hint="eastAsia"/>
          <w:bCs/>
          <w:color w:val="auto"/>
          <w:szCs w:val="28"/>
          <w:lang w:val="en-US" w:eastAsia="zh-CN"/>
        </w:rPr>
        <w:t>排水不良、</w:t>
      </w:r>
      <w:r>
        <w:rPr>
          <w:bCs/>
          <w:color w:val="auto"/>
          <w:szCs w:val="28"/>
        </w:rPr>
        <w:t>地面</w:t>
      </w:r>
      <w:r>
        <w:rPr>
          <w:rFonts w:hint="eastAsia"/>
          <w:bCs/>
          <w:color w:val="auto"/>
          <w:szCs w:val="28"/>
          <w:lang w:val="en-US" w:eastAsia="zh-CN"/>
        </w:rPr>
        <w:t>湿</w:t>
      </w:r>
      <w:r>
        <w:rPr>
          <w:bCs/>
          <w:color w:val="auto"/>
          <w:szCs w:val="28"/>
        </w:rPr>
        <w:t>滑、</w:t>
      </w:r>
      <w:r>
        <w:rPr>
          <w:rFonts w:hint="eastAsia"/>
          <w:bCs/>
          <w:color w:val="auto"/>
          <w:szCs w:val="28"/>
          <w:lang w:val="en-US" w:eastAsia="zh-CN"/>
        </w:rPr>
        <w:t>道路</w:t>
      </w:r>
      <w:r>
        <w:rPr>
          <w:bCs/>
          <w:color w:val="auto"/>
          <w:szCs w:val="28"/>
        </w:rPr>
        <w:t>狭窄、地面不平、采光照明不良；作业过程容易造成滑到、摔伤及其他机械伤害事故的发生。</w:t>
      </w:r>
    </w:p>
    <w:p w14:paraId="4DF0D0BA">
      <w:pPr>
        <w:ind w:firstLine="560" w:firstLineChars="200"/>
        <w:rPr>
          <w:bCs/>
          <w:color w:val="auto"/>
          <w:szCs w:val="28"/>
        </w:rPr>
      </w:pPr>
      <w:r>
        <w:rPr>
          <w:bCs/>
          <w:color w:val="auto"/>
          <w:szCs w:val="28"/>
        </w:rPr>
        <w:t>4、管理因素</w:t>
      </w:r>
    </w:p>
    <w:p w14:paraId="4FE32AAD">
      <w:pPr>
        <w:ind w:firstLine="560" w:firstLineChars="200"/>
        <w:rPr>
          <w:bCs/>
          <w:color w:val="auto"/>
          <w:szCs w:val="28"/>
        </w:rPr>
      </w:pPr>
      <w:r>
        <w:rPr>
          <w:bCs/>
          <w:color w:val="auto"/>
          <w:szCs w:val="28"/>
        </w:rPr>
        <w:t>因管理因素发生的危险和有害因素主要表现在各项管理及规章制度不完善、不健全，或各项规章、制度未贯彻落实等因素引起的。主要表现在如下方面：</w:t>
      </w:r>
      <w:r>
        <w:rPr>
          <w:rFonts w:hint="eastAsia"/>
          <w:bCs/>
          <w:color w:val="auto"/>
          <w:szCs w:val="28"/>
          <w:lang w:val="en-US" w:eastAsia="zh-CN"/>
        </w:rPr>
        <w:t>企业</w:t>
      </w:r>
      <w:r>
        <w:rPr>
          <w:bCs/>
          <w:color w:val="auto"/>
          <w:szCs w:val="28"/>
        </w:rPr>
        <w:t>的职业安全卫生组织机构和职业安全卫生管理规章不健全、不完善，职业安全卫生责任制未落实，操作规程不规范、事故应急预案及响应缺陷、培训制度不完善、职业健康管理制度不完善等。</w:t>
      </w:r>
    </w:p>
    <w:p w14:paraId="0039C2A3">
      <w:pPr>
        <w:pStyle w:val="5"/>
        <w:bidi w:val="0"/>
        <w:rPr>
          <w:rFonts w:hint="default"/>
          <w:color w:val="auto"/>
          <w:lang w:val="en-US" w:eastAsia="zh-CN"/>
        </w:rPr>
      </w:pPr>
      <w:bookmarkStart w:id="65" w:name="_Toc15296"/>
      <w:r>
        <w:rPr>
          <w:rFonts w:hint="eastAsia"/>
          <w:color w:val="auto"/>
          <w:lang w:val="en-US" w:eastAsia="zh-CN"/>
        </w:rPr>
        <w:t>3.5经营</w:t>
      </w:r>
      <w:r>
        <w:rPr>
          <w:color w:val="auto"/>
        </w:rPr>
        <w:t>过程中的危险、有害因素分析</w:t>
      </w:r>
      <w:bookmarkEnd w:id="65"/>
    </w:p>
    <w:p w14:paraId="13E20804">
      <w:pPr>
        <w:bidi w:val="0"/>
        <w:rPr>
          <w:color w:val="auto"/>
        </w:rPr>
      </w:pPr>
      <w:r>
        <w:rPr>
          <w:color w:val="auto"/>
        </w:rPr>
        <w:t>根据物质的危险、有害因素和</w:t>
      </w:r>
      <w:r>
        <w:rPr>
          <w:rFonts w:hint="eastAsia"/>
          <w:color w:val="auto"/>
        </w:rPr>
        <w:t>类比</w:t>
      </w:r>
      <w:r>
        <w:rPr>
          <w:color w:val="auto"/>
        </w:rPr>
        <w:t>现场调查、了解的资料情况分析，按照《企业职工伤亡事故分类》（GB6441-1986）的划分办法，对</w:t>
      </w:r>
      <w:r>
        <w:rPr>
          <w:rFonts w:hint="eastAsia"/>
          <w:color w:val="auto"/>
          <w:lang w:val="en-US" w:eastAsia="zh-CN"/>
        </w:rPr>
        <w:t>该</w:t>
      </w:r>
      <w:r>
        <w:rPr>
          <w:color w:val="auto"/>
        </w:rPr>
        <w:t>项目</w:t>
      </w:r>
      <w:r>
        <w:rPr>
          <w:rFonts w:hint="eastAsia"/>
          <w:color w:val="auto"/>
          <w:lang w:val="en-US" w:eastAsia="zh-CN"/>
        </w:rPr>
        <w:t>经营过程中</w:t>
      </w:r>
      <w:r>
        <w:rPr>
          <w:color w:val="auto"/>
        </w:rPr>
        <w:t>存在危险因素分析如下。</w:t>
      </w:r>
    </w:p>
    <w:p w14:paraId="7CD3A36D">
      <w:pPr>
        <w:pStyle w:val="51"/>
        <w:ind w:firstLine="562" w:firstLineChars="200"/>
        <w:rPr>
          <w:rFonts w:hint="eastAsia" w:eastAsia="宋体"/>
          <w:b/>
          <w:bCs/>
          <w:color w:val="auto"/>
          <w:sz w:val="28"/>
          <w:szCs w:val="28"/>
          <w:lang w:val="en-US" w:eastAsia="zh-CN"/>
        </w:rPr>
      </w:pPr>
      <w:r>
        <w:rPr>
          <w:rFonts w:hint="eastAsia"/>
          <w:b/>
          <w:bCs/>
          <w:color w:val="auto"/>
          <w:sz w:val="28"/>
          <w:szCs w:val="28"/>
          <w:lang w:val="en-US" w:eastAsia="zh-CN"/>
        </w:rPr>
        <w:t>1、触电</w:t>
      </w:r>
    </w:p>
    <w:p w14:paraId="31A8EBEC">
      <w:pPr>
        <w:spacing w:line="600" w:lineRule="exact"/>
        <w:ind w:firstLine="560" w:firstLineChars="200"/>
        <w:rPr>
          <w:color w:val="auto"/>
          <w:sz w:val="28"/>
        </w:rPr>
      </w:pPr>
      <w:r>
        <w:rPr>
          <w:rFonts w:hint="eastAsia" w:hAnsi="宋体"/>
          <w:color w:val="auto"/>
          <w:sz w:val="28"/>
          <w:lang w:val="en-US" w:eastAsia="zh-CN"/>
        </w:rPr>
        <w:t>触电</w:t>
      </w:r>
      <w:r>
        <w:rPr>
          <w:rFonts w:hAnsi="宋体"/>
          <w:color w:val="auto"/>
          <w:sz w:val="28"/>
        </w:rPr>
        <w:t>伤害主要包括</w:t>
      </w:r>
      <w:r>
        <w:rPr>
          <w:rFonts w:hint="eastAsia" w:hAnsi="宋体"/>
          <w:color w:val="auto"/>
          <w:sz w:val="28"/>
          <w:lang w:val="en-US" w:eastAsia="zh-CN"/>
        </w:rPr>
        <w:t>电击</w:t>
      </w:r>
      <w:r>
        <w:rPr>
          <w:rFonts w:hAnsi="宋体"/>
          <w:color w:val="auto"/>
          <w:sz w:val="28"/>
        </w:rPr>
        <w:t>和电伤</w:t>
      </w:r>
      <w:r>
        <w:rPr>
          <w:rFonts w:hint="eastAsia" w:hAnsi="宋体"/>
          <w:color w:val="auto"/>
          <w:sz w:val="28"/>
          <w:lang w:val="en-US" w:eastAsia="zh-CN"/>
        </w:rPr>
        <w:t>两种形式</w:t>
      </w:r>
      <w:r>
        <w:rPr>
          <w:rFonts w:hAnsi="宋体"/>
          <w:color w:val="auto"/>
          <w:sz w:val="28"/>
        </w:rPr>
        <w:t>。</w:t>
      </w:r>
    </w:p>
    <w:p w14:paraId="1D71B266">
      <w:pPr>
        <w:numPr>
          <w:ilvl w:val="0"/>
          <w:numId w:val="0"/>
        </w:numPr>
        <w:spacing w:line="600" w:lineRule="exact"/>
        <w:ind w:firstLine="560" w:firstLineChars="200"/>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rPr>
        <w:t>触电事故的发生通常与电气设备的不当安装、使用不合理、维修不及时以及电气工作人员缺乏必要的安全知识有关。在服务区等公共场所，由于人流量大，电气设备的使用频率高，因此触电危害的风险也相应增加。触电对人体造成的伤害程度取决于多种因素，包括流过身体的电流大小、电流通过身体的途径以及电流通过人体的持续时间等。</w:t>
      </w:r>
    </w:p>
    <w:p w14:paraId="58EEFE76">
      <w:pPr>
        <w:bidi w:val="0"/>
        <w:rPr>
          <w:color w:val="auto"/>
        </w:rPr>
      </w:pPr>
      <w:r>
        <w:rPr>
          <w:color w:val="auto"/>
        </w:rPr>
        <w:t>电伤主要表现在违章操作</w:t>
      </w:r>
      <w:r>
        <w:rPr>
          <w:rFonts w:hint="eastAsia"/>
          <w:color w:val="auto"/>
        </w:rPr>
        <w:t>、</w:t>
      </w:r>
      <w:r>
        <w:rPr>
          <w:color w:val="auto"/>
        </w:rPr>
        <w:t>绝缘损坏或人为造成短路，引发电弧可能造成电灼伤事故。</w:t>
      </w:r>
      <w:r>
        <w:rPr>
          <w:rFonts w:hint="eastAsia"/>
          <w:color w:val="auto"/>
        </w:rPr>
        <w:t>检修时的</w:t>
      </w:r>
      <w:r>
        <w:rPr>
          <w:color w:val="auto"/>
        </w:rPr>
        <w:t>电焊作业亦会引起电弧灼伤事故。</w:t>
      </w:r>
    </w:p>
    <w:p w14:paraId="69D5DD59">
      <w:pPr>
        <w:bidi w:val="0"/>
        <w:rPr>
          <w:rFonts w:hint="default"/>
          <w:b/>
          <w:bCs/>
          <w:color w:val="auto"/>
          <w:lang w:val="en-US" w:eastAsia="zh-CN"/>
        </w:rPr>
      </w:pPr>
      <w:r>
        <w:rPr>
          <w:rFonts w:hint="eastAsia"/>
          <w:b/>
          <w:bCs/>
          <w:color w:val="auto"/>
          <w:lang w:val="en-US" w:eastAsia="zh-CN"/>
        </w:rPr>
        <w:t>2、车辆伤害</w:t>
      </w:r>
    </w:p>
    <w:p w14:paraId="77BBE96C">
      <w:pPr>
        <w:bidi w:val="0"/>
        <w:rPr>
          <w:color w:val="auto"/>
        </w:rPr>
      </w:pPr>
      <w:r>
        <w:rPr>
          <w:color w:val="auto"/>
        </w:rPr>
        <w:t>车辆伤害指机动车辆在行驶中引起的人体坠落和物体倒塌、飞落、挤压伤亡事故</w:t>
      </w:r>
      <w:r>
        <w:rPr>
          <w:rFonts w:hint="eastAsia"/>
          <w:color w:val="auto"/>
        </w:rPr>
        <w:t>。</w:t>
      </w:r>
      <w:r>
        <w:rPr>
          <w:rFonts w:hint="eastAsia"/>
          <w:color w:val="auto"/>
          <w:lang w:val="en-US" w:eastAsia="zh-CN"/>
        </w:rPr>
        <w:t>服务区</w:t>
      </w:r>
      <w:r>
        <w:rPr>
          <w:color w:val="auto"/>
        </w:rPr>
        <w:t>内汽车来往频繁，有可能因道路缺陷、安全标志不明或缺失、车辆故障、车辆违章行驶、驾驶员思想麻痹</w:t>
      </w:r>
      <w:r>
        <w:rPr>
          <w:rFonts w:hint="eastAsia"/>
          <w:color w:val="auto"/>
          <w:lang w:eastAsia="zh-CN"/>
        </w:rPr>
        <w:t>、</w:t>
      </w:r>
      <w:r>
        <w:rPr>
          <w:rFonts w:hint="eastAsia"/>
          <w:color w:val="auto"/>
          <w:lang w:val="en-US" w:eastAsia="zh-CN"/>
        </w:rPr>
        <w:t>驾驶员视线不良</w:t>
      </w:r>
      <w:r>
        <w:rPr>
          <w:color w:val="auto"/>
        </w:rPr>
        <w:t>等原因，引发车辆伤害事故。</w:t>
      </w:r>
    </w:p>
    <w:p w14:paraId="7131CFDC">
      <w:pPr>
        <w:bidi w:val="0"/>
        <w:ind w:firstLine="562" w:firstLineChars="200"/>
        <w:rPr>
          <w:b/>
          <w:bCs/>
          <w:color w:val="auto"/>
        </w:rPr>
      </w:pPr>
      <w:r>
        <w:rPr>
          <w:rFonts w:hint="eastAsia"/>
          <w:b/>
          <w:bCs/>
          <w:color w:val="auto"/>
          <w:lang w:val="en-US" w:eastAsia="zh-CN"/>
        </w:rPr>
        <w:t>3、</w:t>
      </w:r>
      <w:r>
        <w:rPr>
          <w:b/>
          <w:bCs/>
          <w:color w:val="auto"/>
        </w:rPr>
        <w:t>物体打击</w:t>
      </w:r>
    </w:p>
    <w:p w14:paraId="36361ED5">
      <w:pPr>
        <w:tabs>
          <w:tab w:val="left" w:pos="5918"/>
        </w:tabs>
        <w:spacing w:line="600" w:lineRule="exact"/>
        <w:ind w:firstLine="560" w:firstLineChars="200"/>
        <w:rPr>
          <w:color w:val="auto"/>
          <w:sz w:val="28"/>
          <w:szCs w:val="28"/>
        </w:rPr>
      </w:pPr>
      <w:r>
        <w:rPr>
          <w:rFonts w:hAnsi="宋体"/>
          <w:color w:val="auto"/>
          <w:sz w:val="28"/>
        </w:rPr>
        <w:t>物体在外力或重力作用下，打击人体会造成人身伤害事故。</w:t>
      </w:r>
      <w:r>
        <w:rPr>
          <w:color w:val="auto"/>
          <w:sz w:val="28"/>
          <w:szCs w:val="28"/>
        </w:rPr>
        <w:t>在检修、巡视检查时被高处未被固定的浮物因被碰或风吹等坠落、高处作业时工具抛掷或高处物体件未固定牢固而坠落、设施倒塌、爆炸碎片抛掷、飞溅而遭到伤害。</w:t>
      </w:r>
    </w:p>
    <w:p w14:paraId="0567D26C">
      <w:pPr>
        <w:numPr>
          <w:ilvl w:val="0"/>
          <w:numId w:val="0"/>
        </w:numPr>
        <w:tabs>
          <w:tab w:val="left" w:pos="5918"/>
        </w:tabs>
        <w:spacing w:line="600" w:lineRule="exact"/>
        <w:ind w:firstLine="562" w:firstLineChars="200"/>
        <w:rPr>
          <w:rFonts w:hint="eastAsia"/>
          <w:b/>
          <w:bCs/>
          <w:color w:val="auto"/>
          <w:sz w:val="28"/>
          <w:szCs w:val="28"/>
          <w:lang w:val="en-US" w:eastAsia="zh-CN"/>
        </w:rPr>
      </w:pPr>
      <w:r>
        <w:rPr>
          <w:rFonts w:hint="eastAsia" w:ascii="Times New Roman" w:hAnsi="Times New Roman" w:eastAsia="宋体" w:cs="Times New Roman"/>
          <w:b/>
          <w:bCs/>
          <w:color w:val="auto"/>
          <w:kern w:val="2"/>
          <w:sz w:val="28"/>
          <w:szCs w:val="28"/>
          <w:lang w:val="en-US" w:eastAsia="zh-CN" w:bidi="ar-SA"/>
        </w:rPr>
        <w:t>4、</w:t>
      </w:r>
      <w:r>
        <w:rPr>
          <w:rFonts w:hint="eastAsia"/>
          <w:b/>
          <w:bCs/>
          <w:color w:val="auto"/>
          <w:sz w:val="28"/>
          <w:szCs w:val="28"/>
          <w:lang w:val="en-US" w:eastAsia="zh-CN"/>
        </w:rPr>
        <w:t>机械伤害</w:t>
      </w:r>
    </w:p>
    <w:p w14:paraId="70560B08">
      <w:pPr>
        <w:spacing w:line="600" w:lineRule="exact"/>
        <w:ind w:firstLine="560" w:firstLineChars="200"/>
        <w:rPr>
          <w:color w:val="auto"/>
          <w:sz w:val="28"/>
          <w:szCs w:val="28"/>
        </w:rPr>
      </w:pPr>
      <w:r>
        <w:rPr>
          <w:color w:val="auto"/>
          <w:sz w:val="28"/>
          <w:szCs w:val="28"/>
        </w:rPr>
        <w:t>机械伤害主要指机械设备运动（静止）部件、工具、加工件直接与人体接触引起的伤害。</w:t>
      </w:r>
    </w:p>
    <w:p w14:paraId="4E49DEAF">
      <w:pPr>
        <w:numPr>
          <w:ilvl w:val="0"/>
          <w:numId w:val="0"/>
        </w:numPr>
        <w:tabs>
          <w:tab w:val="left" w:pos="5918"/>
        </w:tabs>
        <w:spacing w:line="600" w:lineRule="exact"/>
        <w:ind w:firstLine="560" w:firstLineChars="200"/>
        <w:rPr>
          <w:rFonts w:hint="default"/>
          <w:color w:val="auto"/>
          <w:sz w:val="28"/>
          <w:szCs w:val="28"/>
          <w:lang w:val="en-US" w:eastAsia="zh-CN"/>
        </w:rPr>
      </w:pPr>
      <w:r>
        <w:rPr>
          <w:rFonts w:hint="eastAsia"/>
          <w:color w:val="auto"/>
          <w:sz w:val="28"/>
          <w:szCs w:val="28"/>
          <w:lang w:val="en-US" w:eastAsia="zh-CN"/>
        </w:rPr>
        <w:t>该项目中柴油发电机的运动件如风扇、皮带等未设置防护罩，可能发生机械伤害事故。</w:t>
      </w:r>
    </w:p>
    <w:p w14:paraId="6EB30BD7">
      <w:pPr>
        <w:spacing w:line="600" w:lineRule="exact"/>
        <w:ind w:firstLine="562" w:firstLineChars="200"/>
        <w:rPr>
          <w:rFonts w:hint="default"/>
          <w:b/>
          <w:bCs/>
          <w:color w:val="auto"/>
          <w:sz w:val="28"/>
          <w:szCs w:val="28"/>
          <w:lang w:val="en-US"/>
        </w:rPr>
      </w:pPr>
      <w:r>
        <w:rPr>
          <w:rFonts w:hint="eastAsia"/>
          <w:b/>
          <w:bCs/>
          <w:color w:val="auto"/>
          <w:sz w:val="28"/>
          <w:szCs w:val="28"/>
          <w:lang w:val="en-US" w:eastAsia="zh-CN"/>
        </w:rPr>
        <w:t>4、高处坠落</w:t>
      </w:r>
    </w:p>
    <w:p w14:paraId="1CE8CA04">
      <w:pPr>
        <w:spacing w:line="600" w:lineRule="exact"/>
        <w:ind w:firstLine="560" w:firstLineChars="200"/>
        <w:rPr>
          <w:color w:val="auto"/>
          <w:sz w:val="28"/>
          <w:szCs w:val="28"/>
        </w:rPr>
      </w:pPr>
      <w:r>
        <w:rPr>
          <w:color w:val="auto"/>
          <w:sz w:val="28"/>
          <w:szCs w:val="28"/>
        </w:rPr>
        <w:t>高处坠落是指作业人员在高处作业中发生坠落造成的伤亡事故，如从设备上、高处平台坠落下来。对此要求登高作业人员必须系安全带；高处作业平台加装必要的防护栏；高处施工点下面加装安全网；上下梯子应设置扶手及护栏；现场工作人员必须戴安全帽，非工作人员远离现场等。</w:t>
      </w:r>
    </w:p>
    <w:p w14:paraId="4697379A">
      <w:pPr>
        <w:spacing w:line="600" w:lineRule="exact"/>
        <w:ind w:firstLine="560" w:firstLineChars="200"/>
        <w:rPr>
          <w:color w:val="auto"/>
          <w:sz w:val="28"/>
          <w:szCs w:val="28"/>
        </w:rPr>
      </w:pPr>
      <w:r>
        <w:rPr>
          <w:color w:val="auto"/>
          <w:sz w:val="28"/>
        </w:rPr>
        <w:t>该</w:t>
      </w:r>
      <w:r>
        <w:rPr>
          <w:rFonts w:hint="eastAsia"/>
          <w:color w:val="auto"/>
          <w:sz w:val="28"/>
          <w:lang w:val="en-US" w:eastAsia="zh-CN"/>
        </w:rPr>
        <w:t>项目改建过程中存在</w:t>
      </w:r>
      <w:r>
        <w:rPr>
          <w:color w:val="auto"/>
          <w:sz w:val="28"/>
          <w:szCs w:val="28"/>
        </w:rPr>
        <w:t>坠落基准面2m及以上的作业</w:t>
      </w:r>
      <w:r>
        <w:rPr>
          <w:rFonts w:hint="eastAsia"/>
          <w:color w:val="auto"/>
          <w:sz w:val="28"/>
          <w:szCs w:val="28"/>
          <w:lang w:val="en-US" w:eastAsia="zh-CN"/>
        </w:rPr>
        <w:t>面，如：</w:t>
      </w:r>
      <w:r>
        <w:rPr>
          <w:color w:val="auto"/>
          <w:sz w:val="28"/>
          <w:szCs w:val="28"/>
        </w:rPr>
        <w:t>在施工或检修时需搭设脚手架或采用其它方式进行高处作业，操作人员巡检或检修人员进行作业时，可能由于楼梯护栏缺陷、平台护栏缺陷、临时脚手架缺陷；高处作业未使用防护用品，思想麻痹、身体、精神状态不良等发生高处坠落事故。造成高处坠落的主要因素是：</w:t>
      </w:r>
    </w:p>
    <w:p w14:paraId="2C45FF2A">
      <w:pPr>
        <w:spacing w:line="600" w:lineRule="exact"/>
        <w:ind w:firstLine="560" w:firstLineChars="200"/>
        <w:rPr>
          <w:color w:val="auto"/>
          <w:sz w:val="28"/>
          <w:szCs w:val="28"/>
        </w:rPr>
      </w:pPr>
      <w:r>
        <w:rPr>
          <w:color w:val="auto"/>
          <w:sz w:val="28"/>
          <w:szCs w:val="28"/>
        </w:rPr>
        <w:t>1）没有按要求使用安全带。</w:t>
      </w:r>
    </w:p>
    <w:p w14:paraId="4FFC7E37">
      <w:pPr>
        <w:spacing w:line="600" w:lineRule="exact"/>
        <w:ind w:firstLine="560" w:firstLineChars="200"/>
        <w:rPr>
          <w:color w:val="auto"/>
          <w:sz w:val="28"/>
          <w:szCs w:val="28"/>
        </w:rPr>
      </w:pPr>
      <w:r>
        <w:rPr>
          <w:color w:val="auto"/>
          <w:sz w:val="28"/>
          <w:szCs w:val="28"/>
        </w:rPr>
        <w:t>2）高处作业时安全防护设施损坏。</w:t>
      </w:r>
    </w:p>
    <w:p w14:paraId="36F6065C">
      <w:pPr>
        <w:spacing w:line="600" w:lineRule="exact"/>
        <w:ind w:firstLine="560" w:firstLineChars="200"/>
        <w:rPr>
          <w:color w:val="auto"/>
          <w:sz w:val="28"/>
          <w:szCs w:val="28"/>
        </w:rPr>
      </w:pPr>
      <w:r>
        <w:rPr>
          <w:color w:val="auto"/>
          <w:sz w:val="28"/>
          <w:szCs w:val="28"/>
        </w:rPr>
        <w:t>3）使用安全保护装置不完善或在缺乏安全设备、设施上进行作业。</w:t>
      </w:r>
    </w:p>
    <w:p w14:paraId="0DC22925">
      <w:pPr>
        <w:spacing w:line="600" w:lineRule="exact"/>
        <w:ind w:firstLine="560" w:firstLineChars="200"/>
        <w:rPr>
          <w:color w:val="auto"/>
          <w:sz w:val="28"/>
          <w:szCs w:val="28"/>
        </w:rPr>
      </w:pPr>
      <w:r>
        <w:rPr>
          <w:color w:val="auto"/>
          <w:sz w:val="28"/>
          <w:szCs w:val="28"/>
        </w:rPr>
        <w:t>4）工作责任心不强，主观判断失误。</w:t>
      </w:r>
    </w:p>
    <w:p w14:paraId="08A4B099">
      <w:pPr>
        <w:spacing w:line="600" w:lineRule="exact"/>
        <w:ind w:firstLine="560" w:firstLineChars="200"/>
        <w:rPr>
          <w:color w:val="auto"/>
          <w:sz w:val="28"/>
          <w:szCs w:val="28"/>
        </w:rPr>
      </w:pPr>
      <w:r>
        <w:rPr>
          <w:color w:val="auto"/>
          <w:sz w:val="28"/>
          <w:szCs w:val="28"/>
        </w:rPr>
        <w:t>5）作业人员疏忽大意，疲劳过度。</w:t>
      </w:r>
    </w:p>
    <w:p w14:paraId="13727649">
      <w:pPr>
        <w:spacing w:line="600" w:lineRule="exact"/>
        <w:ind w:firstLine="560" w:firstLineChars="200"/>
        <w:rPr>
          <w:color w:val="auto"/>
          <w:sz w:val="28"/>
          <w:szCs w:val="28"/>
        </w:rPr>
      </w:pPr>
      <w:r>
        <w:rPr>
          <w:color w:val="auto"/>
          <w:sz w:val="28"/>
          <w:szCs w:val="28"/>
        </w:rPr>
        <w:t>6）高处作业安全管理不到位。</w:t>
      </w:r>
    </w:p>
    <w:p w14:paraId="42E640B9">
      <w:pPr>
        <w:spacing w:line="600" w:lineRule="exact"/>
        <w:ind w:firstLine="560" w:firstLineChars="200"/>
        <w:rPr>
          <w:color w:val="auto"/>
          <w:sz w:val="28"/>
          <w:szCs w:val="28"/>
        </w:rPr>
      </w:pPr>
      <w:r>
        <w:rPr>
          <w:color w:val="auto"/>
          <w:sz w:val="28"/>
          <w:szCs w:val="28"/>
        </w:rPr>
        <w:t>7）没有按要求穿防滑性能良好的软底鞋等。</w:t>
      </w:r>
    </w:p>
    <w:p w14:paraId="14C19DEF">
      <w:pPr>
        <w:keepNext w:val="0"/>
        <w:keepLines w:val="0"/>
        <w:pageBreakBefore w:val="0"/>
        <w:widowControl w:val="0"/>
        <w:numPr>
          <w:ilvl w:val="0"/>
          <w:numId w:val="0"/>
        </w:numPr>
        <w:kinsoku/>
        <w:wordWrap/>
        <w:overflowPunct/>
        <w:topLinePunct w:val="0"/>
        <w:autoSpaceDE/>
        <w:autoSpaceDN/>
        <w:bidi w:val="0"/>
        <w:adjustRightInd/>
        <w:snapToGrid/>
        <w:spacing w:after="313" w:afterLines="100"/>
        <w:ind w:left="0" w:leftChars="0" w:firstLine="562" w:firstLineChars="200"/>
        <w:textAlignment w:val="auto"/>
        <w:rPr>
          <w:rFonts w:hint="eastAsia"/>
          <w:b/>
          <w:bCs/>
          <w:color w:val="auto"/>
          <w:lang w:val="en-US" w:eastAsia="zh-CN"/>
        </w:rPr>
      </w:pPr>
      <w:r>
        <w:rPr>
          <w:rFonts w:hint="eastAsia" w:ascii="Times New Roman" w:hAnsi="Times New Roman" w:eastAsia="宋体" w:cs="Times New Roman"/>
          <w:b/>
          <w:bCs/>
          <w:color w:val="auto"/>
          <w:kern w:val="2"/>
          <w:sz w:val="28"/>
          <w:szCs w:val="24"/>
          <w:lang w:val="en-US" w:eastAsia="zh-CN" w:bidi="ar-SA"/>
        </w:rPr>
        <w:t>5、</w:t>
      </w:r>
      <w:r>
        <w:rPr>
          <w:rFonts w:hint="eastAsia"/>
          <w:b/>
          <w:bCs/>
          <w:color w:val="auto"/>
          <w:lang w:val="en-US" w:eastAsia="zh-CN"/>
        </w:rPr>
        <w:t>火灾、爆炸</w:t>
      </w:r>
    </w:p>
    <w:p w14:paraId="28200B9A">
      <w:pPr>
        <w:keepNext w:val="0"/>
        <w:keepLines w:val="0"/>
        <w:pageBreakBefore w:val="0"/>
        <w:widowControl w:val="0"/>
        <w:kinsoku/>
        <w:wordWrap/>
        <w:overflowPunct/>
        <w:topLinePunct w:val="0"/>
        <w:autoSpaceDE/>
        <w:autoSpaceDN/>
        <w:bidi w:val="0"/>
        <w:adjustRightInd w:val="0"/>
        <w:snapToGrid w:val="0"/>
        <w:spacing w:line="600" w:lineRule="exact"/>
        <w:ind w:firstLine="57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一、</w:t>
      </w:r>
      <w:r>
        <w:rPr>
          <w:rFonts w:hint="eastAsia" w:cs="Times New Roman"/>
          <w:color w:val="auto"/>
          <w:highlight w:val="none"/>
          <w:lang w:val="en-US" w:eastAsia="zh-CN"/>
        </w:rPr>
        <w:t>柴油发电</w:t>
      </w:r>
      <w:r>
        <w:rPr>
          <w:rFonts w:hint="eastAsia" w:ascii="Times New Roman" w:hAnsi="Times New Roman" w:cs="Times New Roman"/>
          <w:color w:val="auto"/>
          <w:highlight w:val="none"/>
          <w:lang w:val="en-US" w:eastAsia="zh-CN"/>
        </w:rPr>
        <w:t>设施</w:t>
      </w:r>
    </w:p>
    <w:p w14:paraId="4AAC895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textAlignment w:val="auto"/>
        <w:rPr>
          <w:rFonts w:hint="eastAsia"/>
          <w:color w:val="auto"/>
          <w:lang w:val="en-US" w:eastAsia="zh-CN"/>
        </w:rPr>
      </w:pPr>
      <w:r>
        <w:rPr>
          <w:rFonts w:hint="eastAsia"/>
          <w:color w:val="auto"/>
          <w:lang w:val="en-US" w:eastAsia="zh-CN"/>
        </w:rPr>
        <w:t>1、发电机房内设置储油间，未与发电机间采用防火墙分隔等，发电机工作时产生的火花可能引燃储存的柴油，造成火灾、爆炸事故的发生。</w:t>
      </w:r>
    </w:p>
    <w:p w14:paraId="2BFB7ED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textAlignment w:val="auto"/>
        <w:rPr>
          <w:rFonts w:hint="eastAsia"/>
          <w:color w:val="auto"/>
          <w:lang w:val="en-US" w:eastAsia="zh-CN"/>
        </w:rPr>
      </w:pPr>
      <w:r>
        <w:rPr>
          <w:rFonts w:hint="eastAsia"/>
          <w:color w:val="auto"/>
          <w:lang w:val="en-US" w:eastAsia="zh-CN"/>
        </w:rPr>
        <w:t>2、柴油发电机组或储油间的油箱未进行有效接地，油箱未设置通向室外的通气管，或通气管未设置带阻火器的呼吸阀，油箱的下部未设置防止油品流散的设施等，可能引发火灾、爆炸事故。</w:t>
      </w:r>
    </w:p>
    <w:p w14:paraId="11248C1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textAlignment w:val="auto"/>
        <w:rPr>
          <w:rFonts w:hint="eastAsia"/>
          <w:color w:val="auto"/>
          <w:lang w:val="en-US" w:eastAsia="zh-CN"/>
        </w:rPr>
      </w:pPr>
      <w:r>
        <w:rPr>
          <w:rFonts w:hint="eastAsia"/>
          <w:color w:val="auto"/>
          <w:lang w:val="en-US" w:eastAsia="zh-CN"/>
        </w:rPr>
        <w:t>3、柴油发电机开机启动前未进行柴油发电机状态的检查，存在接线不牢固、机油不足、油箱渗漏等隐患，可能发生火灾、触电事故。</w:t>
      </w:r>
    </w:p>
    <w:p w14:paraId="6395320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textAlignment w:val="auto"/>
        <w:rPr>
          <w:rFonts w:hint="eastAsia"/>
          <w:color w:val="auto"/>
          <w:lang w:val="en-US" w:eastAsia="zh-CN"/>
        </w:rPr>
      </w:pPr>
      <w:r>
        <w:rPr>
          <w:rFonts w:hint="eastAsia"/>
          <w:color w:val="auto"/>
          <w:lang w:val="en-US" w:eastAsia="zh-CN"/>
        </w:rPr>
        <w:t>4、柴油发电机周围堆放杂物和易燃、易爆物品且未配备消防器材，可能发生火灾事故。</w:t>
      </w:r>
    </w:p>
    <w:p w14:paraId="0DF6C4C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textAlignment w:val="auto"/>
        <w:rPr>
          <w:rFonts w:hint="default"/>
          <w:color w:val="auto"/>
          <w:lang w:val="en-US" w:eastAsia="zh-CN"/>
        </w:rPr>
      </w:pPr>
      <w:r>
        <w:rPr>
          <w:rFonts w:hint="eastAsia"/>
          <w:color w:val="auto"/>
          <w:lang w:val="en-US" w:eastAsia="zh-CN"/>
        </w:rPr>
        <w:t>二、电气设备设施</w:t>
      </w:r>
    </w:p>
    <w:p w14:paraId="6EF53CD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textAlignment w:val="auto"/>
        <w:rPr>
          <w:rFonts w:hint="eastAsia"/>
          <w:color w:val="auto"/>
          <w:lang w:val="en-US" w:eastAsia="zh-CN"/>
        </w:rPr>
      </w:pPr>
      <w:r>
        <w:rPr>
          <w:rFonts w:hint="eastAsia"/>
          <w:color w:val="auto"/>
          <w:lang w:val="en-US" w:eastAsia="zh-CN"/>
        </w:rPr>
        <w:t>各种高低压配电装置、电气设备、照明设施、电缆、电气线路等，如果安装不当、外部火源移近、运行中正常的闭合与分断、不正常运行的过负荷、短路、过电压、接地故障、接触不良等，均可产生电气火花、电弧或者过热，若防护不当，可能发生电气火灾或引燃周围的可燃物质，造成火灾事故；在有过载电流流过时，还可能使导线（含母线、开关）过热，金属迅速气化而引起爆炸；充油电气设备（油浸电力变压器）火灾危险性更大，还有可能引起爆炸。</w:t>
      </w:r>
    </w:p>
    <w:p w14:paraId="67A0695D">
      <w:pPr>
        <w:keepNext w:val="0"/>
        <w:keepLines w:val="0"/>
        <w:pageBreakBefore w:val="0"/>
        <w:widowControl w:val="0"/>
        <w:kinsoku/>
        <w:wordWrap/>
        <w:overflowPunct/>
        <w:topLinePunct w:val="0"/>
        <w:autoSpaceDE/>
        <w:autoSpaceDN/>
        <w:bidi w:val="0"/>
        <w:spacing w:line="600" w:lineRule="exact"/>
        <w:textAlignment w:val="auto"/>
        <w:rPr>
          <w:rFonts w:hint="eastAsia"/>
          <w:color w:val="auto"/>
          <w:lang w:val="en-US" w:eastAsia="zh-CN"/>
        </w:rPr>
      </w:pPr>
      <w:r>
        <w:rPr>
          <w:rFonts w:hint="eastAsia"/>
          <w:color w:val="auto"/>
          <w:lang w:val="en-US" w:eastAsia="zh-CN"/>
        </w:rPr>
        <w:t>三、危化车辆运输作业、停放</w:t>
      </w:r>
    </w:p>
    <w:p w14:paraId="56B908DE">
      <w:pPr>
        <w:keepNext w:val="0"/>
        <w:keepLines w:val="0"/>
        <w:pageBreakBefore w:val="0"/>
        <w:widowControl w:val="0"/>
        <w:kinsoku/>
        <w:wordWrap/>
        <w:overflowPunct/>
        <w:topLinePunct w:val="0"/>
        <w:autoSpaceDE/>
        <w:autoSpaceDN/>
        <w:bidi w:val="0"/>
        <w:spacing w:line="600" w:lineRule="exact"/>
        <w:textAlignment w:val="auto"/>
        <w:rPr>
          <w:rFonts w:hint="default"/>
          <w:color w:val="auto"/>
          <w:lang w:val="en-US" w:eastAsia="zh-CN"/>
        </w:rPr>
      </w:pPr>
      <w:r>
        <w:rPr>
          <w:rFonts w:hint="default"/>
          <w:color w:val="auto"/>
          <w:lang w:val="en-US" w:eastAsia="zh-CN"/>
        </w:rPr>
        <w:t>服务区作为高速公路的重要休息站点，经常有大量</w:t>
      </w:r>
      <w:r>
        <w:rPr>
          <w:rFonts w:hint="default"/>
          <w:color w:val="auto"/>
          <w:lang w:val="en-US" w:eastAsia="zh-CN"/>
        </w:rPr>
        <w:fldChar w:fldCharType="begin"/>
      </w:r>
      <w:r>
        <w:rPr>
          <w:rFonts w:hint="default"/>
          <w:color w:val="auto"/>
          <w:lang w:val="en-US" w:eastAsia="zh-CN"/>
        </w:rPr>
        <w:instrText xml:space="preserve"> HYPERLINK "https://www.baidu.com/s?sa=re_dqa_generate&amp;wd=%E5%8D%B1%E9%99%A9%E5%8C%96%E5%AD%A6%E5%93%81%E8%BF%90%E8%BE%93%E8%BD%A6%E8%BE%86&amp;rsv_pq=8eacf8c500b7387d&amp;oq=%E6%9C%8D%E5%8A%A1%E5%8C%BA%E5%8D%B1%E9%99%A9%E6%9C%89%E5%AE%B3%E5%9B%A0%E7%B4%A0%E5%88%86%E6%9E%90&amp;rsv_t=6d37mQ0d3Iw5pGDWjbGEuP8p8qO/59L6Nf5mhKxaQYMuRJzUXwWU27bKXDK3D6FAS7aa&amp;tn=baiduhome_pg&amp;ie=utf-8" \t "https://www.baidu.com/_blank" </w:instrText>
      </w:r>
      <w:r>
        <w:rPr>
          <w:rFonts w:hint="default"/>
          <w:color w:val="auto"/>
          <w:lang w:val="en-US" w:eastAsia="zh-CN"/>
        </w:rPr>
        <w:fldChar w:fldCharType="separate"/>
      </w:r>
      <w:r>
        <w:rPr>
          <w:rFonts w:hint="default"/>
          <w:color w:val="auto"/>
          <w:lang w:val="en-US" w:eastAsia="zh-CN"/>
        </w:rPr>
        <w:t>危险化学品运输车辆</w:t>
      </w:r>
      <w:r>
        <w:rPr>
          <w:rFonts w:hint="default"/>
          <w:color w:val="auto"/>
          <w:lang w:val="en-US" w:eastAsia="zh-CN"/>
        </w:rPr>
        <w:fldChar w:fldCharType="end"/>
      </w:r>
      <w:r>
        <w:rPr>
          <w:rFonts w:hint="eastAsia"/>
          <w:color w:val="auto"/>
          <w:lang w:val="en-US" w:eastAsia="zh-CN"/>
        </w:rPr>
        <w:t>进行运输作业及</w:t>
      </w:r>
      <w:r>
        <w:rPr>
          <w:rFonts w:hint="default"/>
          <w:color w:val="auto"/>
          <w:lang w:val="en-US" w:eastAsia="zh-CN"/>
        </w:rPr>
        <w:t>停放。这些车辆进入服务区后，紧邻车辆和人流聚集地，其较大动态性和事故发生时间、地点的难以预知性，使得安全防范复杂而艰巨，</w:t>
      </w:r>
      <w:r>
        <w:rPr>
          <w:rFonts w:hint="eastAsia"/>
          <w:color w:val="auto"/>
          <w:lang w:val="en-US" w:eastAsia="zh-CN"/>
        </w:rPr>
        <w:t>运输易燃易爆危险品的危化车辆可能引起爆炸。</w:t>
      </w:r>
      <w:r>
        <w:rPr>
          <w:rFonts w:hint="default"/>
          <w:color w:val="auto"/>
          <w:lang w:val="en-US" w:eastAsia="zh-CN"/>
        </w:rPr>
        <w:t>‌</w:t>
      </w:r>
    </w:p>
    <w:p w14:paraId="590BBC21">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Verdana" w:hAnsi="Verdana" w:eastAsia="宋体"/>
          <w:color w:val="auto"/>
          <w:kern w:val="0"/>
          <w:sz w:val="28"/>
          <w:szCs w:val="28"/>
          <w:lang w:val="en-US" w:eastAsia="zh-CN"/>
        </w:rPr>
      </w:pPr>
      <w:r>
        <w:rPr>
          <w:rFonts w:hint="eastAsia" w:ascii="Verdana" w:hAnsi="Verdana"/>
          <w:color w:val="auto"/>
          <w:kern w:val="0"/>
          <w:sz w:val="28"/>
          <w:szCs w:val="28"/>
          <w:lang w:val="en-US" w:eastAsia="zh-CN"/>
        </w:rPr>
        <w:t>四</w:t>
      </w:r>
      <w:r>
        <w:rPr>
          <w:rFonts w:hint="eastAsia" w:ascii="Verdana" w:hAnsi="Verdana"/>
          <w:color w:val="auto"/>
          <w:kern w:val="0"/>
          <w:sz w:val="28"/>
          <w:szCs w:val="28"/>
        </w:rPr>
        <w:t>、</w:t>
      </w:r>
      <w:r>
        <w:rPr>
          <w:rFonts w:hint="eastAsia" w:ascii="Verdana" w:hAnsi="Verdana"/>
          <w:color w:val="auto"/>
          <w:kern w:val="0"/>
          <w:sz w:val="28"/>
          <w:szCs w:val="28"/>
          <w:lang w:val="en-US" w:eastAsia="zh-CN"/>
        </w:rPr>
        <w:t>电动汽车、充电设施</w:t>
      </w:r>
    </w:p>
    <w:p w14:paraId="198A53BC">
      <w:pPr>
        <w:keepNext w:val="0"/>
        <w:keepLines w:val="0"/>
        <w:pageBreakBefore w:val="0"/>
        <w:widowControl w:val="0"/>
        <w:kinsoku/>
        <w:wordWrap/>
        <w:overflowPunct/>
        <w:topLinePunct w:val="0"/>
        <w:autoSpaceDE/>
        <w:autoSpaceDN/>
        <w:bidi w:val="0"/>
        <w:adjustRightInd/>
        <w:snapToGrid/>
        <w:spacing w:line="600" w:lineRule="exact"/>
        <w:ind w:firstLine="570"/>
        <w:textAlignment w:val="auto"/>
        <w:rPr>
          <w:color w:val="auto"/>
          <w:sz w:val="28"/>
          <w:szCs w:val="28"/>
        </w:rPr>
      </w:pPr>
      <w:r>
        <w:rPr>
          <w:rFonts w:hAnsi="宋体"/>
          <w:color w:val="auto"/>
          <w:sz w:val="28"/>
          <w:szCs w:val="28"/>
        </w:rPr>
        <w:t>（</w:t>
      </w:r>
      <w:r>
        <w:rPr>
          <w:color w:val="auto"/>
          <w:sz w:val="28"/>
          <w:szCs w:val="28"/>
        </w:rPr>
        <w:t>1</w:t>
      </w:r>
      <w:r>
        <w:rPr>
          <w:rFonts w:hAnsi="宋体"/>
          <w:color w:val="auto"/>
          <w:sz w:val="28"/>
          <w:szCs w:val="28"/>
        </w:rPr>
        <w:t>）</w:t>
      </w:r>
      <w:r>
        <w:rPr>
          <w:rFonts w:hint="eastAsia"/>
          <w:color w:val="auto"/>
          <w:sz w:val="28"/>
          <w:szCs w:val="28"/>
          <w:lang w:val="en-US" w:eastAsia="zh-CN"/>
        </w:rPr>
        <w:t>电动汽车</w:t>
      </w:r>
      <w:r>
        <w:rPr>
          <w:rFonts w:ascii="Helvetica" w:hAnsi="Helvetica" w:eastAsia="Helvetica" w:cs="Helvetica"/>
          <w:i w:val="0"/>
          <w:caps w:val="0"/>
          <w:color w:val="auto"/>
          <w:spacing w:val="0"/>
          <w:sz w:val="28"/>
          <w:szCs w:val="28"/>
          <w:shd w:val="clear" w:color="auto" w:fill="FFFFFF"/>
        </w:rPr>
        <w:t>电器内部线路老化</w:t>
      </w:r>
      <w:r>
        <w:rPr>
          <w:rFonts w:hint="eastAsia" w:ascii="Helvetica" w:hAnsi="Helvetica" w:cs="Helvetica"/>
          <w:i w:val="0"/>
          <w:caps w:val="0"/>
          <w:color w:val="auto"/>
          <w:spacing w:val="0"/>
          <w:sz w:val="28"/>
          <w:szCs w:val="28"/>
          <w:shd w:val="clear" w:color="auto" w:fill="FFFFFF"/>
          <w:lang w:eastAsia="zh-CN"/>
        </w:rPr>
        <w:t>；</w:t>
      </w:r>
      <w:r>
        <w:rPr>
          <w:rFonts w:hAnsi="宋体"/>
          <w:color w:val="auto"/>
          <w:sz w:val="28"/>
          <w:szCs w:val="28"/>
        </w:rPr>
        <w:t>电气绝缘失效，接触不良，过载、超压、短路引起电火花</w:t>
      </w:r>
      <w:r>
        <w:rPr>
          <w:rFonts w:hint="eastAsia" w:hAnsi="宋体"/>
          <w:color w:val="auto"/>
          <w:sz w:val="28"/>
          <w:szCs w:val="28"/>
          <w:lang w:eastAsia="zh-CN"/>
        </w:rPr>
        <w:t>，</w:t>
      </w:r>
      <w:r>
        <w:rPr>
          <w:rFonts w:hint="eastAsia" w:hAnsi="宋体"/>
          <w:color w:val="auto"/>
          <w:sz w:val="28"/>
          <w:szCs w:val="28"/>
          <w:lang w:val="en-US" w:eastAsia="zh-CN"/>
        </w:rPr>
        <w:t>进而引起火灾</w:t>
      </w:r>
      <w:r>
        <w:rPr>
          <w:rFonts w:hAnsi="宋体"/>
          <w:color w:val="auto"/>
          <w:sz w:val="28"/>
          <w:szCs w:val="28"/>
        </w:rPr>
        <w:t>。</w:t>
      </w:r>
    </w:p>
    <w:p w14:paraId="25BDAB79">
      <w:pPr>
        <w:keepNext w:val="0"/>
        <w:keepLines w:val="0"/>
        <w:pageBreakBefore w:val="0"/>
        <w:widowControl w:val="0"/>
        <w:kinsoku/>
        <w:wordWrap/>
        <w:overflowPunct/>
        <w:topLinePunct w:val="0"/>
        <w:autoSpaceDE/>
        <w:autoSpaceDN/>
        <w:bidi w:val="0"/>
        <w:adjustRightInd/>
        <w:snapToGrid/>
        <w:spacing w:line="600" w:lineRule="exact"/>
        <w:ind w:firstLine="570"/>
        <w:textAlignment w:val="auto"/>
        <w:rPr>
          <w:rFonts w:ascii="Helvetica" w:hAnsi="Helvetica" w:eastAsia="Helvetica" w:cs="Helvetica"/>
          <w:i w:val="0"/>
          <w:caps w:val="0"/>
          <w:color w:val="auto"/>
          <w:spacing w:val="0"/>
          <w:sz w:val="28"/>
          <w:szCs w:val="28"/>
          <w:shd w:val="clear" w:color="auto" w:fill="FFFFFF"/>
        </w:rPr>
      </w:pPr>
      <w:r>
        <w:rPr>
          <w:rFonts w:hAnsi="宋体"/>
          <w:color w:val="auto"/>
          <w:sz w:val="28"/>
          <w:szCs w:val="28"/>
        </w:rPr>
        <w:t>（</w:t>
      </w:r>
      <w:r>
        <w:rPr>
          <w:color w:val="auto"/>
          <w:sz w:val="28"/>
          <w:szCs w:val="28"/>
        </w:rPr>
        <w:t>2</w:t>
      </w:r>
      <w:r>
        <w:rPr>
          <w:rFonts w:hAnsi="宋体"/>
          <w:color w:val="auto"/>
          <w:sz w:val="28"/>
          <w:szCs w:val="28"/>
        </w:rPr>
        <w:t>）</w:t>
      </w:r>
      <w:r>
        <w:rPr>
          <w:rFonts w:hint="eastAsia"/>
          <w:color w:val="auto"/>
          <w:sz w:val="28"/>
          <w:szCs w:val="28"/>
          <w:lang w:val="en-US" w:eastAsia="zh-CN"/>
        </w:rPr>
        <w:t>电动汽车雨天充电导致</w:t>
      </w:r>
      <w:r>
        <w:rPr>
          <w:rFonts w:ascii="Helvetica" w:hAnsi="Helvetica" w:eastAsia="Helvetica" w:cs="Helvetica"/>
          <w:i w:val="0"/>
          <w:caps w:val="0"/>
          <w:color w:val="auto"/>
          <w:spacing w:val="0"/>
          <w:sz w:val="28"/>
          <w:szCs w:val="28"/>
          <w:shd w:val="clear" w:color="auto" w:fill="FFFFFF"/>
        </w:rPr>
        <w:t>电器内部进水</w:t>
      </w:r>
      <w:r>
        <w:rPr>
          <w:rFonts w:hint="eastAsia" w:ascii="Helvetica" w:hAnsi="Helvetica" w:eastAsia="宋体" w:cs="Helvetica"/>
          <w:i w:val="0"/>
          <w:caps w:val="0"/>
          <w:color w:val="auto"/>
          <w:spacing w:val="0"/>
          <w:sz w:val="28"/>
          <w:szCs w:val="28"/>
          <w:shd w:val="clear" w:color="auto" w:fill="FFFFFF"/>
          <w:lang w:eastAsia="zh-CN"/>
        </w:rPr>
        <w:t>，</w:t>
      </w:r>
      <w:r>
        <w:rPr>
          <w:rFonts w:hint="eastAsia" w:ascii="Helvetica" w:hAnsi="Helvetica" w:eastAsia="宋体" w:cs="Helvetica"/>
          <w:i w:val="0"/>
          <w:caps w:val="0"/>
          <w:color w:val="auto"/>
          <w:spacing w:val="0"/>
          <w:sz w:val="28"/>
          <w:szCs w:val="28"/>
          <w:shd w:val="clear" w:color="auto" w:fill="FFFFFF"/>
          <w:lang w:val="en-US" w:eastAsia="zh-CN"/>
        </w:rPr>
        <w:t>短路引起火灾</w:t>
      </w:r>
      <w:r>
        <w:rPr>
          <w:rFonts w:ascii="Helvetica" w:hAnsi="Helvetica" w:eastAsia="Helvetica" w:cs="Helvetica"/>
          <w:i w:val="0"/>
          <w:caps w:val="0"/>
          <w:color w:val="auto"/>
          <w:spacing w:val="0"/>
          <w:sz w:val="28"/>
          <w:szCs w:val="28"/>
          <w:shd w:val="clear" w:color="auto" w:fill="FFFFFF"/>
        </w:rPr>
        <w:t>。</w:t>
      </w:r>
    </w:p>
    <w:p w14:paraId="1236D8C9">
      <w:pPr>
        <w:keepNext w:val="0"/>
        <w:keepLines w:val="0"/>
        <w:pageBreakBefore w:val="0"/>
        <w:widowControl w:val="0"/>
        <w:kinsoku/>
        <w:wordWrap/>
        <w:overflowPunct/>
        <w:topLinePunct w:val="0"/>
        <w:autoSpaceDE/>
        <w:autoSpaceDN/>
        <w:bidi w:val="0"/>
        <w:adjustRightInd/>
        <w:snapToGrid/>
        <w:spacing w:line="600" w:lineRule="exact"/>
        <w:ind w:firstLine="570"/>
        <w:textAlignment w:val="auto"/>
        <w:rPr>
          <w:rFonts w:hint="eastAsia" w:ascii="宋体" w:hAnsi="宋体" w:eastAsia="宋体" w:cs="宋体"/>
          <w:i w:val="0"/>
          <w:caps w:val="0"/>
          <w:color w:val="auto"/>
          <w:spacing w:val="0"/>
          <w:sz w:val="28"/>
          <w:szCs w:val="28"/>
          <w:shd w:val="clear" w:color="auto" w:fill="FFFFFF"/>
        </w:rPr>
      </w:pPr>
      <w:r>
        <w:rPr>
          <w:rFonts w:hint="eastAsia" w:ascii="Helvetica" w:hAnsi="Helvetica" w:cs="Helvetica"/>
          <w:i w:val="0"/>
          <w:caps w:val="0"/>
          <w:color w:val="auto"/>
          <w:spacing w:val="0"/>
          <w:sz w:val="28"/>
          <w:szCs w:val="28"/>
          <w:shd w:val="clear" w:color="auto" w:fill="FFFFFF"/>
          <w:lang w:eastAsia="zh-CN"/>
        </w:rPr>
        <w:t>（</w:t>
      </w:r>
      <w:r>
        <w:rPr>
          <w:rFonts w:hint="eastAsia" w:ascii="宋体" w:hAnsi="宋体" w:eastAsia="宋体" w:cs="宋体"/>
          <w:i w:val="0"/>
          <w:caps w:val="0"/>
          <w:color w:val="auto"/>
          <w:spacing w:val="0"/>
          <w:sz w:val="28"/>
          <w:szCs w:val="28"/>
          <w:shd w:val="clear" w:color="auto" w:fill="FFFFFF"/>
          <w:lang w:val="en-US" w:eastAsia="zh-CN"/>
        </w:rPr>
        <w:t>3</w:t>
      </w:r>
      <w:r>
        <w:rPr>
          <w:rFonts w:hint="eastAsia" w:ascii="宋体" w:hAnsi="宋体" w:eastAsia="宋体" w:cs="宋体"/>
          <w:i w:val="0"/>
          <w:caps w:val="0"/>
          <w:color w:val="auto"/>
          <w:spacing w:val="0"/>
          <w:sz w:val="28"/>
          <w:szCs w:val="28"/>
          <w:shd w:val="clear" w:color="auto" w:fill="FFFFFF"/>
          <w:lang w:eastAsia="zh-CN"/>
        </w:rPr>
        <w:t>）</w:t>
      </w:r>
      <w:r>
        <w:rPr>
          <w:rFonts w:hint="eastAsia" w:ascii="宋体" w:hAnsi="宋体" w:eastAsia="宋体" w:cs="宋体"/>
          <w:i w:val="0"/>
          <w:caps w:val="0"/>
          <w:color w:val="auto"/>
          <w:spacing w:val="0"/>
          <w:sz w:val="28"/>
          <w:szCs w:val="28"/>
          <w:shd w:val="clear" w:color="auto" w:fill="FFFFFF"/>
        </w:rPr>
        <w:t>充电器、电动车保护板失效</w:t>
      </w:r>
      <w:r>
        <w:rPr>
          <w:rFonts w:hint="eastAsia" w:ascii="宋体" w:hAnsi="宋体" w:eastAsia="宋体" w:cs="宋体"/>
          <w:i w:val="0"/>
          <w:caps w:val="0"/>
          <w:color w:val="auto"/>
          <w:spacing w:val="0"/>
          <w:sz w:val="28"/>
          <w:szCs w:val="28"/>
          <w:shd w:val="clear" w:color="auto" w:fill="FFFFFF"/>
          <w:lang w:eastAsia="zh-CN"/>
        </w:rPr>
        <w:t>，</w:t>
      </w:r>
      <w:r>
        <w:rPr>
          <w:rFonts w:hint="eastAsia" w:ascii="宋体" w:hAnsi="宋体" w:eastAsia="宋体" w:cs="宋体"/>
          <w:i w:val="0"/>
          <w:caps w:val="0"/>
          <w:color w:val="auto"/>
          <w:spacing w:val="0"/>
          <w:sz w:val="28"/>
          <w:szCs w:val="28"/>
          <w:shd w:val="clear" w:color="auto" w:fill="FFFFFF"/>
        </w:rPr>
        <w:t>做成过充、过流、温度超标等</w:t>
      </w:r>
      <w:r>
        <w:rPr>
          <w:rFonts w:hint="eastAsia" w:ascii="宋体" w:hAnsi="宋体" w:cs="宋体"/>
          <w:i w:val="0"/>
          <w:caps w:val="0"/>
          <w:color w:val="auto"/>
          <w:spacing w:val="0"/>
          <w:sz w:val="28"/>
          <w:szCs w:val="28"/>
          <w:shd w:val="clear" w:color="auto" w:fill="FFFFFF"/>
          <w:lang w:val="en-US" w:eastAsia="zh-CN"/>
        </w:rPr>
        <w:t>可能引起火灾</w:t>
      </w:r>
      <w:r>
        <w:rPr>
          <w:rFonts w:hint="eastAsia" w:ascii="宋体" w:hAnsi="宋体" w:eastAsia="宋体" w:cs="宋体"/>
          <w:i w:val="0"/>
          <w:caps w:val="0"/>
          <w:color w:val="auto"/>
          <w:spacing w:val="0"/>
          <w:sz w:val="28"/>
          <w:szCs w:val="28"/>
          <w:shd w:val="clear" w:color="auto" w:fill="FFFFFF"/>
        </w:rPr>
        <w:t>。</w:t>
      </w:r>
    </w:p>
    <w:p w14:paraId="0DFBA4A7">
      <w:pPr>
        <w:keepNext w:val="0"/>
        <w:keepLines w:val="0"/>
        <w:pageBreakBefore w:val="0"/>
        <w:widowControl w:val="0"/>
        <w:kinsoku/>
        <w:wordWrap/>
        <w:overflowPunct/>
        <w:topLinePunct w:val="0"/>
        <w:autoSpaceDE/>
        <w:autoSpaceDN/>
        <w:bidi w:val="0"/>
        <w:adjustRightInd/>
        <w:snapToGrid/>
        <w:spacing w:line="600" w:lineRule="exact"/>
        <w:ind w:firstLine="570"/>
        <w:textAlignment w:val="auto"/>
        <w:rPr>
          <w:rFonts w:hint="eastAsia" w:ascii="Helvetica" w:hAnsi="Helvetica" w:eastAsia="宋体" w:cs="Helvetica"/>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eastAsia="zh-CN"/>
        </w:rPr>
        <w:t>（</w:t>
      </w:r>
      <w:r>
        <w:rPr>
          <w:rFonts w:hint="eastAsia" w:ascii="宋体" w:hAnsi="宋体" w:eastAsia="宋体" w:cs="宋体"/>
          <w:i w:val="0"/>
          <w:caps w:val="0"/>
          <w:color w:val="auto"/>
          <w:spacing w:val="0"/>
          <w:sz w:val="28"/>
          <w:szCs w:val="28"/>
          <w:shd w:val="clear" w:color="auto" w:fill="FFFFFF"/>
          <w:lang w:val="en-US" w:eastAsia="zh-CN"/>
        </w:rPr>
        <w:t>4</w:t>
      </w:r>
      <w:r>
        <w:rPr>
          <w:rFonts w:hint="eastAsia" w:ascii="Helvetica" w:hAnsi="Helvetica" w:cs="Helvetica"/>
          <w:i w:val="0"/>
          <w:caps w:val="0"/>
          <w:color w:val="auto"/>
          <w:spacing w:val="0"/>
          <w:sz w:val="28"/>
          <w:szCs w:val="28"/>
          <w:shd w:val="clear" w:color="auto" w:fill="FFFFFF"/>
          <w:lang w:eastAsia="zh-CN"/>
        </w:rPr>
        <w:t>）</w:t>
      </w:r>
      <w:r>
        <w:rPr>
          <w:rFonts w:ascii="Helvetica" w:hAnsi="Helvetica" w:eastAsia="Helvetica" w:cs="Helvetica"/>
          <w:i w:val="0"/>
          <w:caps w:val="0"/>
          <w:color w:val="auto"/>
          <w:spacing w:val="0"/>
          <w:sz w:val="28"/>
          <w:szCs w:val="28"/>
          <w:shd w:val="clear" w:color="auto" w:fill="FFFFFF"/>
        </w:rPr>
        <w:t>电池</w:t>
      </w:r>
      <w:r>
        <w:rPr>
          <w:rFonts w:hint="eastAsia" w:ascii="Helvetica" w:hAnsi="Helvetica" w:eastAsia="宋体" w:cs="Helvetica"/>
          <w:i w:val="0"/>
          <w:caps w:val="0"/>
          <w:color w:val="auto"/>
          <w:spacing w:val="0"/>
          <w:sz w:val="28"/>
          <w:szCs w:val="28"/>
          <w:shd w:val="clear" w:color="auto" w:fill="FFFFFF"/>
          <w:lang w:val="en-US" w:eastAsia="zh-CN"/>
        </w:rPr>
        <w:t>受</w:t>
      </w:r>
      <w:r>
        <w:rPr>
          <w:rFonts w:ascii="Helvetica" w:hAnsi="Helvetica" w:eastAsia="Helvetica" w:cs="Helvetica"/>
          <w:i w:val="0"/>
          <w:caps w:val="0"/>
          <w:color w:val="auto"/>
          <w:spacing w:val="0"/>
          <w:sz w:val="28"/>
          <w:szCs w:val="28"/>
          <w:shd w:val="clear" w:color="auto" w:fill="FFFFFF"/>
        </w:rPr>
        <w:t>到剧烈撞击、挤压</w:t>
      </w:r>
      <w:r>
        <w:rPr>
          <w:rFonts w:hint="eastAsia" w:ascii="Helvetica" w:hAnsi="Helvetica" w:eastAsia="宋体" w:cs="Helvetica"/>
          <w:i w:val="0"/>
          <w:caps w:val="0"/>
          <w:color w:val="auto"/>
          <w:spacing w:val="0"/>
          <w:sz w:val="28"/>
          <w:szCs w:val="28"/>
          <w:shd w:val="clear" w:color="auto" w:fill="FFFFFF"/>
          <w:lang w:val="en-US" w:eastAsia="zh-CN"/>
        </w:rPr>
        <w:t>可能引发自燃</w:t>
      </w:r>
      <w:r>
        <w:rPr>
          <w:rFonts w:hint="eastAsia" w:ascii="Helvetica" w:hAnsi="Helvetica" w:eastAsia="宋体" w:cs="Helvetica"/>
          <w:i w:val="0"/>
          <w:caps w:val="0"/>
          <w:color w:val="auto"/>
          <w:spacing w:val="0"/>
          <w:sz w:val="28"/>
          <w:szCs w:val="28"/>
          <w:shd w:val="clear" w:color="auto" w:fill="FFFFFF"/>
          <w:lang w:eastAsia="zh-CN"/>
        </w:rPr>
        <w:t>。</w:t>
      </w:r>
    </w:p>
    <w:p w14:paraId="496DBFE4">
      <w:pPr>
        <w:keepNext w:val="0"/>
        <w:keepLines w:val="0"/>
        <w:pageBreakBefore w:val="0"/>
        <w:widowControl w:val="0"/>
        <w:kinsoku/>
        <w:wordWrap/>
        <w:overflowPunct/>
        <w:topLinePunct w:val="0"/>
        <w:autoSpaceDE/>
        <w:autoSpaceDN/>
        <w:bidi w:val="0"/>
        <w:adjustRightInd/>
        <w:snapToGrid/>
        <w:spacing w:line="600" w:lineRule="exact"/>
        <w:ind w:firstLine="570"/>
        <w:textAlignment w:val="auto"/>
        <w:rPr>
          <w:rFonts w:hAnsi="宋体"/>
          <w:color w:val="auto"/>
          <w:sz w:val="28"/>
          <w:szCs w:val="28"/>
        </w:rPr>
      </w:pPr>
      <w:r>
        <w:rPr>
          <w:rFonts w:hint="eastAsia"/>
          <w:color w:val="auto"/>
          <w:sz w:val="28"/>
          <w:szCs w:val="28"/>
          <w:lang w:eastAsia="zh-CN"/>
        </w:rPr>
        <w:t>（</w:t>
      </w:r>
      <w:r>
        <w:rPr>
          <w:rFonts w:hint="eastAsia"/>
          <w:color w:val="auto"/>
          <w:sz w:val="28"/>
          <w:szCs w:val="28"/>
          <w:lang w:val="en-US" w:eastAsia="zh-CN"/>
        </w:rPr>
        <w:t>5</w:t>
      </w:r>
      <w:r>
        <w:rPr>
          <w:rFonts w:hint="eastAsia"/>
          <w:color w:val="auto"/>
          <w:sz w:val="28"/>
          <w:szCs w:val="28"/>
          <w:lang w:eastAsia="zh-CN"/>
        </w:rPr>
        <w:t>）</w:t>
      </w:r>
      <w:r>
        <w:rPr>
          <w:rFonts w:hint="eastAsia"/>
          <w:color w:val="auto"/>
          <w:sz w:val="28"/>
          <w:szCs w:val="28"/>
          <w:lang w:val="en-US" w:eastAsia="zh-CN"/>
        </w:rPr>
        <w:t>充电桩、变压器等的</w:t>
      </w:r>
      <w:r>
        <w:rPr>
          <w:rFonts w:hAnsi="宋体"/>
          <w:color w:val="auto"/>
          <w:sz w:val="28"/>
          <w:szCs w:val="28"/>
        </w:rPr>
        <w:t>防雷系统失效，出现雷电火花</w:t>
      </w:r>
      <w:r>
        <w:rPr>
          <w:rFonts w:hint="eastAsia" w:hAnsi="宋体"/>
          <w:color w:val="auto"/>
          <w:sz w:val="28"/>
          <w:szCs w:val="28"/>
          <w:lang w:eastAsia="zh-CN"/>
        </w:rPr>
        <w:t>，</w:t>
      </w:r>
      <w:r>
        <w:rPr>
          <w:rFonts w:hint="eastAsia" w:hAnsi="宋体"/>
          <w:color w:val="auto"/>
          <w:sz w:val="28"/>
          <w:szCs w:val="28"/>
          <w:lang w:val="en-US" w:eastAsia="zh-CN"/>
        </w:rPr>
        <w:t>可能引发火灾</w:t>
      </w:r>
      <w:r>
        <w:rPr>
          <w:rFonts w:hAnsi="宋体"/>
          <w:color w:val="auto"/>
          <w:sz w:val="28"/>
          <w:szCs w:val="28"/>
        </w:rPr>
        <w:t>。</w:t>
      </w:r>
    </w:p>
    <w:p w14:paraId="4CA8F585">
      <w:pPr>
        <w:pStyle w:val="41"/>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hAnsi="宋体"/>
          <w:color w:val="auto"/>
          <w:sz w:val="28"/>
          <w:szCs w:val="28"/>
          <w:lang w:val="en-US" w:eastAsia="zh-CN"/>
        </w:rPr>
        <w:t>五、混动汽车充电过程中可能因自身电气火灾导致自燃，进而引燃油</w:t>
      </w:r>
      <w:r>
        <w:rPr>
          <w:rFonts w:hint="eastAsia"/>
          <w:color w:val="auto"/>
          <w:lang w:val="en-US" w:eastAsia="zh-CN"/>
        </w:rPr>
        <w:t>箱内的汽油，造成爆炸事故。</w:t>
      </w:r>
    </w:p>
    <w:p w14:paraId="5A18A3E8">
      <w:pPr>
        <w:bidi w:val="0"/>
        <w:rPr>
          <w:rFonts w:hint="eastAsia"/>
          <w:b/>
          <w:bCs/>
          <w:color w:val="auto"/>
          <w:lang w:val="en-US" w:eastAsia="zh-CN"/>
        </w:rPr>
      </w:pPr>
      <w:r>
        <w:rPr>
          <w:rFonts w:hint="eastAsia"/>
          <w:b/>
          <w:bCs/>
          <w:color w:val="auto"/>
          <w:lang w:val="en-US" w:eastAsia="zh-CN"/>
        </w:rPr>
        <w:t>6、雷击</w:t>
      </w:r>
    </w:p>
    <w:p w14:paraId="1204ADD3">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color w:val="auto"/>
          <w:lang w:val="en-US" w:eastAsia="zh-CN"/>
        </w:rPr>
      </w:pPr>
      <w:r>
        <w:rPr>
          <w:rFonts w:hint="default" w:ascii="Times New Roman" w:hAnsi="Times New Roman" w:cs="Times New Roman"/>
          <w:color w:val="auto"/>
        </w:rPr>
        <w:t>雷电是雷云之间或雷云对地面放电的一种自然现象，水蒸汽形成的积云，云中水滴受强烈气流的摩擦产生电荷，由静电感应带电云层在大地表面感应出异性电荷，当电场强度达到一定值时即发生放电破坏建筑物、电气设备</w:t>
      </w:r>
      <w:r>
        <w:rPr>
          <w:rFonts w:hint="eastAsia" w:ascii="Times New Roman" w:hAnsi="Times New Roman" w:cs="Times New Roman"/>
          <w:color w:val="auto"/>
          <w:lang w:val="en-US" w:eastAsia="zh-CN"/>
        </w:rPr>
        <w:t>等</w:t>
      </w:r>
      <w:r>
        <w:rPr>
          <w:rFonts w:hint="default" w:ascii="Times New Roman" w:hAnsi="Times New Roman" w:cs="Times New Roman"/>
          <w:color w:val="auto"/>
        </w:rPr>
        <w:t>，造成人、畜伤亡，</w:t>
      </w:r>
      <w:r>
        <w:rPr>
          <w:rFonts w:hint="eastAsia" w:ascii="Times New Roman" w:hAnsi="Times New Roman" w:cs="Times New Roman"/>
          <w:color w:val="auto"/>
          <w:lang w:val="en-US" w:eastAsia="zh-CN"/>
        </w:rPr>
        <w:t>服务区</w:t>
      </w:r>
      <w:r>
        <w:rPr>
          <w:rFonts w:hint="default" w:ascii="Times New Roman" w:hAnsi="Times New Roman" w:cs="Times New Roman"/>
          <w:color w:val="auto"/>
        </w:rPr>
        <w:t>必须采用有效措施进行防护。</w:t>
      </w:r>
    </w:p>
    <w:p w14:paraId="01F16D40">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color w:val="auto"/>
          <w:lang w:val="en-US" w:eastAsia="zh-CN"/>
        </w:rPr>
      </w:pPr>
      <w:r>
        <w:rPr>
          <w:rFonts w:hint="eastAsia"/>
          <w:color w:val="auto"/>
          <w:lang w:val="en-US" w:eastAsia="zh-CN"/>
        </w:rPr>
        <w:t>室外箱式变压器有遭受雷击的可能。若防雷设计不合理、施工不规范、接地电阻值不符合规范要求，则雷电过程电压在雷电波及范围内严重破坏建筑物及设备设施，并可能危及人身安全乃至有致命的危险。巨大的雷电流流入地下，会在雷击点及其连接的金属部分产生极高的对地电压，可能导致接触电压或跨步电压的触电事故；雷电流的热效应还能引起电气火灾及爆炸。</w:t>
      </w:r>
    </w:p>
    <w:p w14:paraId="5A72BEC6">
      <w:pPr>
        <w:keepNext w:val="0"/>
        <w:keepLines w:val="0"/>
        <w:pageBreakBefore w:val="0"/>
        <w:widowControl w:val="0"/>
        <w:numPr>
          <w:ilvl w:val="0"/>
          <w:numId w:val="0"/>
        </w:numPr>
        <w:kinsoku/>
        <w:wordWrap/>
        <w:overflowPunct/>
        <w:topLinePunct w:val="0"/>
        <w:autoSpaceDE/>
        <w:autoSpaceDN/>
        <w:bidi w:val="0"/>
        <w:adjustRightInd/>
        <w:snapToGrid/>
        <w:ind w:left="0" w:leftChars="0" w:firstLine="562" w:firstLineChars="200"/>
        <w:textAlignment w:val="auto"/>
        <w:rPr>
          <w:rFonts w:hint="eastAsia"/>
          <w:b/>
          <w:bCs/>
          <w:color w:val="auto"/>
          <w:lang w:val="en-US" w:eastAsia="zh-CN"/>
        </w:rPr>
      </w:pPr>
      <w:r>
        <w:rPr>
          <w:rFonts w:hint="eastAsia" w:ascii="Times New Roman" w:hAnsi="Times New Roman" w:eastAsia="宋体" w:cs="Times New Roman"/>
          <w:b/>
          <w:bCs/>
          <w:color w:val="auto"/>
          <w:kern w:val="2"/>
          <w:sz w:val="28"/>
          <w:szCs w:val="24"/>
          <w:lang w:val="en-US" w:eastAsia="zh-CN" w:bidi="ar-SA"/>
        </w:rPr>
        <w:t>7、</w:t>
      </w:r>
      <w:r>
        <w:rPr>
          <w:rFonts w:hint="eastAsia"/>
          <w:b/>
          <w:bCs/>
          <w:color w:val="auto"/>
          <w:lang w:val="en-US" w:eastAsia="zh-CN"/>
        </w:rPr>
        <w:t>中毒窒息</w:t>
      </w:r>
    </w:p>
    <w:p w14:paraId="412D7076">
      <w:pPr>
        <w:bidi w:val="0"/>
        <w:rPr>
          <w:rFonts w:hint="default"/>
          <w:color w:val="auto"/>
          <w:lang w:val="en-US" w:eastAsia="zh-CN"/>
        </w:rPr>
      </w:pPr>
      <w:r>
        <w:rPr>
          <w:rFonts w:hint="eastAsia"/>
          <w:color w:val="auto"/>
          <w:lang w:val="en-US" w:eastAsia="zh-CN"/>
        </w:rPr>
        <w:t>服务区通常具有受限空间，这些空间包括但不限于化粪池、污水处理设施、水箱等。这些空间由于通风不良，容易造成有毒有害、易燃易爆物质积聚或氧含量不足，从而产生中毒、燃爆和缺氧风险。</w:t>
      </w:r>
    </w:p>
    <w:p w14:paraId="36595CFF">
      <w:pPr>
        <w:pStyle w:val="5"/>
        <w:bidi w:val="0"/>
        <w:rPr>
          <w:color w:val="auto"/>
        </w:rPr>
      </w:pPr>
      <w:bookmarkStart w:id="66" w:name="_Toc31733"/>
      <w:bookmarkStart w:id="67" w:name="_Toc3258"/>
      <w:r>
        <w:rPr>
          <w:color w:val="auto"/>
        </w:rPr>
        <w:t>3.</w:t>
      </w:r>
      <w:r>
        <w:rPr>
          <w:rFonts w:hint="eastAsia"/>
          <w:color w:val="auto"/>
          <w:lang w:val="en-US" w:eastAsia="zh-CN"/>
        </w:rPr>
        <w:t>6</w:t>
      </w:r>
      <w:r>
        <w:rPr>
          <w:rFonts w:hint="eastAsia"/>
          <w:color w:val="auto"/>
        </w:rPr>
        <w:t>自然环境条件影响分析</w:t>
      </w:r>
      <w:bookmarkEnd w:id="66"/>
      <w:bookmarkEnd w:id="67"/>
    </w:p>
    <w:p w14:paraId="7A000411">
      <w:pPr>
        <w:spacing w:line="600" w:lineRule="exact"/>
        <w:ind w:firstLine="560" w:firstLineChars="200"/>
        <w:rPr>
          <w:rFonts w:hint="eastAsia" w:eastAsia="宋体"/>
          <w:color w:val="auto"/>
          <w:sz w:val="28"/>
          <w:szCs w:val="28"/>
          <w:lang w:eastAsia="zh-CN"/>
        </w:rPr>
      </w:pPr>
      <w:r>
        <w:rPr>
          <w:color w:val="auto"/>
          <w:sz w:val="28"/>
          <w:szCs w:val="28"/>
        </w:rPr>
        <w:t>环境对本工程的影响主要有两个方面，一方面是指作业环境中的温度、湿度、照明、通风、噪声、色彩等因素可能导致的危险危害；另一方面是指自然现象，如大风、暴雨、雷电、地震、不良地质条件等</w:t>
      </w:r>
      <w:r>
        <w:rPr>
          <w:rFonts w:hint="eastAsia"/>
          <w:color w:val="auto"/>
          <w:sz w:val="28"/>
          <w:szCs w:val="28"/>
          <w:lang w:eastAsia="zh-CN"/>
        </w:rPr>
        <w:t>。</w:t>
      </w:r>
    </w:p>
    <w:p w14:paraId="435E01E7">
      <w:pPr>
        <w:spacing w:line="600" w:lineRule="exact"/>
        <w:ind w:firstLine="560" w:firstLineChars="200"/>
        <w:rPr>
          <w:color w:val="auto"/>
          <w:sz w:val="28"/>
          <w:szCs w:val="28"/>
        </w:rPr>
      </w:pPr>
      <w:r>
        <w:rPr>
          <w:color w:val="auto"/>
          <w:sz w:val="28"/>
        </w:rPr>
        <w:t>1、大风</w:t>
      </w:r>
    </w:p>
    <w:p w14:paraId="04535F07">
      <w:pPr>
        <w:spacing w:line="600" w:lineRule="exact"/>
        <w:ind w:firstLine="560" w:firstLineChars="200"/>
        <w:rPr>
          <w:color w:val="auto"/>
          <w:sz w:val="28"/>
          <w:szCs w:val="28"/>
        </w:rPr>
      </w:pPr>
      <w:r>
        <w:rPr>
          <w:rFonts w:hint="eastAsia"/>
          <w:color w:val="auto"/>
          <w:sz w:val="28"/>
          <w:lang w:val="en-US" w:eastAsia="zh-CN"/>
        </w:rPr>
        <w:t>服务区</w:t>
      </w:r>
      <w:r>
        <w:rPr>
          <w:color w:val="auto"/>
          <w:sz w:val="28"/>
        </w:rPr>
        <w:t>在运行过程中</w:t>
      </w:r>
      <w:r>
        <w:rPr>
          <w:color w:val="auto"/>
          <w:sz w:val="28"/>
          <w:szCs w:val="28"/>
        </w:rPr>
        <w:t>台风可能会造成建筑物、装置设备等毁坏，电杆倾倒、电力线拉断，可导致触电、火灾事故发生。</w:t>
      </w:r>
    </w:p>
    <w:p w14:paraId="79732841">
      <w:pPr>
        <w:keepNext w:val="0"/>
        <w:keepLines w:val="0"/>
        <w:pageBreakBefore w:val="0"/>
        <w:kinsoku/>
        <w:wordWrap/>
        <w:overflowPunct/>
        <w:topLinePunct w:val="0"/>
        <w:autoSpaceDE/>
        <w:autoSpaceDN/>
        <w:bidi w:val="0"/>
        <w:adjustRightInd/>
        <w:snapToGrid/>
        <w:spacing w:beforeAutospacing="0" w:afterAutospacing="0" w:line="600" w:lineRule="exact"/>
        <w:ind w:firstLine="560" w:firstLineChars="200"/>
        <w:textAlignment w:val="auto"/>
        <w:rPr>
          <w:color w:val="auto"/>
          <w:sz w:val="28"/>
          <w:szCs w:val="28"/>
        </w:rPr>
      </w:pPr>
      <w:r>
        <w:rPr>
          <w:color w:val="auto"/>
          <w:sz w:val="28"/>
          <w:szCs w:val="28"/>
        </w:rPr>
        <w:t>2、暴雨</w:t>
      </w:r>
    </w:p>
    <w:p w14:paraId="5928BDA2">
      <w:pPr>
        <w:pStyle w:val="13"/>
        <w:keepNext w:val="0"/>
        <w:keepLines w:val="0"/>
        <w:pageBreakBefore w:val="0"/>
        <w:kinsoku/>
        <w:wordWrap/>
        <w:overflowPunct/>
        <w:topLinePunct w:val="0"/>
        <w:autoSpaceDE/>
        <w:autoSpaceDN/>
        <w:bidi w:val="0"/>
        <w:adjustRightInd/>
        <w:snapToGrid/>
        <w:spacing w:before="0" w:beforeLines="0" w:beforeAutospacing="0" w:after="0" w:afterLines="0" w:afterAutospacing="0" w:line="600" w:lineRule="exact"/>
        <w:ind w:firstLine="560" w:firstLineChars="200"/>
        <w:textAlignment w:val="auto"/>
        <w:rPr>
          <w:color w:val="auto"/>
          <w:spacing w:val="-6"/>
          <w:sz w:val="28"/>
          <w:szCs w:val="28"/>
        </w:rPr>
      </w:pPr>
      <w:r>
        <w:rPr>
          <w:color w:val="auto"/>
          <w:sz w:val="28"/>
          <w:szCs w:val="28"/>
        </w:rPr>
        <w:t>暴雨可能威胁</w:t>
      </w:r>
      <w:r>
        <w:rPr>
          <w:bCs/>
          <w:color w:val="auto"/>
          <w:sz w:val="28"/>
          <w:szCs w:val="28"/>
        </w:rPr>
        <w:t>项目场地</w:t>
      </w:r>
      <w:r>
        <w:rPr>
          <w:color w:val="auto"/>
          <w:sz w:val="28"/>
          <w:szCs w:val="28"/>
        </w:rPr>
        <w:t>的安全，遇到暴雨时排水不畅，</w:t>
      </w:r>
      <w:r>
        <w:rPr>
          <w:rFonts w:hint="eastAsia"/>
          <w:color w:val="auto"/>
          <w:sz w:val="28"/>
          <w:szCs w:val="28"/>
          <w:lang w:val="en-US" w:eastAsia="zh-CN"/>
        </w:rPr>
        <w:t>服务区</w:t>
      </w:r>
      <w:r>
        <w:rPr>
          <w:color w:val="auto"/>
          <w:sz w:val="28"/>
          <w:szCs w:val="28"/>
        </w:rPr>
        <w:t>将受到</w:t>
      </w:r>
      <w:r>
        <w:rPr>
          <w:rFonts w:hint="eastAsia"/>
          <w:color w:val="auto"/>
          <w:sz w:val="28"/>
          <w:szCs w:val="28"/>
          <w:lang w:val="en-US" w:eastAsia="zh-CN"/>
        </w:rPr>
        <w:t>水淹事故</w:t>
      </w:r>
      <w:r>
        <w:rPr>
          <w:color w:val="auto"/>
          <w:sz w:val="28"/>
          <w:szCs w:val="28"/>
        </w:rPr>
        <w:t>。</w:t>
      </w:r>
    </w:p>
    <w:p w14:paraId="057A823C">
      <w:pPr>
        <w:spacing w:line="600" w:lineRule="exact"/>
        <w:ind w:firstLine="560" w:firstLineChars="200"/>
        <w:rPr>
          <w:color w:val="auto"/>
          <w:sz w:val="28"/>
        </w:rPr>
      </w:pPr>
      <w:r>
        <w:rPr>
          <w:color w:val="auto"/>
          <w:sz w:val="28"/>
        </w:rPr>
        <w:t>3、冰冻</w:t>
      </w:r>
    </w:p>
    <w:p w14:paraId="0248BFE9">
      <w:pPr>
        <w:bidi w:val="0"/>
        <w:ind w:firstLine="560" w:firstLineChars="200"/>
        <w:rPr>
          <w:color w:val="auto"/>
        </w:rPr>
      </w:pPr>
      <w:r>
        <w:rPr>
          <w:color w:val="auto"/>
        </w:rPr>
        <w:t>冰冻</w:t>
      </w:r>
      <w:r>
        <w:rPr>
          <w:rFonts w:hint="eastAsia"/>
          <w:color w:val="auto"/>
          <w:lang w:val="en-US" w:eastAsia="zh-CN"/>
        </w:rPr>
        <w:t>时</w:t>
      </w:r>
      <w:r>
        <w:rPr>
          <w:color w:val="auto"/>
        </w:rPr>
        <w:t>地面打滑造成人员摔跌等。</w:t>
      </w:r>
    </w:p>
    <w:p w14:paraId="2C76E43C">
      <w:pPr>
        <w:numPr>
          <w:ilvl w:val="0"/>
          <w:numId w:val="0"/>
        </w:numPr>
        <w:spacing w:line="600" w:lineRule="exact"/>
        <w:ind w:firstLine="560" w:firstLineChars="200"/>
        <w:rPr>
          <w:rFonts w:hint="eastAsia"/>
          <w:color w:val="auto"/>
          <w:sz w:val="28"/>
          <w:szCs w:val="28"/>
          <w:lang w:val="en-US" w:eastAsia="zh-CN"/>
        </w:rPr>
      </w:pPr>
      <w:r>
        <w:rPr>
          <w:rFonts w:hint="eastAsia" w:cs="Times New Roman"/>
          <w:color w:val="auto"/>
          <w:kern w:val="2"/>
          <w:sz w:val="28"/>
          <w:szCs w:val="28"/>
          <w:lang w:val="en-US" w:eastAsia="zh-CN" w:bidi="ar-SA"/>
        </w:rPr>
        <w:t>4</w:t>
      </w:r>
      <w:r>
        <w:rPr>
          <w:rFonts w:hint="eastAsia" w:ascii="Times New Roman" w:hAnsi="Times New Roman" w:eastAsia="宋体" w:cs="Times New Roman"/>
          <w:color w:val="auto"/>
          <w:kern w:val="2"/>
          <w:sz w:val="28"/>
          <w:szCs w:val="28"/>
          <w:lang w:val="en-US" w:eastAsia="zh-CN" w:bidi="ar-SA"/>
        </w:rPr>
        <w:t>、</w:t>
      </w:r>
      <w:r>
        <w:rPr>
          <w:rFonts w:hint="eastAsia"/>
          <w:color w:val="auto"/>
          <w:sz w:val="28"/>
          <w:szCs w:val="28"/>
          <w:lang w:val="en-US" w:eastAsia="zh-CN"/>
        </w:rPr>
        <w:t>高温</w:t>
      </w:r>
    </w:p>
    <w:p w14:paraId="531DE6E6">
      <w:pPr>
        <w:bidi w:val="0"/>
        <w:ind w:firstLine="560"/>
        <w:rPr>
          <w:rFonts w:hint="eastAsia"/>
          <w:color w:val="auto"/>
          <w:lang w:val="en-US" w:eastAsia="zh-CN"/>
        </w:rPr>
      </w:pPr>
      <w:r>
        <w:rPr>
          <w:rFonts w:hint="eastAsia"/>
          <w:color w:val="auto"/>
          <w:lang w:val="en-US" w:eastAsia="zh-CN"/>
        </w:rPr>
        <w:t>高温天气可能会影响充电桩的散热效果，导致充电桩电子元器件的损坏，短路等问题。</w:t>
      </w:r>
    </w:p>
    <w:p w14:paraId="4D31F445">
      <w:pPr>
        <w:bidi w:val="0"/>
        <w:ind w:firstLine="560"/>
        <w:rPr>
          <w:rFonts w:hint="default"/>
          <w:color w:val="auto"/>
          <w:lang w:val="en-US" w:eastAsia="zh-CN"/>
        </w:rPr>
      </w:pPr>
      <w:r>
        <w:rPr>
          <w:rFonts w:hint="eastAsia"/>
          <w:color w:val="auto"/>
          <w:lang w:val="en-US" w:eastAsia="zh-CN"/>
        </w:rPr>
        <w:t>高温天气电动汽车行驶后动力电池的温度甚至可以达到70℃以上，这时候如果直接充电会导致电池的温度持续升高，甚至会超过临界点，最终自燃。</w:t>
      </w:r>
    </w:p>
    <w:p w14:paraId="58586CB7">
      <w:pPr>
        <w:spacing w:line="600" w:lineRule="exact"/>
        <w:ind w:firstLine="560" w:firstLineChars="200"/>
        <w:rPr>
          <w:rFonts w:eastAsia="黑体"/>
          <w:color w:val="auto"/>
          <w:sz w:val="28"/>
          <w:szCs w:val="28"/>
        </w:rPr>
      </w:pPr>
      <w:r>
        <w:rPr>
          <w:rFonts w:hint="eastAsia"/>
          <w:color w:val="auto"/>
          <w:sz w:val="28"/>
          <w:szCs w:val="28"/>
          <w:lang w:val="en-US" w:eastAsia="zh-CN"/>
        </w:rPr>
        <w:t>5</w:t>
      </w:r>
      <w:r>
        <w:rPr>
          <w:color w:val="auto"/>
          <w:sz w:val="28"/>
          <w:szCs w:val="28"/>
        </w:rPr>
        <w:t>、雷击</w:t>
      </w:r>
    </w:p>
    <w:p w14:paraId="31E94FE3">
      <w:pPr>
        <w:spacing w:line="600" w:lineRule="exact"/>
        <w:ind w:firstLine="560" w:firstLineChars="200"/>
        <w:rPr>
          <w:color w:val="auto"/>
          <w:sz w:val="28"/>
          <w:szCs w:val="28"/>
        </w:rPr>
      </w:pPr>
      <w:r>
        <w:rPr>
          <w:color w:val="auto"/>
          <w:sz w:val="28"/>
          <w:szCs w:val="28"/>
        </w:rPr>
        <w:t>该</w:t>
      </w:r>
      <w:r>
        <w:rPr>
          <w:rFonts w:hint="eastAsia"/>
          <w:color w:val="auto"/>
          <w:sz w:val="28"/>
          <w:szCs w:val="28"/>
          <w:lang w:val="en-US" w:eastAsia="zh-CN"/>
        </w:rPr>
        <w:t>服务区</w:t>
      </w:r>
      <w:r>
        <w:rPr>
          <w:color w:val="auto"/>
          <w:sz w:val="28"/>
          <w:szCs w:val="28"/>
        </w:rPr>
        <w:t>地处南方多雷地带，易受雷电袭击，雷击可能造成设备损坏和人员伤亡，也能引发可燃物质发生火灾、爆炸事故，同时雷击可使电气出现故障或损坏电气设备，造成全</w:t>
      </w:r>
      <w:r>
        <w:rPr>
          <w:rFonts w:hint="eastAsia"/>
          <w:color w:val="auto"/>
          <w:sz w:val="28"/>
          <w:szCs w:val="28"/>
        </w:rPr>
        <w:t>站</w:t>
      </w:r>
      <w:r>
        <w:rPr>
          <w:color w:val="auto"/>
          <w:sz w:val="28"/>
          <w:szCs w:val="28"/>
        </w:rPr>
        <w:t>或局部停电，引发事故。</w:t>
      </w:r>
    </w:p>
    <w:p w14:paraId="718CC8BD">
      <w:pPr>
        <w:spacing w:line="600" w:lineRule="exact"/>
        <w:ind w:firstLine="560" w:firstLineChars="200"/>
        <w:rPr>
          <w:color w:val="auto"/>
          <w:sz w:val="28"/>
          <w:szCs w:val="28"/>
        </w:rPr>
      </w:pPr>
      <w:r>
        <w:rPr>
          <w:rFonts w:hint="eastAsia"/>
          <w:color w:val="auto"/>
          <w:sz w:val="28"/>
          <w:szCs w:val="28"/>
          <w:lang w:val="en-US" w:eastAsia="zh-CN"/>
        </w:rPr>
        <w:t>6</w:t>
      </w:r>
      <w:r>
        <w:rPr>
          <w:color w:val="auto"/>
          <w:sz w:val="28"/>
          <w:szCs w:val="28"/>
        </w:rPr>
        <w:t>、地质灾害</w:t>
      </w:r>
    </w:p>
    <w:p w14:paraId="6B0FB6D0">
      <w:pPr>
        <w:spacing w:line="600" w:lineRule="exact"/>
        <w:ind w:firstLine="560" w:firstLineChars="200"/>
        <w:rPr>
          <w:color w:val="auto"/>
          <w:sz w:val="28"/>
          <w:szCs w:val="28"/>
        </w:rPr>
      </w:pPr>
      <w:r>
        <w:rPr>
          <w:color w:val="auto"/>
          <w:sz w:val="28"/>
          <w:szCs w:val="28"/>
        </w:rPr>
        <w:t>地质灾害主要包括不良地质结构，造成建筑、基础下沉等，影响安全运行。如发生地震灾害，则可能损坏设备，造成人员伤亡，甚至引发火灾、爆炸严重事故。根据《中国地震</w:t>
      </w:r>
      <w:r>
        <w:rPr>
          <w:rFonts w:hint="eastAsia"/>
          <w:color w:val="auto"/>
          <w:sz w:val="28"/>
          <w:szCs w:val="28"/>
        </w:rPr>
        <w:t>烈</w:t>
      </w:r>
      <w:r>
        <w:rPr>
          <w:color w:val="auto"/>
          <w:sz w:val="28"/>
          <w:szCs w:val="28"/>
        </w:rPr>
        <w:t>度区划图》，</w:t>
      </w:r>
      <w:r>
        <w:rPr>
          <w:rFonts w:hint="eastAsia"/>
          <w:color w:val="auto"/>
          <w:sz w:val="28"/>
          <w:szCs w:val="28"/>
        </w:rPr>
        <w:t>该项目</w:t>
      </w:r>
      <w:r>
        <w:rPr>
          <w:color w:val="auto"/>
          <w:sz w:val="28"/>
          <w:szCs w:val="28"/>
        </w:rPr>
        <w:t>所在地区地震烈度为Ⅵ度地区，属于地震危险较小的地区。</w:t>
      </w:r>
    </w:p>
    <w:p w14:paraId="0446AB7B">
      <w:pPr>
        <w:bidi w:val="0"/>
        <w:ind w:firstLine="560" w:firstLineChars="200"/>
        <w:rPr>
          <w:color w:val="auto"/>
        </w:rPr>
      </w:pPr>
      <w:r>
        <w:rPr>
          <w:rFonts w:hint="eastAsia"/>
          <w:color w:val="auto"/>
          <w:lang w:val="en-US" w:eastAsia="zh-CN"/>
        </w:rPr>
        <w:t>7</w:t>
      </w:r>
      <w:r>
        <w:rPr>
          <w:color w:val="auto"/>
        </w:rPr>
        <w:t>、采光、照明</w:t>
      </w:r>
    </w:p>
    <w:p w14:paraId="00E1AD7C">
      <w:pPr>
        <w:bidi w:val="0"/>
        <w:ind w:firstLine="560" w:firstLineChars="200"/>
        <w:rPr>
          <w:color w:val="auto"/>
        </w:rPr>
      </w:pPr>
      <w:r>
        <w:rPr>
          <w:color w:val="auto"/>
        </w:rPr>
        <w:t>采光照明不良可能造成操作、检修作业出现失误，作业场所照度不足也可能造成人员发生摔跌发生事故</w:t>
      </w:r>
      <w:r>
        <w:rPr>
          <w:rFonts w:hint="eastAsia"/>
          <w:color w:val="auto"/>
        </w:rPr>
        <w:t>。</w:t>
      </w:r>
    </w:p>
    <w:p w14:paraId="1C8DDBCF">
      <w:pPr>
        <w:pStyle w:val="5"/>
        <w:bidi w:val="0"/>
        <w:rPr>
          <w:rFonts w:hint="default"/>
          <w:color w:val="auto"/>
          <w:lang w:val="en-US" w:eastAsia="zh-CN"/>
        </w:rPr>
      </w:pPr>
      <w:bookmarkStart w:id="68" w:name="_Toc12348"/>
      <w:r>
        <w:rPr>
          <w:rFonts w:hint="default"/>
          <w:color w:val="auto"/>
          <w:lang w:val="en-US" w:eastAsia="zh-CN"/>
        </w:rPr>
        <w:t>3</w:t>
      </w:r>
      <w:r>
        <w:rPr>
          <w:rFonts w:hint="eastAsia"/>
          <w:color w:val="auto"/>
          <w:lang w:val="en-US" w:eastAsia="zh-CN"/>
        </w:rPr>
        <w:t>.7</w:t>
      </w:r>
      <w:r>
        <w:rPr>
          <w:rFonts w:hint="default"/>
          <w:color w:val="auto"/>
          <w:lang w:val="en-US" w:eastAsia="zh-CN"/>
        </w:rPr>
        <w:t>典型</w:t>
      </w:r>
      <w:r>
        <w:rPr>
          <w:rFonts w:hint="eastAsia"/>
          <w:color w:val="auto"/>
          <w:lang w:val="en-US" w:eastAsia="zh-CN"/>
        </w:rPr>
        <w:t>事</w:t>
      </w:r>
      <w:r>
        <w:rPr>
          <w:rFonts w:hint="default"/>
          <w:color w:val="auto"/>
          <w:lang w:val="en-US" w:eastAsia="zh-CN"/>
        </w:rPr>
        <w:t>故案例分析</w:t>
      </w:r>
      <w:bookmarkEnd w:id="68"/>
    </w:p>
    <w:p w14:paraId="43D797DC">
      <w:pPr>
        <w:bidi w:val="0"/>
        <w:rPr>
          <w:rFonts w:hint="default"/>
          <w:color w:val="auto"/>
          <w:sz w:val="28"/>
          <w:szCs w:val="28"/>
          <w:lang w:val="en-US" w:eastAsia="zh-CN"/>
        </w:rPr>
      </w:pPr>
      <w:r>
        <w:rPr>
          <w:rFonts w:hint="eastAsia"/>
          <w:color w:val="auto"/>
          <w:sz w:val="28"/>
          <w:szCs w:val="28"/>
          <w:lang w:val="en-US" w:eastAsia="zh-CN"/>
        </w:rPr>
        <w:t>一、事故发生经过</w:t>
      </w:r>
    </w:p>
    <w:p w14:paraId="0B6C32DE">
      <w:pPr>
        <w:bidi w:val="0"/>
        <w:rPr>
          <w:rFonts w:hint="eastAsia"/>
          <w:color w:val="auto"/>
          <w:sz w:val="28"/>
          <w:szCs w:val="28"/>
          <w:lang w:val="en-US" w:eastAsia="zh-CN"/>
        </w:rPr>
      </w:pPr>
      <w:r>
        <w:rPr>
          <w:rFonts w:hint="eastAsia"/>
          <w:color w:val="auto"/>
          <w:sz w:val="28"/>
          <w:szCs w:val="28"/>
          <w:lang w:val="en-US" w:eastAsia="zh-CN"/>
        </w:rPr>
        <w:t>2018年6月30日9时40分许，甘肃中和环保科技工程有限公司施工负责人田建锋、技术负责人李小明和临时雇工王涛涛3人来到瓜州服务区，在未告知服务区管理人员，未索取污水处理系统围栏大门钥匙的情况下，从污水处理系统围栏抽起栏杆(1根)处进入污水处理系统运行区域，用携带的角磨机切断沉淀池口3根钢筋护栏，将调节池内污水泵由钢筋护栏预留孔提出，放入沉淀池将沉淀池内污水抽入调节池。之后，将污水泵由沉淀池提出，放置在沉淀池东侧。李小明、王涛涛2人进入沉淀池内，检查污泥气提装置运行情况，田建锋在污水处理系统围栏内守候。</w:t>
      </w:r>
    </w:p>
    <w:p w14:paraId="4AED9001">
      <w:pPr>
        <w:bidi w:val="0"/>
        <w:rPr>
          <w:rFonts w:hint="eastAsia"/>
          <w:color w:val="auto"/>
          <w:sz w:val="28"/>
          <w:szCs w:val="28"/>
          <w:lang w:val="en-US" w:eastAsia="zh-CN"/>
        </w:rPr>
      </w:pPr>
      <w:r>
        <w:rPr>
          <w:rFonts w:hint="eastAsia"/>
          <w:color w:val="auto"/>
          <w:sz w:val="28"/>
          <w:szCs w:val="28"/>
          <w:lang w:val="en-US" w:eastAsia="zh-CN"/>
        </w:rPr>
        <w:t>11时40分许，在污水处理系统外、服务区卫生间南侧实施其它作业的瓜州服务区工作人员王正元、赵县安、李元柱听到污水处理系统围栏内有人呼喊”救命”急忙赶赴过去，从围栏的抽起栏杆处进入现场，王正元看到田建锋已准备下池救人，随即到服务区找了根绳子返回现场，就看到已经进入池内的田建锋头一歪倒了下去，叠躺在池内人员身上，王正元立即将找来的绳子挽了个绳扣扔下去套在田建锋向上扎起的脚上，和其他前来施救的人员将其救出池口，采取压胸、掐人中、搓背等施救措施急救。</w:t>
      </w:r>
    </w:p>
    <w:p w14:paraId="02970233">
      <w:pPr>
        <w:bidi w:val="0"/>
        <w:rPr>
          <w:rFonts w:hint="eastAsia"/>
          <w:color w:val="auto"/>
          <w:sz w:val="28"/>
          <w:szCs w:val="28"/>
          <w:lang w:val="en-US" w:eastAsia="zh-CN"/>
        </w:rPr>
      </w:pPr>
      <w:r>
        <w:rPr>
          <w:rFonts w:hint="eastAsia"/>
          <w:color w:val="auto"/>
          <w:sz w:val="28"/>
          <w:szCs w:val="28"/>
          <w:lang w:val="en-US" w:eastAsia="zh-CN"/>
        </w:rPr>
        <w:t>二、事故救援情况</w:t>
      </w:r>
    </w:p>
    <w:p w14:paraId="73160E39">
      <w:pPr>
        <w:bidi w:val="0"/>
        <w:rPr>
          <w:rFonts w:hint="default"/>
          <w:color w:val="auto"/>
          <w:lang w:val="en-US" w:eastAsia="zh-CN"/>
        </w:rPr>
      </w:pPr>
      <w:r>
        <w:rPr>
          <w:rFonts w:hint="eastAsia"/>
          <w:color w:val="auto"/>
          <w:sz w:val="28"/>
          <w:szCs w:val="28"/>
          <w:lang w:val="en-US" w:eastAsia="zh-CN"/>
        </w:rPr>
        <w:t>11时51分、11时54分，瓜州县消防大队、瓜州县医院急救中心相维接到服务区负责人李明杰打来的求救电话。12时09分瓜州县消防大队人员到达事故现场，先将2具高压空呼瓶吊入池内进行气体置换，为池内人员提供新鲜空气以争取救援时间，随后由装备齐全的消防人员下池，先后救出面部向上挣扎的王涛涛和面部向下栽倒在泥水中的李小明。此时，被救出池外的王涛涛还在地上呻吟、扭动，赶到现场的瓜州县120急救中心急救人员对李小明检查后已无生命体征当场死亡，随之将李小明送往瓜州县医院太平间，将王涛涛、田建锋送至瓜州县人民医院抢救。17时20分田建锋经抢救无效死亡，王涛涛经瓜州县人民医院救治后转至酒钢医院、酒泉市人民医院持续救治，于7月12日救治无效死亡。</w:t>
      </w:r>
    </w:p>
    <w:p w14:paraId="596DFBE7">
      <w:pPr>
        <w:bidi w:val="0"/>
        <w:rPr>
          <w:rFonts w:hint="default"/>
          <w:color w:val="auto"/>
          <w:lang w:val="en-US" w:eastAsia="zh-CN"/>
        </w:rPr>
      </w:pPr>
      <w:r>
        <w:rPr>
          <w:rFonts w:hint="default"/>
          <w:color w:val="auto"/>
          <w:lang w:val="en-US" w:eastAsia="zh-CN"/>
        </w:rPr>
        <w:t>三</w:t>
      </w:r>
      <w:r>
        <w:rPr>
          <w:rFonts w:hint="eastAsia"/>
          <w:color w:val="auto"/>
          <w:lang w:val="en-US" w:eastAsia="zh-CN"/>
        </w:rPr>
        <w:t>、</w:t>
      </w:r>
      <w:r>
        <w:rPr>
          <w:rFonts w:hint="default"/>
          <w:color w:val="auto"/>
          <w:lang w:val="en-US" w:eastAsia="zh-CN"/>
        </w:rPr>
        <w:t>事故发生时间及地点</w:t>
      </w:r>
    </w:p>
    <w:p w14:paraId="68F476D4">
      <w:pPr>
        <w:bidi w:val="0"/>
        <w:rPr>
          <w:rFonts w:hint="default"/>
          <w:color w:val="auto"/>
          <w:lang w:val="en-US" w:eastAsia="zh-CN"/>
        </w:rPr>
      </w:pPr>
      <w:r>
        <w:rPr>
          <w:rFonts w:hint="default"/>
          <w:color w:val="auto"/>
          <w:lang w:val="en-US" w:eastAsia="zh-CN"/>
        </w:rPr>
        <w:t>事故发生时间:2018年6月30日11时40分。</w:t>
      </w:r>
    </w:p>
    <w:p w14:paraId="3089BCC7">
      <w:pPr>
        <w:bidi w:val="0"/>
        <w:rPr>
          <w:rFonts w:hint="default"/>
          <w:color w:val="auto"/>
          <w:lang w:val="en-US" w:eastAsia="zh-CN"/>
        </w:rPr>
      </w:pPr>
      <w:r>
        <w:rPr>
          <w:rFonts w:hint="default"/>
          <w:color w:val="auto"/>
          <w:lang w:val="en-US" w:eastAsia="zh-CN"/>
        </w:rPr>
        <w:t>事故发生地点</w:t>
      </w:r>
      <w:r>
        <w:rPr>
          <w:rFonts w:hint="eastAsia"/>
          <w:color w:val="auto"/>
          <w:lang w:val="en-US" w:eastAsia="zh-CN"/>
        </w:rPr>
        <w:t>：</w:t>
      </w:r>
      <w:r>
        <w:rPr>
          <w:rFonts w:hint="default"/>
          <w:color w:val="auto"/>
          <w:lang w:val="en-US" w:eastAsia="zh-CN"/>
        </w:rPr>
        <w:t>G30连霍高速公路瓜州服务区(南区)污水处理系统沉淀池内。</w:t>
      </w:r>
    </w:p>
    <w:p w14:paraId="6A2311A2">
      <w:pPr>
        <w:bidi w:val="0"/>
        <w:rPr>
          <w:rFonts w:hint="default"/>
          <w:color w:val="auto"/>
          <w:lang w:val="en-US" w:eastAsia="zh-CN"/>
        </w:rPr>
      </w:pPr>
      <w:r>
        <w:rPr>
          <w:rFonts w:hint="eastAsia"/>
          <w:color w:val="auto"/>
          <w:lang w:val="en-US" w:eastAsia="zh-CN"/>
        </w:rPr>
        <w:t>四、</w:t>
      </w:r>
      <w:r>
        <w:rPr>
          <w:rFonts w:hint="default"/>
          <w:color w:val="auto"/>
          <w:lang w:val="en-US" w:eastAsia="zh-CN"/>
        </w:rPr>
        <w:t>事故造成的人员伤亡及经济损失</w:t>
      </w:r>
    </w:p>
    <w:p w14:paraId="4264F8C6">
      <w:pPr>
        <w:bidi w:val="0"/>
        <w:rPr>
          <w:rFonts w:hint="default"/>
          <w:color w:val="auto"/>
          <w:lang w:val="en-US" w:eastAsia="zh-CN"/>
        </w:rPr>
      </w:pPr>
      <w:r>
        <w:rPr>
          <w:rFonts w:hint="default"/>
          <w:color w:val="auto"/>
          <w:lang w:val="en-US" w:eastAsia="zh-CN"/>
        </w:rPr>
        <w:t>本起事故共造成3人死亡，直接经济损失395.576万元。</w:t>
      </w:r>
    </w:p>
    <w:p w14:paraId="5CA24548">
      <w:pPr>
        <w:bidi w:val="0"/>
        <w:rPr>
          <w:rFonts w:hint="default"/>
          <w:color w:val="auto"/>
          <w:lang w:val="en-US" w:eastAsia="zh-CN"/>
        </w:rPr>
      </w:pPr>
      <w:r>
        <w:rPr>
          <w:rFonts w:hint="default"/>
          <w:color w:val="auto"/>
          <w:lang w:val="en-US" w:eastAsia="zh-CN"/>
        </w:rPr>
        <w:t>五、事故发生的原因及事故性质</w:t>
      </w:r>
    </w:p>
    <w:p w14:paraId="65AF5CA8">
      <w:pPr>
        <w:bidi w:val="0"/>
        <w:rPr>
          <w:rFonts w:hint="default"/>
          <w:color w:val="auto"/>
          <w:lang w:val="en-US" w:eastAsia="zh-CN"/>
        </w:rPr>
      </w:pPr>
      <w:r>
        <w:rPr>
          <w:rFonts w:hint="default"/>
          <w:color w:val="auto"/>
          <w:lang w:val="en-US" w:eastAsia="zh-CN"/>
        </w:rPr>
        <w:t>(一)直接原因</w:t>
      </w:r>
    </w:p>
    <w:p w14:paraId="603D254C">
      <w:pPr>
        <w:bidi w:val="0"/>
        <w:rPr>
          <w:rFonts w:hint="default"/>
          <w:color w:val="auto"/>
          <w:lang w:val="en-US" w:eastAsia="zh-CN"/>
        </w:rPr>
      </w:pPr>
      <w:r>
        <w:rPr>
          <w:rFonts w:hint="default"/>
          <w:color w:val="auto"/>
          <w:lang w:val="en-US" w:eastAsia="zh-CN"/>
        </w:rPr>
        <w:t>作业人员违规进入硫化氢超标的沉淀池作业，硫化氢中毒是导致事故发生的直接原因。</w:t>
      </w:r>
    </w:p>
    <w:p w14:paraId="59FC718A">
      <w:pPr>
        <w:bidi w:val="0"/>
        <w:rPr>
          <w:rFonts w:hint="default"/>
          <w:color w:val="auto"/>
          <w:lang w:val="en-US" w:eastAsia="zh-CN"/>
        </w:rPr>
      </w:pPr>
      <w:r>
        <w:rPr>
          <w:rFonts w:hint="default"/>
          <w:color w:val="auto"/>
          <w:lang w:val="en-US" w:eastAsia="zh-CN"/>
        </w:rPr>
        <w:t>(二)间接原因</w:t>
      </w:r>
    </w:p>
    <w:p w14:paraId="6B3B968C">
      <w:pPr>
        <w:bidi w:val="0"/>
        <w:rPr>
          <w:rFonts w:hint="default"/>
          <w:color w:val="auto"/>
          <w:lang w:val="en-US" w:eastAsia="zh-CN"/>
        </w:rPr>
      </w:pPr>
      <w:r>
        <w:rPr>
          <w:rFonts w:hint="default"/>
          <w:color w:val="auto"/>
          <w:lang w:val="en-US" w:eastAsia="zh-CN"/>
        </w:rPr>
        <w:t>1、危险作业审批管理制度不落实，甘肃中和环保科技工程有限公司3名作业人员违反有限空间“先通风、再检测、后作业”的规定，冒险入池作业是导致事故发生的主要原因。</w:t>
      </w:r>
    </w:p>
    <w:p w14:paraId="3777E49D">
      <w:pPr>
        <w:bidi w:val="0"/>
        <w:rPr>
          <w:rFonts w:hint="default"/>
          <w:color w:val="auto"/>
          <w:lang w:val="en-US" w:eastAsia="zh-CN"/>
        </w:rPr>
      </w:pPr>
      <w:r>
        <w:rPr>
          <w:rFonts w:hint="default"/>
          <w:color w:val="auto"/>
          <w:lang w:val="en-US" w:eastAsia="zh-CN"/>
        </w:rPr>
        <w:t>2、甘肃中和环保科技工程有限公司安全培训教育不到位，从业人员安全意识淡薄，安全知识及防护能力欠缺，盲目施救是导致事故扩大的主要原因。</w:t>
      </w:r>
    </w:p>
    <w:p w14:paraId="64F84959">
      <w:pPr>
        <w:bidi w:val="0"/>
        <w:rPr>
          <w:rFonts w:hint="default"/>
          <w:color w:val="auto"/>
          <w:lang w:val="en-US" w:eastAsia="zh-CN"/>
        </w:rPr>
      </w:pPr>
      <w:r>
        <w:rPr>
          <w:rFonts w:hint="default"/>
          <w:color w:val="auto"/>
          <w:lang w:val="en-US" w:eastAsia="zh-CN"/>
        </w:rPr>
        <w:t>3、项目层层转包、以包代管，企业安全生产主体责任落实层层递减，是导致事故发生的重要原因。</w:t>
      </w:r>
    </w:p>
    <w:p w14:paraId="3E06BEED">
      <w:pPr>
        <w:bidi w:val="0"/>
        <w:rPr>
          <w:rFonts w:hint="default"/>
          <w:color w:val="auto"/>
          <w:lang w:val="en-US" w:eastAsia="zh-CN"/>
        </w:rPr>
      </w:pPr>
      <w:r>
        <w:rPr>
          <w:rFonts w:hint="default"/>
          <w:color w:val="auto"/>
          <w:lang w:val="en-US" w:eastAsia="zh-CN"/>
        </w:rPr>
        <w:t>4、建设单位、承包单位对发包项目安全生产工作统一协调、管理不力，现场管理缺失，是导致事故发生的重要原因。</w:t>
      </w:r>
    </w:p>
    <w:p w14:paraId="4AA1E1F1">
      <w:pPr>
        <w:bidi w:val="0"/>
        <w:rPr>
          <w:rFonts w:hint="default"/>
          <w:color w:val="auto"/>
          <w:lang w:val="en-US" w:eastAsia="zh-CN"/>
        </w:rPr>
      </w:pPr>
      <w:r>
        <w:rPr>
          <w:rFonts w:hint="default"/>
          <w:color w:val="auto"/>
          <w:lang w:val="en-US" w:eastAsia="zh-CN"/>
        </w:rPr>
        <w:t>5、企业安全投入不足，安全技防、人防、物防措施不落实，是导致事故发生的原因之一。</w:t>
      </w:r>
    </w:p>
    <w:p w14:paraId="61BDDCA4">
      <w:pPr>
        <w:bidi w:val="0"/>
        <w:rPr>
          <w:rFonts w:hint="default"/>
          <w:color w:val="auto"/>
          <w:lang w:val="en-US" w:eastAsia="zh-CN"/>
        </w:rPr>
      </w:pPr>
      <w:r>
        <w:rPr>
          <w:rFonts w:hint="default"/>
          <w:color w:val="auto"/>
          <w:lang w:val="en-US" w:eastAsia="zh-CN"/>
        </w:rPr>
        <w:t>6、应急管理责任和应急演练不落实，应急物资储备欠缺，服务区从业人员应急能力和应急知识不足，是导致事故扩大的原因之一。</w:t>
      </w:r>
    </w:p>
    <w:p w14:paraId="77829575">
      <w:pPr>
        <w:pStyle w:val="51"/>
        <w:rPr>
          <w:rFonts w:hint="default"/>
          <w:color w:val="auto"/>
          <w:lang w:val="en-US" w:eastAsia="zh-CN"/>
        </w:rPr>
      </w:pPr>
    </w:p>
    <w:p w14:paraId="6D5FECF2">
      <w:pPr>
        <w:pStyle w:val="51"/>
        <w:rPr>
          <w:rFonts w:hint="default"/>
          <w:color w:val="auto"/>
          <w:lang w:val="en-US" w:eastAsia="zh-CN"/>
        </w:rPr>
      </w:pPr>
    </w:p>
    <w:p w14:paraId="4B3E3361">
      <w:pPr>
        <w:pStyle w:val="51"/>
        <w:rPr>
          <w:rFonts w:hint="default"/>
          <w:color w:val="auto"/>
          <w:lang w:val="en-US" w:eastAsia="zh-CN"/>
        </w:rPr>
      </w:pPr>
    </w:p>
    <w:p w14:paraId="5A5D7C80">
      <w:pPr>
        <w:pStyle w:val="51"/>
        <w:rPr>
          <w:rFonts w:hint="default"/>
          <w:color w:val="auto"/>
          <w:lang w:val="en-US" w:eastAsia="zh-CN"/>
        </w:rPr>
      </w:pPr>
    </w:p>
    <w:p w14:paraId="7AD6C25F">
      <w:pPr>
        <w:pStyle w:val="51"/>
        <w:rPr>
          <w:rFonts w:hint="default"/>
          <w:color w:val="auto"/>
          <w:lang w:val="en-US" w:eastAsia="zh-CN"/>
        </w:rPr>
      </w:pPr>
    </w:p>
    <w:p w14:paraId="35A25BC1">
      <w:pPr>
        <w:pStyle w:val="51"/>
        <w:rPr>
          <w:rFonts w:hint="default"/>
          <w:color w:val="auto"/>
          <w:lang w:val="en-US" w:eastAsia="zh-CN"/>
        </w:rPr>
      </w:pPr>
    </w:p>
    <w:p w14:paraId="4A92C628">
      <w:pPr>
        <w:pStyle w:val="51"/>
        <w:rPr>
          <w:rFonts w:hint="default"/>
          <w:color w:val="auto"/>
          <w:lang w:val="en-US" w:eastAsia="zh-CN"/>
        </w:rPr>
      </w:pPr>
    </w:p>
    <w:p w14:paraId="3720B134">
      <w:pPr>
        <w:pStyle w:val="51"/>
        <w:rPr>
          <w:rFonts w:hint="default"/>
          <w:color w:val="auto"/>
          <w:lang w:val="en-US" w:eastAsia="zh-CN"/>
        </w:rPr>
      </w:pPr>
    </w:p>
    <w:p w14:paraId="6827553A">
      <w:pPr>
        <w:pStyle w:val="51"/>
        <w:rPr>
          <w:rFonts w:hint="default"/>
          <w:color w:val="auto"/>
          <w:lang w:val="en-US" w:eastAsia="zh-CN"/>
        </w:rPr>
      </w:pPr>
    </w:p>
    <w:p w14:paraId="3A18D122">
      <w:pPr>
        <w:pStyle w:val="51"/>
        <w:rPr>
          <w:rFonts w:hint="default"/>
          <w:color w:val="auto"/>
          <w:lang w:val="en-US" w:eastAsia="zh-CN"/>
        </w:rPr>
      </w:pPr>
    </w:p>
    <w:p w14:paraId="670D822E">
      <w:pPr>
        <w:pStyle w:val="51"/>
        <w:rPr>
          <w:rFonts w:hint="default"/>
          <w:color w:val="auto"/>
          <w:lang w:val="en-US" w:eastAsia="zh-CN"/>
        </w:rPr>
      </w:pPr>
    </w:p>
    <w:p w14:paraId="50E14993">
      <w:pPr>
        <w:pStyle w:val="51"/>
        <w:rPr>
          <w:rFonts w:hint="default"/>
          <w:color w:val="auto"/>
          <w:lang w:val="en-US" w:eastAsia="zh-CN"/>
        </w:rPr>
      </w:pPr>
    </w:p>
    <w:p w14:paraId="63A48942">
      <w:pPr>
        <w:pStyle w:val="51"/>
        <w:rPr>
          <w:rFonts w:hint="default"/>
          <w:color w:val="auto"/>
          <w:lang w:val="en-US" w:eastAsia="zh-CN"/>
        </w:rPr>
      </w:pPr>
    </w:p>
    <w:p w14:paraId="25327BF9">
      <w:pPr>
        <w:pStyle w:val="51"/>
        <w:rPr>
          <w:rFonts w:hint="default"/>
          <w:color w:val="auto"/>
          <w:lang w:val="en-US" w:eastAsia="zh-CN"/>
        </w:rPr>
      </w:pPr>
    </w:p>
    <w:p w14:paraId="1BA1F580">
      <w:pPr>
        <w:pStyle w:val="51"/>
        <w:rPr>
          <w:rFonts w:hint="default"/>
          <w:color w:val="auto"/>
          <w:lang w:val="en-US" w:eastAsia="zh-CN"/>
        </w:rPr>
      </w:pPr>
    </w:p>
    <w:p w14:paraId="45219295">
      <w:pPr>
        <w:pStyle w:val="51"/>
        <w:rPr>
          <w:rFonts w:hint="default"/>
          <w:color w:val="auto"/>
          <w:lang w:val="en-US" w:eastAsia="zh-CN"/>
        </w:rPr>
      </w:pPr>
    </w:p>
    <w:p w14:paraId="1F8B64E9">
      <w:pPr>
        <w:pStyle w:val="51"/>
        <w:rPr>
          <w:rFonts w:hint="default"/>
          <w:color w:val="auto"/>
          <w:lang w:val="en-US" w:eastAsia="zh-CN"/>
        </w:rPr>
      </w:pPr>
    </w:p>
    <w:p w14:paraId="0B1DCA15">
      <w:pPr>
        <w:pStyle w:val="51"/>
        <w:rPr>
          <w:rFonts w:hint="default"/>
          <w:color w:val="auto"/>
          <w:lang w:val="en-US" w:eastAsia="zh-CN"/>
        </w:rPr>
      </w:pPr>
    </w:p>
    <w:p w14:paraId="2975858F">
      <w:pPr>
        <w:pStyle w:val="51"/>
        <w:rPr>
          <w:rFonts w:hint="default"/>
          <w:color w:val="auto"/>
          <w:lang w:val="en-US" w:eastAsia="zh-CN"/>
        </w:rPr>
      </w:pPr>
    </w:p>
    <w:p w14:paraId="795B2EDF">
      <w:pPr>
        <w:pStyle w:val="51"/>
        <w:rPr>
          <w:rFonts w:hint="default"/>
          <w:color w:val="auto"/>
          <w:lang w:val="en-US" w:eastAsia="zh-CN"/>
        </w:rPr>
      </w:pPr>
    </w:p>
    <w:p w14:paraId="3B2BB5E8">
      <w:pPr>
        <w:pStyle w:val="51"/>
        <w:rPr>
          <w:rFonts w:hint="default"/>
          <w:color w:val="auto"/>
          <w:lang w:val="en-US" w:eastAsia="zh-CN"/>
        </w:rPr>
      </w:pPr>
    </w:p>
    <w:p w14:paraId="385E22F2">
      <w:pPr>
        <w:pStyle w:val="51"/>
        <w:rPr>
          <w:rFonts w:hint="default"/>
          <w:color w:val="auto"/>
          <w:lang w:val="en-US" w:eastAsia="zh-CN"/>
        </w:rPr>
      </w:pPr>
    </w:p>
    <w:p w14:paraId="4887C767">
      <w:pPr>
        <w:pStyle w:val="51"/>
        <w:rPr>
          <w:rFonts w:hint="default"/>
          <w:color w:val="auto"/>
          <w:lang w:val="en-US" w:eastAsia="zh-CN"/>
        </w:rPr>
      </w:pPr>
    </w:p>
    <w:bookmarkEnd w:id="54"/>
    <w:bookmarkEnd w:id="55"/>
    <w:p w14:paraId="0614CA97">
      <w:pPr>
        <w:pStyle w:val="4"/>
        <w:bidi w:val="0"/>
        <w:rPr>
          <w:color w:val="auto"/>
        </w:rPr>
      </w:pPr>
      <w:bookmarkStart w:id="69" w:name="_Toc20314"/>
      <w:bookmarkStart w:id="70" w:name="_Toc500924241"/>
      <w:bookmarkStart w:id="71" w:name="_Toc35241869"/>
      <w:bookmarkStart w:id="72" w:name="_Toc350517384"/>
      <w:r>
        <w:rPr>
          <w:color w:val="auto"/>
          <w:sz w:val="32"/>
          <w:szCs w:val="32"/>
        </w:rPr>
        <w:t>4</w:t>
      </w:r>
      <w:r>
        <w:rPr>
          <w:rFonts w:hint="eastAsia" w:ascii="宋体" w:hAnsi="宋体" w:eastAsia="宋体" w:cs="宋体"/>
          <w:color w:val="auto"/>
          <w:sz w:val="32"/>
          <w:szCs w:val="32"/>
        </w:rPr>
        <w:t>评价单元的确定及评价方法选择</w:t>
      </w:r>
      <w:bookmarkEnd w:id="69"/>
    </w:p>
    <w:p w14:paraId="2DE4EEE8">
      <w:pPr>
        <w:pStyle w:val="5"/>
        <w:bidi w:val="0"/>
        <w:rPr>
          <w:rFonts w:eastAsia="宋体"/>
          <w:color w:val="auto"/>
          <w:szCs w:val="30"/>
        </w:rPr>
      </w:pPr>
      <w:bookmarkStart w:id="73" w:name="_Toc11842"/>
      <w:r>
        <w:rPr>
          <w:color w:val="auto"/>
        </w:rPr>
        <w:t>4.1</w:t>
      </w:r>
      <w:r>
        <w:rPr>
          <w:rFonts w:hint="eastAsia" w:ascii="宋体" w:hAnsi="宋体" w:eastAsia="宋体" w:cs="宋体"/>
          <w:color w:val="auto"/>
        </w:rPr>
        <w:t>评价单元的确定</w:t>
      </w:r>
      <w:bookmarkEnd w:id="70"/>
      <w:bookmarkEnd w:id="71"/>
      <w:bookmarkEnd w:id="73"/>
    </w:p>
    <w:p w14:paraId="7D3488F5">
      <w:pPr>
        <w:pStyle w:val="6"/>
        <w:bidi w:val="0"/>
        <w:rPr>
          <w:b w:val="0"/>
          <w:color w:val="auto"/>
        </w:rPr>
      </w:pPr>
      <w:bookmarkStart w:id="74" w:name="_Toc4403"/>
      <w:r>
        <w:rPr>
          <w:color w:val="auto"/>
        </w:rPr>
        <w:t>4.1.1</w:t>
      </w:r>
      <w:r>
        <w:rPr>
          <w:rFonts w:hint="eastAsia" w:ascii="宋体" w:hAnsi="宋体" w:eastAsia="宋体" w:cs="宋体"/>
          <w:color w:val="auto"/>
        </w:rPr>
        <w:t>评价单元划分原则</w:t>
      </w:r>
      <w:bookmarkEnd w:id="74"/>
    </w:p>
    <w:p w14:paraId="02445E97">
      <w:pPr>
        <w:keepNext w:val="0"/>
        <w:keepLines w:val="0"/>
        <w:pageBreakBefore w:val="0"/>
        <w:widowControl w:val="0"/>
        <w:kinsoku/>
        <w:wordWrap w:val="0"/>
        <w:overflowPunct/>
        <w:topLinePunct w:val="0"/>
        <w:autoSpaceDE/>
        <w:autoSpaceDN/>
        <w:bidi w:val="0"/>
        <w:adjustRightInd w:val="0"/>
        <w:snapToGrid w:val="0"/>
        <w:spacing w:line="600" w:lineRule="exact"/>
        <w:ind w:firstLine="560" w:firstLineChars="200"/>
        <w:jc w:val="left"/>
        <w:textAlignment w:val="center"/>
        <w:rPr>
          <w:color w:val="auto"/>
          <w:sz w:val="28"/>
          <w:szCs w:val="28"/>
        </w:rPr>
      </w:pPr>
      <w:r>
        <w:rPr>
          <w:color w:val="auto"/>
          <w:sz w:val="28"/>
          <w:szCs w:val="28"/>
        </w:rPr>
        <w:t>具体按以下原则进行单元划分：</w:t>
      </w:r>
    </w:p>
    <w:p w14:paraId="7A8E8014">
      <w:pPr>
        <w:keepNext w:val="0"/>
        <w:keepLines w:val="0"/>
        <w:pageBreakBefore w:val="0"/>
        <w:widowControl w:val="0"/>
        <w:kinsoku/>
        <w:wordWrap w:val="0"/>
        <w:overflowPunct/>
        <w:topLinePunct w:val="0"/>
        <w:autoSpaceDE/>
        <w:autoSpaceDN/>
        <w:bidi w:val="0"/>
        <w:adjustRightInd w:val="0"/>
        <w:snapToGrid w:val="0"/>
        <w:spacing w:line="600" w:lineRule="exact"/>
        <w:ind w:firstLine="560" w:firstLineChars="200"/>
        <w:jc w:val="left"/>
        <w:textAlignment w:val="center"/>
        <w:rPr>
          <w:color w:val="auto"/>
          <w:sz w:val="28"/>
          <w:szCs w:val="28"/>
        </w:rPr>
      </w:pPr>
      <w:r>
        <w:rPr>
          <w:color w:val="auto"/>
          <w:sz w:val="28"/>
          <w:szCs w:val="28"/>
        </w:rPr>
        <w:t>1）以危险、有害因素类别为主划分评价单元；</w:t>
      </w:r>
    </w:p>
    <w:p w14:paraId="46B32B2C">
      <w:pPr>
        <w:keepNext w:val="0"/>
        <w:keepLines w:val="0"/>
        <w:pageBreakBefore w:val="0"/>
        <w:widowControl w:val="0"/>
        <w:kinsoku/>
        <w:wordWrap w:val="0"/>
        <w:overflowPunct/>
        <w:topLinePunct w:val="0"/>
        <w:autoSpaceDE/>
        <w:autoSpaceDN/>
        <w:bidi w:val="0"/>
        <w:adjustRightInd w:val="0"/>
        <w:snapToGrid w:val="0"/>
        <w:spacing w:line="600" w:lineRule="exact"/>
        <w:ind w:firstLine="560" w:firstLineChars="200"/>
        <w:jc w:val="left"/>
        <w:textAlignment w:val="center"/>
        <w:rPr>
          <w:color w:val="auto"/>
          <w:sz w:val="28"/>
          <w:szCs w:val="28"/>
        </w:rPr>
      </w:pPr>
      <w:r>
        <w:rPr>
          <w:color w:val="auto"/>
          <w:sz w:val="28"/>
          <w:szCs w:val="28"/>
        </w:rPr>
        <w:t>2）以装置、设施和工艺流程的特征划分评价单元；</w:t>
      </w:r>
    </w:p>
    <w:p w14:paraId="18846C9B">
      <w:pPr>
        <w:keepNext w:val="0"/>
        <w:keepLines w:val="0"/>
        <w:pageBreakBefore w:val="0"/>
        <w:widowControl w:val="0"/>
        <w:kinsoku/>
        <w:wordWrap w:val="0"/>
        <w:overflowPunct/>
        <w:topLinePunct w:val="0"/>
        <w:autoSpaceDE/>
        <w:autoSpaceDN/>
        <w:bidi w:val="0"/>
        <w:adjustRightInd w:val="0"/>
        <w:snapToGrid w:val="0"/>
        <w:spacing w:line="600" w:lineRule="exact"/>
        <w:ind w:firstLine="560" w:firstLineChars="200"/>
        <w:jc w:val="left"/>
        <w:textAlignment w:val="center"/>
        <w:rPr>
          <w:color w:val="auto"/>
          <w:sz w:val="28"/>
          <w:szCs w:val="28"/>
        </w:rPr>
      </w:pPr>
      <w:r>
        <w:rPr>
          <w:color w:val="auto"/>
          <w:sz w:val="28"/>
          <w:szCs w:val="28"/>
        </w:rPr>
        <w:t>3）将安全管理、外部周边环境单独划分评价单元</w:t>
      </w:r>
      <w:r>
        <w:rPr>
          <w:color w:val="auto"/>
          <w:sz w:val="28"/>
          <w:szCs w:val="28"/>
          <w:lang w:val="zh-CN"/>
        </w:rPr>
        <w:t>。</w:t>
      </w:r>
    </w:p>
    <w:p w14:paraId="595CB9EF">
      <w:pPr>
        <w:pStyle w:val="6"/>
        <w:bidi w:val="0"/>
        <w:rPr>
          <w:color w:val="auto"/>
        </w:rPr>
      </w:pPr>
      <w:bookmarkStart w:id="75" w:name="_Toc3094"/>
      <w:r>
        <w:rPr>
          <w:color w:val="auto"/>
        </w:rPr>
        <w:t>4.1.2</w:t>
      </w:r>
      <w:r>
        <w:rPr>
          <w:rFonts w:hint="eastAsia" w:ascii="宋体" w:hAnsi="宋体" w:eastAsia="宋体" w:cs="宋体"/>
          <w:color w:val="auto"/>
        </w:rPr>
        <w:t>确定评价单元</w:t>
      </w:r>
      <w:bookmarkEnd w:id="75"/>
    </w:p>
    <w:p w14:paraId="69CC0AA5">
      <w:pPr>
        <w:bidi w:val="0"/>
        <w:rPr>
          <w:color w:val="auto"/>
        </w:rPr>
      </w:pPr>
      <w:r>
        <w:rPr>
          <w:color w:val="auto"/>
        </w:rPr>
        <w:t>根据评价单元划分的原则，结合本项目自身的工艺特点，本报告以装置功能为主划分评价单元，总体上划分为以</w:t>
      </w:r>
      <w:r>
        <w:rPr>
          <w:rFonts w:hint="eastAsia"/>
          <w:color w:val="auto"/>
          <w:lang w:val="en-US" w:eastAsia="zh-CN"/>
        </w:rPr>
        <w:t>下</w:t>
      </w:r>
      <w:r>
        <w:rPr>
          <w:color w:val="auto"/>
        </w:rPr>
        <w:t>单元，见表4</w:t>
      </w:r>
      <w:r>
        <w:rPr>
          <w:rFonts w:hint="eastAsia"/>
          <w:color w:val="auto"/>
        </w:rPr>
        <w:t>.1</w:t>
      </w:r>
      <w:r>
        <w:rPr>
          <w:color w:val="auto"/>
        </w:rPr>
        <w:t>-1。评价中再根据实际需要进一步细化成下一级评价单元。</w:t>
      </w:r>
    </w:p>
    <w:p w14:paraId="2EA38378">
      <w:pPr>
        <w:pStyle w:val="48"/>
        <w:bidi w:val="0"/>
        <w:rPr>
          <w:color w:val="auto"/>
        </w:rPr>
      </w:pPr>
      <w:r>
        <w:rPr>
          <w:color w:val="auto"/>
        </w:rPr>
        <w:t>表4</w:t>
      </w:r>
      <w:r>
        <w:rPr>
          <w:rFonts w:hint="eastAsia"/>
          <w:color w:val="auto"/>
        </w:rPr>
        <w:t>.1</w:t>
      </w:r>
      <w:r>
        <w:rPr>
          <w:color w:val="auto"/>
        </w:rPr>
        <w:t>-1评价单元划分一览表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2700"/>
        <w:gridCol w:w="2737"/>
        <w:gridCol w:w="3107"/>
      </w:tblGrid>
      <w:tr w14:paraId="16D2E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2" w:type="dxa"/>
            <w:noWrap w:val="0"/>
            <w:vAlign w:val="center"/>
          </w:tcPr>
          <w:p w14:paraId="15AF4B2A">
            <w:pPr>
              <w:pStyle w:val="43"/>
              <w:bidi w:val="0"/>
              <w:rPr>
                <w:color w:val="auto"/>
              </w:rPr>
            </w:pPr>
            <w:r>
              <w:rPr>
                <w:color w:val="auto"/>
              </w:rPr>
              <w:t>序号</w:t>
            </w:r>
          </w:p>
        </w:tc>
        <w:tc>
          <w:tcPr>
            <w:tcW w:w="2700" w:type="dxa"/>
            <w:noWrap w:val="0"/>
            <w:vAlign w:val="center"/>
          </w:tcPr>
          <w:p w14:paraId="22A2147B">
            <w:pPr>
              <w:pStyle w:val="43"/>
              <w:bidi w:val="0"/>
              <w:rPr>
                <w:color w:val="auto"/>
              </w:rPr>
            </w:pPr>
            <w:r>
              <w:rPr>
                <w:color w:val="auto"/>
              </w:rPr>
              <w:t>评价单元</w:t>
            </w:r>
          </w:p>
        </w:tc>
        <w:tc>
          <w:tcPr>
            <w:tcW w:w="2737" w:type="dxa"/>
            <w:noWrap w:val="0"/>
            <w:vAlign w:val="center"/>
          </w:tcPr>
          <w:p w14:paraId="6AF968CD">
            <w:pPr>
              <w:pStyle w:val="43"/>
              <w:bidi w:val="0"/>
              <w:rPr>
                <w:color w:val="auto"/>
              </w:rPr>
            </w:pPr>
            <w:r>
              <w:rPr>
                <w:color w:val="auto"/>
              </w:rPr>
              <w:t>评价的主要对象</w:t>
            </w:r>
          </w:p>
        </w:tc>
        <w:tc>
          <w:tcPr>
            <w:tcW w:w="3107" w:type="dxa"/>
            <w:noWrap w:val="0"/>
            <w:vAlign w:val="center"/>
          </w:tcPr>
          <w:p w14:paraId="3D929096">
            <w:pPr>
              <w:pStyle w:val="43"/>
              <w:bidi w:val="0"/>
              <w:rPr>
                <w:color w:val="auto"/>
              </w:rPr>
            </w:pPr>
            <w:r>
              <w:rPr>
                <w:color w:val="auto"/>
              </w:rPr>
              <w:t>采用的评价方法</w:t>
            </w:r>
          </w:p>
        </w:tc>
      </w:tr>
      <w:tr w14:paraId="1D2BA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42" w:type="dxa"/>
            <w:tcBorders>
              <w:bottom w:val="single" w:color="auto" w:sz="4" w:space="0"/>
            </w:tcBorders>
            <w:noWrap w:val="0"/>
            <w:vAlign w:val="center"/>
          </w:tcPr>
          <w:p w14:paraId="2F2C2BE7">
            <w:pPr>
              <w:pStyle w:val="43"/>
              <w:bidi w:val="0"/>
              <w:rPr>
                <w:color w:val="auto"/>
              </w:rPr>
            </w:pPr>
            <w:r>
              <w:rPr>
                <w:color w:val="auto"/>
              </w:rPr>
              <w:t>1</w:t>
            </w:r>
          </w:p>
        </w:tc>
        <w:tc>
          <w:tcPr>
            <w:tcW w:w="2700" w:type="dxa"/>
            <w:tcBorders>
              <w:bottom w:val="single" w:color="auto" w:sz="4" w:space="0"/>
            </w:tcBorders>
            <w:noWrap w:val="0"/>
            <w:vAlign w:val="center"/>
          </w:tcPr>
          <w:p w14:paraId="5E26E17F">
            <w:pPr>
              <w:pStyle w:val="43"/>
              <w:bidi w:val="0"/>
              <w:rPr>
                <w:color w:val="auto"/>
              </w:rPr>
            </w:pPr>
            <w:r>
              <w:rPr>
                <w:rFonts w:hint="eastAsia"/>
                <w:color w:val="auto"/>
                <w:lang w:val="en-US" w:eastAsia="zh-CN"/>
              </w:rPr>
              <w:t>选址、总平面布置评价</w:t>
            </w:r>
            <w:r>
              <w:rPr>
                <w:color w:val="auto"/>
              </w:rPr>
              <w:t>单元</w:t>
            </w:r>
          </w:p>
        </w:tc>
        <w:tc>
          <w:tcPr>
            <w:tcW w:w="2737" w:type="dxa"/>
            <w:tcBorders>
              <w:bottom w:val="single" w:color="auto" w:sz="4" w:space="0"/>
            </w:tcBorders>
            <w:noWrap w:val="0"/>
            <w:vAlign w:val="center"/>
          </w:tcPr>
          <w:p w14:paraId="5A39C88A">
            <w:pPr>
              <w:pStyle w:val="43"/>
              <w:bidi w:val="0"/>
              <w:rPr>
                <w:rFonts w:hint="default" w:eastAsia="宋体"/>
                <w:color w:val="auto"/>
                <w:lang w:val="en-US" w:eastAsia="zh-CN"/>
              </w:rPr>
            </w:pPr>
            <w:r>
              <w:rPr>
                <w:rFonts w:hint="eastAsia"/>
                <w:color w:val="auto"/>
                <w:lang w:val="en-US" w:eastAsia="zh-CN"/>
              </w:rPr>
              <w:t>选址、总平面布置</w:t>
            </w:r>
          </w:p>
        </w:tc>
        <w:tc>
          <w:tcPr>
            <w:tcW w:w="3107" w:type="dxa"/>
            <w:tcBorders>
              <w:bottom w:val="single" w:color="auto" w:sz="4" w:space="0"/>
            </w:tcBorders>
            <w:noWrap w:val="0"/>
            <w:vAlign w:val="center"/>
          </w:tcPr>
          <w:p w14:paraId="3955FE17">
            <w:pPr>
              <w:pStyle w:val="43"/>
              <w:bidi w:val="0"/>
              <w:rPr>
                <w:color w:val="auto"/>
              </w:rPr>
            </w:pPr>
            <w:r>
              <w:rPr>
                <w:rFonts w:hint="eastAsia"/>
                <w:color w:val="auto"/>
              </w:rPr>
              <w:t>安全检查表</w:t>
            </w:r>
          </w:p>
          <w:p w14:paraId="743C3802">
            <w:pPr>
              <w:pStyle w:val="43"/>
              <w:bidi w:val="0"/>
              <w:rPr>
                <w:color w:val="auto"/>
              </w:rPr>
            </w:pPr>
          </w:p>
        </w:tc>
      </w:tr>
      <w:tr w14:paraId="1E695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42" w:type="dxa"/>
            <w:vMerge w:val="restart"/>
            <w:noWrap w:val="0"/>
            <w:vAlign w:val="center"/>
          </w:tcPr>
          <w:p w14:paraId="2175226D">
            <w:pPr>
              <w:pStyle w:val="43"/>
              <w:bidi w:val="0"/>
              <w:rPr>
                <w:rFonts w:hint="eastAsia"/>
                <w:color w:val="auto"/>
                <w:lang w:eastAsia="zh-CN"/>
              </w:rPr>
            </w:pPr>
            <w:r>
              <w:rPr>
                <w:rFonts w:hint="eastAsia"/>
                <w:color w:val="auto"/>
                <w:lang w:val="en-US" w:eastAsia="zh-CN"/>
              </w:rPr>
              <w:t>2</w:t>
            </w:r>
          </w:p>
        </w:tc>
        <w:tc>
          <w:tcPr>
            <w:tcW w:w="2700" w:type="dxa"/>
            <w:vMerge w:val="restart"/>
            <w:noWrap w:val="0"/>
            <w:vAlign w:val="center"/>
          </w:tcPr>
          <w:p w14:paraId="71ED26B6">
            <w:pPr>
              <w:pStyle w:val="43"/>
              <w:bidi w:val="0"/>
              <w:rPr>
                <w:color w:val="auto"/>
              </w:rPr>
            </w:pPr>
            <w:r>
              <w:rPr>
                <w:rFonts w:hint="eastAsia"/>
                <w:color w:val="auto"/>
                <w:lang w:val="en-US" w:eastAsia="zh-CN"/>
              </w:rPr>
              <w:t>建筑及设备设施评价单元</w:t>
            </w:r>
          </w:p>
        </w:tc>
        <w:tc>
          <w:tcPr>
            <w:tcW w:w="2737" w:type="dxa"/>
            <w:noWrap w:val="0"/>
            <w:vAlign w:val="center"/>
          </w:tcPr>
          <w:p w14:paraId="4A50BD25">
            <w:pPr>
              <w:pStyle w:val="43"/>
              <w:bidi w:val="0"/>
              <w:rPr>
                <w:rFonts w:hint="eastAsia"/>
                <w:color w:val="auto"/>
                <w:lang w:val="en-US" w:eastAsia="zh-CN"/>
              </w:rPr>
            </w:pPr>
            <w:r>
              <w:rPr>
                <w:rFonts w:hint="eastAsia"/>
                <w:color w:val="auto"/>
                <w:lang w:val="en-US" w:eastAsia="zh-CN"/>
              </w:rPr>
              <w:t>建筑、</w:t>
            </w:r>
            <w:r>
              <w:rPr>
                <w:color w:val="auto"/>
              </w:rPr>
              <w:t>设备设施</w:t>
            </w:r>
          </w:p>
        </w:tc>
        <w:tc>
          <w:tcPr>
            <w:tcW w:w="3107" w:type="dxa"/>
            <w:vMerge w:val="restart"/>
            <w:noWrap w:val="0"/>
            <w:vAlign w:val="center"/>
          </w:tcPr>
          <w:p w14:paraId="3159DB49">
            <w:pPr>
              <w:pStyle w:val="43"/>
              <w:bidi w:val="0"/>
              <w:rPr>
                <w:color w:val="auto"/>
              </w:rPr>
            </w:pPr>
            <w:r>
              <w:rPr>
                <w:color w:val="auto"/>
              </w:rPr>
              <w:t>预先危险性分析</w:t>
            </w:r>
          </w:p>
          <w:p w14:paraId="1C5122B6">
            <w:pPr>
              <w:pStyle w:val="43"/>
              <w:bidi w:val="0"/>
              <w:rPr>
                <w:color w:val="auto"/>
              </w:rPr>
            </w:pPr>
            <w:r>
              <w:rPr>
                <w:color w:val="auto"/>
              </w:rPr>
              <w:t>作业条件危险性评价</w:t>
            </w:r>
          </w:p>
        </w:tc>
      </w:tr>
      <w:tr w14:paraId="1D0D3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42" w:type="dxa"/>
            <w:vMerge w:val="continue"/>
            <w:noWrap w:val="0"/>
            <w:vAlign w:val="center"/>
          </w:tcPr>
          <w:p w14:paraId="4A20EFA2">
            <w:pPr>
              <w:pStyle w:val="43"/>
              <w:bidi w:val="0"/>
              <w:rPr>
                <w:color w:val="auto"/>
              </w:rPr>
            </w:pPr>
          </w:p>
        </w:tc>
        <w:tc>
          <w:tcPr>
            <w:tcW w:w="2700" w:type="dxa"/>
            <w:vMerge w:val="continue"/>
            <w:noWrap w:val="0"/>
            <w:vAlign w:val="center"/>
          </w:tcPr>
          <w:p w14:paraId="11E81895">
            <w:pPr>
              <w:pStyle w:val="43"/>
              <w:bidi w:val="0"/>
              <w:rPr>
                <w:color w:val="auto"/>
              </w:rPr>
            </w:pPr>
          </w:p>
        </w:tc>
        <w:tc>
          <w:tcPr>
            <w:tcW w:w="2737" w:type="dxa"/>
            <w:noWrap w:val="0"/>
            <w:vAlign w:val="center"/>
          </w:tcPr>
          <w:p w14:paraId="79FC3FBD">
            <w:pPr>
              <w:pStyle w:val="43"/>
              <w:bidi w:val="0"/>
              <w:rPr>
                <w:color w:val="auto"/>
              </w:rPr>
            </w:pPr>
            <w:r>
              <w:rPr>
                <w:rFonts w:hint="eastAsia"/>
                <w:color w:val="auto"/>
                <w:lang w:val="en-US" w:eastAsia="zh-CN"/>
              </w:rPr>
              <w:t>服务区内</w:t>
            </w:r>
            <w:r>
              <w:rPr>
                <w:color w:val="auto"/>
              </w:rPr>
              <w:t>道路</w:t>
            </w:r>
          </w:p>
        </w:tc>
        <w:tc>
          <w:tcPr>
            <w:tcW w:w="3107" w:type="dxa"/>
            <w:vMerge w:val="continue"/>
            <w:noWrap w:val="0"/>
            <w:vAlign w:val="center"/>
          </w:tcPr>
          <w:p w14:paraId="09F50134">
            <w:pPr>
              <w:pStyle w:val="43"/>
              <w:bidi w:val="0"/>
              <w:rPr>
                <w:color w:val="auto"/>
              </w:rPr>
            </w:pPr>
          </w:p>
        </w:tc>
      </w:tr>
      <w:tr w14:paraId="1540E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42" w:type="dxa"/>
            <w:noWrap w:val="0"/>
            <w:vAlign w:val="center"/>
          </w:tcPr>
          <w:p w14:paraId="49DD527E">
            <w:pPr>
              <w:pStyle w:val="43"/>
              <w:bidi w:val="0"/>
              <w:rPr>
                <w:rFonts w:hint="eastAsia" w:eastAsia="宋体"/>
                <w:color w:val="auto"/>
                <w:lang w:val="en-US" w:eastAsia="zh-CN"/>
              </w:rPr>
            </w:pPr>
            <w:bookmarkStart w:id="76" w:name="_Toc11246138"/>
            <w:bookmarkStart w:id="77" w:name="_Toc343692260"/>
            <w:r>
              <w:rPr>
                <w:rFonts w:hint="eastAsia"/>
                <w:color w:val="auto"/>
                <w:lang w:val="en-US" w:eastAsia="zh-CN"/>
              </w:rPr>
              <w:t>3</w:t>
            </w:r>
          </w:p>
        </w:tc>
        <w:tc>
          <w:tcPr>
            <w:tcW w:w="2700" w:type="dxa"/>
            <w:noWrap w:val="0"/>
            <w:vAlign w:val="center"/>
          </w:tcPr>
          <w:p w14:paraId="219C0958">
            <w:pPr>
              <w:pStyle w:val="43"/>
              <w:bidi w:val="0"/>
              <w:rPr>
                <w:rFonts w:hint="default"/>
                <w:color w:val="auto"/>
                <w:lang w:val="en-US"/>
              </w:rPr>
            </w:pPr>
            <w:r>
              <w:rPr>
                <w:rFonts w:hint="eastAsia"/>
                <w:color w:val="auto"/>
                <w:lang w:val="en-US" w:eastAsia="zh-CN"/>
              </w:rPr>
              <w:t>配套的公用工程评价单元</w:t>
            </w:r>
          </w:p>
        </w:tc>
        <w:tc>
          <w:tcPr>
            <w:tcW w:w="2737" w:type="dxa"/>
            <w:noWrap w:val="0"/>
            <w:vAlign w:val="center"/>
          </w:tcPr>
          <w:p w14:paraId="554C6667">
            <w:pPr>
              <w:pStyle w:val="43"/>
              <w:bidi w:val="0"/>
              <w:rPr>
                <w:rFonts w:hint="default"/>
                <w:color w:val="auto"/>
                <w:lang w:val="en-US" w:eastAsia="zh-CN"/>
              </w:rPr>
            </w:pPr>
            <w:r>
              <w:rPr>
                <w:rFonts w:hint="eastAsia"/>
                <w:color w:val="auto"/>
                <w:lang w:val="en-US" w:eastAsia="zh-CN"/>
              </w:rPr>
              <w:t>公用工程及辅助设施</w:t>
            </w:r>
          </w:p>
        </w:tc>
        <w:tc>
          <w:tcPr>
            <w:tcW w:w="3107" w:type="dxa"/>
            <w:noWrap w:val="0"/>
            <w:vAlign w:val="center"/>
          </w:tcPr>
          <w:p w14:paraId="5AF5A1BA">
            <w:pPr>
              <w:pStyle w:val="43"/>
              <w:bidi w:val="0"/>
              <w:rPr>
                <w:color w:val="auto"/>
              </w:rPr>
            </w:pPr>
            <w:r>
              <w:rPr>
                <w:color w:val="auto"/>
              </w:rPr>
              <w:t>预先危险性分析</w:t>
            </w:r>
          </w:p>
          <w:p w14:paraId="0565646E">
            <w:pPr>
              <w:pStyle w:val="43"/>
              <w:bidi w:val="0"/>
              <w:rPr>
                <w:rFonts w:hint="default" w:eastAsia="宋体"/>
                <w:color w:val="auto"/>
                <w:lang w:val="en-US" w:eastAsia="zh-CN"/>
              </w:rPr>
            </w:pPr>
            <w:r>
              <w:rPr>
                <w:color w:val="auto"/>
              </w:rPr>
              <w:t>作业条件危险性评价</w:t>
            </w:r>
          </w:p>
        </w:tc>
      </w:tr>
      <w:tr w14:paraId="12EAB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42" w:type="dxa"/>
            <w:tcBorders>
              <w:bottom w:val="single" w:color="auto" w:sz="4" w:space="0"/>
            </w:tcBorders>
            <w:noWrap w:val="0"/>
            <w:vAlign w:val="center"/>
          </w:tcPr>
          <w:p w14:paraId="150143A7">
            <w:pPr>
              <w:pStyle w:val="43"/>
              <w:bidi w:val="0"/>
              <w:rPr>
                <w:rFonts w:hint="default"/>
                <w:color w:val="auto"/>
                <w:lang w:val="en-US" w:eastAsia="zh-CN"/>
              </w:rPr>
            </w:pPr>
            <w:r>
              <w:rPr>
                <w:rFonts w:hint="eastAsia"/>
                <w:color w:val="auto"/>
                <w:lang w:val="en-US" w:eastAsia="zh-CN"/>
              </w:rPr>
              <w:t>4</w:t>
            </w:r>
          </w:p>
        </w:tc>
        <w:tc>
          <w:tcPr>
            <w:tcW w:w="2700" w:type="dxa"/>
            <w:tcBorders>
              <w:bottom w:val="single" w:color="auto" w:sz="4" w:space="0"/>
            </w:tcBorders>
            <w:noWrap w:val="0"/>
            <w:vAlign w:val="center"/>
          </w:tcPr>
          <w:p w14:paraId="2F70607D">
            <w:pPr>
              <w:pStyle w:val="43"/>
              <w:bidi w:val="0"/>
              <w:rPr>
                <w:rFonts w:hint="default"/>
                <w:color w:val="auto"/>
                <w:lang w:val="en-US" w:eastAsia="zh-CN"/>
              </w:rPr>
            </w:pPr>
            <w:r>
              <w:rPr>
                <w:rFonts w:hint="eastAsia"/>
                <w:color w:val="auto"/>
                <w:lang w:val="en-US" w:eastAsia="zh-CN"/>
              </w:rPr>
              <w:t>安全管理评价单元</w:t>
            </w:r>
          </w:p>
        </w:tc>
        <w:tc>
          <w:tcPr>
            <w:tcW w:w="2737" w:type="dxa"/>
            <w:tcBorders>
              <w:bottom w:val="single" w:color="auto" w:sz="4" w:space="0"/>
            </w:tcBorders>
            <w:noWrap w:val="0"/>
            <w:vAlign w:val="center"/>
          </w:tcPr>
          <w:p w14:paraId="5B7FFBFE">
            <w:pPr>
              <w:pStyle w:val="43"/>
              <w:bidi w:val="0"/>
              <w:rPr>
                <w:rFonts w:hint="default"/>
                <w:color w:val="auto"/>
                <w:lang w:val="en-US" w:eastAsia="zh-CN"/>
              </w:rPr>
            </w:pPr>
            <w:r>
              <w:rPr>
                <w:rFonts w:hint="eastAsia"/>
                <w:color w:val="auto"/>
                <w:lang w:val="en-US" w:eastAsia="zh-CN"/>
              </w:rPr>
              <w:t>安全管理制度</w:t>
            </w:r>
          </w:p>
        </w:tc>
        <w:tc>
          <w:tcPr>
            <w:tcW w:w="3107" w:type="dxa"/>
            <w:tcBorders>
              <w:bottom w:val="single" w:color="auto" w:sz="4" w:space="0"/>
            </w:tcBorders>
            <w:noWrap w:val="0"/>
            <w:vAlign w:val="center"/>
          </w:tcPr>
          <w:p w14:paraId="571A2CC3">
            <w:pPr>
              <w:pStyle w:val="43"/>
              <w:bidi w:val="0"/>
              <w:rPr>
                <w:rFonts w:hint="default" w:eastAsia="宋体"/>
                <w:color w:val="auto"/>
                <w:lang w:val="en-US" w:eastAsia="zh-CN"/>
              </w:rPr>
            </w:pPr>
            <w:r>
              <w:rPr>
                <w:rFonts w:hint="eastAsia"/>
                <w:color w:val="auto"/>
                <w:lang w:val="en-US" w:eastAsia="zh-CN"/>
              </w:rPr>
              <w:t>安全检查表</w:t>
            </w:r>
          </w:p>
        </w:tc>
      </w:tr>
    </w:tbl>
    <w:p w14:paraId="7361C493">
      <w:pPr>
        <w:pStyle w:val="5"/>
        <w:bidi w:val="0"/>
        <w:rPr>
          <w:rFonts w:hint="eastAsia" w:ascii="宋体" w:hAnsi="宋体" w:eastAsia="宋体" w:cs="宋体"/>
          <w:color w:val="auto"/>
          <w:szCs w:val="30"/>
        </w:rPr>
      </w:pPr>
      <w:bookmarkStart w:id="78" w:name="_Toc2108"/>
      <w:r>
        <w:rPr>
          <w:color w:val="auto"/>
          <w:szCs w:val="30"/>
        </w:rPr>
        <w:t>4.2</w:t>
      </w:r>
      <w:r>
        <w:rPr>
          <w:rFonts w:hint="eastAsia" w:ascii="宋体" w:hAnsi="宋体" w:eastAsia="宋体" w:cs="宋体"/>
          <w:color w:val="auto"/>
          <w:szCs w:val="30"/>
        </w:rPr>
        <w:t>评价方法简介</w:t>
      </w:r>
      <w:bookmarkEnd w:id="76"/>
      <w:bookmarkEnd w:id="77"/>
      <w:bookmarkEnd w:id="78"/>
    </w:p>
    <w:p w14:paraId="357228E2">
      <w:pPr>
        <w:pStyle w:val="6"/>
        <w:bidi w:val="0"/>
        <w:rPr>
          <w:color w:val="auto"/>
        </w:rPr>
      </w:pPr>
      <w:bookmarkStart w:id="79" w:name="_Toc1418"/>
      <w:r>
        <w:rPr>
          <w:color w:val="auto"/>
        </w:rPr>
        <w:t>4.2.1</w:t>
      </w:r>
      <w:r>
        <w:rPr>
          <w:rFonts w:hint="eastAsia" w:ascii="宋体" w:hAnsi="宋体" w:eastAsia="宋体" w:cs="宋体"/>
          <w:color w:val="auto"/>
        </w:rPr>
        <w:t>安全检查表分析法</w:t>
      </w:r>
      <w:bookmarkEnd w:id="79"/>
    </w:p>
    <w:p w14:paraId="5E19C37D">
      <w:pPr>
        <w:wordWrap w:val="0"/>
        <w:adjustRightInd w:val="0"/>
        <w:snapToGrid w:val="0"/>
        <w:spacing w:line="600" w:lineRule="exact"/>
        <w:ind w:firstLine="560" w:firstLineChars="200"/>
        <w:jc w:val="left"/>
        <w:textAlignment w:val="center"/>
        <w:rPr>
          <w:color w:val="auto"/>
          <w:sz w:val="28"/>
          <w:szCs w:val="28"/>
        </w:rPr>
      </w:pPr>
      <w:r>
        <w:rPr>
          <w:color w:val="auto"/>
          <w:sz w:val="28"/>
          <w:szCs w:val="28"/>
        </w:rPr>
        <w:t>安全检查表分析（Safety Checklist Analysis）简称为SCLA，是将一系列分析项目列出检查表进行检查、分析，以确定系统的状态，这些项目可包括设备、设施、工艺、操作、管理等各个方面。安全检查表分析法既可以用于简单的快速分析，也可以用于深层次的细致地分析，是识别已知危险的较为有效的分析方法之一。</w:t>
      </w:r>
    </w:p>
    <w:bookmarkEnd w:id="72"/>
    <w:p w14:paraId="3AF1F4BD">
      <w:pPr>
        <w:pStyle w:val="6"/>
        <w:bidi w:val="0"/>
        <w:rPr>
          <w:rFonts w:hint="default"/>
          <w:color w:val="auto"/>
        </w:rPr>
      </w:pPr>
      <w:bookmarkStart w:id="80" w:name="_Toc14397"/>
      <w:bookmarkStart w:id="81" w:name="_Toc22238"/>
      <w:bookmarkStart w:id="82" w:name="_Toc20435"/>
      <w:bookmarkStart w:id="83" w:name="_Toc10862"/>
      <w:bookmarkStart w:id="84" w:name="_Toc6126"/>
      <w:bookmarkStart w:id="85" w:name="_Toc350517386"/>
      <w:r>
        <w:rPr>
          <w:rFonts w:hint="default"/>
          <w:color w:val="auto"/>
        </w:rPr>
        <w:t>4.2.</w:t>
      </w:r>
      <w:r>
        <w:rPr>
          <w:rFonts w:hint="eastAsia"/>
          <w:color w:val="auto"/>
          <w:lang w:val="en-US" w:eastAsia="zh-CN"/>
        </w:rPr>
        <w:t>2</w:t>
      </w:r>
      <w:r>
        <w:rPr>
          <w:rFonts w:hint="default"/>
          <w:color w:val="auto"/>
        </w:rPr>
        <w:t>预先危险性分析评价（PHA）</w:t>
      </w:r>
      <w:bookmarkEnd w:id="80"/>
      <w:bookmarkEnd w:id="81"/>
      <w:bookmarkEnd w:id="82"/>
      <w:bookmarkEnd w:id="83"/>
    </w:p>
    <w:p w14:paraId="4091FDE4">
      <w:pPr>
        <w:pStyle w:val="7"/>
        <w:bidi w:val="0"/>
        <w:rPr>
          <w:rFonts w:hint="default"/>
          <w:color w:val="auto"/>
        </w:rPr>
      </w:pPr>
      <w:r>
        <w:rPr>
          <w:rFonts w:hint="default"/>
          <w:color w:val="auto"/>
        </w:rPr>
        <w:t>4.2.</w:t>
      </w:r>
      <w:r>
        <w:rPr>
          <w:rFonts w:hint="eastAsia"/>
          <w:color w:val="auto"/>
          <w:lang w:val="en-US" w:eastAsia="zh-CN"/>
        </w:rPr>
        <w:t>2</w:t>
      </w:r>
      <w:r>
        <w:rPr>
          <w:rFonts w:hint="default"/>
          <w:color w:val="auto"/>
        </w:rPr>
        <w:t>.1评价方法简介</w:t>
      </w:r>
    </w:p>
    <w:p w14:paraId="20E633EA">
      <w:pPr>
        <w:spacing w:line="580" w:lineRule="exact"/>
        <w:ind w:firstLine="544" w:firstLineChars="200"/>
        <w:rPr>
          <w:rFonts w:hint="default" w:ascii="Times New Roman" w:hAnsi="Times New Roman" w:cs="Times New Roman"/>
          <w:color w:val="auto"/>
          <w:spacing w:val="-4"/>
          <w:sz w:val="28"/>
          <w:szCs w:val="28"/>
        </w:rPr>
      </w:pPr>
      <w:r>
        <w:rPr>
          <w:rFonts w:hint="default" w:ascii="Times New Roman" w:hAnsi="Times New Roman" w:cs="Times New Roman"/>
          <w:color w:val="auto"/>
          <w:spacing w:val="-4"/>
          <w:sz w:val="28"/>
          <w:szCs w:val="28"/>
        </w:rPr>
        <w:t>预先危险性分析（PHA）又称初步危险分析，主要用于对危险物质和装置的主要工艺区域等进行分析，用于分析物料、装置、工艺过程及能量失控时可能出现的危险性类别、条件及可能造成的后果，作宏观的概略分析，其目的是辨识系统中存在的潜在危险，确定其危险等级，防止危险发展成事故。</w:t>
      </w:r>
    </w:p>
    <w:p w14:paraId="706E5E5D">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其功能主要有：</w:t>
      </w:r>
    </w:p>
    <w:p w14:paraId="28EE1A92">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1、大体识别与系统有关的主要危险；</w:t>
      </w:r>
    </w:p>
    <w:p w14:paraId="588F89A4">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2、鉴别产生危险的原因；</w:t>
      </w:r>
    </w:p>
    <w:p w14:paraId="0D2927CE">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3、估计事故出现对人体及系统产生的影响；</w:t>
      </w:r>
    </w:p>
    <w:p w14:paraId="7375C77C">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4、判定已识别的危险等级，并提出消除或控制危险性的措施。</w:t>
      </w:r>
    </w:p>
    <w:p w14:paraId="743BF012">
      <w:pPr>
        <w:pStyle w:val="7"/>
        <w:bidi w:val="0"/>
        <w:rPr>
          <w:rFonts w:hint="default"/>
          <w:color w:val="auto"/>
        </w:rPr>
      </w:pPr>
      <w:r>
        <w:rPr>
          <w:rFonts w:hint="default"/>
          <w:color w:val="auto"/>
        </w:rPr>
        <w:t>4.2.</w:t>
      </w:r>
      <w:r>
        <w:rPr>
          <w:rFonts w:hint="eastAsia"/>
          <w:color w:val="auto"/>
          <w:lang w:val="en-US" w:eastAsia="zh-CN"/>
        </w:rPr>
        <w:t>2</w:t>
      </w:r>
      <w:r>
        <w:rPr>
          <w:rFonts w:hint="default"/>
          <w:color w:val="auto"/>
        </w:rPr>
        <w:t>.2分析步骤</w:t>
      </w:r>
    </w:p>
    <w:p w14:paraId="7AEC2B5A">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预先危险性分步骤为：</w:t>
      </w:r>
    </w:p>
    <w:p w14:paraId="52EA5CB1">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1、通过经验判断、技术诊断或其他方法调查确定危险源；</w:t>
      </w:r>
    </w:p>
    <w:p w14:paraId="1B9D304C">
      <w:pPr>
        <w:spacing w:line="580" w:lineRule="exact"/>
        <w:ind w:firstLine="560" w:firstLineChars="200"/>
        <w:rPr>
          <w:rFonts w:hint="eastAsia" w:ascii="Times New Roman" w:hAnsi="Times New Roman" w:eastAsia="宋体" w:cs="Times New Roman"/>
          <w:color w:val="auto"/>
          <w:sz w:val="28"/>
          <w:lang w:eastAsia="zh-CN"/>
        </w:rPr>
      </w:pPr>
      <w:r>
        <w:rPr>
          <w:rFonts w:hint="default" w:ascii="Times New Roman" w:hAnsi="Times New Roman" w:cs="Times New Roman"/>
          <w:color w:val="auto"/>
          <w:sz w:val="28"/>
        </w:rPr>
        <w:t>2、根据过去的经验教训及同类行业中发生的事故情况，判断能够造成系统故障、物质损失和人员伤害的危险性，分析事故的可能类型</w:t>
      </w:r>
      <w:r>
        <w:rPr>
          <w:rFonts w:hint="eastAsia" w:ascii="Times New Roman" w:hAnsi="Times New Roman" w:cs="Times New Roman"/>
          <w:color w:val="auto"/>
          <w:sz w:val="28"/>
          <w:lang w:eastAsia="zh-CN"/>
        </w:rPr>
        <w:t>；</w:t>
      </w:r>
    </w:p>
    <w:p w14:paraId="1E84B2C0">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3、对确定的危险源，制定预先危险性分析表；</w:t>
      </w:r>
    </w:p>
    <w:p w14:paraId="4328AE38">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4、进行危险性分级；</w:t>
      </w:r>
    </w:p>
    <w:p w14:paraId="31AD7F33">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5、制定对策措施。</w:t>
      </w:r>
    </w:p>
    <w:p w14:paraId="0267C403">
      <w:pPr>
        <w:pStyle w:val="7"/>
        <w:bidi w:val="0"/>
        <w:rPr>
          <w:rFonts w:hint="default"/>
          <w:color w:val="auto"/>
        </w:rPr>
      </w:pPr>
      <w:r>
        <w:rPr>
          <w:rFonts w:hint="default"/>
          <w:color w:val="auto"/>
        </w:rPr>
        <w:t>4.2.</w:t>
      </w:r>
      <w:r>
        <w:rPr>
          <w:rFonts w:hint="eastAsia"/>
          <w:color w:val="auto"/>
          <w:lang w:val="en-US" w:eastAsia="zh-CN"/>
        </w:rPr>
        <w:t>2</w:t>
      </w:r>
      <w:r>
        <w:rPr>
          <w:rFonts w:hint="default"/>
          <w:color w:val="auto"/>
        </w:rPr>
        <w:t>.3 预先危险性等级划分：</w:t>
      </w:r>
    </w:p>
    <w:p w14:paraId="743FDD5A">
      <w:pPr>
        <w:spacing w:line="58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在分析系统危险性时，为了衡量危险性大小及其对系统破坏性的影响程度，将各类危险性划分为4个等级。等级表见表4</w:t>
      </w:r>
      <w:r>
        <w:rPr>
          <w:rFonts w:hint="eastAsia" w:cs="Times New Roman"/>
          <w:color w:val="auto"/>
          <w:sz w:val="28"/>
          <w:lang w:val="en-US" w:eastAsia="zh-CN"/>
        </w:rPr>
        <w:t>.2</w:t>
      </w:r>
      <w:r>
        <w:rPr>
          <w:rFonts w:hint="default" w:ascii="Times New Roman" w:hAnsi="Times New Roman" w:cs="Times New Roman"/>
          <w:color w:val="auto"/>
          <w:sz w:val="28"/>
        </w:rPr>
        <w:t>-</w:t>
      </w:r>
      <w:r>
        <w:rPr>
          <w:rFonts w:hint="eastAsia" w:cs="Times New Roman"/>
          <w:color w:val="auto"/>
          <w:sz w:val="28"/>
          <w:lang w:val="en-US" w:eastAsia="zh-CN"/>
        </w:rPr>
        <w:t>1</w:t>
      </w:r>
      <w:r>
        <w:rPr>
          <w:rFonts w:hint="default" w:ascii="Times New Roman" w:hAnsi="Times New Roman" w:cs="Times New Roman"/>
          <w:color w:val="auto"/>
          <w:sz w:val="28"/>
        </w:rPr>
        <w:t>。</w:t>
      </w:r>
    </w:p>
    <w:p w14:paraId="7902CF8E">
      <w:pPr>
        <w:pStyle w:val="48"/>
        <w:bidi w:val="0"/>
        <w:rPr>
          <w:rFonts w:hint="default"/>
          <w:color w:val="auto"/>
        </w:rPr>
      </w:pPr>
      <w:r>
        <w:rPr>
          <w:rFonts w:hint="default"/>
          <w:color w:val="auto"/>
        </w:rPr>
        <w:t>表4</w:t>
      </w:r>
      <w:r>
        <w:rPr>
          <w:rFonts w:hint="eastAsia"/>
          <w:color w:val="auto"/>
          <w:lang w:val="en-US" w:eastAsia="zh-CN"/>
        </w:rPr>
        <w:t>.2</w:t>
      </w:r>
      <w:r>
        <w:rPr>
          <w:rFonts w:hint="default"/>
          <w:color w:val="auto"/>
        </w:rPr>
        <w:t>-</w:t>
      </w:r>
      <w:r>
        <w:rPr>
          <w:rFonts w:hint="eastAsia"/>
          <w:color w:val="auto"/>
          <w:lang w:val="en-US" w:eastAsia="zh-CN"/>
        </w:rPr>
        <w:t>1</w:t>
      </w:r>
      <w:r>
        <w:rPr>
          <w:rFonts w:hint="default"/>
          <w:color w:val="auto"/>
        </w:rPr>
        <w:t xml:space="preserve"> 危险等级划分表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262"/>
        <w:gridCol w:w="7408"/>
      </w:tblGrid>
      <w:tr w14:paraId="7294E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650" w:type="dxa"/>
            <w:noWrap w:val="0"/>
            <w:vAlign w:val="center"/>
          </w:tcPr>
          <w:p w14:paraId="3CC729C7">
            <w:pPr>
              <w:pStyle w:val="43"/>
              <w:bidi w:val="0"/>
              <w:rPr>
                <w:rFonts w:hint="default"/>
                <w:color w:val="auto"/>
              </w:rPr>
            </w:pPr>
            <w:r>
              <w:rPr>
                <w:rFonts w:hint="default"/>
                <w:color w:val="auto"/>
              </w:rPr>
              <w:t>级别</w:t>
            </w:r>
          </w:p>
        </w:tc>
        <w:tc>
          <w:tcPr>
            <w:tcW w:w="1262" w:type="dxa"/>
            <w:noWrap w:val="0"/>
            <w:vAlign w:val="center"/>
          </w:tcPr>
          <w:p w14:paraId="2102B1A0">
            <w:pPr>
              <w:pStyle w:val="43"/>
              <w:bidi w:val="0"/>
              <w:rPr>
                <w:rFonts w:hint="default"/>
                <w:color w:val="auto"/>
              </w:rPr>
            </w:pPr>
            <w:r>
              <w:rPr>
                <w:rFonts w:hint="default"/>
                <w:color w:val="auto"/>
              </w:rPr>
              <w:t>危险程度</w:t>
            </w:r>
          </w:p>
        </w:tc>
        <w:tc>
          <w:tcPr>
            <w:tcW w:w="7408" w:type="dxa"/>
            <w:noWrap w:val="0"/>
            <w:vAlign w:val="center"/>
          </w:tcPr>
          <w:p w14:paraId="13B01D56">
            <w:pPr>
              <w:pStyle w:val="43"/>
              <w:bidi w:val="0"/>
              <w:rPr>
                <w:rFonts w:hint="default"/>
                <w:color w:val="auto"/>
              </w:rPr>
            </w:pPr>
            <w:r>
              <w:rPr>
                <w:rFonts w:hint="default"/>
                <w:color w:val="auto"/>
              </w:rPr>
              <w:t>可能导致的后果</w:t>
            </w:r>
          </w:p>
        </w:tc>
      </w:tr>
      <w:tr w14:paraId="311B8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650" w:type="dxa"/>
            <w:noWrap w:val="0"/>
            <w:vAlign w:val="center"/>
          </w:tcPr>
          <w:p w14:paraId="2D4298E6">
            <w:pPr>
              <w:pStyle w:val="43"/>
              <w:bidi w:val="0"/>
              <w:rPr>
                <w:rFonts w:hint="default"/>
                <w:color w:val="auto"/>
              </w:rPr>
            </w:pPr>
            <w:r>
              <w:rPr>
                <w:rFonts w:hint="default"/>
                <w:color w:val="auto"/>
              </w:rPr>
              <w:t>Ⅰ</w:t>
            </w:r>
          </w:p>
        </w:tc>
        <w:tc>
          <w:tcPr>
            <w:tcW w:w="1262" w:type="dxa"/>
            <w:noWrap w:val="0"/>
            <w:vAlign w:val="center"/>
          </w:tcPr>
          <w:p w14:paraId="577817AD">
            <w:pPr>
              <w:pStyle w:val="43"/>
              <w:bidi w:val="0"/>
              <w:rPr>
                <w:rFonts w:hint="default"/>
                <w:color w:val="auto"/>
              </w:rPr>
            </w:pPr>
            <w:r>
              <w:rPr>
                <w:rFonts w:hint="default"/>
                <w:color w:val="auto"/>
              </w:rPr>
              <w:t>安全的</w:t>
            </w:r>
          </w:p>
        </w:tc>
        <w:tc>
          <w:tcPr>
            <w:tcW w:w="7408" w:type="dxa"/>
            <w:noWrap w:val="0"/>
            <w:vAlign w:val="center"/>
          </w:tcPr>
          <w:p w14:paraId="5CE37844">
            <w:pPr>
              <w:pStyle w:val="43"/>
              <w:bidi w:val="0"/>
              <w:rPr>
                <w:rFonts w:hint="default"/>
                <w:color w:val="auto"/>
              </w:rPr>
            </w:pPr>
            <w:r>
              <w:rPr>
                <w:rFonts w:hint="default"/>
                <w:color w:val="auto"/>
              </w:rPr>
              <w:t>不会造成人员伤亡及系统损坏</w:t>
            </w:r>
          </w:p>
        </w:tc>
      </w:tr>
      <w:tr w14:paraId="3956E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50" w:type="dxa"/>
            <w:noWrap w:val="0"/>
            <w:vAlign w:val="center"/>
          </w:tcPr>
          <w:p w14:paraId="347D321F">
            <w:pPr>
              <w:pStyle w:val="43"/>
              <w:bidi w:val="0"/>
              <w:rPr>
                <w:rFonts w:hint="default"/>
                <w:color w:val="auto"/>
              </w:rPr>
            </w:pPr>
            <w:r>
              <w:rPr>
                <w:rFonts w:hint="default"/>
                <w:color w:val="auto"/>
              </w:rPr>
              <w:t>Ⅱ</w:t>
            </w:r>
          </w:p>
        </w:tc>
        <w:tc>
          <w:tcPr>
            <w:tcW w:w="1262" w:type="dxa"/>
            <w:noWrap w:val="0"/>
            <w:vAlign w:val="center"/>
          </w:tcPr>
          <w:p w14:paraId="78A545B2">
            <w:pPr>
              <w:pStyle w:val="43"/>
              <w:bidi w:val="0"/>
              <w:rPr>
                <w:rFonts w:hint="default"/>
                <w:color w:val="auto"/>
              </w:rPr>
            </w:pPr>
            <w:r>
              <w:rPr>
                <w:rFonts w:hint="default"/>
                <w:color w:val="auto"/>
              </w:rPr>
              <w:t>临界的</w:t>
            </w:r>
          </w:p>
        </w:tc>
        <w:tc>
          <w:tcPr>
            <w:tcW w:w="7408" w:type="dxa"/>
            <w:noWrap w:val="0"/>
            <w:vAlign w:val="center"/>
          </w:tcPr>
          <w:p w14:paraId="4843AA74">
            <w:pPr>
              <w:pStyle w:val="43"/>
              <w:bidi w:val="0"/>
              <w:rPr>
                <w:rFonts w:hint="default"/>
                <w:color w:val="auto"/>
              </w:rPr>
            </w:pPr>
            <w:r>
              <w:rPr>
                <w:rFonts w:hint="default"/>
                <w:color w:val="auto"/>
              </w:rPr>
              <w:t>处于事故的边缘状态，暂时还不致于造成人员伤亡、系统损坏或降低系统性能，但应予以排除或采取控制措施</w:t>
            </w:r>
          </w:p>
        </w:tc>
      </w:tr>
      <w:tr w14:paraId="5544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650" w:type="dxa"/>
            <w:noWrap w:val="0"/>
            <w:vAlign w:val="center"/>
          </w:tcPr>
          <w:p w14:paraId="464C951A">
            <w:pPr>
              <w:pStyle w:val="43"/>
              <w:bidi w:val="0"/>
              <w:rPr>
                <w:rFonts w:hint="default"/>
                <w:color w:val="auto"/>
              </w:rPr>
            </w:pPr>
            <w:r>
              <w:rPr>
                <w:rFonts w:hint="default"/>
                <w:color w:val="auto"/>
              </w:rPr>
              <w:t>Ⅲ</w:t>
            </w:r>
          </w:p>
        </w:tc>
        <w:tc>
          <w:tcPr>
            <w:tcW w:w="1262" w:type="dxa"/>
            <w:noWrap w:val="0"/>
            <w:vAlign w:val="center"/>
          </w:tcPr>
          <w:p w14:paraId="4992821E">
            <w:pPr>
              <w:pStyle w:val="43"/>
              <w:bidi w:val="0"/>
              <w:rPr>
                <w:rFonts w:hint="default"/>
                <w:color w:val="auto"/>
              </w:rPr>
            </w:pPr>
            <w:r>
              <w:rPr>
                <w:rFonts w:hint="default"/>
                <w:color w:val="auto"/>
              </w:rPr>
              <w:t>危险的</w:t>
            </w:r>
          </w:p>
        </w:tc>
        <w:tc>
          <w:tcPr>
            <w:tcW w:w="7408" w:type="dxa"/>
            <w:noWrap w:val="0"/>
            <w:vAlign w:val="center"/>
          </w:tcPr>
          <w:p w14:paraId="12FB7D13">
            <w:pPr>
              <w:pStyle w:val="43"/>
              <w:bidi w:val="0"/>
              <w:rPr>
                <w:rFonts w:hint="default"/>
                <w:color w:val="auto"/>
              </w:rPr>
            </w:pPr>
            <w:r>
              <w:rPr>
                <w:rFonts w:hint="default"/>
                <w:color w:val="auto"/>
              </w:rPr>
              <w:t>会造成人员伤亡及系统损坏，要立即采取防范对策措施</w:t>
            </w:r>
          </w:p>
        </w:tc>
      </w:tr>
      <w:tr w14:paraId="5D0C8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50" w:type="dxa"/>
            <w:noWrap w:val="0"/>
            <w:vAlign w:val="center"/>
          </w:tcPr>
          <w:p w14:paraId="22FEE1B0">
            <w:pPr>
              <w:pStyle w:val="43"/>
              <w:bidi w:val="0"/>
              <w:rPr>
                <w:rFonts w:hint="default"/>
                <w:color w:val="auto"/>
              </w:rPr>
            </w:pPr>
            <w:r>
              <w:rPr>
                <w:rFonts w:hint="default"/>
                <w:color w:val="auto"/>
              </w:rPr>
              <w:t>Ⅳ</w:t>
            </w:r>
          </w:p>
        </w:tc>
        <w:tc>
          <w:tcPr>
            <w:tcW w:w="1262" w:type="dxa"/>
            <w:noWrap w:val="0"/>
            <w:vAlign w:val="center"/>
          </w:tcPr>
          <w:p w14:paraId="42CF2BF5">
            <w:pPr>
              <w:pStyle w:val="43"/>
              <w:bidi w:val="0"/>
              <w:rPr>
                <w:rFonts w:hint="default"/>
                <w:color w:val="auto"/>
              </w:rPr>
            </w:pPr>
            <w:r>
              <w:rPr>
                <w:rFonts w:hint="default"/>
                <w:color w:val="auto"/>
              </w:rPr>
              <w:t>灾难性的</w:t>
            </w:r>
          </w:p>
        </w:tc>
        <w:tc>
          <w:tcPr>
            <w:tcW w:w="7408" w:type="dxa"/>
            <w:noWrap w:val="0"/>
            <w:vAlign w:val="center"/>
          </w:tcPr>
          <w:p w14:paraId="5511E2DF">
            <w:pPr>
              <w:pStyle w:val="43"/>
              <w:bidi w:val="0"/>
              <w:rPr>
                <w:rFonts w:hint="default"/>
                <w:color w:val="auto"/>
              </w:rPr>
            </w:pPr>
            <w:r>
              <w:rPr>
                <w:rFonts w:hint="default"/>
                <w:color w:val="auto"/>
              </w:rPr>
              <w:t>造成人员重大伤亡及系统严重破坏的灾难性事故，必须予以果断排除并进行重点防范</w:t>
            </w:r>
          </w:p>
        </w:tc>
      </w:tr>
    </w:tbl>
    <w:p w14:paraId="2E977837">
      <w:pPr>
        <w:pStyle w:val="6"/>
        <w:rPr>
          <w:color w:val="auto"/>
        </w:rPr>
      </w:pPr>
      <w:bookmarkStart w:id="86" w:name="_Toc17552"/>
      <w:bookmarkStart w:id="87" w:name="_Toc6972"/>
      <w:bookmarkStart w:id="88" w:name="_Toc9230"/>
      <w:r>
        <w:rPr>
          <w:color w:val="auto"/>
        </w:rPr>
        <w:t>4.</w:t>
      </w:r>
      <w:r>
        <w:rPr>
          <w:rFonts w:hint="eastAsia"/>
          <w:color w:val="auto"/>
          <w:lang w:val="en-US" w:eastAsia="zh-CN"/>
        </w:rPr>
        <w:t>2</w:t>
      </w:r>
      <w:r>
        <w:rPr>
          <w:color w:val="auto"/>
        </w:rPr>
        <w:t>.</w:t>
      </w:r>
      <w:r>
        <w:rPr>
          <w:rFonts w:hint="eastAsia"/>
          <w:color w:val="auto"/>
        </w:rPr>
        <w:t>3</w:t>
      </w:r>
      <w:bookmarkStart w:id="89" w:name="_Toc20773"/>
      <w:r>
        <w:rPr>
          <w:color w:val="auto"/>
        </w:rPr>
        <w:t>作业条件危险性评价法</w:t>
      </w:r>
      <w:bookmarkEnd w:id="86"/>
      <w:bookmarkEnd w:id="87"/>
      <w:bookmarkEnd w:id="88"/>
      <w:bookmarkEnd w:id="89"/>
    </w:p>
    <w:p w14:paraId="32A137A8">
      <w:pPr>
        <w:spacing w:line="600" w:lineRule="exact"/>
        <w:rPr>
          <w:b/>
          <w:color w:val="auto"/>
          <w:sz w:val="28"/>
        </w:rPr>
      </w:pPr>
      <w:r>
        <w:rPr>
          <w:b/>
          <w:color w:val="auto"/>
          <w:sz w:val="28"/>
        </w:rPr>
        <w:t>1</w:t>
      </w:r>
      <w:r>
        <w:rPr>
          <w:rFonts w:hint="eastAsia"/>
          <w:b/>
          <w:color w:val="auto"/>
          <w:sz w:val="28"/>
        </w:rPr>
        <w:t>、</w:t>
      </w:r>
      <w:r>
        <w:rPr>
          <w:b/>
          <w:color w:val="auto"/>
          <w:sz w:val="28"/>
        </w:rPr>
        <w:t>评价方法简介</w:t>
      </w:r>
    </w:p>
    <w:p w14:paraId="09FA078A">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color w:val="auto"/>
          <w:sz w:val="28"/>
        </w:rPr>
      </w:pPr>
      <w:r>
        <w:rPr>
          <w:color w:val="auto"/>
          <w:sz w:val="28"/>
        </w:rPr>
        <w:t>作业条件危险性评价法是一种简单易行的评价操作人员在具有潜在危险性环境中作业时的危险性的半定量评价方法。</w:t>
      </w:r>
    </w:p>
    <w:p w14:paraId="02F32FC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color w:val="auto"/>
          <w:sz w:val="28"/>
        </w:rPr>
      </w:pPr>
      <w:r>
        <w:rPr>
          <w:color w:val="auto"/>
          <w:sz w:val="28"/>
        </w:rPr>
        <w:t>作业条件危险性评价法用与系统风险有关的三种因素指标值之积来评价操作人员伤亡风险大小，这三种因素是L：事故发生的可能性；E：人员暴露于危险环境中的频繁程度；C：一旦发生事故可能造成的后果。给三种因素的不同等级分别确定不同的分值，再以三个分值的乘积D来评价作业条件危险性的大小。即：D＝L×E×C。</w:t>
      </w:r>
    </w:p>
    <w:p w14:paraId="75FCB802">
      <w:pPr>
        <w:spacing w:line="600" w:lineRule="exact"/>
        <w:rPr>
          <w:b/>
          <w:bCs/>
          <w:color w:val="auto"/>
          <w:sz w:val="28"/>
        </w:rPr>
      </w:pPr>
      <w:r>
        <w:rPr>
          <w:b/>
          <w:bCs/>
          <w:color w:val="auto"/>
          <w:sz w:val="28"/>
        </w:rPr>
        <w:t>2</w:t>
      </w:r>
      <w:r>
        <w:rPr>
          <w:rFonts w:hint="eastAsia"/>
          <w:b/>
          <w:bCs/>
          <w:color w:val="auto"/>
          <w:sz w:val="28"/>
        </w:rPr>
        <w:t>、</w:t>
      </w:r>
      <w:r>
        <w:rPr>
          <w:b/>
          <w:bCs/>
          <w:color w:val="auto"/>
          <w:sz w:val="28"/>
        </w:rPr>
        <w:t>评价步骤</w:t>
      </w:r>
    </w:p>
    <w:p w14:paraId="6B12506B">
      <w:pPr>
        <w:spacing w:line="600" w:lineRule="exact"/>
        <w:ind w:firstLine="560" w:firstLineChars="200"/>
        <w:rPr>
          <w:color w:val="auto"/>
          <w:sz w:val="28"/>
        </w:rPr>
      </w:pPr>
      <w:r>
        <w:rPr>
          <w:rFonts w:hint="eastAsia"/>
          <w:color w:val="auto"/>
          <w:sz w:val="28"/>
        </w:rPr>
        <w:t>（1）</w:t>
      </w:r>
      <w:r>
        <w:rPr>
          <w:color w:val="auto"/>
          <w:sz w:val="28"/>
        </w:rPr>
        <w:t>以类比作业条件比较为基础，由熟悉作业条件的人员组成评价小组；</w:t>
      </w:r>
    </w:p>
    <w:p w14:paraId="0868423F">
      <w:pPr>
        <w:spacing w:line="600" w:lineRule="exact"/>
        <w:ind w:firstLine="560" w:firstLineChars="200"/>
        <w:rPr>
          <w:color w:val="auto"/>
          <w:spacing w:val="-10"/>
          <w:sz w:val="28"/>
        </w:rPr>
      </w:pPr>
      <w:r>
        <w:rPr>
          <w:rFonts w:hint="eastAsia"/>
          <w:color w:val="auto"/>
          <w:sz w:val="28"/>
        </w:rPr>
        <w:t>（2）</w:t>
      </w:r>
      <w:r>
        <w:rPr>
          <w:color w:val="auto"/>
          <w:spacing w:val="-10"/>
          <w:sz w:val="28"/>
        </w:rPr>
        <w:t>由评价小组成员按照标准给L、E、C分别打分，取各组的平均值作为L、E、C的计算分值，用计算的危险性分值D来评价作业条件的危险性等级。</w:t>
      </w:r>
    </w:p>
    <w:p w14:paraId="75826F5A">
      <w:pPr>
        <w:spacing w:line="600" w:lineRule="exact"/>
        <w:rPr>
          <w:b/>
          <w:color w:val="auto"/>
          <w:sz w:val="28"/>
        </w:rPr>
      </w:pPr>
      <w:r>
        <w:rPr>
          <w:b/>
          <w:color w:val="auto"/>
          <w:sz w:val="28"/>
        </w:rPr>
        <w:t>3</w:t>
      </w:r>
      <w:r>
        <w:rPr>
          <w:rFonts w:hint="eastAsia"/>
          <w:b/>
          <w:color w:val="auto"/>
          <w:sz w:val="28"/>
        </w:rPr>
        <w:t>、</w:t>
      </w:r>
      <w:r>
        <w:rPr>
          <w:b/>
          <w:color w:val="auto"/>
          <w:sz w:val="28"/>
        </w:rPr>
        <w:t>赋分标准</w:t>
      </w:r>
    </w:p>
    <w:p w14:paraId="2CD13D80">
      <w:pPr>
        <w:spacing w:line="600" w:lineRule="exact"/>
        <w:ind w:firstLine="560" w:firstLineChars="200"/>
        <w:rPr>
          <w:color w:val="auto"/>
          <w:sz w:val="28"/>
        </w:rPr>
      </w:pPr>
      <w:r>
        <w:rPr>
          <w:rFonts w:hint="eastAsia"/>
          <w:color w:val="auto"/>
          <w:sz w:val="28"/>
        </w:rPr>
        <w:t>（1）</w:t>
      </w:r>
      <w:r>
        <w:rPr>
          <w:color w:val="auto"/>
          <w:sz w:val="28"/>
        </w:rPr>
        <w:t>事故发生的可能性（L）</w:t>
      </w:r>
    </w:p>
    <w:p w14:paraId="02CAE34A">
      <w:pPr>
        <w:spacing w:line="600" w:lineRule="exact"/>
        <w:ind w:firstLine="560" w:firstLineChars="200"/>
        <w:rPr>
          <w:b/>
          <w:bCs/>
          <w:color w:val="auto"/>
          <w:sz w:val="28"/>
        </w:rPr>
      </w:pPr>
      <w:r>
        <w:rPr>
          <w:color w:val="auto"/>
          <w:sz w:val="28"/>
        </w:rPr>
        <w:t>事故发生的可能性用概率来表示时，绝对不可能发生的事故频率为0，而必然发生的事故概率为1。然而，从系统安全的角度考虑，绝对不发生的事故是不可能的，所以人为地将发生事故的可能性极小的分值定为0.1，而必然要发生的事故的分值定为10，以此为基础介于这两者之间的指定为若干中间值。见表4</w:t>
      </w:r>
      <w:r>
        <w:rPr>
          <w:rFonts w:hint="eastAsia"/>
          <w:color w:val="auto"/>
          <w:sz w:val="28"/>
          <w:lang w:val="en-US" w:eastAsia="zh-CN"/>
        </w:rPr>
        <w:t>.2</w:t>
      </w:r>
      <w:r>
        <w:rPr>
          <w:color w:val="auto"/>
          <w:sz w:val="28"/>
        </w:rPr>
        <w:t>-</w:t>
      </w:r>
      <w:r>
        <w:rPr>
          <w:rFonts w:hint="eastAsia"/>
          <w:color w:val="auto"/>
          <w:sz w:val="28"/>
          <w:lang w:val="en-US" w:eastAsia="zh-CN"/>
        </w:rPr>
        <w:t>2</w:t>
      </w:r>
      <w:r>
        <w:rPr>
          <w:color w:val="auto"/>
          <w:sz w:val="28"/>
        </w:rPr>
        <w:t>。</w:t>
      </w:r>
    </w:p>
    <w:p w14:paraId="0A44ECE2">
      <w:pPr>
        <w:pStyle w:val="48"/>
        <w:bidi w:val="0"/>
        <w:rPr>
          <w:color w:val="auto"/>
        </w:rPr>
      </w:pPr>
      <w:r>
        <w:rPr>
          <w:color w:val="auto"/>
        </w:rPr>
        <w:t>表4</w:t>
      </w:r>
      <w:r>
        <w:rPr>
          <w:rFonts w:hint="eastAsia"/>
          <w:color w:val="auto"/>
          <w:lang w:val="en-US" w:eastAsia="zh-CN"/>
        </w:rPr>
        <w:t>.2</w:t>
      </w:r>
      <w:r>
        <w:rPr>
          <w:color w:val="auto"/>
        </w:rPr>
        <w:t>-</w:t>
      </w:r>
      <w:r>
        <w:rPr>
          <w:rFonts w:hint="eastAsia"/>
          <w:color w:val="auto"/>
          <w:lang w:val="en-US" w:eastAsia="zh-CN"/>
        </w:rPr>
        <w:t>2</w:t>
      </w:r>
      <w:r>
        <w:rPr>
          <w:color w:val="auto"/>
        </w:rPr>
        <w:t xml:space="preserve">  事故发生的可能性（L）</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3395"/>
        <w:gridCol w:w="1131"/>
        <w:gridCol w:w="3499"/>
      </w:tblGrid>
      <w:tr w14:paraId="374B7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exact"/>
        </w:trPr>
        <w:tc>
          <w:tcPr>
            <w:tcW w:w="1235" w:type="dxa"/>
            <w:noWrap w:val="0"/>
            <w:vAlign w:val="center"/>
          </w:tcPr>
          <w:p w14:paraId="49C3C6FD">
            <w:pPr>
              <w:pStyle w:val="43"/>
              <w:bidi w:val="0"/>
              <w:rPr>
                <w:color w:val="auto"/>
              </w:rPr>
            </w:pPr>
            <w:r>
              <w:rPr>
                <w:color w:val="auto"/>
              </w:rPr>
              <w:t>分数值</w:t>
            </w:r>
          </w:p>
        </w:tc>
        <w:tc>
          <w:tcPr>
            <w:tcW w:w="3395" w:type="dxa"/>
            <w:noWrap w:val="0"/>
            <w:vAlign w:val="center"/>
          </w:tcPr>
          <w:p w14:paraId="73ADB4DE">
            <w:pPr>
              <w:pStyle w:val="43"/>
              <w:bidi w:val="0"/>
              <w:rPr>
                <w:color w:val="auto"/>
              </w:rPr>
            </w:pPr>
            <w:r>
              <w:rPr>
                <w:color w:val="auto"/>
              </w:rPr>
              <w:t>事故发生的可能性</w:t>
            </w:r>
          </w:p>
        </w:tc>
        <w:tc>
          <w:tcPr>
            <w:tcW w:w="1131" w:type="dxa"/>
            <w:noWrap w:val="0"/>
            <w:vAlign w:val="center"/>
          </w:tcPr>
          <w:p w14:paraId="097AA299">
            <w:pPr>
              <w:pStyle w:val="43"/>
              <w:bidi w:val="0"/>
              <w:rPr>
                <w:color w:val="auto"/>
              </w:rPr>
            </w:pPr>
            <w:r>
              <w:rPr>
                <w:color w:val="auto"/>
              </w:rPr>
              <w:t>分数值</w:t>
            </w:r>
          </w:p>
        </w:tc>
        <w:tc>
          <w:tcPr>
            <w:tcW w:w="3499" w:type="dxa"/>
            <w:noWrap w:val="0"/>
            <w:vAlign w:val="center"/>
          </w:tcPr>
          <w:p w14:paraId="5A4D2199">
            <w:pPr>
              <w:pStyle w:val="43"/>
              <w:bidi w:val="0"/>
              <w:rPr>
                <w:color w:val="auto"/>
              </w:rPr>
            </w:pPr>
            <w:r>
              <w:rPr>
                <w:color w:val="auto"/>
              </w:rPr>
              <w:t>事故发生的可能性</w:t>
            </w:r>
          </w:p>
        </w:tc>
      </w:tr>
      <w:tr w14:paraId="01DC3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exact"/>
        </w:trPr>
        <w:tc>
          <w:tcPr>
            <w:tcW w:w="1235" w:type="dxa"/>
            <w:noWrap w:val="0"/>
            <w:vAlign w:val="center"/>
          </w:tcPr>
          <w:p w14:paraId="129974DD">
            <w:pPr>
              <w:pStyle w:val="43"/>
              <w:bidi w:val="0"/>
              <w:rPr>
                <w:color w:val="auto"/>
              </w:rPr>
            </w:pPr>
            <w:r>
              <w:rPr>
                <w:color w:val="auto"/>
              </w:rPr>
              <w:t>10</w:t>
            </w:r>
          </w:p>
        </w:tc>
        <w:tc>
          <w:tcPr>
            <w:tcW w:w="3395" w:type="dxa"/>
            <w:noWrap w:val="0"/>
            <w:vAlign w:val="center"/>
          </w:tcPr>
          <w:p w14:paraId="574C44E7">
            <w:pPr>
              <w:pStyle w:val="43"/>
              <w:bidi w:val="0"/>
              <w:rPr>
                <w:color w:val="auto"/>
              </w:rPr>
            </w:pPr>
            <w:r>
              <w:rPr>
                <w:color w:val="auto"/>
              </w:rPr>
              <w:t>完全可以预料到</w:t>
            </w:r>
          </w:p>
        </w:tc>
        <w:tc>
          <w:tcPr>
            <w:tcW w:w="1131" w:type="dxa"/>
            <w:noWrap w:val="0"/>
            <w:vAlign w:val="center"/>
          </w:tcPr>
          <w:p w14:paraId="756C5D1A">
            <w:pPr>
              <w:pStyle w:val="43"/>
              <w:bidi w:val="0"/>
              <w:rPr>
                <w:color w:val="auto"/>
              </w:rPr>
            </w:pPr>
            <w:r>
              <w:rPr>
                <w:color w:val="auto"/>
              </w:rPr>
              <w:t>0.5</w:t>
            </w:r>
          </w:p>
        </w:tc>
        <w:tc>
          <w:tcPr>
            <w:tcW w:w="3499" w:type="dxa"/>
            <w:noWrap w:val="0"/>
            <w:vAlign w:val="center"/>
          </w:tcPr>
          <w:p w14:paraId="6CD2147D">
            <w:pPr>
              <w:pStyle w:val="43"/>
              <w:bidi w:val="0"/>
              <w:rPr>
                <w:color w:val="auto"/>
              </w:rPr>
            </w:pPr>
            <w:r>
              <w:rPr>
                <w:color w:val="auto"/>
              </w:rPr>
              <w:t>极不可能，可以设想</w:t>
            </w:r>
          </w:p>
        </w:tc>
      </w:tr>
      <w:tr w14:paraId="5F279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exact"/>
        </w:trPr>
        <w:tc>
          <w:tcPr>
            <w:tcW w:w="1235" w:type="dxa"/>
            <w:noWrap w:val="0"/>
            <w:vAlign w:val="center"/>
          </w:tcPr>
          <w:p w14:paraId="3D5DC207">
            <w:pPr>
              <w:pStyle w:val="43"/>
              <w:bidi w:val="0"/>
              <w:rPr>
                <w:color w:val="auto"/>
              </w:rPr>
            </w:pPr>
            <w:r>
              <w:rPr>
                <w:color w:val="auto"/>
              </w:rPr>
              <w:t>5</w:t>
            </w:r>
          </w:p>
        </w:tc>
        <w:tc>
          <w:tcPr>
            <w:tcW w:w="3395" w:type="dxa"/>
            <w:noWrap w:val="0"/>
            <w:vAlign w:val="center"/>
          </w:tcPr>
          <w:p w14:paraId="2790B1A3">
            <w:pPr>
              <w:pStyle w:val="43"/>
              <w:bidi w:val="0"/>
              <w:rPr>
                <w:color w:val="auto"/>
              </w:rPr>
            </w:pPr>
            <w:r>
              <w:rPr>
                <w:color w:val="auto"/>
              </w:rPr>
              <w:t>相当可能</w:t>
            </w:r>
          </w:p>
        </w:tc>
        <w:tc>
          <w:tcPr>
            <w:tcW w:w="1131" w:type="dxa"/>
            <w:noWrap w:val="0"/>
            <w:vAlign w:val="center"/>
          </w:tcPr>
          <w:p w14:paraId="03929FDD">
            <w:pPr>
              <w:pStyle w:val="43"/>
              <w:bidi w:val="0"/>
              <w:rPr>
                <w:color w:val="auto"/>
              </w:rPr>
            </w:pPr>
            <w:r>
              <w:rPr>
                <w:color w:val="auto"/>
              </w:rPr>
              <w:t>0.2</w:t>
            </w:r>
          </w:p>
        </w:tc>
        <w:tc>
          <w:tcPr>
            <w:tcW w:w="3499" w:type="dxa"/>
            <w:noWrap w:val="0"/>
            <w:vAlign w:val="center"/>
          </w:tcPr>
          <w:p w14:paraId="19DC27BA">
            <w:pPr>
              <w:pStyle w:val="43"/>
              <w:bidi w:val="0"/>
              <w:rPr>
                <w:color w:val="auto"/>
              </w:rPr>
            </w:pPr>
            <w:r>
              <w:rPr>
                <w:color w:val="auto"/>
              </w:rPr>
              <w:t>极不可能</w:t>
            </w:r>
          </w:p>
        </w:tc>
      </w:tr>
      <w:tr w14:paraId="755ED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1235" w:type="dxa"/>
            <w:noWrap w:val="0"/>
            <w:vAlign w:val="center"/>
          </w:tcPr>
          <w:p w14:paraId="4E1335EE">
            <w:pPr>
              <w:pStyle w:val="43"/>
              <w:bidi w:val="0"/>
              <w:rPr>
                <w:color w:val="auto"/>
              </w:rPr>
            </w:pPr>
            <w:r>
              <w:rPr>
                <w:color w:val="auto"/>
              </w:rPr>
              <w:t>3</w:t>
            </w:r>
          </w:p>
        </w:tc>
        <w:tc>
          <w:tcPr>
            <w:tcW w:w="3395" w:type="dxa"/>
            <w:noWrap w:val="0"/>
            <w:vAlign w:val="center"/>
          </w:tcPr>
          <w:p w14:paraId="2A0E8D4D">
            <w:pPr>
              <w:pStyle w:val="43"/>
              <w:bidi w:val="0"/>
              <w:rPr>
                <w:color w:val="auto"/>
              </w:rPr>
            </w:pPr>
            <w:r>
              <w:rPr>
                <w:color w:val="auto"/>
              </w:rPr>
              <w:t>可能，但不经常</w:t>
            </w:r>
          </w:p>
        </w:tc>
        <w:tc>
          <w:tcPr>
            <w:tcW w:w="1131" w:type="dxa"/>
            <w:noWrap w:val="0"/>
            <w:vAlign w:val="center"/>
          </w:tcPr>
          <w:p w14:paraId="6F7918AC">
            <w:pPr>
              <w:pStyle w:val="43"/>
              <w:bidi w:val="0"/>
              <w:rPr>
                <w:color w:val="auto"/>
              </w:rPr>
            </w:pPr>
            <w:r>
              <w:rPr>
                <w:color w:val="auto"/>
              </w:rPr>
              <w:t>0.1</w:t>
            </w:r>
          </w:p>
        </w:tc>
        <w:tc>
          <w:tcPr>
            <w:tcW w:w="3499" w:type="dxa"/>
            <w:noWrap w:val="0"/>
            <w:vAlign w:val="center"/>
          </w:tcPr>
          <w:p w14:paraId="50FD991D">
            <w:pPr>
              <w:pStyle w:val="43"/>
              <w:bidi w:val="0"/>
              <w:rPr>
                <w:color w:val="auto"/>
              </w:rPr>
            </w:pPr>
            <w:r>
              <w:rPr>
                <w:color w:val="auto"/>
              </w:rPr>
              <w:t>实际不可能</w:t>
            </w:r>
          </w:p>
        </w:tc>
      </w:tr>
      <w:tr w14:paraId="6BE9D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exact"/>
        </w:trPr>
        <w:tc>
          <w:tcPr>
            <w:tcW w:w="1235" w:type="dxa"/>
            <w:noWrap w:val="0"/>
            <w:vAlign w:val="center"/>
          </w:tcPr>
          <w:p w14:paraId="6FCADEDE">
            <w:pPr>
              <w:pStyle w:val="43"/>
              <w:bidi w:val="0"/>
              <w:rPr>
                <w:color w:val="auto"/>
              </w:rPr>
            </w:pPr>
            <w:r>
              <w:rPr>
                <w:color w:val="auto"/>
              </w:rPr>
              <w:t>1</w:t>
            </w:r>
          </w:p>
        </w:tc>
        <w:tc>
          <w:tcPr>
            <w:tcW w:w="3395" w:type="dxa"/>
            <w:noWrap w:val="0"/>
            <w:vAlign w:val="center"/>
          </w:tcPr>
          <w:p w14:paraId="2364AAC8">
            <w:pPr>
              <w:pStyle w:val="43"/>
              <w:bidi w:val="0"/>
              <w:rPr>
                <w:color w:val="auto"/>
              </w:rPr>
            </w:pPr>
            <w:r>
              <w:rPr>
                <w:color w:val="auto"/>
              </w:rPr>
              <w:t>可能性小，完全意外</w:t>
            </w:r>
          </w:p>
        </w:tc>
        <w:tc>
          <w:tcPr>
            <w:tcW w:w="1131" w:type="dxa"/>
            <w:noWrap w:val="0"/>
            <w:vAlign w:val="center"/>
          </w:tcPr>
          <w:p w14:paraId="1279183D">
            <w:pPr>
              <w:pStyle w:val="43"/>
              <w:bidi w:val="0"/>
              <w:rPr>
                <w:color w:val="auto"/>
              </w:rPr>
            </w:pPr>
          </w:p>
        </w:tc>
        <w:tc>
          <w:tcPr>
            <w:tcW w:w="3499" w:type="dxa"/>
            <w:noWrap w:val="0"/>
            <w:vAlign w:val="center"/>
          </w:tcPr>
          <w:p w14:paraId="42325BE1">
            <w:pPr>
              <w:pStyle w:val="43"/>
              <w:bidi w:val="0"/>
              <w:rPr>
                <w:color w:val="auto"/>
              </w:rPr>
            </w:pPr>
          </w:p>
        </w:tc>
      </w:tr>
    </w:tbl>
    <w:p w14:paraId="41487310">
      <w:pPr>
        <w:spacing w:line="600" w:lineRule="exact"/>
        <w:rPr>
          <w:color w:val="auto"/>
          <w:sz w:val="28"/>
        </w:rPr>
      </w:pPr>
      <w:r>
        <w:rPr>
          <w:rFonts w:hint="eastAsia"/>
          <w:color w:val="auto"/>
          <w:sz w:val="28"/>
        </w:rPr>
        <w:t>（2）</w:t>
      </w:r>
      <w:r>
        <w:rPr>
          <w:color w:val="auto"/>
          <w:sz w:val="28"/>
        </w:rPr>
        <w:t>人员暴露于危险环境的频繁程度（E）</w:t>
      </w:r>
    </w:p>
    <w:p w14:paraId="06E4727E">
      <w:pPr>
        <w:spacing w:line="600" w:lineRule="exact"/>
        <w:ind w:firstLine="560" w:firstLineChars="200"/>
        <w:jc w:val="left"/>
        <w:rPr>
          <w:color w:val="auto"/>
          <w:sz w:val="28"/>
        </w:rPr>
      </w:pPr>
      <w:r>
        <w:rPr>
          <w:color w:val="auto"/>
          <w:sz w:val="28"/>
        </w:rPr>
        <w:t>人员暴露于危险环境中的时间越多，受到伤害的可能性越大，相应的危险性也越大。规定人员连续出现在危险环境的情况分值为10，而非常罕见地出现在危险环境中的情况分值为0.5，介于两者之间的各种情况规定若干个中间值。见表4</w:t>
      </w:r>
      <w:r>
        <w:rPr>
          <w:rFonts w:hint="eastAsia"/>
          <w:color w:val="auto"/>
          <w:sz w:val="28"/>
          <w:lang w:val="en-US" w:eastAsia="zh-CN"/>
        </w:rPr>
        <w:t>.2</w:t>
      </w:r>
      <w:r>
        <w:rPr>
          <w:color w:val="auto"/>
          <w:sz w:val="28"/>
        </w:rPr>
        <w:t>-</w:t>
      </w:r>
      <w:r>
        <w:rPr>
          <w:rFonts w:hint="eastAsia"/>
          <w:color w:val="auto"/>
          <w:sz w:val="28"/>
          <w:lang w:val="en-US" w:eastAsia="zh-CN"/>
        </w:rPr>
        <w:t>3</w:t>
      </w:r>
      <w:r>
        <w:rPr>
          <w:color w:val="auto"/>
          <w:sz w:val="28"/>
        </w:rPr>
        <w:t>。</w:t>
      </w:r>
    </w:p>
    <w:p w14:paraId="658AA780">
      <w:pPr>
        <w:pStyle w:val="48"/>
        <w:bidi w:val="0"/>
        <w:rPr>
          <w:color w:val="auto"/>
        </w:rPr>
      </w:pPr>
      <w:r>
        <w:rPr>
          <w:color w:val="auto"/>
        </w:rPr>
        <w:t>表4</w:t>
      </w:r>
      <w:r>
        <w:rPr>
          <w:rFonts w:hint="eastAsia"/>
          <w:color w:val="auto"/>
          <w:lang w:val="en-US" w:eastAsia="zh-CN"/>
        </w:rPr>
        <w:t>.2</w:t>
      </w:r>
      <w:r>
        <w:rPr>
          <w:color w:val="auto"/>
        </w:rPr>
        <w:t>-</w:t>
      </w:r>
      <w:r>
        <w:rPr>
          <w:rFonts w:hint="eastAsia"/>
          <w:color w:val="auto"/>
          <w:lang w:val="en-US" w:eastAsia="zh-CN"/>
        </w:rPr>
        <w:t>3</w:t>
      </w:r>
      <w:r>
        <w:rPr>
          <w:color w:val="auto"/>
        </w:rPr>
        <w:t xml:space="preserve">  人员暴露于危险环境的频繁程度（E）</w:t>
      </w:r>
    </w:p>
    <w:tbl>
      <w:tblPr>
        <w:tblStyle w:val="33"/>
        <w:tblW w:w="9138" w:type="dxa"/>
        <w:tblInd w:w="1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3573"/>
        <w:gridCol w:w="987"/>
        <w:gridCol w:w="3565"/>
      </w:tblGrid>
      <w:tr w14:paraId="7B0D3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013" w:type="dxa"/>
            <w:noWrap w:val="0"/>
            <w:vAlign w:val="center"/>
          </w:tcPr>
          <w:p w14:paraId="65DB7177">
            <w:pPr>
              <w:pStyle w:val="43"/>
              <w:bidi w:val="0"/>
              <w:rPr>
                <w:color w:val="auto"/>
              </w:rPr>
            </w:pPr>
            <w:r>
              <w:rPr>
                <w:color w:val="auto"/>
              </w:rPr>
              <w:t>分数值</w:t>
            </w:r>
          </w:p>
        </w:tc>
        <w:tc>
          <w:tcPr>
            <w:tcW w:w="3573" w:type="dxa"/>
            <w:noWrap w:val="0"/>
            <w:vAlign w:val="center"/>
          </w:tcPr>
          <w:p w14:paraId="47724D91">
            <w:pPr>
              <w:pStyle w:val="43"/>
              <w:bidi w:val="0"/>
              <w:rPr>
                <w:color w:val="auto"/>
              </w:rPr>
            </w:pPr>
            <w:r>
              <w:rPr>
                <w:color w:val="auto"/>
              </w:rPr>
              <w:t>人员暴露于危险环境的频繁程度</w:t>
            </w:r>
          </w:p>
        </w:tc>
        <w:tc>
          <w:tcPr>
            <w:tcW w:w="987" w:type="dxa"/>
            <w:noWrap w:val="0"/>
            <w:vAlign w:val="center"/>
          </w:tcPr>
          <w:p w14:paraId="22E59812">
            <w:pPr>
              <w:pStyle w:val="43"/>
              <w:bidi w:val="0"/>
              <w:rPr>
                <w:color w:val="auto"/>
              </w:rPr>
            </w:pPr>
            <w:r>
              <w:rPr>
                <w:color w:val="auto"/>
              </w:rPr>
              <w:t>分数值</w:t>
            </w:r>
          </w:p>
        </w:tc>
        <w:tc>
          <w:tcPr>
            <w:tcW w:w="3565" w:type="dxa"/>
            <w:noWrap w:val="0"/>
            <w:vAlign w:val="center"/>
          </w:tcPr>
          <w:p w14:paraId="7DA40D20">
            <w:pPr>
              <w:pStyle w:val="43"/>
              <w:bidi w:val="0"/>
              <w:rPr>
                <w:color w:val="auto"/>
              </w:rPr>
            </w:pPr>
            <w:r>
              <w:rPr>
                <w:color w:val="auto"/>
              </w:rPr>
              <w:t>人员暴露于危险环境的频繁程度</w:t>
            </w:r>
          </w:p>
        </w:tc>
      </w:tr>
      <w:tr w14:paraId="23AA9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1013" w:type="dxa"/>
            <w:noWrap w:val="0"/>
            <w:vAlign w:val="center"/>
          </w:tcPr>
          <w:p w14:paraId="0B08322B">
            <w:pPr>
              <w:pStyle w:val="43"/>
              <w:bidi w:val="0"/>
              <w:rPr>
                <w:color w:val="auto"/>
              </w:rPr>
            </w:pPr>
            <w:r>
              <w:rPr>
                <w:color w:val="auto"/>
              </w:rPr>
              <w:t>10</w:t>
            </w:r>
          </w:p>
        </w:tc>
        <w:tc>
          <w:tcPr>
            <w:tcW w:w="3573" w:type="dxa"/>
            <w:noWrap w:val="0"/>
            <w:vAlign w:val="center"/>
          </w:tcPr>
          <w:p w14:paraId="3B8D3BAE">
            <w:pPr>
              <w:pStyle w:val="43"/>
              <w:bidi w:val="0"/>
              <w:rPr>
                <w:color w:val="auto"/>
              </w:rPr>
            </w:pPr>
            <w:r>
              <w:rPr>
                <w:color w:val="auto"/>
              </w:rPr>
              <w:t>连续暴露</w:t>
            </w:r>
          </w:p>
        </w:tc>
        <w:tc>
          <w:tcPr>
            <w:tcW w:w="987" w:type="dxa"/>
            <w:noWrap w:val="0"/>
            <w:vAlign w:val="center"/>
          </w:tcPr>
          <w:p w14:paraId="46DB342D">
            <w:pPr>
              <w:pStyle w:val="43"/>
              <w:bidi w:val="0"/>
              <w:rPr>
                <w:color w:val="auto"/>
              </w:rPr>
            </w:pPr>
            <w:r>
              <w:rPr>
                <w:color w:val="auto"/>
              </w:rPr>
              <w:t>2</w:t>
            </w:r>
          </w:p>
        </w:tc>
        <w:tc>
          <w:tcPr>
            <w:tcW w:w="3565" w:type="dxa"/>
            <w:noWrap w:val="0"/>
            <w:vAlign w:val="center"/>
          </w:tcPr>
          <w:p w14:paraId="443CFA7A">
            <w:pPr>
              <w:pStyle w:val="43"/>
              <w:bidi w:val="0"/>
              <w:rPr>
                <w:color w:val="auto"/>
              </w:rPr>
            </w:pPr>
            <w:r>
              <w:rPr>
                <w:color w:val="auto"/>
              </w:rPr>
              <w:t>每月一次暴露</w:t>
            </w:r>
          </w:p>
        </w:tc>
      </w:tr>
      <w:tr w14:paraId="117C0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1013" w:type="dxa"/>
            <w:noWrap w:val="0"/>
            <w:vAlign w:val="center"/>
          </w:tcPr>
          <w:p w14:paraId="09B0ED75">
            <w:pPr>
              <w:pStyle w:val="43"/>
              <w:bidi w:val="0"/>
              <w:rPr>
                <w:color w:val="auto"/>
              </w:rPr>
            </w:pPr>
            <w:r>
              <w:rPr>
                <w:color w:val="auto"/>
              </w:rPr>
              <w:t>6</w:t>
            </w:r>
          </w:p>
        </w:tc>
        <w:tc>
          <w:tcPr>
            <w:tcW w:w="3573" w:type="dxa"/>
            <w:noWrap w:val="0"/>
            <w:vAlign w:val="center"/>
          </w:tcPr>
          <w:p w14:paraId="6620ABC1">
            <w:pPr>
              <w:pStyle w:val="43"/>
              <w:bidi w:val="0"/>
              <w:rPr>
                <w:color w:val="auto"/>
              </w:rPr>
            </w:pPr>
            <w:r>
              <w:rPr>
                <w:color w:val="auto"/>
              </w:rPr>
              <w:t>每天工作时间暴露</w:t>
            </w:r>
          </w:p>
        </w:tc>
        <w:tc>
          <w:tcPr>
            <w:tcW w:w="987" w:type="dxa"/>
            <w:noWrap w:val="0"/>
            <w:vAlign w:val="center"/>
          </w:tcPr>
          <w:p w14:paraId="016EBB1B">
            <w:pPr>
              <w:pStyle w:val="43"/>
              <w:bidi w:val="0"/>
              <w:rPr>
                <w:color w:val="auto"/>
              </w:rPr>
            </w:pPr>
            <w:r>
              <w:rPr>
                <w:color w:val="auto"/>
              </w:rPr>
              <w:t>1</w:t>
            </w:r>
          </w:p>
        </w:tc>
        <w:tc>
          <w:tcPr>
            <w:tcW w:w="3565" w:type="dxa"/>
            <w:noWrap w:val="0"/>
            <w:vAlign w:val="center"/>
          </w:tcPr>
          <w:p w14:paraId="19F5805C">
            <w:pPr>
              <w:pStyle w:val="43"/>
              <w:bidi w:val="0"/>
              <w:rPr>
                <w:color w:val="auto"/>
              </w:rPr>
            </w:pPr>
            <w:r>
              <w:rPr>
                <w:color w:val="auto"/>
              </w:rPr>
              <w:t>每年几次暴露</w:t>
            </w:r>
          </w:p>
        </w:tc>
      </w:tr>
      <w:tr w14:paraId="47EF0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trPr>
        <w:tc>
          <w:tcPr>
            <w:tcW w:w="1013" w:type="dxa"/>
            <w:noWrap w:val="0"/>
            <w:vAlign w:val="center"/>
          </w:tcPr>
          <w:p w14:paraId="2F8681BA">
            <w:pPr>
              <w:pStyle w:val="43"/>
              <w:bidi w:val="0"/>
              <w:rPr>
                <w:color w:val="auto"/>
              </w:rPr>
            </w:pPr>
            <w:r>
              <w:rPr>
                <w:color w:val="auto"/>
              </w:rPr>
              <w:t>3</w:t>
            </w:r>
          </w:p>
        </w:tc>
        <w:tc>
          <w:tcPr>
            <w:tcW w:w="3573" w:type="dxa"/>
            <w:noWrap w:val="0"/>
            <w:vAlign w:val="center"/>
          </w:tcPr>
          <w:p w14:paraId="36EFDD14">
            <w:pPr>
              <w:pStyle w:val="43"/>
              <w:bidi w:val="0"/>
              <w:rPr>
                <w:color w:val="auto"/>
              </w:rPr>
            </w:pPr>
            <w:r>
              <w:rPr>
                <w:color w:val="auto"/>
              </w:rPr>
              <w:t>每周一次，或偶然暴露</w:t>
            </w:r>
          </w:p>
        </w:tc>
        <w:tc>
          <w:tcPr>
            <w:tcW w:w="987" w:type="dxa"/>
            <w:noWrap w:val="0"/>
            <w:vAlign w:val="center"/>
          </w:tcPr>
          <w:p w14:paraId="16582516">
            <w:pPr>
              <w:pStyle w:val="43"/>
              <w:bidi w:val="0"/>
              <w:rPr>
                <w:color w:val="auto"/>
              </w:rPr>
            </w:pPr>
            <w:r>
              <w:rPr>
                <w:color w:val="auto"/>
              </w:rPr>
              <w:t>0.5</w:t>
            </w:r>
          </w:p>
        </w:tc>
        <w:tc>
          <w:tcPr>
            <w:tcW w:w="3565" w:type="dxa"/>
            <w:noWrap w:val="0"/>
            <w:vAlign w:val="center"/>
          </w:tcPr>
          <w:p w14:paraId="0A6481A4">
            <w:pPr>
              <w:pStyle w:val="43"/>
              <w:bidi w:val="0"/>
              <w:rPr>
                <w:color w:val="auto"/>
              </w:rPr>
            </w:pPr>
            <w:r>
              <w:rPr>
                <w:color w:val="auto"/>
              </w:rPr>
              <w:t>非常罕见的暴露</w:t>
            </w:r>
          </w:p>
        </w:tc>
      </w:tr>
    </w:tbl>
    <w:p w14:paraId="6FD60C98">
      <w:pPr>
        <w:spacing w:line="600" w:lineRule="exact"/>
        <w:rPr>
          <w:color w:val="auto"/>
          <w:sz w:val="28"/>
        </w:rPr>
      </w:pPr>
      <w:r>
        <w:rPr>
          <w:rFonts w:hint="eastAsia"/>
          <w:color w:val="auto"/>
          <w:sz w:val="28"/>
        </w:rPr>
        <w:t>（3）</w:t>
      </w:r>
      <w:r>
        <w:rPr>
          <w:color w:val="auto"/>
          <w:sz w:val="28"/>
        </w:rPr>
        <w:t>发生事故可能造成的后果（C）</w:t>
      </w:r>
    </w:p>
    <w:p w14:paraId="3A98E79C">
      <w:pPr>
        <w:spacing w:line="600" w:lineRule="exact"/>
        <w:ind w:firstLine="560" w:firstLineChars="200"/>
        <w:rPr>
          <w:color w:val="auto"/>
          <w:sz w:val="28"/>
        </w:rPr>
      </w:pPr>
      <w:r>
        <w:rPr>
          <w:color w:val="auto"/>
          <w:sz w:val="28"/>
        </w:rPr>
        <w:t>事故造成的人员伤亡和财产损失的范围变化很大，所以规定分数值为1</w:t>
      </w:r>
      <w:r>
        <w:rPr>
          <w:rFonts w:hint="eastAsia"/>
          <w:color w:val="auto"/>
          <w:sz w:val="28"/>
        </w:rPr>
        <w:t>-</w:t>
      </w:r>
      <w:r>
        <w:rPr>
          <w:color w:val="auto"/>
          <w:sz w:val="28"/>
        </w:rPr>
        <w:t>100。把需要治疗的轻微伤害或较小财产损失的分数值规定为1，造成多人死亡或重大财产损失的分数值规定为100，介于两者之间的情况规定若干个中间值。见表4</w:t>
      </w:r>
      <w:r>
        <w:rPr>
          <w:rFonts w:hint="eastAsia"/>
          <w:color w:val="auto"/>
          <w:sz w:val="28"/>
          <w:lang w:val="en-US" w:eastAsia="zh-CN"/>
        </w:rPr>
        <w:t>.2</w:t>
      </w:r>
      <w:r>
        <w:rPr>
          <w:color w:val="auto"/>
          <w:sz w:val="28"/>
        </w:rPr>
        <w:t>-</w:t>
      </w:r>
      <w:r>
        <w:rPr>
          <w:rFonts w:hint="eastAsia"/>
          <w:color w:val="auto"/>
          <w:sz w:val="28"/>
          <w:lang w:val="en-US" w:eastAsia="zh-CN"/>
        </w:rPr>
        <w:t>4</w:t>
      </w:r>
      <w:r>
        <w:rPr>
          <w:color w:val="auto"/>
          <w:sz w:val="28"/>
        </w:rPr>
        <w:t>。</w:t>
      </w:r>
    </w:p>
    <w:p w14:paraId="30E5CAFC">
      <w:pPr>
        <w:pStyle w:val="48"/>
        <w:bidi w:val="0"/>
        <w:rPr>
          <w:color w:val="auto"/>
        </w:rPr>
      </w:pPr>
      <w:r>
        <w:rPr>
          <w:color w:val="auto"/>
        </w:rPr>
        <w:t>表4</w:t>
      </w:r>
      <w:r>
        <w:rPr>
          <w:rFonts w:hint="eastAsia"/>
          <w:color w:val="auto"/>
          <w:lang w:val="en-US" w:eastAsia="zh-CN"/>
        </w:rPr>
        <w:t>.2</w:t>
      </w:r>
      <w:r>
        <w:rPr>
          <w:color w:val="auto"/>
        </w:rPr>
        <w:t>-</w:t>
      </w:r>
      <w:r>
        <w:rPr>
          <w:rFonts w:hint="eastAsia"/>
          <w:color w:val="auto"/>
          <w:lang w:val="en-US" w:eastAsia="zh-CN"/>
        </w:rPr>
        <w:t>4</w:t>
      </w:r>
      <w:r>
        <w:rPr>
          <w:color w:val="auto"/>
        </w:rPr>
        <w:t xml:space="preserve">  发生事故可能造成的后果（C）</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3773"/>
        <w:gridCol w:w="883"/>
        <w:gridCol w:w="3678"/>
      </w:tblGrid>
      <w:tr w14:paraId="27521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844" w:type="dxa"/>
            <w:noWrap w:val="0"/>
            <w:vAlign w:val="center"/>
          </w:tcPr>
          <w:p w14:paraId="6740FF38">
            <w:pPr>
              <w:pStyle w:val="43"/>
              <w:bidi w:val="0"/>
              <w:rPr>
                <w:color w:val="auto"/>
              </w:rPr>
            </w:pPr>
            <w:r>
              <w:rPr>
                <w:color w:val="auto"/>
              </w:rPr>
              <w:t>分数值</w:t>
            </w:r>
          </w:p>
        </w:tc>
        <w:tc>
          <w:tcPr>
            <w:tcW w:w="3773" w:type="dxa"/>
            <w:noWrap w:val="0"/>
            <w:vAlign w:val="center"/>
          </w:tcPr>
          <w:p w14:paraId="72CC6FBE">
            <w:pPr>
              <w:pStyle w:val="43"/>
              <w:bidi w:val="0"/>
              <w:rPr>
                <w:color w:val="auto"/>
              </w:rPr>
            </w:pPr>
            <w:r>
              <w:rPr>
                <w:color w:val="auto"/>
              </w:rPr>
              <w:t>发生事故可能造成的后果</w:t>
            </w:r>
          </w:p>
        </w:tc>
        <w:tc>
          <w:tcPr>
            <w:tcW w:w="883" w:type="dxa"/>
            <w:noWrap w:val="0"/>
            <w:vAlign w:val="center"/>
          </w:tcPr>
          <w:p w14:paraId="73EAD901">
            <w:pPr>
              <w:pStyle w:val="43"/>
              <w:bidi w:val="0"/>
              <w:rPr>
                <w:color w:val="auto"/>
              </w:rPr>
            </w:pPr>
            <w:r>
              <w:rPr>
                <w:color w:val="auto"/>
              </w:rPr>
              <w:t>分数值</w:t>
            </w:r>
          </w:p>
        </w:tc>
        <w:tc>
          <w:tcPr>
            <w:tcW w:w="3678" w:type="dxa"/>
            <w:noWrap w:val="0"/>
            <w:vAlign w:val="center"/>
          </w:tcPr>
          <w:p w14:paraId="2E30B0C3">
            <w:pPr>
              <w:pStyle w:val="43"/>
              <w:bidi w:val="0"/>
              <w:rPr>
                <w:color w:val="auto"/>
              </w:rPr>
            </w:pPr>
            <w:r>
              <w:rPr>
                <w:color w:val="auto"/>
              </w:rPr>
              <w:t>发生事故可能造成的后果</w:t>
            </w:r>
          </w:p>
        </w:tc>
      </w:tr>
      <w:tr w14:paraId="1271D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844" w:type="dxa"/>
            <w:noWrap w:val="0"/>
            <w:vAlign w:val="center"/>
          </w:tcPr>
          <w:p w14:paraId="1D0972FC">
            <w:pPr>
              <w:pStyle w:val="43"/>
              <w:bidi w:val="0"/>
              <w:rPr>
                <w:color w:val="auto"/>
              </w:rPr>
            </w:pPr>
            <w:r>
              <w:rPr>
                <w:color w:val="auto"/>
              </w:rPr>
              <w:t>100</w:t>
            </w:r>
          </w:p>
        </w:tc>
        <w:tc>
          <w:tcPr>
            <w:tcW w:w="3773" w:type="dxa"/>
            <w:noWrap w:val="0"/>
            <w:vAlign w:val="center"/>
          </w:tcPr>
          <w:p w14:paraId="0CEAA629">
            <w:pPr>
              <w:pStyle w:val="43"/>
              <w:bidi w:val="0"/>
              <w:rPr>
                <w:color w:val="auto"/>
              </w:rPr>
            </w:pPr>
            <w:r>
              <w:rPr>
                <w:color w:val="auto"/>
              </w:rPr>
              <w:t>大灾难，多人死亡或重大财产损失</w:t>
            </w:r>
          </w:p>
        </w:tc>
        <w:tc>
          <w:tcPr>
            <w:tcW w:w="883" w:type="dxa"/>
            <w:noWrap w:val="0"/>
            <w:vAlign w:val="center"/>
          </w:tcPr>
          <w:p w14:paraId="484D0FDF">
            <w:pPr>
              <w:pStyle w:val="43"/>
              <w:bidi w:val="0"/>
              <w:rPr>
                <w:color w:val="auto"/>
              </w:rPr>
            </w:pPr>
            <w:r>
              <w:rPr>
                <w:color w:val="auto"/>
              </w:rPr>
              <w:t>7</w:t>
            </w:r>
          </w:p>
        </w:tc>
        <w:tc>
          <w:tcPr>
            <w:tcW w:w="3678" w:type="dxa"/>
            <w:noWrap w:val="0"/>
            <w:vAlign w:val="center"/>
          </w:tcPr>
          <w:p w14:paraId="1336F73B">
            <w:pPr>
              <w:pStyle w:val="43"/>
              <w:bidi w:val="0"/>
              <w:rPr>
                <w:color w:val="auto"/>
              </w:rPr>
            </w:pPr>
            <w:r>
              <w:rPr>
                <w:color w:val="auto"/>
              </w:rPr>
              <w:t>严重，重伤或较小的财产损失</w:t>
            </w:r>
          </w:p>
        </w:tc>
      </w:tr>
      <w:tr w14:paraId="32868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844" w:type="dxa"/>
            <w:noWrap w:val="0"/>
            <w:vAlign w:val="center"/>
          </w:tcPr>
          <w:p w14:paraId="48E01B88">
            <w:pPr>
              <w:pStyle w:val="43"/>
              <w:bidi w:val="0"/>
              <w:rPr>
                <w:color w:val="auto"/>
              </w:rPr>
            </w:pPr>
            <w:r>
              <w:rPr>
                <w:color w:val="auto"/>
              </w:rPr>
              <w:t>40</w:t>
            </w:r>
          </w:p>
        </w:tc>
        <w:tc>
          <w:tcPr>
            <w:tcW w:w="3773" w:type="dxa"/>
            <w:noWrap w:val="0"/>
            <w:vAlign w:val="center"/>
          </w:tcPr>
          <w:p w14:paraId="1E86A9B6">
            <w:pPr>
              <w:pStyle w:val="43"/>
              <w:bidi w:val="0"/>
              <w:rPr>
                <w:color w:val="auto"/>
              </w:rPr>
            </w:pPr>
            <w:r>
              <w:rPr>
                <w:color w:val="auto"/>
              </w:rPr>
              <w:t>灾难，数人死亡或很大财产损失</w:t>
            </w:r>
          </w:p>
        </w:tc>
        <w:tc>
          <w:tcPr>
            <w:tcW w:w="883" w:type="dxa"/>
            <w:noWrap w:val="0"/>
            <w:vAlign w:val="center"/>
          </w:tcPr>
          <w:p w14:paraId="24139111">
            <w:pPr>
              <w:pStyle w:val="43"/>
              <w:bidi w:val="0"/>
              <w:rPr>
                <w:color w:val="auto"/>
              </w:rPr>
            </w:pPr>
            <w:r>
              <w:rPr>
                <w:color w:val="auto"/>
              </w:rPr>
              <w:t>3</w:t>
            </w:r>
          </w:p>
        </w:tc>
        <w:tc>
          <w:tcPr>
            <w:tcW w:w="3678" w:type="dxa"/>
            <w:noWrap w:val="0"/>
            <w:vAlign w:val="center"/>
          </w:tcPr>
          <w:p w14:paraId="709E6DDE">
            <w:pPr>
              <w:pStyle w:val="43"/>
              <w:bidi w:val="0"/>
              <w:rPr>
                <w:color w:val="auto"/>
              </w:rPr>
            </w:pPr>
            <w:r>
              <w:rPr>
                <w:color w:val="auto"/>
              </w:rPr>
              <w:t>重大，致残或很小的财产损失</w:t>
            </w:r>
          </w:p>
        </w:tc>
      </w:tr>
      <w:tr w14:paraId="0016A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44" w:type="dxa"/>
            <w:noWrap w:val="0"/>
            <w:vAlign w:val="center"/>
          </w:tcPr>
          <w:p w14:paraId="7A2E3AC5">
            <w:pPr>
              <w:pStyle w:val="43"/>
              <w:bidi w:val="0"/>
              <w:rPr>
                <w:color w:val="auto"/>
              </w:rPr>
            </w:pPr>
            <w:r>
              <w:rPr>
                <w:color w:val="auto"/>
              </w:rPr>
              <w:t>15</w:t>
            </w:r>
          </w:p>
        </w:tc>
        <w:tc>
          <w:tcPr>
            <w:tcW w:w="3773" w:type="dxa"/>
            <w:noWrap w:val="0"/>
            <w:vAlign w:val="center"/>
          </w:tcPr>
          <w:p w14:paraId="18712B10">
            <w:pPr>
              <w:pStyle w:val="43"/>
              <w:bidi w:val="0"/>
              <w:rPr>
                <w:color w:val="auto"/>
              </w:rPr>
            </w:pPr>
            <w:r>
              <w:rPr>
                <w:color w:val="auto"/>
              </w:rPr>
              <w:t>非常严重，一人死亡或一定的财产损失</w:t>
            </w:r>
          </w:p>
        </w:tc>
        <w:tc>
          <w:tcPr>
            <w:tcW w:w="883" w:type="dxa"/>
            <w:noWrap w:val="0"/>
            <w:vAlign w:val="center"/>
          </w:tcPr>
          <w:p w14:paraId="188F7002">
            <w:pPr>
              <w:pStyle w:val="43"/>
              <w:bidi w:val="0"/>
              <w:rPr>
                <w:color w:val="auto"/>
              </w:rPr>
            </w:pPr>
            <w:r>
              <w:rPr>
                <w:color w:val="auto"/>
              </w:rPr>
              <w:t>1</w:t>
            </w:r>
          </w:p>
        </w:tc>
        <w:tc>
          <w:tcPr>
            <w:tcW w:w="3678" w:type="dxa"/>
            <w:noWrap w:val="0"/>
            <w:vAlign w:val="center"/>
          </w:tcPr>
          <w:p w14:paraId="6F965448">
            <w:pPr>
              <w:pStyle w:val="43"/>
              <w:bidi w:val="0"/>
              <w:rPr>
                <w:color w:val="auto"/>
              </w:rPr>
            </w:pPr>
            <w:r>
              <w:rPr>
                <w:color w:val="auto"/>
              </w:rPr>
              <w:t>引人注目，不利于基本的安全卫生要求</w:t>
            </w:r>
          </w:p>
        </w:tc>
      </w:tr>
    </w:tbl>
    <w:p w14:paraId="09FE36A6">
      <w:pPr>
        <w:rPr>
          <w:b/>
          <w:color w:val="auto"/>
          <w:sz w:val="28"/>
        </w:rPr>
      </w:pPr>
      <w:r>
        <w:rPr>
          <w:rFonts w:hint="eastAsia"/>
          <w:color w:val="auto"/>
          <w:sz w:val="28"/>
        </w:rPr>
        <w:t>（4）</w:t>
      </w:r>
      <w:r>
        <w:rPr>
          <w:b/>
          <w:color w:val="auto"/>
          <w:sz w:val="28"/>
        </w:rPr>
        <w:t>危险等级划分标准</w:t>
      </w:r>
    </w:p>
    <w:p w14:paraId="7A1A973D">
      <w:pPr>
        <w:spacing w:line="600" w:lineRule="exact"/>
        <w:ind w:firstLine="560" w:firstLineChars="200"/>
        <w:rPr>
          <w:color w:val="auto"/>
          <w:sz w:val="28"/>
        </w:rPr>
      </w:pPr>
      <w:r>
        <w:rPr>
          <w:color w:val="auto"/>
          <w:sz w:val="28"/>
          <w:szCs w:val="28"/>
        </w:rPr>
        <w:t>根据经验，危险性分值在20分以下为低危险性，这样的危险比日常生活中骑自行车去上班还要安全些，如果危险性分值在20-70之间，为</w:t>
      </w:r>
      <w:r>
        <w:rPr>
          <w:rFonts w:hint="eastAsia"/>
          <w:color w:val="auto"/>
          <w:sz w:val="28"/>
          <w:szCs w:val="28"/>
        </w:rPr>
        <w:t>一般</w:t>
      </w:r>
      <w:r>
        <w:rPr>
          <w:color w:val="auto"/>
          <w:sz w:val="28"/>
          <w:szCs w:val="28"/>
        </w:rPr>
        <w:t>危险，需要注意；如果危险性分值在70-160之间，有显著的危险性，需要采取措施整改；如果危险性分值在160-320之间，有高度危险性，必须立即整改；如果危险性分值大于320，极度危险，应立即停止作业，彻底整改。</w:t>
      </w:r>
      <w:r>
        <w:rPr>
          <w:color w:val="auto"/>
          <w:sz w:val="28"/>
        </w:rPr>
        <w:t>按危险性分值划分危险性等级的标准见表4</w:t>
      </w:r>
      <w:r>
        <w:rPr>
          <w:rFonts w:hint="eastAsia"/>
          <w:color w:val="auto"/>
          <w:sz w:val="28"/>
          <w:lang w:val="en-US" w:eastAsia="zh-CN"/>
        </w:rPr>
        <w:t>.2</w:t>
      </w:r>
      <w:r>
        <w:rPr>
          <w:color w:val="auto"/>
          <w:sz w:val="28"/>
        </w:rPr>
        <w:t>-</w:t>
      </w:r>
      <w:r>
        <w:rPr>
          <w:rFonts w:hint="eastAsia"/>
          <w:color w:val="auto"/>
          <w:sz w:val="28"/>
          <w:lang w:val="en-US" w:eastAsia="zh-CN"/>
        </w:rPr>
        <w:t>5</w:t>
      </w:r>
      <w:r>
        <w:rPr>
          <w:color w:val="auto"/>
          <w:sz w:val="28"/>
        </w:rPr>
        <w:t>。</w:t>
      </w:r>
    </w:p>
    <w:p w14:paraId="1A5077FB">
      <w:pPr>
        <w:pStyle w:val="43"/>
        <w:bidi w:val="0"/>
        <w:rPr>
          <w:b/>
          <w:bCs/>
          <w:color w:val="auto"/>
          <w:sz w:val="24"/>
        </w:rPr>
      </w:pPr>
    </w:p>
    <w:p w14:paraId="570F7927">
      <w:pPr>
        <w:pStyle w:val="48"/>
        <w:bidi w:val="0"/>
        <w:rPr>
          <w:color w:val="auto"/>
          <w:sz w:val="24"/>
        </w:rPr>
      </w:pPr>
      <w:r>
        <w:rPr>
          <w:b/>
          <w:bCs/>
          <w:color w:val="auto"/>
          <w:sz w:val="24"/>
        </w:rPr>
        <w:t>表</w:t>
      </w:r>
      <w:r>
        <w:rPr>
          <w:b/>
          <w:color w:val="auto"/>
          <w:sz w:val="24"/>
        </w:rPr>
        <w:t>4</w:t>
      </w:r>
      <w:r>
        <w:rPr>
          <w:rFonts w:hint="eastAsia"/>
          <w:b/>
          <w:color w:val="auto"/>
          <w:sz w:val="24"/>
          <w:lang w:val="en-US" w:eastAsia="zh-CN"/>
        </w:rPr>
        <w:t>.2</w:t>
      </w:r>
      <w:r>
        <w:rPr>
          <w:b/>
          <w:color w:val="auto"/>
          <w:sz w:val="24"/>
        </w:rPr>
        <w:t>-</w:t>
      </w:r>
      <w:r>
        <w:rPr>
          <w:rFonts w:hint="eastAsia"/>
          <w:b/>
          <w:color w:val="auto"/>
          <w:sz w:val="24"/>
          <w:lang w:val="en-US" w:eastAsia="zh-CN"/>
        </w:rPr>
        <w:t>5</w:t>
      </w:r>
      <w:r>
        <w:rPr>
          <w:color w:val="auto"/>
          <w:sz w:val="24"/>
        </w:rPr>
        <w:t xml:space="preserve">  </w:t>
      </w:r>
      <w:r>
        <w:rPr>
          <w:b/>
          <w:bCs/>
          <w:color w:val="auto"/>
          <w:sz w:val="24"/>
        </w:rPr>
        <w:t>危险性等级划分标准</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3160"/>
        <w:gridCol w:w="1673"/>
        <w:gridCol w:w="3160"/>
      </w:tblGrid>
      <w:tr w14:paraId="6CAD9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1300" w:type="dxa"/>
            <w:noWrap w:val="0"/>
            <w:vAlign w:val="center"/>
          </w:tcPr>
          <w:p w14:paraId="3F53197E">
            <w:pPr>
              <w:pStyle w:val="43"/>
              <w:bidi w:val="0"/>
              <w:rPr>
                <w:color w:val="auto"/>
              </w:rPr>
            </w:pPr>
            <w:r>
              <w:rPr>
                <w:color w:val="auto"/>
              </w:rPr>
              <w:t>D值</w:t>
            </w:r>
          </w:p>
        </w:tc>
        <w:tc>
          <w:tcPr>
            <w:tcW w:w="3160" w:type="dxa"/>
            <w:noWrap w:val="0"/>
            <w:vAlign w:val="center"/>
          </w:tcPr>
          <w:p w14:paraId="32EEAFF1">
            <w:pPr>
              <w:pStyle w:val="43"/>
              <w:bidi w:val="0"/>
              <w:rPr>
                <w:color w:val="auto"/>
              </w:rPr>
            </w:pPr>
            <w:r>
              <w:rPr>
                <w:color w:val="auto"/>
              </w:rPr>
              <w:t>危险程度</w:t>
            </w:r>
          </w:p>
        </w:tc>
        <w:tc>
          <w:tcPr>
            <w:tcW w:w="1673" w:type="dxa"/>
            <w:noWrap w:val="0"/>
            <w:vAlign w:val="center"/>
          </w:tcPr>
          <w:p w14:paraId="66DF6117">
            <w:pPr>
              <w:pStyle w:val="43"/>
              <w:bidi w:val="0"/>
              <w:rPr>
                <w:color w:val="auto"/>
              </w:rPr>
            </w:pPr>
            <w:r>
              <w:rPr>
                <w:color w:val="auto"/>
              </w:rPr>
              <w:t>D值</w:t>
            </w:r>
          </w:p>
        </w:tc>
        <w:tc>
          <w:tcPr>
            <w:tcW w:w="3160" w:type="dxa"/>
            <w:noWrap w:val="0"/>
            <w:vAlign w:val="center"/>
          </w:tcPr>
          <w:p w14:paraId="3D3588C6">
            <w:pPr>
              <w:pStyle w:val="43"/>
              <w:bidi w:val="0"/>
              <w:rPr>
                <w:color w:val="auto"/>
              </w:rPr>
            </w:pPr>
            <w:r>
              <w:rPr>
                <w:color w:val="auto"/>
              </w:rPr>
              <w:t>危险程度</w:t>
            </w:r>
          </w:p>
        </w:tc>
      </w:tr>
      <w:tr w14:paraId="6315F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1300" w:type="dxa"/>
            <w:noWrap w:val="0"/>
            <w:vAlign w:val="center"/>
          </w:tcPr>
          <w:p w14:paraId="353C92B2">
            <w:pPr>
              <w:pStyle w:val="43"/>
              <w:bidi w:val="0"/>
              <w:rPr>
                <w:color w:val="auto"/>
              </w:rPr>
            </w:pPr>
            <w:r>
              <w:rPr>
                <w:color w:val="auto"/>
              </w:rPr>
              <w:t>＞320</w:t>
            </w:r>
          </w:p>
        </w:tc>
        <w:tc>
          <w:tcPr>
            <w:tcW w:w="3160" w:type="dxa"/>
            <w:noWrap w:val="0"/>
            <w:vAlign w:val="center"/>
          </w:tcPr>
          <w:p w14:paraId="4095051C">
            <w:pPr>
              <w:pStyle w:val="43"/>
              <w:bidi w:val="0"/>
              <w:rPr>
                <w:color w:val="auto"/>
              </w:rPr>
            </w:pPr>
            <w:r>
              <w:rPr>
                <w:color w:val="auto"/>
              </w:rPr>
              <w:t>极其危险，不能继续作业</w:t>
            </w:r>
          </w:p>
        </w:tc>
        <w:tc>
          <w:tcPr>
            <w:tcW w:w="1673" w:type="dxa"/>
            <w:noWrap w:val="0"/>
            <w:vAlign w:val="center"/>
          </w:tcPr>
          <w:p w14:paraId="7E2DED3A">
            <w:pPr>
              <w:pStyle w:val="43"/>
              <w:bidi w:val="0"/>
              <w:rPr>
                <w:color w:val="auto"/>
              </w:rPr>
            </w:pPr>
            <w:r>
              <w:rPr>
                <w:color w:val="auto"/>
              </w:rPr>
              <w:t>20－70</w:t>
            </w:r>
          </w:p>
        </w:tc>
        <w:tc>
          <w:tcPr>
            <w:tcW w:w="3160" w:type="dxa"/>
            <w:noWrap w:val="0"/>
            <w:vAlign w:val="center"/>
          </w:tcPr>
          <w:p w14:paraId="3BED8C4A">
            <w:pPr>
              <w:pStyle w:val="43"/>
              <w:bidi w:val="0"/>
              <w:rPr>
                <w:color w:val="auto"/>
              </w:rPr>
            </w:pPr>
            <w:r>
              <w:rPr>
                <w:color w:val="auto"/>
              </w:rPr>
              <w:t>一般危险，需要注意</w:t>
            </w:r>
          </w:p>
        </w:tc>
      </w:tr>
      <w:tr w14:paraId="77F3A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300" w:type="dxa"/>
            <w:noWrap w:val="0"/>
            <w:vAlign w:val="center"/>
          </w:tcPr>
          <w:p w14:paraId="3F92072B">
            <w:pPr>
              <w:pStyle w:val="43"/>
              <w:bidi w:val="0"/>
              <w:rPr>
                <w:color w:val="auto"/>
              </w:rPr>
            </w:pPr>
            <w:r>
              <w:rPr>
                <w:color w:val="auto"/>
              </w:rPr>
              <w:t>160－320</w:t>
            </w:r>
          </w:p>
        </w:tc>
        <w:tc>
          <w:tcPr>
            <w:tcW w:w="3160" w:type="dxa"/>
            <w:noWrap w:val="0"/>
            <w:vAlign w:val="center"/>
          </w:tcPr>
          <w:p w14:paraId="7F45010F">
            <w:pPr>
              <w:pStyle w:val="43"/>
              <w:bidi w:val="0"/>
              <w:rPr>
                <w:color w:val="auto"/>
              </w:rPr>
            </w:pPr>
            <w:r>
              <w:rPr>
                <w:color w:val="auto"/>
              </w:rPr>
              <w:t>高度危险，需立即整改</w:t>
            </w:r>
          </w:p>
        </w:tc>
        <w:tc>
          <w:tcPr>
            <w:tcW w:w="1673" w:type="dxa"/>
            <w:noWrap w:val="0"/>
            <w:vAlign w:val="center"/>
          </w:tcPr>
          <w:p w14:paraId="4F550FE2">
            <w:pPr>
              <w:pStyle w:val="43"/>
              <w:bidi w:val="0"/>
              <w:rPr>
                <w:color w:val="auto"/>
              </w:rPr>
            </w:pPr>
            <w:r>
              <w:rPr>
                <w:color w:val="auto"/>
              </w:rPr>
              <w:t>＜20</w:t>
            </w:r>
          </w:p>
        </w:tc>
        <w:tc>
          <w:tcPr>
            <w:tcW w:w="3160" w:type="dxa"/>
            <w:noWrap w:val="0"/>
            <w:vAlign w:val="center"/>
          </w:tcPr>
          <w:p w14:paraId="70782D05">
            <w:pPr>
              <w:pStyle w:val="43"/>
              <w:bidi w:val="0"/>
              <w:rPr>
                <w:color w:val="auto"/>
              </w:rPr>
            </w:pPr>
            <w:r>
              <w:rPr>
                <w:color w:val="auto"/>
              </w:rPr>
              <w:t>稍有危险，可以接受</w:t>
            </w:r>
          </w:p>
        </w:tc>
      </w:tr>
      <w:tr w14:paraId="1DE0E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300" w:type="dxa"/>
            <w:noWrap w:val="0"/>
            <w:vAlign w:val="center"/>
          </w:tcPr>
          <w:p w14:paraId="159EFAE6">
            <w:pPr>
              <w:pStyle w:val="43"/>
              <w:bidi w:val="0"/>
              <w:rPr>
                <w:color w:val="auto"/>
              </w:rPr>
            </w:pPr>
            <w:r>
              <w:rPr>
                <w:color w:val="auto"/>
              </w:rPr>
              <w:t>70－160</w:t>
            </w:r>
          </w:p>
        </w:tc>
        <w:tc>
          <w:tcPr>
            <w:tcW w:w="3160" w:type="dxa"/>
            <w:noWrap w:val="0"/>
            <w:vAlign w:val="center"/>
          </w:tcPr>
          <w:p w14:paraId="20F6E04A">
            <w:pPr>
              <w:pStyle w:val="43"/>
              <w:bidi w:val="0"/>
              <w:rPr>
                <w:color w:val="auto"/>
              </w:rPr>
            </w:pPr>
            <w:r>
              <w:rPr>
                <w:color w:val="auto"/>
              </w:rPr>
              <w:t>显著危险，需要整改</w:t>
            </w:r>
          </w:p>
        </w:tc>
        <w:tc>
          <w:tcPr>
            <w:tcW w:w="1673" w:type="dxa"/>
            <w:noWrap w:val="0"/>
            <w:vAlign w:val="center"/>
          </w:tcPr>
          <w:p w14:paraId="2BB08C9E">
            <w:pPr>
              <w:pStyle w:val="43"/>
              <w:bidi w:val="0"/>
              <w:rPr>
                <w:color w:val="auto"/>
              </w:rPr>
            </w:pPr>
          </w:p>
        </w:tc>
        <w:tc>
          <w:tcPr>
            <w:tcW w:w="3160" w:type="dxa"/>
            <w:noWrap w:val="0"/>
            <w:vAlign w:val="center"/>
          </w:tcPr>
          <w:p w14:paraId="7D33E040">
            <w:pPr>
              <w:pStyle w:val="43"/>
              <w:bidi w:val="0"/>
              <w:rPr>
                <w:color w:val="auto"/>
              </w:rPr>
            </w:pPr>
          </w:p>
        </w:tc>
      </w:tr>
    </w:tbl>
    <w:p w14:paraId="54B8A671">
      <w:pPr>
        <w:bidi w:val="0"/>
        <w:rPr>
          <w:color w:val="auto"/>
        </w:rPr>
      </w:pPr>
    </w:p>
    <w:p w14:paraId="6535D2F9">
      <w:pPr>
        <w:bidi w:val="0"/>
        <w:rPr>
          <w:color w:val="auto"/>
        </w:rPr>
      </w:pPr>
    </w:p>
    <w:p w14:paraId="6FE86EDC">
      <w:pPr>
        <w:pStyle w:val="51"/>
        <w:rPr>
          <w:color w:val="auto"/>
        </w:rPr>
      </w:pPr>
    </w:p>
    <w:p w14:paraId="7BB879D9">
      <w:pPr>
        <w:pStyle w:val="51"/>
        <w:rPr>
          <w:color w:val="auto"/>
        </w:rPr>
      </w:pPr>
    </w:p>
    <w:p w14:paraId="775AE78C">
      <w:pPr>
        <w:pStyle w:val="51"/>
        <w:rPr>
          <w:color w:val="auto"/>
        </w:rPr>
      </w:pPr>
    </w:p>
    <w:p w14:paraId="2969FE76">
      <w:pPr>
        <w:pStyle w:val="51"/>
        <w:rPr>
          <w:color w:val="auto"/>
        </w:rPr>
      </w:pPr>
    </w:p>
    <w:p w14:paraId="64A215FD">
      <w:pPr>
        <w:pStyle w:val="51"/>
        <w:rPr>
          <w:color w:val="auto"/>
        </w:rPr>
      </w:pPr>
    </w:p>
    <w:p w14:paraId="3A182F7F">
      <w:pPr>
        <w:pStyle w:val="51"/>
        <w:rPr>
          <w:color w:val="auto"/>
        </w:rPr>
      </w:pPr>
    </w:p>
    <w:p w14:paraId="4CDAABE5">
      <w:pPr>
        <w:pStyle w:val="51"/>
        <w:rPr>
          <w:color w:val="auto"/>
        </w:rPr>
      </w:pPr>
    </w:p>
    <w:p w14:paraId="5BA514E7">
      <w:pPr>
        <w:pStyle w:val="51"/>
        <w:rPr>
          <w:color w:val="auto"/>
        </w:rPr>
      </w:pPr>
    </w:p>
    <w:p w14:paraId="3EE33F6A">
      <w:pPr>
        <w:pStyle w:val="51"/>
        <w:rPr>
          <w:color w:val="auto"/>
        </w:rPr>
      </w:pPr>
    </w:p>
    <w:p w14:paraId="4340CDB9">
      <w:pPr>
        <w:pStyle w:val="51"/>
        <w:rPr>
          <w:color w:val="auto"/>
        </w:rPr>
      </w:pPr>
    </w:p>
    <w:p w14:paraId="3F36CE1B">
      <w:pPr>
        <w:pStyle w:val="51"/>
        <w:rPr>
          <w:color w:val="auto"/>
        </w:rPr>
      </w:pPr>
    </w:p>
    <w:p w14:paraId="2E996C77">
      <w:pPr>
        <w:pStyle w:val="51"/>
        <w:rPr>
          <w:color w:val="auto"/>
        </w:rPr>
      </w:pPr>
    </w:p>
    <w:p w14:paraId="2B1F250B">
      <w:pPr>
        <w:pStyle w:val="51"/>
        <w:rPr>
          <w:color w:val="auto"/>
        </w:rPr>
      </w:pPr>
    </w:p>
    <w:p w14:paraId="1420EC8F">
      <w:pPr>
        <w:pStyle w:val="51"/>
        <w:rPr>
          <w:color w:val="auto"/>
        </w:rPr>
      </w:pPr>
    </w:p>
    <w:p w14:paraId="1B1969D3">
      <w:pPr>
        <w:pStyle w:val="51"/>
        <w:rPr>
          <w:color w:val="auto"/>
        </w:rPr>
      </w:pPr>
    </w:p>
    <w:p w14:paraId="7EE06CA7">
      <w:pPr>
        <w:pStyle w:val="4"/>
        <w:rPr>
          <w:rFonts w:hint="eastAsia"/>
          <w:color w:val="auto"/>
        </w:rPr>
      </w:pPr>
      <w:bookmarkStart w:id="90" w:name="_Toc4941"/>
      <w:bookmarkStart w:id="91" w:name="_Toc24837"/>
      <w:bookmarkStart w:id="92" w:name="_Toc19501"/>
      <w:r>
        <w:rPr>
          <w:rFonts w:hint="eastAsia"/>
          <w:color w:val="auto"/>
        </w:rPr>
        <w:t>5 危险性分析评价</w:t>
      </w:r>
      <w:bookmarkEnd w:id="90"/>
      <w:bookmarkEnd w:id="91"/>
      <w:bookmarkEnd w:id="92"/>
    </w:p>
    <w:p w14:paraId="6BC3461E">
      <w:pPr>
        <w:pStyle w:val="5"/>
        <w:rPr>
          <w:rFonts w:hint="eastAsia"/>
          <w:color w:val="auto"/>
        </w:rPr>
      </w:pPr>
      <w:bookmarkStart w:id="93" w:name="_Toc17498"/>
      <w:bookmarkStart w:id="94" w:name="_Toc31485"/>
      <w:bookmarkStart w:id="95" w:name="_Toc189"/>
      <w:bookmarkStart w:id="96" w:name="_Toc5425"/>
      <w:bookmarkStart w:id="97" w:name="_Toc3044"/>
      <w:bookmarkStart w:id="98" w:name="_Toc24093"/>
      <w:r>
        <w:rPr>
          <w:color w:val="auto"/>
        </w:rPr>
        <w:t>5.1预先危险性分析评价（PHA）</w:t>
      </w:r>
      <w:bookmarkEnd w:id="93"/>
      <w:bookmarkEnd w:id="94"/>
      <w:bookmarkEnd w:id="95"/>
    </w:p>
    <w:p w14:paraId="6BF45817">
      <w:pPr>
        <w:pStyle w:val="20"/>
        <w:ind w:firstLine="560"/>
        <w:rPr>
          <w:b w:val="0"/>
          <w:color w:val="auto"/>
        </w:rPr>
      </w:pPr>
      <w:r>
        <w:rPr>
          <w:rFonts w:hAnsi="宋体"/>
          <w:b w:val="0"/>
          <w:color w:val="auto"/>
        </w:rPr>
        <w:t>利用预先危险性分析评价方法对</w:t>
      </w:r>
      <w:r>
        <w:rPr>
          <w:rFonts w:hint="eastAsia" w:hAnsi="宋体"/>
          <w:b w:val="0"/>
          <w:color w:val="auto"/>
          <w:lang w:val="en-US" w:eastAsia="zh-CN"/>
        </w:rPr>
        <w:t>服务区</w:t>
      </w:r>
      <w:r>
        <w:rPr>
          <w:rFonts w:hAnsi="宋体"/>
          <w:b w:val="0"/>
          <w:color w:val="auto"/>
        </w:rPr>
        <w:t>普遍存在的危险、有害因素进行分析评价，预先危险性评价范围涵盖本建设项目的全部生产过程。另外针对</w:t>
      </w:r>
      <w:r>
        <w:rPr>
          <w:rFonts w:hint="eastAsia" w:hAnsi="宋体"/>
          <w:b w:val="0"/>
          <w:color w:val="auto"/>
          <w:lang w:val="en-US" w:eastAsia="zh-CN"/>
        </w:rPr>
        <w:t>变</w:t>
      </w:r>
      <w:r>
        <w:rPr>
          <w:rFonts w:hAnsi="宋体"/>
          <w:b w:val="0"/>
          <w:color w:val="auto"/>
        </w:rPr>
        <w:t>配电特殊的部位进行预先危险性分析评价。</w:t>
      </w:r>
    </w:p>
    <w:p w14:paraId="38487FA8">
      <w:pPr>
        <w:pStyle w:val="20"/>
        <w:ind w:firstLine="560"/>
        <w:rPr>
          <w:b w:val="0"/>
          <w:color w:val="auto"/>
        </w:rPr>
      </w:pPr>
      <w:r>
        <w:rPr>
          <w:rFonts w:hAnsi="宋体"/>
          <w:b w:val="0"/>
          <w:color w:val="auto"/>
        </w:rPr>
        <w:t>预先危险性评价分析表见表</w:t>
      </w:r>
      <w:r>
        <w:rPr>
          <w:b w:val="0"/>
          <w:color w:val="auto"/>
        </w:rPr>
        <w:t>5</w:t>
      </w:r>
      <w:r>
        <w:rPr>
          <w:rFonts w:hint="eastAsia"/>
          <w:b w:val="0"/>
          <w:color w:val="auto"/>
          <w:lang w:val="en-US" w:eastAsia="zh-CN"/>
        </w:rPr>
        <w:t>.1</w:t>
      </w:r>
      <w:r>
        <w:rPr>
          <w:b w:val="0"/>
          <w:color w:val="auto"/>
        </w:rPr>
        <w:t>-</w:t>
      </w:r>
      <w:r>
        <w:rPr>
          <w:rFonts w:hint="eastAsia"/>
          <w:b w:val="0"/>
          <w:color w:val="auto"/>
        </w:rPr>
        <w:t>1</w:t>
      </w:r>
      <w:r>
        <w:rPr>
          <w:rFonts w:hAnsi="宋体"/>
          <w:b w:val="0"/>
          <w:color w:val="auto"/>
        </w:rPr>
        <w:t>。</w:t>
      </w:r>
    </w:p>
    <w:p w14:paraId="1A7BFAEF">
      <w:pPr>
        <w:spacing w:line="600" w:lineRule="exact"/>
        <w:jc w:val="center"/>
        <w:rPr>
          <w:b/>
          <w:color w:val="auto"/>
          <w:sz w:val="24"/>
        </w:rPr>
      </w:pPr>
      <w:r>
        <w:rPr>
          <w:rFonts w:hAnsi="宋体"/>
          <w:b/>
          <w:color w:val="auto"/>
          <w:sz w:val="24"/>
        </w:rPr>
        <w:t>表</w:t>
      </w:r>
      <w:r>
        <w:rPr>
          <w:b/>
          <w:color w:val="auto"/>
          <w:sz w:val="24"/>
        </w:rPr>
        <w:t>5</w:t>
      </w:r>
      <w:r>
        <w:rPr>
          <w:rFonts w:hint="eastAsia"/>
          <w:b/>
          <w:color w:val="auto"/>
          <w:sz w:val="24"/>
          <w:lang w:val="en-US" w:eastAsia="zh-CN"/>
        </w:rPr>
        <w:t>.1</w:t>
      </w:r>
      <w:r>
        <w:rPr>
          <w:b/>
          <w:color w:val="auto"/>
          <w:sz w:val="24"/>
        </w:rPr>
        <w:t>-</w:t>
      </w:r>
      <w:r>
        <w:rPr>
          <w:rFonts w:hint="eastAsia"/>
          <w:b/>
          <w:color w:val="auto"/>
          <w:sz w:val="24"/>
        </w:rPr>
        <w:t xml:space="preserve">1  </w:t>
      </w:r>
      <w:r>
        <w:rPr>
          <w:rFonts w:hAnsi="宋体"/>
          <w:b/>
          <w:color w:val="auto"/>
          <w:sz w:val="24"/>
        </w:rPr>
        <w:t>预</w:t>
      </w:r>
      <w:r>
        <w:rPr>
          <w:rStyle w:val="74"/>
          <w:color w:val="auto"/>
        </w:rPr>
        <w:t>先</w:t>
      </w:r>
      <w:r>
        <w:rPr>
          <w:rFonts w:hAnsi="宋体"/>
          <w:b/>
          <w:color w:val="auto"/>
          <w:sz w:val="24"/>
        </w:rPr>
        <w:t>危险性分析表</w:t>
      </w:r>
    </w:p>
    <w:tbl>
      <w:tblPr>
        <w:tblStyle w:val="3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16"/>
        <w:gridCol w:w="22"/>
        <w:gridCol w:w="7935"/>
      </w:tblGrid>
      <w:tr w14:paraId="54C93B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9173" w:type="dxa"/>
            <w:gridSpan w:val="3"/>
            <w:tcBorders>
              <w:top w:val="single" w:color="auto" w:sz="4" w:space="0"/>
              <w:left w:val="single" w:color="auto" w:sz="4" w:space="0"/>
              <w:bottom w:val="single" w:color="auto" w:sz="4" w:space="0"/>
              <w:right w:val="single" w:color="auto" w:sz="4" w:space="0"/>
            </w:tcBorders>
            <w:noWrap w:val="0"/>
            <w:vAlign w:val="center"/>
          </w:tcPr>
          <w:p w14:paraId="1C709576">
            <w:pPr>
              <w:pStyle w:val="43"/>
              <w:bidi w:val="0"/>
              <w:rPr>
                <w:color w:val="auto"/>
              </w:rPr>
            </w:pPr>
            <w:r>
              <w:rPr>
                <w:color w:val="auto"/>
              </w:rPr>
              <w:t>一</w:t>
            </w:r>
          </w:p>
        </w:tc>
      </w:tr>
      <w:tr w14:paraId="7E9DDB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38" w:type="dxa"/>
            <w:gridSpan w:val="2"/>
            <w:tcBorders>
              <w:top w:val="single" w:color="auto" w:sz="4" w:space="0"/>
              <w:left w:val="single" w:color="auto" w:sz="4" w:space="0"/>
              <w:bottom w:val="single" w:color="auto" w:sz="4" w:space="0"/>
              <w:right w:val="single" w:color="auto" w:sz="4" w:space="0"/>
            </w:tcBorders>
            <w:noWrap w:val="0"/>
            <w:vAlign w:val="center"/>
          </w:tcPr>
          <w:p w14:paraId="2CCD9F21">
            <w:pPr>
              <w:pStyle w:val="43"/>
              <w:bidi w:val="0"/>
              <w:rPr>
                <w:color w:val="auto"/>
              </w:rPr>
            </w:pPr>
            <w:r>
              <w:rPr>
                <w:color w:val="auto"/>
              </w:rPr>
              <w:t>潜在事故</w:t>
            </w:r>
          </w:p>
        </w:tc>
        <w:tc>
          <w:tcPr>
            <w:tcW w:w="7935" w:type="dxa"/>
            <w:tcBorders>
              <w:top w:val="single" w:color="auto" w:sz="4" w:space="0"/>
              <w:left w:val="single" w:color="auto" w:sz="4" w:space="0"/>
              <w:bottom w:val="single" w:color="auto" w:sz="4" w:space="0"/>
              <w:right w:val="single" w:color="auto" w:sz="4" w:space="0"/>
            </w:tcBorders>
            <w:noWrap w:val="0"/>
            <w:vAlign w:val="center"/>
          </w:tcPr>
          <w:p w14:paraId="378BFC61">
            <w:pPr>
              <w:pStyle w:val="43"/>
              <w:bidi w:val="0"/>
              <w:rPr>
                <w:color w:val="auto"/>
              </w:rPr>
            </w:pPr>
            <w:r>
              <w:rPr>
                <w:color w:val="auto"/>
              </w:rPr>
              <w:t>火灾、爆炸</w:t>
            </w:r>
          </w:p>
        </w:tc>
      </w:tr>
      <w:tr w14:paraId="407EA1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38" w:type="dxa"/>
            <w:gridSpan w:val="2"/>
            <w:tcBorders>
              <w:top w:val="single" w:color="auto" w:sz="4" w:space="0"/>
              <w:left w:val="single" w:color="auto" w:sz="4" w:space="0"/>
              <w:bottom w:val="single" w:color="auto" w:sz="4" w:space="0"/>
              <w:right w:val="single" w:color="auto" w:sz="4" w:space="0"/>
            </w:tcBorders>
            <w:noWrap w:val="0"/>
            <w:vAlign w:val="center"/>
          </w:tcPr>
          <w:p w14:paraId="725EB02E">
            <w:pPr>
              <w:pStyle w:val="43"/>
              <w:bidi w:val="0"/>
              <w:rPr>
                <w:color w:val="auto"/>
              </w:rPr>
            </w:pPr>
            <w:r>
              <w:rPr>
                <w:color w:val="auto"/>
              </w:rPr>
              <w:t>作业场所</w:t>
            </w:r>
          </w:p>
        </w:tc>
        <w:tc>
          <w:tcPr>
            <w:tcW w:w="7935" w:type="dxa"/>
            <w:tcBorders>
              <w:top w:val="single" w:color="auto" w:sz="4" w:space="0"/>
              <w:left w:val="single" w:color="auto" w:sz="4" w:space="0"/>
              <w:bottom w:val="single" w:color="auto" w:sz="4" w:space="0"/>
              <w:right w:val="single" w:color="auto" w:sz="4" w:space="0"/>
            </w:tcBorders>
            <w:noWrap w:val="0"/>
            <w:vAlign w:val="center"/>
          </w:tcPr>
          <w:p w14:paraId="5348E06A">
            <w:pPr>
              <w:pStyle w:val="43"/>
              <w:bidi w:val="0"/>
              <w:rPr>
                <w:rFonts w:hint="default"/>
                <w:color w:val="auto"/>
                <w:lang w:val="en-US" w:eastAsia="zh-CN"/>
              </w:rPr>
            </w:pPr>
            <w:r>
              <w:rPr>
                <w:rFonts w:hint="eastAsia"/>
                <w:color w:val="auto"/>
                <w:lang w:val="en-US" w:eastAsia="zh-CN"/>
              </w:rPr>
              <w:t>危化车辆停车位、电动汽车充电停车位、柴油发电间</w:t>
            </w:r>
          </w:p>
        </w:tc>
      </w:tr>
      <w:tr w14:paraId="55235C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38" w:type="dxa"/>
            <w:gridSpan w:val="2"/>
            <w:tcBorders>
              <w:top w:val="single" w:color="auto" w:sz="4" w:space="0"/>
              <w:left w:val="single" w:color="auto" w:sz="4" w:space="0"/>
              <w:bottom w:val="single" w:color="auto" w:sz="4" w:space="0"/>
              <w:right w:val="single" w:color="auto" w:sz="4" w:space="0"/>
            </w:tcBorders>
            <w:noWrap w:val="0"/>
            <w:vAlign w:val="center"/>
          </w:tcPr>
          <w:p w14:paraId="46304FF1">
            <w:pPr>
              <w:pStyle w:val="43"/>
              <w:bidi w:val="0"/>
              <w:rPr>
                <w:color w:val="auto"/>
              </w:rPr>
            </w:pPr>
            <w:r>
              <w:rPr>
                <w:color w:val="auto"/>
              </w:rPr>
              <w:t>危险因素</w:t>
            </w:r>
          </w:p>
        </w:tc>
        <w:tc>
          <w:tcPr>
            <w:tcW w:w="7935" w:type="dxa"/>
            <w:tcBorders>
              <w:top w:val="single" w:color="auto" w:sz="4" w:space="0"/>
              <w:left w:val="single" w:color="auto" w:sz="4" w:space="0"/>
              <w:bottom w:val="single" w:color="auto" w:sz="4" w:space="0"/>
              <w:right w:val="single" w:color="auto" w:sz="4" w:space="0"/>
            </w:tcBorders>
            <w:noWrap w:val="0"/>
            <w:vAlign w:val="center"/>
          </w:tcPr>
          <w:p w14:paraId="32668F66">
            <w:pPr>
              <w:pStyle w:val="43"/>
              <w:bidi w:val="0"/>
              <w:rPr>
                <w:rFonts w:hint="default"/>
                <w:color w:val="auto"/>
                <w:lang w:val="en-US" w:eastAsia="zh-CN"/>
              </w:rPr>
            </w:pPr>
            <w:r>
              <w:rPr>
                <w:rFonts w:hint="eastAsia"/>
                <w:color w:val="auto"/>
                <w:lang w:val="en-US" w:eastAsia="zh-CN"/>
              </w:rPr>
              <w:t>电气火灾、</w:t>
            </w:r>
            <w:r>
              <w:rPr>
                <w:rFonts w:hint="eastAsia" w:ascii="宋体" w:hAnsi="宋体" w:eastAsia="宋体" w:cs="宋体"/>
                <w:color w:val="auto"/>
                <w:sz w:val="21"/>
                <w:szCs w:val="21"/>
              </w:rPr>
              <w:t>易燃、易爆物质容器、管道、设备</w:t>
            </w:r>
            <w:r>
              <w:rPr>
                <w:rFonts w:hint="eastAsia" w:ascii="宋体" w:hAnsi="宋体" w:eastAsia="宋体" w:cs="宋体"/>
                <w:color w:val="auto"/>
                <w:sz w:val="21"/>
                <w:szCs w:val="21"/>
                <w:lang w:val="en-US" w:eastAsia="zh-CN"/>
              </w:rPr>
              <w:t>泄露、</w:t>
            </w:r>
            <w:r>
              <w:rPr>
                <w:rFonts w:hint="eastAsia" w:ascii="宋体" w:hAnsi="宋体" w:eastAsia="宋体" w:cs="宋体"/>
                <w:color w:val="auto"/>
                <w:sz w:val="21"/>
                <w:szCs w:val="21"/>
              </w:rPr>
              <w:t>损坏等</w:t>
            </w:r>
          </w:p>
        </w:tc>
      </w:tr>
      <w:tr w14:paraId="15D2EA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38" w:type="dxa"/>
            <w:gridSpan w:val="2"/>
            <w:tcBorders>
              <w:top w:val="single" w:color="auto" w:sz="4" w:space="0"/>
              <w:left w:val="single" w:color="auto" w:sz="4" w:space="0"/>
              <w:bottom w:val="single" w:color="auto" w:sz="4" w:space="0"/>
              <w:right w:val="single" w:color="auto" w:sz="4" w:space="0"/>
            </w:tcBorders>
            <w:noWrap w:val="0"/>
            <w:vAlign w:val="center"/>
          </w:tcPr>
          <w:p w14:paraId="09D3FCF3">
            <w:pPr>
              <w:pStyle w:val="43"/>
              <w:bidi w:val="0"/>
              <w:rPr>
                <w:color w:val="auto"/>
              </w:rPr>
            </w:pPr>
            <w:r>
              <w:rPr>
                <w:color w:val="auto"/>
              </w:rPr>
              <w:t>触发事件</w:t>
            </w:r>
          </w:p>
        </w:tc>
        <w:tc>
          <w:tcPr>
            <w:tcW w:w="7935" w:type="dxa"/>
            <w:tcBorders>
              <w:top w:val="single" w:color="auto" w:sz="4" w:space="0"/>
              <w:left w:val="single" w:color="auto" w:sz="4" w:space="0"/>
              <w:bottom w:val="single" w:color="auto" w:sz="4" w:space="0"/>
              <w:right w:val="single" w:color="auto" w:sz="4" w:space="0"/>
            </w:tcBorders>
            <w:noWrap w:val="0"/>
            <w:vAlign w:val="center"/>
          </w:tcPr>
          <w:p w14:paraId="0577D454">
            <w:pPr>
              <w:pStyle w:val="43"/>
              <w:bidi w:val="0"/>
              <w:jc w:val="left"/>
              <w:rPr>
                <w:rFonts w:hint="default" w:eastAsia="宋体"/>
                <w:color w:val="auto"/>
                <w:lang w:val="en-US" w:eastAsia="zh-CN"/>
              </w:rPr>
            </w:pPr>
            <w:r>
              <w:rPr>
                <w:rFonts w:hint="eastAsia"/>
                <w:color w:val="auto"/>
                <w:lang w:val="en-US" w:eastAsia="zh-CN"/>
              </w:rPr>
              <w:t>一、人员违章</w:t>
            </w:r>
          </w:p>
          <w:p w14:paraId="3CAEAE31">
            <w:pPr>
              <w:pStyle w:val="43"/>
              <w:bidi w:val="0"/>
              <w:jc w:val="left"/>
              <w:rPr>
                <w:color w:val="auto"/>
              </w:rPr>
            </w:pPr>
            <w:r>
              <w:rPr>
                <w:color w:val="auto"/>
              </w:rPr>
              <w:t>（1）操作人员的违章作业，检修人员的违章行为。</w:t>
            </w:r>
          </w:p>
          <w:p w14:paraId="5AF10A12">
            <w:pPr>
              <w:pStyle w:val="43"/>
              <w:bidi w:val="0"/>
              <w:jc w:val="left"/>
              <w:rPr>
                <w:color w:val="auto"/>
              </w:rPr>
            </w:pPr>
            <w:r>
              <w:rPr>
                <w:color w:val="auto"/>
              </w:rPr>
              <w:t>（2）由于安装检修人员责任心不强或技术素质低等因素而引起的安装检修质量不符合安全要求。</w:t>
            </w:r>
          </w:p>
          <w:p w14:paraId="24F3F950">
            <w:pPr>
              <w:pStyle w:val="43"/>
              <w:bidi w:val="0"/>
              <w:jc w:val="left"/>
              <w:rPr>
                <w:color w:val="auto"/>
              </w:rPr>
            </w:pPr>
            <w:r>
              <w:rPr>
                <w:color w:val="auto"/>
              </w:rPr>
              <w:t>（3）违章用火动火，如检修用的电焊、气焊、砂轮打磨、敲击、焚烧、清除杂物等。</w:t>
            </w:r>
          </w:p>
          <w:p w14:paraId="2DF68444">
            <w:pPr>
              <w:pStyle w:val="43"/>
              <w:bidi w:val="0"/>
              <w:jc w:val="left"/>
              <w:rPr>
                <w:color w:val="auto"/>
              </w:rPr>
            </w:pPr>
            <w:r>
              <w:rPr>
                <w:color w:val="auto"/>
              </w:rPr>
              <w:t>（4）违章带入火源，如吸烟、点打火机、火柴等。</w:t>
            </w:r>
          </w:p>
          <w:p w14:paraId="7FA2114B">
            <w:pPr>
              <w:pStyle w:val="43"/>
              <w:bidi w:val="0"/>
              <w:jc w:val="left"/>
              <w:rPr>
                <w:color w:val="auto"/>
              </w:rPr>
            </w:pPr>
            <w:r>
              <w:rPr>
                <w:color w:val="auto"/>
              </w:rPr>
              <w:t>（5）违章使用电动工具，违规拉接临时电线等。</w:t>
            </w:r>
          </w:p>
          <w:p w14:paraId="61B7950D">
            <w:pPr>
              <w:pStyle w:val="43"/>
              <w:bidi w:val="0"/>
              <w:jc w:val="left"/>
              <w:rPr>
                <w:color w:val="auto"/>
              </w:rPr>
            </w:pPr>
            <w:r>
              <w:rPr>
                <w:color w:val="auto"/>
              </w:rPr>
              <w:t>（6）违章操作，用铁制工具敲打铁器设备等而产生火花。</w:t>
            </w:r>
          </w:p>
          <w:p w14:paraId="567CE875">
            <w:pPr>
              <w:pStyle w:val="43"/>
              <w:bidi w:val="0"/>
              <w:jc w:val="left"/>
              <w:rPr>
                <w:color w:val="auto"/>
              </w:rPr>
            </w:pPr>
            <w:r>
              <w:rPr>
                <w:color w:val="auto"/>
              </w:rPr>
              <w:t>（7）由于违章作业或操作错误导致的失控，致使温度异常，热能过量外泄。</w:t>
            </w:r>
          </w:p>
          <w:p w14:paraId="69A0A97E">
            <w:pPr>
              <w:pStyle w:val="43"/>
              <w:bidi w:val="0"/>
              <w:jc w:val="left"/>
              <w:rPr>
                <w:color w:val="auto"/>
              </w:rPr>
            </w:pPr>
            <w:r>
              <w:rPr>
                <w:color w:val="auto"/>
              </w:rPr>
              <w:t>（8）其他人员的不安全行为或违章行为。</w:t>
            </w:r>
          </w:p>
          <w:p w14:paraId="730B03CD">
            <w:pPr>
              <w:pStyle w:val="43"/>
              <w:bidi w:val="0"/>
              <w:jc w:val="left"/>
              <w:rPr>
                <w:rFonts w:hint="default"/>
                <w:color w:val="auto"/>
                <w:lang w:val="en-US" w:eastAsia="zh-CN"/>
              </w:rPr>
            </w:pPr>
            <w:r>
              <w:rPr>
                <w:rFonts w:hint="eastAsia"/>
                <w:color w:val="auto"/>
                <w:lang w:val="en-US" w:eastAsia="zh-CN"/>
              </w:rPr>
              <w:t>二</w:t>
            </w:r>
            <w:r>
              <w:rPr>
                <w:rFonts w:hint="eastAsia"/>
                <w:color w:val="auto"/>
              </w:rPr>
              <w:t>、</w:t>
            </w:r>
            <w:r>
              <w:rPr>
                <w:rFonts w:hint="eastAsia"/>
                <w:color w:val="auto"/>
                <w:lang w:val="en-US" w:eastAsia="zh-CN"/>
              </w:rPr>
              <w:t>充电设施</w:t>
            </w:r>
          </w:p>
          <w:p w14:paraId="2472CCE2">
            <w:pPr>
              <w:pStyle w:val="43"/>
              <w:bidi w:val="0"/>
              <w:jc w:val="left"/>
              <w:rPr>
                <w:color w:val="auto"/>
              </w:rPr>
            </w:pPr>
            <w:r>
              <w:rPr>
                <w:color w:val="auto"/>
              </w:rPr>
              <w:t>（1）</w:t>
            </w:r>
            <w:r>
              <w:rPr>
                <w:rFonts w:hint="eastAsia"/>
                <w:color w:val="auto"/>
                <w:lang w:val="en-US" w:eastAsia="zh-CN"/>
              </w:rPr>
              <w:t>电动汽车</w:t>
            </w:r>
            <w:r>
              <w:rPr>
                <w:color w:val="auto"/>
              </w:rPr>
              <w:t>电器内部线路老化</w:t>
            </w:r>
            <w:r>
              <w:rPr>
                <w:rFonts w:hint="eastAsia"/>
                <w:color w:val="auto"/>
                <w:lang w:eastAsia="zh-CN"/>
              </w:rPr>
              <w:t>；</w:t>
            </w:r>
            <w:r>
              <w:rPr>
                <w:color w:val="auto"/>
              </w:rPr>
              <w:t>电气绝缘失效，接触不良，过载、超压、短路引起电火花。</w:t>
            </w:r>
          </w:p>
          <w:p w14:paraId="05FF9DEA">
            <w:pPr>
              <w:pStyle w:val="43"/>
              <w:bidi w:val="0"/>
              <w:jc w:val="left"/>
              <w:rPr>
                <w:color w:val="auto"/>
              </w:rPr>
            </w:pPr>
            <w:r>
              <w:rPr>
                <w:color w:val="auto"/>
              </w:rPr>
              <w:t>（2）</w:t>
            </w:r>
            <w:r>
              <w:rPr>
                <w:rFonts w:hint="eastAsia"/>
                <w:color w:val="auto"/>
                <w:lang w:val="en-US" w:eastAsia="zh-CN"/>
              </w:rPr>
              <w:t>电动汽车雨天充电导致</w:t>
            </w:r>
            <w:r>
              <w:rPr>
                <w:color w:val="auto"/>
              </w:rPr>
              <w:t>电器内部进水。</w:t>
            </w:r>
          </w:p>
          <w:p w14:paraId="2C882A79">
            <w:pPr>
              <w:pStyle w:val="43"/>
              <w:bidi w:val="0"/>
              <w:jc w:val="left"/>
              <w:rPr>
                <w:color w:val="auto"/>
              </w:rPr>
            </w:pPr>
            <w:r>
              <w:rPr>
                <w:rFonts w:hint="eastAsia"/>
                <w:color w:val="auto"/>
                <w:lang w:eastAsia="zh-CN"/>
              </w:rPr>
              <w:t>（</w:t>
            </w:r>
            <w:r>
              <w:rPr>
                <w:rFonts w:hint="eastAsia"/>
                <w:color w:val="auto"/>
                <w:lang w:val="en-US" w:eastAsia="zh-CN"/>
              </w:rPr>
              <w:t>3</w:t>
            </w:r>
            <w:r>
              <w:rPr>
                <w:rFonts w:hint="eastAsia"/>
                <w:color w:val="auto"/>
                <w:lang w:eastAsia="zh-CN"/>
              </w:rPr>
              <w:t>）</w:t>
            </w:r>
            <w:r>
              <w:rPr>
                <w:color w:val="auto"/>
              </w:rPr>
              <w:t>充电器、电动车保护板失效</w:t>
            </w:r>
            <w:r>
              <w:rPr>
                <w:rFonts w:hint="eastAsia"/>
                <w:color w:val="auto"/>
                <w:lang w:eastAsia="zh-CN"/>
              </w:rPr>
              <w:t>，</w:t>
            </w:r>
            <w:r>
              <w:rPr>
                <w:color w:val="auto"/>
              </w:rPr>
              <w:t>过充、过流、温度超标等。</w:t>
            </w:r>
          </w:p>
          <w:p w14:paraId="6CC18A4D">
            <w:pPr>
              <w:pStyle w:val="43"/>
              <w:bidi w:val="0"/>
              <w:jc w:val="left"/>
              <w:rPr>
                <w:color w:val="auto"/>
              </w:rPr>
            </w:pPr>
            <w:r>
              <w:rPr>
                <w:rFonts w:hint="eastAsia"/>
                <w:color w:val="auto"/>
                <w:lang w:eastAsia="zh-CN"/>
              </w:rPr>
              <w:t>（</w:t>
            </w:r>
            <w:r>
              <w:rPr>
                <w:rFonts w:hint="eastAsia"/>
                <w:color w:val="auto"/>
                <w:lang w:val="en-US" w:eastAsia="zh-CN"/>
              </w:rPr>
              <w:t>4</w:t>
            </w:r>
            <w:r>
              <w:rPr>
                <w:rFonts w:hint="eastAsia"/>
                <w:color w:val="auto"/>
                <w:lang w:eastAsia="zh-CN"/>
              </w:rPr>
              <w:t>）</w:t>
            </w:r>
            <w:r>
              <w:rPr>
                <w:color w:val="auto"/>
              </w:rPr>
              <w:t>电池收到剧烈撞击、挤压</w:t>
            </w:r>
          </w:p>
          <w:p w14:paraId="287A299A">
            <w:pPr>
              <w:pStyle w:val="43"/>
              <w:bidi w:val="0"/>
              <w:jc w:val="left"/>
              <w:rPr>
                <w:color w:val="auto"/>
              </w:rPr>
            </w:pP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lang w:val="en-US" w:eastAsia="zh-CN"/>
              </w:rPr>
              <w:t>充电设备、变压器等的</w:t>
            </w:r>
            <w:r>
              <w:rPr>
                <w:color w:val="auto"/>
              </w:rPr>
              <w:t>防雷系统失效，出现雷电火花。</w:t>
            </w:r>
          </w:p>
          <w:p w14:paraId="63925659">
            <w:pPr>
              <w:pStyle w:val="43"/>
              <w:bidi w:val="0"/>
              <w:jc w:val="left"/>
              <w:rPr>
                <w:rFonts w:hint="eastAsia"/>
                <w:color w:val="auto"/>
                <w:lang w:val="en-US" w:eastAsia="zh-CN"/>
              </w:rPr>
            </w:pPr>
            <w:r>
              <w:rPr>
                <w:rFonts w:hint="eastAsia"/>
                <w:color w:val="auto"/>
                <w:lang w:val="en-US" w:eastAsia="zh-CN"/>
              </w:rPr>
              <w:t>三、混动汽车充电过程中可能因自身电气火灾导致自燃，进而引燃油箱内的汽油，造成爆炸事故。</w:t>
            </w:r>
          </w:p>
          <w:p w14:paraId="50561F14">
            <w:pPr>
              <w:pStyle w:val="43"/>
              <w:bidi w:val="0"/>
              <w:jc w:val="left"/>
              <w:rPr>
                <w:rFonts w:hint="eastAsia"/>
                <w:color w:val="auto"/>
                <w:lang w:val="en-US" w:eastAsia="zh-CN"/>
              </w:rPr>
            </w:pPr>
            <w:r>
              <w:rPr>
                <w:rFonts w:hint="eastAsia"/>
                <w:color w:val="auto"/>
                <w:lang w:val="en-US" w:eastAsia="zh-CN"/>
              </w:rPr>
              <w:t>四、柴油发电设施</w:t>
            </w:r>
          </w:p>
          <w:p w14:paraId="7B987AD0">
            <w:pPr>
              <w:pStyle w:val="43"/>
              <w:bidi w:val="0"/>
              <w:jc w:val="left"/>
              <w:rPr>
                <w:rFonts w:hint="eastAsia"/>
                <w:color w:val="auto"/>
                <w:lang w:val="en-US" w:eastAsia="zh-CN"/>
              </w:rPr>
            </w:pPr>
            <w:r>
              <w:rPr>
                <w:rFonts w:hint="eastAsia"/>
                <w:color w:val="auto"/>
                <w:lang w:val="en-US" w:eastAsia="zh-CN"/>
              </w:rPr>
              <w:t>（1）发电机房内设置储油间，未与发电机间采用防火墙分隔等，发电机工作时产生的火花可能引燃储存的柴油，造成火灾、爆炸事故的发生。</w:t>
            </w:r>
          </w:p>
          <w:p w14:paraId="00ADE749">
            <w:pPr>
              <w:pStyle w:val="43"/>
              <w:bidi w:val="0"/>
              <w:jc w:val="left"/>
              <w:rPr>
                <w:rFonts w:hint="eastAsia"/>
                <w:color w:val="auto"/>
                <w:lang w:val="en-US" w:eastAsia="zh-CN"/>
              </w:rPr>
            </w:pPr>
            <w:r>
              <w:rPr>
                <w:rFonts w:hint="eastAsia"/>
                <w:color w:val="auto"/>
                <w:lang w:val="en-US" w:eastAsia="zh-CN"/>
              </w:rPr>
              <w:t>（2）柴油发电机组或储油间的油箱未进行有效接地，油箱未设置通向室外的通气管，或通气管未设置带阻火器的呼吸阀，油箱的下部未设置防止油品流散的设施等，可能引发火灾、爆炸事故。</w:t>
            </w:r>
          </w:p>
          <w:p w14:paraId="17D4CF79">
            <w:pPr>
              <w:pStyle w:val="43"/>
              <w:bidi w:val="0"/>
              <w:jc w:val="left"/>
              <w:rPr>
                <w:rFonts w:hint="eastAsia"/>
                <w:color w:val="auto"/>
                <w:lang w:val="en-US" w:eastAsia="zh-CN"/>
              </w:rPr>
            </w:pPr>
            <w:r>
              <w:rPr>
                <w:rFonts w:hint="eastAsia"/>
                <w:color w:val="auto"/>
                <w:lang w:val="en-US" w:eastAsia="zh-CN"/>
              </w:rPr>
              <w:t>（3）柴油发电机开机启动前未进行柴油发电机状态的检查，存在接线不牢固、机油不足、油箱渗漏等隐患，可能发生火灾、触电事故。</w:t>
            </w:r>
          </w:p>
          <w:p w14:paraId="70BE6F26">
            <w:pPr>
              <w:pStyle w:val="43"/>
              <w:bidi w:val="0"/>
              <w:jc w:val="left"/>
              <w:rPr>
                <w:rFonts w:hint="eastAsia"/>
                <w:color w:val="auto"/>
                <w:lang w:val="en-US" w:eastAsia="zh-CN"/>
              </w:rPr>
            </w:pPr>
            <w:r>
              <w:rPr>
                <w:rFonts w:hint="eastAsia"/>
                <w:color w:val="auto"/>
                <w:lang w:val="en-US" w:eastAsia="zh-CN"/>
              </w:rPr>
              <w:t>（4）柴油发电机周围堆放杂物和易燃、易爆物品且未配备消防器材，可能发生火灾事故。</w:t>
            </w:r>
          </w:p>
        </w:tc>
      </w:tr>
      <w:tr w14:paraId="1859AA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4093F27F">
            <w:pPr>
              <w:pStyle w:val="43"/>
              <w:bidi w:val="0"/>
              <w:rPr>
                <w:color w:val="auto"/>
              </w:rPr>
            </w:pPr>
            <w:r>
              <w:rPr>
                <w:color w:val="auto"/>
              </w:rPr>
              <w:t>发生条件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146230A3">
            <w:pPr>
              <w:pStyle w:val="43"/>
              <w:bidi w:val="0"/>
              <w:jc w:val="left"/>
              <w:rPr>
                <w:color w:val="auto"/>
              </w:rPr>
            </w:pPr>
            <w:r>
              <w:rPr>
                <w:color w:val="auto"/>
              </w:rPr>
              <w:t>1、存在点火源和燃烧物质</w:t>
            </w:r>
          </w:p>
          <w:p w14:paraId="3A31B28D">
            <w:pPr>
              <w:pStyle w:val="43"/>
              <w:bidi w:val="0"/>
              <w:jc w:val="left"/>
              <w:rPr>
                <w:rFonts w:hint="default"/>
                <w:color w:val="auto"/>
                <w:lang w:val="en-US" w:eastAsia="zh-CN"/>
              </w:rPr>
            </w:pPr>
            <w:r>
              <w:rPr>
                <w:color w:val="auto"/>
              </w:rPr>
              <w:t>2、</w:t>
            </w:r>
            <w:r>
              <w:rPr>
                <w:rFonts w:hint="eastAsia"/>
                <w:color w:val="auto"/>
                <w:lang w:val="en-US" w:eastAsia="zh-CN"/>
              </w:rPr>
              <w:t>高温或点火源引燃混动汽车油箱内燃油</w:t>
            </w:r>
          </w:p>
        </w:tc>
      </w:tr>
      <w:tr w14:paraId="7898C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748CA722">
            <w:pPr>
              <w:pStyle w:val="43"/>
              <w:bidi w:val="0"/>
              <w:rPr>
                <w:color w:val="auto"/>
              </w:rPr>
            </w:pPr>
            <w:r>
              <w:rPr>
                <w:color w:val="auto"/>
              </w:rPr>
              <w:t>原因事件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4A91AB9D">
            <w:pPr>
              <w:pStyle w:val="43"/>
              <w:bidi w:val="0"/>
              <w:jc w:val="left"/>
              <w:rPr>
                <w:color w:val="auto"/>
              </w:rPr>
            </w:pPr>
            <w:r>
              <w:rPr>
                <w:rFonts w:hint="eastAsia"/>
                <w:color w:val="auto"/>
                <w:lang w:val="en-US" w:eastAsia="zh-CN"/>
              </w:rPr>
              <w:t>1、</w:t>
            </w:r>
            <w:r>
              <w:rPr>
                <w:color w:val="auto"/>
              </w:rPr>
              <w:t>明火</w:t>
            </w:r>
          </w:p>
          <w:p w14:paraId="5228A5F0">
            <w:pPr>
              <w:pStyle w:val="43"/>
              <w:bidi w:val="0"/>
              <w:jc w:val="left"/>
              <w:rPr>
                <w:color w:val="auto"/>
              </w:rPr>
            </w:pPr>
            <w:r>
              <w:rPr>
                <w:color w:val="auto"/>
              </w:rPr>
              <w:t>①火星飞溅；②违章动火、用火；③外来人员带入火种；</w:t>
            </w:r>
          </w:p>
          <w:p w14:paraId="1162ABBC">
            <w:pPr>
              <w:pStyle w:val="43"/>
              <w:bidi w:val="0"/>
              <w:jc w:val="left"/>
              <w:rPr>
                <w:color w:val="auto"/>
              </w:rPr>
            </w:pPr>
            <w:r>
              <w:rPr>
                <w:color w:val="auto"/>
              </w:rPr>
              <w:t>④物质过热引发；⑤点火吸烟；⑥他处火灾蔓延；⑦其它火源。</w:t>
            </w:r>
          </w:p>
          <w:p w14:paraId="58172592">
            <w:pPr>
              <w:pStyle w:val="43"/>
              <w:bidi w:val="0"/>
              <w:jc w:val="left"/>
              <w:rPr>
                <w:color w:val="auto"/>
              </w:rPr>
            </w:pPr>
            <w:r>
              <w:rPr>
                <w:rFonts w:hint="eastAsia"/>
                <w:color w:val="auto"/>
                <w:lang w:val="en-US" w:eastAsia="zh-CN"/>
              </w:rPr>
              <w:t>2、</w:t>
            </w:r>
            <w:r>
              <w:rPr>
                <w:color w:val="auto"/>
              </w:rPr>
              <w:t>火花</w:t>
            </w:r>
          </w:p>
          <w:p w14:paraId="64902B56">
            <w:pPr>
              <w:pStyle w:val="43"/>
              <w:bidi w:val="0"/>
              <w:jc w:val="left"/>
              <w:rPr>
                <w:color w:val="auto"/>
              </w:rPr>
            </w:pPr>
            <w:r>
              <w:rPr>
                <w:color w:val="auto"/>
              </w:rPr>
              <w:t>①</w:t>
            </w:r>
            <w:r>
              <w:rPr>
                <w:rFonts w:hint="eastAsia"/>
                <w:color w:val="auto"/>
                <w:lang w:val="en-US" w:eastAsia="zh-CN"/>
              </w:rPr>
              <w:t>电池受到剧烈</w:t>
            </w:r>
            <w:r>
              <w:rPr>
                <w:color w:val="auto"/>
              </w:rPr>
              <w:t>撞击</w:t>
            </w:r>
            <w:r>
              <w:rPr>
                <w:rFonts w:hint="eastAsia"/>
                <w:color w:val="auto"/>
                <w:lang w:eastAsia="zh-CN"/>
              </w:rPr>
              <w:t>、</w:t>
            </w:r>
            <w:r>
              <w:rPr>
                <w:rFonts w:hint="eastAsia"/>
                <w:color w:val="auto"/>
                <w:lang w:val="en-US" w:eastAsia="zh-CN"/>
              </w:rPr>
              <w:t>挤压</w:t>
            </w:r>
            <w:r>
              <w:rPr>
                <w:color w:val="auto"/>
              </w:rPr>
              <w:t>；②电气火花；</w:t>
            </w:r>
          </w:p>
          <w:p w14:paraId="45431DED">
            <w:pPr>
              <w:pStyle w:val="43"/>
              <w:bidi w:val="0"/>
              <w:jc w:val="left"/>
              <w:rPr>
                <w:color w:val="auto"/>
              </w:rPr>
            </w:pPr>
            <w:r>
              <w:rPr>
                <w:color w:val="auto"/>
              </w:rPr>
              <w:t>③线路老化，引燃绝缘层；④短路电弧；⑤静电；⑥雷击；</w:t>
            </w:r>
          </w:p>
          <w:p w14:paraId="221882AF">
            <w:pPr>
              <w:pStyle w:val="43"/>
              <w:bidi w:val="0"/>
              <w:jc w:val="left"/>
              <w:rPr>
                <w:color w:val="auto"/>
              </w:rPr>
            </w:pPr>
            <w:r>
              <w:rPr>
                <w:color w:val="auto"/>
              </w:rPr>
              <w:t>⑦打磨产生火花等。</w:t>
            </w:r>
          </w:p>
          <w:p w14:paraId="5A8EB482">
            <w:pPr>
              <w:pStyle w:val="43"/>
              <w:bidi w:val="0"/>
              <w:jc w:val="left"/>
              <w:rPr>
                <w:color w:val="auto"/>
              </w:rPr>
            </w:pPr>
            <w:r>
              <w:rPr>
                <w:color w:val="auto"/>
              </w:rPr>
              <w:t>3</w:t>
            </w:r>
            <w:r>
              <w:rPr>
                <w:rFonts w:hint="eastAsia"/>
                <w:color w:val="auto"/>
                <w:lang w:eastAsia="zh-CN"/>
              </w:rPr>
              <w:t>、</w:t>
            </w:r>
            <w:r>
              <w:rPr>
                <w:color w:val="auto"/>
              </w:rPr>
              <w:t>其他意外情况</w:t>
            </w:r>
          </w:p>
        </w:tc>
      </w:tr>
      <w:tr w14:paraId="3C7A78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07F2E200">
            <w:pPr>
              <w:pStyle w:val="43"/>
              <w:bidi w:val="0"/>
              <w:rPr>
                <w:color w:val="auto"/>
              </w:rPr>
            </w:pPr>
            <w:r>
              <w:rPr>
                <w:color w:val="auto"/>
              </w:rPr>
              <w:t>事故后果</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4230AD11">
            <w:pPr>
              <w:pStyle w:val="43"/>
              <w:bidi w:val="0"/>
              <w:rPr>
                <w:color w:val="auto"/>
              </w:rPr>
            </w:pPr>
            <w:r>
              <w:rPr>
                <w:color w:val="auto"/>
              </w:rPr>
              <w:t>人员伤亡、设备损坏，造成严重经济损失。</w:t>
            </w:r>
          </w:p>
        </w:tc>
      </w:tr>
      <w:tr w14:paraId="76E794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10DDBAEA">
            <w:pPr>
              <w:pStyle w:val="43"/>
              <w:bidi w:val="0"/>
              <w:rPr>
                <w:color w:val="auto"/>
              </w:rPr>
            </w:pPr>
            <w:r>
              <w:rPr>
                <w:color w:val="auto"/>
              </w:rPr>
              <w:t>危险等级</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7C89AEDB">
            <w:pPr>
              <w:pStyle w:val="43"/>
              <w:bidi w:val="0"/>
              <w:rPr>
                <w:color w:val="auto"/>
              </w:rPr>
            </w:pPr>
            <w:r>
              <w:rPr>
                <w:color w:val="auto"/>
              </w:rPr>
              <w:t>Ⅲ</w:t>
            </w:r>
          </w:p>
        </w:tc>
      </w:tr>
      <w:tr w14:paraId="1A463A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right w:val="single" w:color="auto" w:sz="4" w:space="0"/>
            </w:tcBorders>
            <w:noWrap w:val="0"/>
            <w:vAlign w:val="center"/>
          </w:tcPr>
          <w:p w14:paraId="25DEC371">
            <w:pPr>
              <w:pStyle w:val="43"/>
              <w:bidi w:val="0"/>
              <w:rPr>
                <w:color w:val="auto"/>
              </w:rPr>
            </w:pPr>
            <w:r>
              <w:rPr>
                <w:color w:val="auto"/>
              </w:rPr>
              <w:t>防范措施</w:t>
            </w:r>
          </w:p>
        </w:tc>
        <w:tc>
          <w:tcPr>
            <w:tcW w:w="7957" w:type="dxa"/>
            <w:gridSpan w:val="2"/>
            <w:tcBorders>
              <w:top w:val="single" w:color="auto" w:sz="4" w:space="0"/>
              <w:left w:val="single" w:color="auto" w:sz="4" w:space="0"/>
              <w:right w:val="single" w:color="auto" w:sz="4" w:space="0"/>
            </w:tcBorders>
            <w:noWrap w:val="0"/>
            <w:vAlign w:val="center"/>
          </w:tcPr>
          <w:p w14:paraId="5A0E4F59">
            <w:pPr>
              <w:pStyle w:val="43"/>
              <w:bidi w:val="0"/>
              <w:jc w:val="left"/>
              <w:rPr>
                <w:color w:val="auto"/>
              </w:rPr>
            </w:pPr>
            <w:r>
              <w:rPr>
                <w:color w:val="auto"/>
              </w:rPr>
              <w:t>1、控制与消除火源</w:t>
            </w:r>
          </w:p>
          <w:p w14:paraId="77C88F60">
            <w:pPr>
              <w:pStyle w:val="43"/>
              <w:bidi w:val="0"/>
              <w:jc w:val="left"/>
              <w:rPr>
                <w:color w:val="auto"/>
              </w:rPr>
            </w:pPr>
            <w:r>
              <w:rPr>
                <w:color w:val="auto"/>
              </w:rPr>
              <w:t>①加强管理，严格执行动火证制度，加强防范措施；</w:t>
            </w:r>
          </w:p>
          <w:p w14:paraId="201F7B29">
            <w:pPr>
              <w:pStyle w:val="43"/>
              <w:bidi w:val="0"/>
              <w:jc w:val="left"/>
              <w:rPr>
                <w:color w:val="auto"/>
              </w:rPr>
            </w:pPr>
            <w:r>
              <w:rPr>
                <w:color w:val="auto"/>
              </w:rPr>
              <w:t>②按标准装置避雷设施，并定期检查；</w:t>
            </w:r>
          </w:p>
          <w:p w14:paraId="22B7DA6D">
            <w:pPr>
              <w:pStyle w:val="43"/>
              <w:bidi w:val="0"/>
              <w:jc w:val="left"/>
              <w:rPr>
                <w:color w:val="auto"/>
              </w:rPr>
            </w:pPr>
            <w:r>
              <w:rPr>
                <w:color w:val="auto"/>
              </w:rPr>
              <w:t>③严格执行防静电措施。</w:t>
            </w:r>
          </w:p>
          <w:p w14:paraId="669EA8A1">
            <w:pPr>
              <w:pStyle w:val="43"/>
              <w:bidi w:val="0"/>
              <w:jc w:val="left"/>
              <w:rPr>
                <w:color w:val="auto"/>
              </w:rPr>
            </w:pPr>
            <w:r>
              <w:rPr>
                <w:color w:val="auto"/>
              </w:rPr>
              <w:t>2、加强管理、严格经营</w:t>
            </w:r>
          </w:p>
          <w:p w14:paraId="2ECA44F5">
            <w:pPr>
              <w:pStyle w:val="43"/>
              <w:bidi w:val="0"/>
              <w:jc w:val="left"/>
              <w:rPr>
                <w:color w:val="auto"/>
              </w:rPr>
            </w:pPr>
            <w:r>
              <w:rPr>
                <w:color w:val="auto"/>
              </w:rPr>
              <w:t>①定时、经常检查</w:t>
            </w:r>
            <w:r>
              <w:rPr>
                <w:rFonts w:hint="eastAsia"/>
                <w:color w:val="auto"/>
                <w:lang w:val="en-US" w:eastAsia="zh-CN"/>
              </w:rPr>
              <w:t>充电</w:t>
            </w:r>
            <w:r>
              <w:rPr>
                <w:rFonts w:hint="eastAsia"/>
                <w:color w:val="auto"/>
              </w:rPr>
              <w:t>设备</w:t>
            </w:r>
            <w:r>
              <w:rPr>
                <w:rFonts w:hint="eastAsia"/>
                <w:color w:val="auto"/>
                <w:lang w:eastAsia="zh-CN"/>
              </w:rPr>
              <w:t>，</w:t>
            </w:r>
            <w:r>
              <w:rPr>
                <w:color w:val="auto"/>
              </w:rPr>
              <w:t>发现问题立即修复，检修时注意做好静电防护；</w:t>
            </w:r>
          </w:p>
          <w:p w14:paraId="16C5B8D6">
            <w:pPr>
              <w:pStyle w:val="43"/>
              <w:bidi w:val="0"/>
              <w:jc w:val="left"/>
              <w:rPr>
                <w:color w:val="auto"/>
              </w:rPr>
            </w:pPr>
            <w:r>
              <w:rPr>
                <w:color w:val="auto"/>
              </w:rPr>
              <w:t>②作业场所设置醒目的安全警示标志；</w:t>
            </w:r>
          </w:p>
          <w:p w14:paraId="2914CF0A">
            <w:pPr>
              <w:pStyle w:val="43"/>
              <w:bidi w:val="0"/>
              <w:jc w:val="left"/>
              <w:rPr>
                <w:color w:val="auto"/>
              </w:rPr>
            </w:pPr>
            <w:r>
              <w:rPr>
                <w:color w:val="auto"/>
              </w:rPr>
              <w:t>③注意监控并及时制止外来人员违章行为，如吸烟、点打火机；</w:t>
            </w:r>
          </w:p>
          <w:p w14:paraId="450D71F3">
            <w:pPr>
              <w:pStyle w:val="43"/>
              <w:bidi w:val="0"/>
              <w:jc w:val="left"/>
              <w:rPr>
                <w:color w:val="auto"/>
              </w:rPr>
            </w:pPr>
            <w:r>
              <w:rPr>
                <w:color w:val="auto"/>
              </w:rPr>
              <w:t>④检修时严守作业规程，做好动火等作业必须在严格监护下进行；</w:t>
            </w:r>
          </w:p>
          <w:p w14:paraId="5E8C29A2">
            <w:pPr>
              <w:pStyle w:val="43"/>
              <w:bidi w:val="0"/>
              <w:jc w:val="left"/>
              <w:rPr>
                <w:color w:val="auto"/>
              </w:rPr>
            </w:pPr>
            <w:r>
              <w:rPr>
                <w:color w:val="auto"/>
              </w:rPr>
              <w:t>⑤加强员工培训、教育、考核工作，经常性检查有否违章、违纪现象；</w:t>
            </w:r>
          </w:p>
          <w:p w14:paraId="371921AC">
            <w:pPr>
              <w:pStyle w:val="43"/>
              <w:bidi w:val="0"/>
              <w:jc w:val="left"/>
              <w:rPr>
                <w:rFonts w:hint="eastAsia"/>
                <w:color w:val="auto"/>
              </w:rPr>
            </w:pPr>
            <w:r>
              <w:rPr>
                <w:color w:val="auto"/>
              </w:rPr>
              <w:t>⑥安全设施（包括消防设施、报警装置</w:t>
            </w:r>
            <w:r>
              <w:rPr>
                <w:rFonts w:hint="eastAsia"/>
                <w:color w:val="auto"/>
              </w:rPr>
              <w:t>、</w:t>
            </w:r>
            <w:r>
              <w:rPr>
                <w:color w:val="auto"/>
              </w:rPr>
              <w:t>防雷接地等）保持齐全完好</w:t>
            </w:r>
            <w:r>
              <w:rPr>
                <w:rFonts w:hint="eastAsia"/>
                <w:color w:val="auto"/>
                <w:lang w:eastAsia="zh-CN"/>
              </w:rPr>
              <w:t>。</w:t>
            </w:r>
            <w:r>
              <w:rPr>
                <w:color w:val="auto"/>
              </w:rPr>
              <w:t xml:space="preserve"> </w:t>
            </w:r>
          </w:p>
        </w:tc>
      </w:tr>
      <w:tr w14:paraId="0C356A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9173" w:type="dxa"/>
            <w:gridSpan w:val="3"/>
            <w:tcBorders>
              <w:top w:val="single" w:color="auto" w:sz="4" w:space="0"/>
              <w:left w:val="single" w:color="auto" w:sz="4" w:space="0"/>
              <w:bottom w:val="single" w:color="auto" w:sz="4" w:space="0"/>
              <w:right w:val="single" w:color="auto" w:sz="4" w:space="0"/>
            </w:tcBorders>
            <w:noWrap w:val="0"/>
            <w:vAlign w:val="center"/>
          </w:tcPr>
          <w:p w14:paraId="6D05F0B9">
            <w:pPr>
              <w:pStyle w:val="43"/>
              <w:bidi w:val="0"/>
              <w:rPr>
                <w:color w:val="auto"/>
              </w:rPr>
            </w:pPr>
            <w:r>
              <w:rPr>
                <w:color w:val="auto"/>
              </w:rPr>
              <w:t>二</w:t>
            </w:r>
          </w:p>
        </w:tc>
      </w:tr>
      <w:tr w14:paraId="29515C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DCFB85">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color w:val="auto"/>
              </w:rPr>
              <w:t>潜在事故</w:t>
            </w:r>
          </w:p>
        </w:tc>
        <w:tc>
          <w:tcPr>
            <w:tcW w:w="795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4004966">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color w:val="auto"/>
              </w:rPr>
              <w:t>触电</w:t>
            </w:r>
          </w:p>
        </w:tc>
      </w:tr>
      <w:tr w14:paraId="7C2B73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40F4BF">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作业场所</w:t>
            </w:r>
          </w:p>
        </w:tc>
        <w:tc>
          <w:tcPr>
            <w:tcW w:w="795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364A0F0">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建筑及设备设施、配套的公用工程</w:t>
            </w:r>
          </w:p>
        </w:tc>
      </w:tr>
      <w:tr w14:paraId="111F0F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5B339364">
            <w:pPr>
              <w:pStyle w:val="43"/>
              <w:bidi w:val="0"/>
              <w:rPr>
                <w:color w:val="auto"/>
              </w:rPr>
            </w:pPr>
            <w:r>
              <w:rPr>
                <w:color w:val="auto"/>
              </w:rPr>
              <w:t>危险因素</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53373B89">
            <w:pPr>
              <w:pStyle w:val="43"/>
              <w:bidi w:val="0"/>
              <w:rPr>
                <w:color w:val="auto"/>
              </w:rPr>
            </w:pPr>
            <w:r>
              <w:rPr>
                <w:color w:val="auto"/>
              </w:rPr>
              <w:t>漏电、绝缘损坏、安全距离不够、雷击</w:t>
            </w:r>
          </w:p>
        </w:tc>
      </w:tr>
      <w:tr w14:paraId="3E82FB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63138D86">
            <w:pPr>
              <w:pStyle w:val="43"/>
              <w:bidi w:val="0"/>
              <w:rPr>
                <w:color w:val="auto"/>
              </w:rPr>
            </w:pPr>
            <w:r>
              <w:rPr>
                <w:color w:val="auto"/>
              </w:rPr>
              <w:t>触发事件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444304B4">
            <w:pPr>
              <w:pStyle w:val="43"/>
              <w:bidi w:val="0"/>
              <w:jc w:val="left"/>
              <w:rPr>
                <w:color w:val="auto"/>
              </w:rPr>
            </w:pPr>
            <w:r>
              <w:rPr>
                <w:color w:val="auto"/>
              </w:rPr>
              <w:t>1、电气设备、临时电源漏电；</w:t>
            </w:r>
          </w:p>
          <w:p w14:paraId="6E25C0A6">
            <w:pPr>
              <w:pStyle w:val="43"/>
              <w:bidi w:val="0"/>
              <w:jc w:val="left"/>
              <w:rPr>
                <w:color w:val="auto"/>
              </w:rPr>
            </w:pPr>
            <w:r>
              <w:rPr>
                <w:color w:val="auto"/>
              </w:rPr>
              <w:t>2、安全距离不够（室内线路、变配电设备、用电设备及检修的安全距离）；</w:t>
            </w:r>
          </w:p>
          <w:p w14:paraId="5962B20E">
            <w:pPr>
              <w:pStyle w:val="43"/>
              <w:bidi w:val="0"/>
              <w:jc w:val="left"/>
              <w:rPr>
                <w:color w:val="auto"/>
              </w:rPr>
            </w:pPr>
            <w:r>
              <w:rPr>
                <w:color w:val="auto"/>
              </w:rPr>
              <w:t>3、绝缘损坏、老化；</w:t>
            </w:r>
          </w:p>
          <w:p w14:paraId="32288BF6">
            <w:pPr>
              <w:pStyle w:val="43"/>
              <w:bidi w:val="0"/>
              <w:jc w:val="left"/>
              <w:rPr>
                <w:color w:val="auto"/>
              </w:rPr>
            </w:pPr>
            <w:r>
              <w:rPr>
                <w:color w:val="auto"/>
              </w:rPr>
              <w:t>4、保护接地、接零不当；</w:t>
            </w:r>
          </w:p>
          <w:p w14:paraId="5B7FA23A">
            <w:pPr>
              <w:pStyle w:val="43"/>
              <w:bidi w:val="0"/>
              <w:jc w:val="left"/>
              <w:rPr>
                <w:color w:val="auto"/>
              </w:rPr>
            </w:pPr>
            <w:r>
              <w:rPr>
                <w:color w:val="auto"/>
              </w:rPr>
              <w:t>5、手持电动工具类别选择不当，疏于管理；</w:t>
            </w:r>
          </w:p>
          <w:p w14:paraId="19772E3A">
            <w:pPr>
              <w:pStyle w:val="43"/>
              <w:bidi w:val="0"/>
              <w:jc w:val="left"/>
              <w:rPr>
                <w:color w:val="auto"/>
              </w:rPr>
            </w:pPr>
            <w:r>
              <w:rPr>
                <w:color w:val="auto"/>
              </w:rPr>
              <w:t>6、防护用品和工具缺少或质量缺陷、使用不当；</w:t>
            </w:r>
          </w:p>
          <w:p w14:paraId="114ADCBA">
            <w:pPr>
              <w:pStyle w:val="43"/>
              <w:bidi w:val="0"/>
              <w:jc w:val="left"/>
              <w:rPr>
                <w:color w:val="auto"/>
              </w:rPr>
            </w:pPr>
            <w:r>
              <w:rPr>
                <w:color w:val="auto"/>
              </w:rPr>
              <w:t>7、雷击。</w:t>
            </w:r>
          </w:p>
        </w:tc>
      </w:tr>
      <w:tr w14:paraId="546664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2E6CFCC5">
            <w:pPr>
              <w:pStyle w:val="43"/>
              <w:bidi w:val="0"/>
              <w:rPr>
                <w:color w:val="auto"/>
              </w:rPr>
            </w:pPr>
            <w:r>
              <w:rPr>
                <w:color w:val="auto"/>
              </w:rPr>
              <w:t>发生条件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79A1F1A1">
            <w:pPr>
              <w:pStyle w:val="43"/>
              <w:bidi w:val="0"/>
              <w:jc w:val="left"/>
              <w:rPr>
                <w:color w:val="auto"/>
              </w:rPr>
            </w:pPr>
            <w:r>
              <w:rPr>
                <w:color w:val="auto"/>
              </w:rPr>
              <w:t>1、人体接触带电体；</w:t>
            </w:r>
          </w:p>
          <w:p w14:paraId="091D9783">
            <w:pPr>
              <w:pStyle w:val="43"/>
              <w:bidi w:val="0"/>
              <w:jc w:val="left"/>
              <w:rPr>
                <w:color w:val="auto"/>
              </w:rPr>
            </w:pPr>
            <w:r>
              <w:rPr>
                <w:color w:val="auto"/>
              </w:rPr>
              <w:t>2、安全距离不够，引起电击穿；</w:t>
            </w:r>
          </w:p>
          <w:p w14:paraId="27E1DCC2">
            <w:pPr>
              <w:pStyle w:val="43"/>
              <w:bidi w:val="0"/>
              <w:jc w:val="left"/>
              <w:rPr>
                <w:color w:val="auto"/>
              </w:rPr>
            </w:pPr>
            <w:r>
              <w:rPr>
                <w:color w:val="auto"/>
              </w:rPr>
              <w:t>3、通过人体的电流时间超过50mA/s；</w:t>
            </w:r>
          </w:p>
          <w:p w14:paraId="1DD115B5">
            <w:pPr>
              <w:pStyle w:val="43"/>
              <w:bidi w:val="0"/>
              <w:jc w:val="left"/>
              <w:rPr>
                <w:color w:val="auto"/>
              </w:rPr>
            </w:pPr>
            <w:r>
              <w:rPr>
                <w:color w:val="auto"/>
              </w:rPr>
              <w:t>4、设备外壳带电</w:t>
            </w:r>
          </w:p>
        </w:tc>
      </w:tr>
      <w:tr w14:paraId="28D46F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700B4B7A">
            <w:pPr>
              <w:pStyle w:val="43"/>
              <w:bidi w:val="0"/>
              <w:rPr>
                <w:color w:val="auto"/>
              </w:rPr>
            </w:pPr>
            <w:r>
              <w:rPr>
                <w:color w:val="auto"/>
              </w:rPr>
              <w:t>原因事件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1F8696A5">
            <w:pPr>
              <w:pStyle w:val="43"/>
              <w:bidi w:val="0"/>
              <w:jc w:val="left"/>
              <w:rPr>
                <w:color w:val="auto"/>
              </w:rPr>
            </w:pPr>
            <w:r>
              <w:rPr>
                <w:color w:val="auto"/>
              </w:rPr>
              <w:t>1、手及人体其它部位、随身金属物品触及带电体，或因空气潮湿，安全距离不够，造成电击穿；</w:t>
            </w:r>
          </w:p>
          <w:p w14:paraId="407D7115">
            <w:pPr>
              <w:pStyle w:val="43"/>
              <w:bidi w:val="0"/>
              <w:jc w:val="left"/>
              <w:rPr>
                <w:color w:val="auto"/>
              </w:rPr>
            </w:pPr>
            <w:r>
              <w:rPr>
                <w:color w:val="auto"/>
              </w:rPr>
              <w:t>2、电气设备漏电、绝缘损坏，如泵电机保护措施失效，外壳漏电、接线端子裸露等；</w:t>
            </w:r>
          </w:p>
          <w:p w14:paraId="0CB6E607">
            <w:pPr>
              <w:pStyle w:val="43"/>
              <w:bidi w:val="0"/>
              <w:jc w:val="left"/>
              <w:rPr>
                <w:color w:val="auto"/>
              </w:rPr>
            </w:pPr>
            <w:r>
              <w:rPr>
                <w:color w:val="auto"/>
              </w:rPr>
              <w:t>3、电气设备金属外壳接地不良；</w:t>
            </w:r>
          </w:p>
          <w:p w14:paraId="16C725BA">
            <w:pPr>
              <w:pStyle w:val="43"/>
              <w:bidi w:val="0"/>
              <w:jc w:val="left"/>
              <w:rPr>
                <w:color w:val="auto"/>
              </w:rPr>
            </w:pPr>
            <w:r>
              <w:rPr>
                <w:color w:val="auto"/>
              </w:rPr>
              <w:t>4、电工违章作业或非电工违章操作；</w:t>
            </w:r>
          </w:p>
          <w:p w14:paraId="558F0600">
            <w:pPr>
              <w:pStyle w:val="43"/>
              <w:bidi w:val="0"/>
              <w:jc w:val="left"/>
              <w:rPr>
                <w:color w:val="auto"/>
              </w:rPr>
            </w:pPr>
            <w:r>
              <w:rPr>
                <w:color w:val="auto"/>
              </w:rPr>
              <w:t>6、雷电（直接雷、感应雷、雷电侵入波）。</w:t>
            </w:r>
          </w:p>
        </w:tc>
      </w:tr>
      <w:tr w14:paraId="479DD3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0FFBC3C4">
            <w:pPr>
              <w:pStyle w:val="43"/>
              <w:bidi w:val="0"/>
              <w:rPr>
                <w:color w:val="auto"/>
              </w:rPr>
            </w:pPr>
            <w:r>
              <w:rPr>
                <w:color w:val="auto"/>
              </w:rPr>
              <w:t>事故后果</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71D3BC39">
            <w:pPr>
              <w:pStyle w:val="43"/>
              <w:bidi w:val="0"/>
              <w:rPr>
                <w:color w:val="auto"/>
              </w:rPr>
            </w:pPr>
            <w:r>
              <w:rPr>
                <w:color w:val="auto"/>
              </w:rPr>
              <w:t>人员伤亡、引发二次事故</w:t>
            </w:r>
          </w:p>
        </w:tc>
      </w:tr>
      <w:tr w14:paraId="6A7BDB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6DD5D30D">
            <w:pPr>
              <w:pStyle w:val="43"/>
              <w:bidi w:val="0"/>
              <w:rPr>
                <w:color w:val="auto"/>
              </w:rPr>
            </w:pPr>
            <w:r>
              <w:rPr>
                <w:color w:val="auto"/>
              </w:rPr>
              <w:t>危险等级</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6C3B7306">
            <w:pPr>
              <w:pStyle w:val="43"/>
              <w:bidi w:val="0"/>
              <w:rPr>
                <w:color w:val="auto"/>
              </w:rPr>
            </w:pPr>
            <w:r>
              <w:rPr>
                <w:color w:val="auto"/>
              </w:rPr>
              <w:t>Ⅲ</w:t>
            </w:r>
          </w:p>
        </w:tc>
      </w:tr>
      <w:tr w14:paraId="109278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6EBA540E">
            <w:pPr>
              <w:pStyle w:val="43"/>
              <w:bidi w:val="0"/>
              <w:rPr>
                <w:color w:val="auto"/>
              </w:rPr>
            </w:pPr>
            <w:r>
              <w:rPr>
                <w:color w:val="auto"/>
              </w:rPr>
              <w:t>防范措施</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1697B230">
            <w:pPr>
              <w:pStyle w:val="43"/>
              <w:bidi w:val="0"/>
              <w:jc w:val="left"/>
              <w:rPr>
                <w:color w:val="auto"/>
              </w:rPr>
            </w:pPr>
            <w:r>
              <w:rPr>
                <w:color w:val="auto"/>
              </w:rPr>
              <w:t>1、电气绝缘等级要与使用电压、环境、运行条件相符，并定期检查、检测、维护、维修，保持完好状态；</w:t>
            </w:r>
          </w:p>
          <w:p w14:paraId="24E313C3">
            <w:pPr>
              <w:pStyle w:val="43"/>
              <w:bidi w:val="0"/>
              <w:jc w:val="left"/>
              <w:rPr>
                <w:color w:val="auto"/>
              </w:rPr>
            </w:pPr>
            <w:r>
              <w:rPr>
                <w:color w:val="auto"/>
              </w:rPr>
              <w:t>2、采用遮拦、护罩等防护措施，防止人体接触带电体；</w:t>
            </w:r>
          </w:p>
          <w:p w14:paraId="0705F7FC">
            <w:pPr>
              <w:pStyle w:val="43"/>
              <w:bidi w:val="0"/>
              <w:jc w:val="left"/>
              <w:rPr>
                <w:color w:val="auto"/>
              </w:rPr>
            </w:pPr>
            <w:r>
              <w:rPr>
                <w:color w:val="auto"/>
              </w:rPr>
              <w:t>3、室内线路、用电线路按照规范地埋，达到规范安全要求；</w:t>
            </w:r>
          </w:p>
          <w:p w14:paraId="05A5218E">
            <w:pPr>
              <w:pStyle w:val="43"/>
              <w:bidi w:val="0"/>
              <w:jc w:val="left"/>
              <w:rPr>
                <w:color w:val="auto"/>
              </w:rPr>
            </w:pPr>
            <w:r>
              <w:rPr>
                <w:color w:val="auto"/>
              </w:rPr>
              <w:t>4、严格按标准要求对电气设备做好保护接地、重复接地或保护接零；</w:t>
            </w:r>
          </w:p>
          <w:p w14:paraId="0054FF11">
            <w:pPr>
              <w:pStyle w:val="43"/>
              <w:bidi w:val="0"/>
              <w:jc w:val="left"/>
              <w:rPr>
                <w:color w:val="auto"/>
              </w:rPr>
            </w:pPr>
            <w:r>
              <w:rPr>
                <w:color w:val="auto"/>
              </w:rPr>
              <w:t>5、施工、维修电焊作业时注意电焊机绝缘完好、接线不裸露，电焊机定期检测保证漏电在允许范围，电焊作业者穿戴防护用品，注意夏季防触电，有监护和应急措施；</w:t>
            </w:r>
          </w:p>
          <w:p w14:paraId="44C12E3D">
            <w:pPr>
              <w:pStyle w:val="43"/>
              <w:bidi w:val="0"/>
              <w:jc w:val="left"/>
              <w:rPr>
                <w:color w:val="auto"/>
              </w:rPr>
            </w:pPr>
            <w:r>
              <w:rPr>
                <w:color w:val="auto"/>
              </w:rPr>
              <w:t>6、建立、健全并严格执行电气安全规章制度和电气操作规程；按制度对强电线路加强管理、巡查、检修。</w:t>
            </w:r>
          </w:p>
          <w:p w14:paraId="02A0B4EE">
            <w:pPr>
              <w:pStyle w:val="43"/>
              <w:bidi w:val="0"/>
              <w:jc w:val="left"/>
              <w:rPr>
                <w:color w:val="auto"/>
              </w:rPr>
            </w:pPr>
            <w:r>
              <w:rPr>
                <w:color w:val="auto"/>
              </w:rPr>
              <w:t>7、坚持对员工的电气安全操作和急救方法的培训、教育；</w:t>
            </w:r>
          </w:p>
          <w:p w14:paraId="02E1C593">
            <w:pPr>
              <w:pStyle w:val="43"/>
              <w:bidi w:val="0"/>
              <w:jc w:val="left"/>
              <w:rPr>
                <w:color w:val="auto"/>
              </w:rPr>
            </w:pPr>
            <w:r>
              <w:rPr>
                <w:color w:val="auto"/>
              </w:rPr>
              <w:t>8、对防雷措施进行定期检查、检测，保持完好、可靠状态；</w:t>
            </w:r>
          </w:p>
        </w:tc>
      </w:tr>
      <w:tr w14:paraId="7C73C5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9173" w:type="dxa"/>
            <w:gridSpan w:val="3"/>
            <w:tcBorders>
              <w:top w:val="single" w:color="auto" w:sz="4" w:space="0"/>
              <w:left w:val="single" w:color="auto" w:sz="4" w:space="0"/>
              <w:bottom w:val="single" w:color="auto" w:sz="4" w:space="0"/>
              <w:right w:val="single" w:color="auto" w:sz="4" w:space="0"/>
            </w:tcBorders>
            <w:noWrap w:val="0"/>
            <w:vAlign w:val="center"/>
          </w:tcPr>
          <w:p w14:paraId="5DEB8675">
            <w:pPr>
              <w:pStyle w:val="43"/>
              <w:bidi w:val="0"/>
              <w:rPr>
                <w:color w:val="auto"/>
              </w:rPr>
            </w:pPr>
            <w:r>
              <w:rPr>
                <w:color w:val="auto"/>
              </w:rPr>
              <w:t>三</w:t>
            </w:r>
          </w:p>
        </w:tc>
      </w:tr>
      <w:tr w14:paraId="2EE82B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FCFCD5">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潜在事故</w:t>
            </w:r>
          </w:p>
        </w:tc>
        <w:tc>
          <w:tcPr>
            <w:tcW w:w="795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9EBB5DB">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车辆伤害</w:t>
            </w:r>
          </w:p>
        </w:tc>
      </w:tr>
      <w:tr w14:paraId="511055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424907">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作业场所</w:t>
            </w:r>
          </w:p>
        </w:tc>
        <w:tc>
          <w:tcPr>
            <w:tcW w:w="795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BBA83DC">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服务区</w:t>
            </w:r>
            <w:r>
              <w:rPr>
                <w:color w:val="auto"/>
              </w:rPr>
              <w:t>内道路</w:t>
            </w:r>
            <w:r>
              <w:rPr>
                <w:rFonts w:hint="eastAsia"/>
                <w:color w:val="auto"/>
                <w:lang w:eastAsia="zh-CN"/>
              </w:rPr>
              <w:t>、</w:t>
            </w:r>
            <w:r>
              <w:rPr>
                <w:rFonts w:hint="eastAsia"/>
                <w:color w:val="auto"/>
                <w:lang w:val="en-US" w:eastAsia="zh-CN"/>
              </w:rPr>
              <w:t>停车位</w:t>
            </w:r>
          </w:p>
        </w:tc>
      </w:tr>
      <w:tr w14:paraId="071775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56968DED">
            <w:pPr>
              <w:pStyle w:val="43"/>
              <w:bidi w:val="0"/>
              <w:rPr>
                <w:color w:val="auto"/>
              </w:rPr>
            </w:pPr>
            <w:r>
              <w:rPr>
                <w:color w:val="auto"/>
              </w:rPr>
              <w:t>危险因素</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2A4A8AA5">
            <w:pPr>
              <w:pStyle w:val="43"/>
              <w:bidi w:val="0"/>
              <w:rPr>
                <w:color w:val="auto"/>
              </w:rPr>
            </w:pPr>
            <w:r>
              <w:rPr>
                <w:color w:val="auto"/>
              </w:rPr>
              <w:t>车辆撞人，车辆撞设备、管线</w:t>
            </w:r>
          </w:p>
        </w:tc>
      </w:tr>
      <w:tr w14:paraId="1ED05B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3FEB2872">
            <w:pPr>
              <w:pStyle w:val="43"/>
              <w:bidi w:val="0"/>
              <w:rPr>
                <w:color w:val="auto"/>
              </w:rPr>
            </w:pPr>
            <w:r>
              <w:rPr>
                <w:color w:val="auto"/>
              </w:rPr>
              <w:t>触发事件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31825A44">
            <w:pPr>
              <w:pStyle w:val="43"/>
              <w:bidi w:val="0"/>
              <w:jc w:val="left"/>
              <w:rPr>
                <w:color w:val="auto"/>
              </w:rPr>
            </w:pPr>
            <w:r>
              <w:rPr>
                <w:color w:val="auto"/>
              </w:rPr>
              <w:t>1、车辆带故障行驶（如刹车不灵、鸣笛喇叭失效、刮雨器失效等）；</w:t>
            </w:r>
          </w:p>
          <w:p w14:paraId="7F7AF3B9">
            <w:pPr>
              <w:pStyle w:val="43"/>
              <w:bidi w:val="0"/>
              <w:jc w:val="left"/>
              <w:rPr>
                <w:color w:val="auto"/>
              </w:rPr>
            </w:pPr>
            <w:r>
              <w:rPr>
                <w:color w:val="auto"/>
              </w:rPr>
              <w:t>2、车速过快；</w:t>
            </w:r>
          </w:p>
          <w:p w14:paraId="534679B6">
            <w:pPr>
              <w:pStyle w:val="43"/>
              <w:bidi w:val="0"/>
              <w:jc w:val="left"/>
              <w:rPr>
                <w:color w:val="auto"/>
              </w:rPr>
            </w:pPr>
            <w:r>
              <w:rPr>
                <w:color w:val="auto"/>
              </w:rPr>
              <w:t>3、道旁管线、管架桥无防撞设施和标志；</w:t>
            </w:r>
          </w:p>
          <w:p w14:paraId="07E3E3DA">
            <w:pPr>
              <w:pStyle w:val="43"/>
              <w:bidi w:val="0"/>
              <w:jc w:val="left"/>
              <w:rPr>
                <w:color w:val="auto"/>
              </w:rPr>
            </w:pPr>
            <w:r>
              <w:rPr>
                <w:color w:val="auto"/>
              </w:rPr>
              <w:t>4、路面不好（如路面有陷坑、障碍物、冰雪等）；</w:t>
            </w:r>
          </w:p>
          <w:p w14:paraId="5986DEE2">
            <w:pPr>
              <w:pStyle w:val="43"/>
              <w:bidi w:val="0"/>
              <w:jc w:val="left"/>
              <w:rPr>
                <w:color w:val="auto"/>
              </w:rPr>
            </w:pPr>
            <w:r>
              <w:rPr>
                <w:color w:val="auto"/>
              </w:rPr>
              <w:t>5、超载驾驶；</w:t>
            </w:r>
          </w:p>
        </w:tc>
      </w:tr>
      <w:tr w14:paraId="76EC71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03F77D96">
            <w:pPr>
              <w:pStyle w:val="43"/>
              <w:bidi w:val="0"/>
              <w:rPr>
                <w:color w:val="auto"/>
              </w:rPr>
            </w:pPr>
            <w:r>
              <w:rPr>
                <w:color w:val="auto"/>
              </w:rPr>
              <w:t>发生条件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05DEE253">
            <w:pPr>
              <w:pStyle w:val="43"/>
              <w:bidi w:val="0"/>
              <w:rPr>
                <w:color w:val="auto"/>
              </w:rPr>
            </w:pPr>
            <w:r>
              <w:rPr>
                <w:color w:val="auto"/>
              </w:rPr>
              <w:t>车辆撞击人体、设备、管线等</w:t>
            </w:r>
          </w:p>
        </w:tc>
      </w:tr>
      <w:tr w14:paraId="118F9D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696BA469">
            <w:pPr>
              <w:pStyle w:val="43"/>
              <w:bidi w:val="0"/>
              <w:rPr>
                <w:color w:val="auto"/>
              </w:rPr>
            </w:pPr>
            <w:r>
              <w:rPr>
                <w:color w:val="auto"/>
              </w:rPr>
              <w:t>原因事件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0B6132DA">
            <w:pPr>
              <w:pStyle w:val="43"/>
              <w:bidi w:val="0"/>
              <w:jc w:val="left"/>
              <w:rPr>
                <w:color w:val="auto"/>
              </w:rPr>
            </w:pPr>
            <w:r>
              <w:rPr>
                <w:color w:val="auto"/>
              </w:rPr>
              <w:t>1、进入</w:t>
            </w:r>
            <w:r>
              <w:rPr>
                <w:rFonts w:hint="eastAsia"/>
                <w:color w:val="auto"/>
              </w:rPr>
              <w:t>加油加气</w:t>
            </w:r>
            <w:r>
              <w:rPr>
                <w:color w:val="auto"/>
              </w:rPr>
              <w:t>站的驾驶员工作精力不集中、行驶违章、酒后驾车、疲劳驾驶；</w:t>
            </w:r>
          </w:p>
          <w:p w14:paraId="69E3EF2C">
            <w:pPr>
              <w:pStyle w:val="43"/>
              <w:bidi w:val="0"/>
              <w:jc w:val="left"/>
              <w:rPr>
                <w:color w:val="auto"/>
              </w:rPr>
            </w:pPr>
            <w:r>
              <w:rPr>
                <w:color w:val="auto"/>
              </w:rPr>
              <w:t>2、驾驶员情绪不好或情绪激动时驾车；</w:t>
            </w:r>
          </w:p>
          <w:p w14:paraId="4EA01780">
            <w:pPr>
              <w:pStyle w:val="43"/>
              <w:bidi w:val="0"/>
              <w:jc w:val="left"/>
              <w:rPr>
                <w:color w:val="auto"/>
              </w:rPr>
            </w:pPr>
            <w:r>
              <w:rPr>
                <w:color w:val="auto"/>
              </w:rPr>
              <w:t>3、</w:t>
            </w:r>
            <w:r>
              <w:rPr>
                <w:rFonts w:hint="eastAsia"/>
                <w:color w:val="auto"/>
                <w:lang w:val="en-US" w:eastAsia="zh-CN"/>
              </w:rPr>
              <w:t>服务区</w:t>
            </w:r>
            <w:r>
              <w:rPr>
                <w:color w:val="auto"/>
              </w:rPr>
              <w:t>引导车辆不力。</w:t>
            </w:r>
          </w:p>
        </w:tc>
      </w:tr>
      <w:tr w14:paraId="0F7BE8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48866FE4">
            <w:pPr>
              <w:pStyle w:val="43"/>
              <w:bidi w:val="0"/>
              <w:rPr>
                <w:color w:val="auto"/>
              </w:rPr>
            </w:pPr>
            <w:r>
              <w:rPr>
                <w:color w:val="auto"/>
              </w:rPr>
              <w:t>事故后果</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7F25A904">
            <w:pPr>
              <w:pStyle w:val="43"/>
              <w:bidi w:val="0"/>
              <w:rPr>
                <w:color w:val="auto"/>
              </w:rPr>
            </w:pPr>
            <w:r>
              <w:rPr>
                <w:color w:val="auto"/>
              </w:rPr>
              <w:t>人员伤害，撞坏管线等造成二次事故</w:t>
            </w:r>
          </w:p>
        </w:tc>
      </w:tr>
      <w:tr w14:paraId="229BED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1CFB4DAF">
            <w:pPr>
              <w:pStyle w:val="43"/>
              <w:bidi w:val="0"/>
              <w:rPr>
                <w:color w:val="auto"/>
              </w:rPr>
            </w:pPr>
            <w:r>
              <w:rPr>
                <w:color w:val="auto"/>
              </w:rPr>
              <w:t>危险等级</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22CAEDA6">
            <w:pPr>
              <w:pStyle w:val="43"/>
              <w:bidi w:val="0"/>
              <w:rPr>
                <w:color w:val="auto"/>
              </w:rPr>
            </w:pPr>
            <w:r>
              <w:rPr>
                <w:color w:val="auto"/>
              </w:rPr>
              <w:t>Ⅱ</w:t>
            </w:r>
          </w:p>
        </w:tc>
      </w:tr>
      <w:tr w14:paraId="5779B9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6FAA8BE3">
            <w:pPr>
              <w:pStyle w:val="43"/>
              <w:bidi w:val="0"/>
              <w:rPr>
                <w:color w:val="auto"/>
              </w:rPr>
            </w:pPr>
            <w:r>
              <w:rPr>
                <w:color w:val="auto"/>
              </w:rPr>
              <w:t>防范措施</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17A33506">
            <w:pPr>
              <w:pStyle w:val="43"/>
              <w:bidi w:val="0"/>
              <w:jc w:val="left"/>
              <w:rPr>
                <w:color w:val="auto"/>
              </w:rPr>
            </w:pPr>
            <w:r>
              <w:rPr>
                <w:color w:val="auto"/>
              </w:rPr>
              <w:t>1、设交通标志（特别是限速行驶标志）；</w:t>
            </w:r>
          </w:p>
          <w:p w14:paraId="63192264">
            <w:pPr>
              <w:pStyle w:val="43"/>
              <w:bidi w:val="0"/>
              <w:jc w:val="left"/>
              <w:rPr>
                <w:color w:val="auto"/>
              </w:rPr>
            </w:pPr>
            <w:r>
              <w:rPr>
                <w:color w:val="auto"/>
              </w:rPr>
              <w:t>2、保持进出</w:t>
            </w:r>
            <w:r>
              <w:rPr>
                <w:rFonts w:hint="eastAsia"/>
                <w:color w:val="auto"/>
                <w:lang w:val="en-US" w:eastAsia="zh-CN"/>
              </w:rPr>
              <w:t>服务区</w:t>
            </w:r>
            <w:r>
              <w:rPr>
                <w:color w:val="auto"/>
              </w:rPr>
              <w:t>的道路畅通，保持路面状态良好；</w:t>
            </w:r>
          </w:p>
          <w:p w14:paraId="0F6F9FF5">
            <w:pPr>
              <w:pStyle w:val="43"/>
              <w:bidi w:val="0"/>
              <w:jc w:val="left"/>
              <w:rPr>
                <w:color w:val="auto"/>
              </w:rPr>
            </w:pPr>
            <w:r>
              <w:rPr>
                <w:color w:val="auto"/>
              </w:rPr>
              <w:t>3、加强对进</w:t>
            </w:r>
            <w:r>
              <w:rPr>
                <w:rFonts w:hint="eastAsia"/>
                <w:color w:val="auto"/>
                <w:lang w:val="en-US" w:eastAsia="zh-CN"/>
              </w:rPr>
              <w:t>服务区</w:t>
            </w:r>
            <w:r>
              <w:rPr>
                <w:color w:val="auto"/>
              </w:rPr>
              <w:t>车辆的引导，发现驾驶员违章立即提醒纠正；</w:t>
            </w:r>
          </w:p>
        </w:tc>
      </w:tr>
      <w:tr w14:paraId="7CE9C7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9173" w:type="dxa"/>
            <w:gridSpan w:val="3"/>
            <w:tcBorders>
              <w:top w:val="single" w:color="auto" w:sz="4" w:space="0"/>
              <w:left w:val="single" w:color="auto" w:sz="4" w:space="0"/>
              <w:bottom w:val="single" w:color="auto" w:sz="4" w:space="0"/>
              <w:right w:val="single" w:color="auto" w:sz="4" w:space="0"/>
            </w:tcBorders>
            <w:noWrap w:val="0"/>
            <w:vAlign w:val="center"/>
          </w:tcPr>
          <w:p w14:paraId="0724ED15">
            <w:pPr>
              <w:pStyle w:val="43"/>
              <w:bidi w:val="0"/>
              <w:rPr>
                <w:rFonts w:hint="eastAsia"/>
                <w:color w:val="auto"/>
                <w:lang w:eastAsia="zh-CN"/>
              </w:rPr>
            </w:pPr>
            <w:r>
              <w:rPr>
                <w:rFonts w:hint="eastAsia"/>
                <w:color w:val="auto"/>
                <w:lang w:val="en-US" w:eastAsia="zh-CN"/>
              </w:rPr>
              <w:t>四</w:t>
            </w:r>
          </w:p>
        </w:tc>
      </w:tr>
      <w:tr w14:paraId="405BD1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C51980">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潜在事故</w:t>
            </w:r>
          </w:p>
        </w:tc>
        <w:tc>
          <w:tcPr>
            <w:tcW w:w="795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927B93B">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物体打击</w:t>
            </w:r>
          </w:p>
        </w:tc>
      </w:tr>
      <w:tr w14:paraId="29129E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EE99A6">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作业场所</w:t>
            </w:r>
          </w:p>
        </w:tc>
        <w:tc>
          <w:tcPr>
            <w:tcW w:w="795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2D8EB86">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公用工程设备场所</w:t>
            </w:r>
            <w:r>
              <w:rPr>
                <w:rFonts w:hint="eastAsia"/>
                <w:color w:val="auto"/>
              </w:rPr>
              <w:t>、</w:t>
            </w:r>
            <w:r>
              <w:rPr>
                <w:rFonts w:hint="eastAsia"/>
                <w:color w:val="auto"/>
                <w:lang w:val="en-US" w:eastAsia="zh-CN"/>
              </w:rPr>
              <w:t>充电</w:t>
            </w:r>
            <w:r>
              <w:rPr>
                <w:rFonts w:hint="eastAsia"/>
                <w:color w:val="auto"/>
              </w:rPr>
              <w:t>区</w:t>
            </w:r>
            <w:r>
              <w:rPr>
                <w:rFonts w:hint="eastAsia"/>
                <w:color w:val="auto"/>
                <w:lang w:val="en-US" w:eastAsia="zh-CN"/>
              </w:rPr>
              <w:t>停车位</w:t>
            </w:r>
          </w:p>
        </w:tc>
      </w:tr>
      <w:tr w14:paraId="490FD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3A4A2B18">
            <w:pPr>
              <w:pStyle w:val="43"/>
              <w:bidi w:val="0"/>
              <w:rPr>
                <w:color w:val="auto"/>
              </w:rPr>
            </w:pPr>
            <w:r>
              <w:rPr>
                <w:color w:val="auto"/>
              </w:rPr>
              <w:t>危险因素</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1F61B9A6">
            <w:pPr>
              <w:pStyle w:val="43"/>
              <w:bidi w:val="0"/>
              <w:rPr>
                <w:color w:val="auto"/>
              </w:rPr>
            </w:pPr>
            <w:r>
              <w:rPr>
                <w:color w:val="auto"/>
              </w:rPr>
              <w:t>物体坠落或飞出</w:t>
            </w:r>
          </w:p>
        </w:tc>
      </w:tr>
      <w:tr w14:paraId="4A53B2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54C8CBD1">
            <w:pPr>
              <w:pStyle w:val="43"/>
              <w:bidi w:val="0"/>
              <w:rPr>
                <w:color w:val="auto"/>
              </w:rPr>
            </w:pPr>
            <w:r>
              <w:rPr>
                <w:color w:val="auto"/>
              </w:rPr>
              <w:t>触发事件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65EC0E59">
            <w:pPr>
              <w:pStyle w:val="43"/>
              <w:bidi w:val="0"/>
              <w:jc w:val="left"/>
              <w:rPr>
                <w:color w:val="auto"/>
              </w:rPr>
            </w:pPr>
            <w:r>
              <w:rPr>
                <w:color w:val="auto"/>
              </w:rPr>
              <w:t>1、高处有未被固定的物体被碰撞或风吹等坠落；</w:t>
            </w:r>
          </w:p>
          <w:p w14:paraId="5E71B1A6">
            <w:pPr>
              <w:pStyle w:val="43"/>
              <w:bidi w:val="0"/>
              <w:jc w:val="left"/>
              <w:rPr>
                <w:color w:val="auto"/>
              </w:rPr>
            </w:pPr>
            <w:r>
              <w:rPr>
                <w:color w:val="auto"/>
              </w:rPr>
              <w:t>2、工具、器具等上下抛掷；</w:t>
            </w:r>
          </w:p>
          <w:p w14:paraId="5A3107A7">
            <w:pPr>
              <w:pStyle w:val="43"/>
              <w:bidi w:val="0"/>
              <w:jc w:val="left"/>
              <w:rPr>
                <w:color w:val="auto"/>
              </w:rPr>
            </w:pPr>
            <w:r>
              <w:rPr>
                <w:color w:val="auto"/>
              </w:rPr>
              <w:t>3、</w:t>
            </w:r>
            <w:r>
              <w:rPr>
                <w:rFonts w:hint="eastAsia"/>
                <w:color w:val="auto"/>
                <w:lang w:val="en-US" w:eastAsia="zh-CN"/>
              </w:rPr>
              <w:t>屋顶</w:t>
            </w:r>
            <w:r>
              <w:rPr>
                <w:color w:val="auto"/>
              </w:rPr>
              <w:t>灯具固定不牢</w:t>
            </w:r>
            <w:r>
              <w:rPr>
                <w:rFonts w:hint="eastAsia"/>
                <w:color w:val="auto"/>
                <w:lang w:eastAsia="zh-CN"/>
              </w:rPr>
              <w:t>，</w:t>
            </w:r>
            <w:r>
              <w:rPr>
                <w:rFonts w:hint="eastAsia"/>
                <w:color w:val="auto"/>
                <w:lang w:val="en-US" w:eastAsia="zh-CN"/>
              </w:rPr>
              <w:t>屋</w:t>
            </w:r>
            <w:r>
              <w:rPr>
                <w:color w:val="auto"/>
              </w:rPr>
              <w:t>顶有浮物，遇到强风使物体倾斜坠落；</w:t>
            </w:r>
          </w:p>
          <w:p w14:paraId="528AA794">
            <w:pPr>
              <w:pStyle w:val="43"/>
              <w:bidi w:val="0"/>
              <w:jc w:val="left"/>
              <w:rPr>
                <w:color w:val="auto"/>
              </w:rPr>
            </w:pPr>
            <w:r>
              <w:rPr>
                <w:color w:val="auto"/>
              </w:rPr>
              <w:t>4、发生意外爆炸事故，碎片抛掷、飞散；</w:t>
            </w:r>
          </w:p>
          <w:p w14:paraId="7796DB4B">
            <w:pPr>
              <w:pStyle w:val="43"/>
              <w:bidi w:val="0"/>
              <w:jc w:val="left"/>
              <w:rPr>
                <w:color w:val="auto"/>
              </w:rPr>
            </w:pPr>
            <w:r>
              <w:rPr>
                <w:color w:val="auto"/>
              </w:rPr>
              <w:t>5、检修时检修工具未握牢脱手或作业场所空间不足，碰撞到其它物体造成工具飞出等。</w:t>
            </w:r>
          </w:p>
        </w:tc>
      </w:tr>
      <w:tr w14:paraId="4DD288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20EC373C">
            <w:pPr>
              <w:pStyle w:val="43"/>
              <w:bidi w:val="0"/>
              <w:rPr>
                <w:color w:val="auto"/>
              </w:rPr>
            </w:pPr>
            <w:r>
              <w:rPr>
                <w:color w:val="auto"/>
              </w:rPr>
              <w:t>发生条件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4DABA581">
            <w:pPr>
              <w:pStyle w:val="43"/>
              <w:bidi w:val="0"/>
              <w:rPr>
                <w:color w:val="auto"/>
              </w:rPr>
            </w:pPr>
            <w:r>
              <w:rPr>
                <w:color w:val="auto"/>
              </w:rPr>
              <w:t>坠落物体击中人体</w:t>
            </w:r>
          </w:p>
        </w:tc>
      </w:tr>
      <w:tr w14:paraId="76475B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3B8C4727">
            <w:pPr>
              <w:pStyle w:val="43"/>
              <w:bidi w:val="0"/>
              <w:rPr>
                <w:color w:val="auto"/>
              </w:rPr>
            </w:pPr>
            <w:r>
              <w:rPr>
                <w:color w:val="auto"/>
              </w:rPr>
              <w:t>事故后果</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31B75D58">
            <w:pPr>
              <w:pStyle w:val="43"/>
              <w:bidi w:val="0"/>
              <w:rPr>
                <w:color w:val="auto"/>
              </w:rPr>
            </w:pPr>
            <w:r>
              <w:rPr>
                <w:color w:val="auto"/>
              </w:rPr>
              <w:t>人员伤亡或引发二次事故</w:t>
            </w:r>
          </w:p>
        </w:tc>
      </w:tr>
      <w:tr w14:paraId="1CDE55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115CB2E7">
            <w:pPr>
              <w:pStyle w:val="43"/>
              <w:bidi w:val="0"/>
              <w:rPr>
                <w:color w:val="auto"/>
              </w:rPr>
            </w:pPr>
            <w:r>
              <w:rPr>
                <w:color w:val="auto"/>
              </w:rPr>
              <w:t>危险等级</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1B0DA6BD">
            <w:pPr>
              <w:pStyle w:val="43"/>
              <w:bidi w:val="0"/>
              <w:rPr>
                <w:color w:val="auto"/>
              </w:rPr>
            </w:pPr>
            <w:r>
              <w:rPr>
                <w:color w:val="auto"/>
              </w:rPr>
              <w:t>Ⅱ</w:t>
            </w:r>
          </w:p>
        </w:tc>
      </w:tr>
      <w:tr w14:paraId="111D76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60C19F58">
            <w:pPr>
              <w:pStyle w:val="43"/>
              <w:bidi w:val="0"/>
              <w:rPr>
                <w:color w:val="auto"/>
              </w:rPr>
            </w:pPr>
            <w:r>
              <w:rPr>
                <w:color w:val="auto"/>
              </w:rPr>
              <w:t>防范措施</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10FFE2B9">
            <w:pPr>
              <w:pStyle w:val="43"/>
              <w:bidi w:val="0"/>
              <w:jc w:val="left"/>
              <w:rPr>
                <w:color w:val="auto"/>
              </w:rPr>
            </w:pPr>
            <w:r>
              <w:rPr>
                <w:color w:val="auto"/>
              </w:rPr>
              <w:t>1、高处的物件必须固定牢靠；</w:t>
            </w:r>
          </w:p>
          <w:p w14:paraId="2B931DF1">
            <w:pPr>
              <w:pStyle w:val="43"/>
              <w:bidi w:val="0"/>
              <w:jc w:val="left"/>
              <w:rPr>
                <w:color w:val="auto"/>
              </w:rPr>
            </w:pPr>
            <w:r>
              <w:rPr>
                <w:color w:val="auto"/>
              </w:rPr>
              <w:t>2、维修时严禁抛接检修工具、螺栓等物件；</w:t>
            </w:r>
          </w:p>
          <w:p w14:paraId="58289560">
            <w:pPr>
              <w:pStyle w:val="43"/>
              <w:bidi w:val="0"/>
              <w:jc w:val="left"/>
              <w:rPr>
                <w:color w:val="auto"/>
              </w:rPr>
            </w:pPr>
            <w:r>
              <w:rPr>
                <w:color w:val="auto"/>
              </w:rPr>
              <w:t>3、预警示标志，加强对员工的安全意识教育，杜绝“三违”；</w:t>
            </w:r>
          </w:p>
        </w:tc>
      </w:tr>
      <w:tr w14:paraId="1EF0D0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9173" w:type="dxa"/>
            <w:gridSpan w:val="3"/>
            <w:tcBorders>
              <w:top w:val="single" w:color="auto" w:sz="4" w:space="0"/>
              <w:left w:val="single" w:color="auto" w:sz="4" w:space="0"/>
              <w:bottom w:val="single" w:color="auto" w:sz="4" w:space="0"/>
              <w:right w:val="single" w:color="auto" w:sz="4" w:space="0"/>
            </w:tcBorders>
            <w:noWrap w:val="0"/>
            <w:vAlign w:val="center"/>
          </w:tcPr>
          <w:p w14:paraId="68318226">
            <w:pPr>
              <w:pStyle w:val="43"/>
              <w:bidi w:val="0"/>
              <w:rPr>
                <w:rFonts w:hint="eastAsia"/>
                <w:color w:val="auto"/>
                <w:lang w:eastAsia="zh-CN"/>
              </w:rPr>
            </w:pPr>
            <w:r>
              <w:rPr>
                <w:rFonts w:hint="eastAsia"/>
                <w:color w:val="auto"/>
                <w:lang w:val="en-US" w:eastAsia="zh-CN"/>
              </w:rPr>
              <w:t>五</w:t>
            </w:r>
          </w:p>
        </w:tc>
      </w:tr>
      <w:tr w14:paraId="77B61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0D41B5">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潜在事故</w:t>
            </w:r>
          </w:p>
        </w:tc>
        <w:tc>
          <w:tcPr>
            <w:tcW w:w="795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607A03E">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中毒、窒息、淹溺</w:t>
            </w:r>
          </w:p>
        </w:tc>
      </w:tr>
      <w:tr w14:paraId="01855B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A535D4">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作业场所</w:t>
            </w:r>
          </w:p>
        </w:tc>
        <w:tc>
          <w:tcPr>
            <w:tcW w:w="795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55BC8EA">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水箱、污水处理池等受限空间</w:t>
            </w:r>
          </w:p>
        </w:tc>
      </w:tr>
      <w:tr w14:paraId="7E22CD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4E25BC86">
            <w:pPr>
              <w:pStyle w:val="43"/>
              <w:bidi w:val="0"/>
              <w:rPr>
                <w:color w:val="auto"/>
              </w:rPr>
            </w:pPr>
            <w:r>
              <w:rPr>
                <w:color w:val="auto"/>
              </w:rPr>
              <w:t>危险因素</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1EFDB771">
            <w:pPr>
              <w:pStyle w:val="43"/>
              <w:bidi w:val="0"/>
              <w:rPr>
                <w:rFonts w:hint="default" w:eastAsia="宋体"/>
                <w:color w:val="auto"/>
                <w:lang w:val="en-US" w:eastAsia="zh-CN"/>
              </w:rPr>
            </w:pPr>
            <w:r>
              <w:rPr>
                <w:rFonts w:hint="eastAsia"/>
                <w:color w:val="auto"/>
                <w:lang w:val="en-US" w:eastAsia="zh-CN"/>
              </w:rPr>
              <w:t>中毒、窒息、淹溺</w:t>
            </w:r>
          </w:p>
        </w:tc>
      </w:tr>
      <w:tr w14:paraId="0A18C3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13CED0D9">
            <w:pPr>
              <w:pStyle w:val="43"/>
              <w:bidi w:val="0"/>
              <w:rPr>
                <w:color w:val="auto"/>
              </w:rPr>
            </w:pPr>
            <w:r>
              <w:rPr>
                <w:color w:val="auto"/>
              </w:rPr>
              <w:t>触发事件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2C682E90">
            <w:pPr>
              <w:pStyle w:val="43"/>
              <w:bidi w:val="0"/>
              <w:jc w:val="left"/>
              <w:rPr>
                <w:color w:val="auto"/>
              </w:rPr>
            </w:pPr>
            <w:r>
              <w:rPr>
                <w:color w:val="auto"/>
              </w:rPr>
              <w:t>1、</w:t>
            </w:r>
            <w:r>
              <w:rPr>
                <w:rFonts w:hint="eastAsia"/>
                <w:color w:val="auto"/>
                <w:lang w:val="en-US" w:eastAsia="zh-CN"/>
              </w:rPr>
              <w:t>有毒有害气体含量超标或氧气含量过低</w:t>
            </w:r>
            <w:r>
              <w:rPr>
                <w:color w:val="auto"/>
              </w:rPr>
              <w:t>；</w:t>
            </w:r>
          </w:p>
          <w:p w14:paraId="335EF7FD">
            <w:pPr>
              <w:pStyle w:val="43"/>
              <w:bidi w:val="0"/>
              <w:jc w:val="left"/>
              <w:rPr>
                <w:color w:val="auto"/>
              </w:rPr>
            </w:pPr>
            <w:r>
              <w:rPr>
                <w:color w:val="auto"/>
              </w:rPr>
              <w:t>2、</w:t>
            </w:r>
            <w:r>
              <w:rPr>
                <w:rFonts w:hint="eastAsia"/>
                <w:color w:val="auto"/>
                <w:lang w:val="en-US" w:eastAsia="zh-CN"/>
              </w:rPr>
              <w:t>个人防护措施未起作用</w:t>
            </w:r>
            <w:r>
              <w:rPr>
                <w:color w:val="auto"/>
              </w:rPr>
              <w:t>；</w:t>
            </w:r>
          </w:p>
          <w:p w14:paraId="07235F5B">
            <w:pPr>
              <w:pStyle w:val="43"/>
              <w:bidi w:val="0"/>
              <w:jc w:val="left"/>
              <w:rPr>
                <w:color w:val="auto"/>
              </w:rPr>
            </w:pPr>
            <w:r>
              <w:rPr>
                <w:color w:val="auto"/>
              </w:rPr>
              <w:t>3、</w:t>
            </w:r>
            <w:r>
              <w:rPr>
                <w:rFonts w:hint="eastAsia"/>
                <w:color w:val="auto"/>
                <w:lang w:val="en-US" w:eastAsia="zh-CN"/>
              </w:rPr>
              <w:t>作业人员安全意识不足</w:t>
            </w:r>
            <w:r>
              <w:rPr>
                <w:color w:val="auto"/>
              </w:rPr>
              <w:t>；</w:t>
            </w:r>
          </w:p>
          <w:p w14:paraId="4405FD0F">
            <w:pPr>
              <w:pStyle w:val="43"/>
              <w:bidi w:val="0"/>
              <w:jc w:val="left"/>
              <w:rPr>
                <w:color w:val="auto"/>
              </w:rPr>
            </w:pPr>
            <w:r>
              <w:rPr>
                <w:color w:val="auto"/>
              </w:rPr>
              <w:t>4、</w:t>
            </w:r>
            <w:r>
              <w:rPr>
                <w:rFonts w:hint="eastAsia"/>
                <w:color w:val="auto"/>
                <w:lang w:val="en-US" w:eastAsia="zh-CN"/>
              </w:rPr>
              <w:t>作业前未进行气体检测</w:t>
            </w:r>
            <w:r>
              <w:rPr>
                <w:color w:val="auto"/>
              </w:rPr>
              <w:t>；</w:t>
            </w:r>
          </w:p>
          <w:p w14:paraId="08FCBD78">
            <w:pPr>
              <w:pStyle w:val="43"/>
              <w:bidi w:val="0"/>
              <w:jc w:val="left"/>
              <w:rPr>
                <w:rFonts w:hint="eastAsia"/>
                <w:color w:val="auto"/>
                <w:lang w:val="en-US" w:eastAsia="zh-CN"/>
              </w:rPr>
            </w:pPr>
            <w:r>
              <w:rPr>
                <w:rFonts w:hint="eastAsia"/>
                <w:color w:val="auto"/>
                <w:lang w:val="en-US" w:eastAsia="zh-CN"/>
              </w:rPr>
              <w:t>5、气体检测装置出现故障，导致检测结果错误；</w:t>
            </w:r>
          </w:p>
          <w:p w14:paraId="7D545745">
            <w:pPr>
              <w:pStyle w:val="43"/>
              <w:bidi w:val="0"/>
              <w:jc w:val="left"/>
              <w:rPr>
                <w:rFonts w:hint="default"/>
                <w:color w:val="auto"/>
                <w:lang w:val="en-US" w:eastAsia="zh-CN"/>
              </w:rPr>
            </w:pPr>
            <w:r>
              <w:rPr>
                <w:rFonts w:hint="eastAsia"/>
                <w:color w:val="auto"/>
                <w:lang w:val="en-US" w:eastAsia="zh-CN"/>
              </w:rPr>
              <w:t>6、作业前未对受限空间进行有效通风；</w:t>
            </w:r>
          </w:p>
          <w:p w14:paraId="103E87C2">
            <w:pPr>
              <w:pStyle w:val="43"/>
              <w:bidi w:val="0"/>
              <w:jc w:val="left"/>
              <w:rPr>
                <w:color w:val="auto"/>
              </w:rPr>
            </w:pPr>
            <w:r>
              <w:rPr>
                <w:rFonts w:hint="eastAsia"/>
                <w:color w:val="auto"/>
                <w:lang w:val="en-US" w:eastAsia="zh-CN"/>
              </w:rPr>
              <w:t>7</w:t>
            </w:r>
            <w:r>
              <w:rPr>
                <w:color w:val="auto"/>
              </w:rPr>
              <w:t>、</w:t>
            </w:r>
            <w:r>
              <w:rPr>
                <w:rFonts w:hint="eastAsia"/>
                <w:color w:val="auto"/>
                <w:lang w:val="en-US" w:eastAsia="zh-CN"/>
              </w:rPr>
              <w:t>未安排安全监察人员；</w:t>
            </w:r>
          </w:p>
          <w:p w14:paraId="58BF0A9B">
            <w:pPr>
              <w:pStyle w:val="43"/>
              <w:bidi w:val="0"/>
              <w:jc w:val="left"/>
              <w:rPr>
                <w:rFonts w:hint="eastAsia"/>
                <w:color w:val="auto"/>
                <w:lang w:val="en-US" w:eastAsia="zh-CN"/>
              </w:rPr>
            </w:pPr>
            <w:r>
              <w:rPr>
                <w:rFonts w:hint="eastAsia"/>
                <w:color w:val="auto"/>
                <w:lang w:val="en-US" w:eastAsia="zh-CN"/>
              </w:rPr>
              <w:t>8、作业人员未携带相应的检测仪器；</w:t>
            </w:r>
          </w:p>
          <w:p w14:paraId="3232B8F6">
            <w:pPr>
              <w:pStyle w:val="43"/>
              <w:bidi w:val="0"/>
              <w:jc w:val="left"/>
              <w:rPr>
                <w:rFonts w:hint="eastAsia"/>
                <w:color w:val="auto"/>
                <w:lang w:val="en-US" w:eastAsia="zh-CN"/>
              </w:rPr>
            </w:pPr>
            <w:r>
              <w:rPr>
                <w:rFonts w:hint="eastAsia"/>
                <w:color w:val="auto"/>
                <w:lang w:val="en-US" w:eastAsia="zh-CN"/>
              </w:rPr>
              <w:t>9、公司为对员工进行安全教育；</w:t>
            </w:r>
          </w:p>
          <w:p w14:paraId="40206631">
            <w:pPr>
              <w:pStyle w:val="43"/>
              <w:bidi w:val="0"/>
              <w:jc w:val="left"/>
              <w:rPr>
                <w:rFonts w:hint="default"/>
                <w:color w:val="auto"/>
                <w:lang w:val="en-US" w:eastAsia="zh-CN"/>
              </w:rPr>
            </w:pPr>
            <w:r>
              <w:rPr>
                <w:rFonts w:hint="eastAsia"/>
                <w:color w:val="auto"/>
                <w:lang w:val="en-US" w:eastAsia="zh-CN"/>
              </w:rPr>
              <w:t>10、未对受限空间进行危险辨识、评估。</w:t>
            </w:r>
          </w:p>
        </w:tc>
      </w:tr>
      <w:tr w14:paraId="21634B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73190870">
            <w:pPr>
              <w:pStyle w:val="43"/>
              <w:bidi w:val="0"/>
              <w:rPr>
                <w:color w:val="auto"/>
              </w:rPr>
            </w:pPr>
            <w:r>
              <w:rPr>
                <w:color w:val="auto"/>
              </w:rPr>
              <w:t>发生条件</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3C89EDE1">
            <w:pPr>
              <w:pStyle w:val="43"/>
              <w:bidi w:val="0"/>
              <w:rPr>
                <w:rFonts w:hint="default" w:eastAsia="宋体"/>
                <w:color w:val="auto"/>
                <w:lang w:val="en-US" w:eastAsia="zh-CN"/>
              </w:rPr>
            </w:pPr>
            <w:r>
              <w:rPr>
                <w:rFonts w:hint="eastAsia"/>
                <w:color w:val="auto"/>
                <w:lang w:val="en-US" w:eastAsia="zh-CN"/>
              </w:rPr>
              <w:t>受限空间作业</w:t>
            </w:r>
          </w:p>
        </w:tc>
      </w:tr>
      <w:tr w14:paraId="5817C0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3C2937E9">
            <w:pPr>
              <w:pStyle w:val="43"/>
              <w:bidi w:val="0"/>
              <w:rPr>
                <w:color w:val="auto"/>
              </w:rPr>
            </w:pPr>
            <w:r>
              <w:rPr>
                <w:color w:val="auto"/>
              </w:rPr>
              <w:t>事故后果</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198A00D8">
            <w:pPr>
              <w:pStyle w:val="43"/>
              <w:bidi w:val="0"/>
              <w:rPr>
                <w:color w:val="auto"/>
              </w:rPr>
            </w:pPr>
            <w:r>
              <w:rPr>
                <w:color w:val="auto"/>
              </w:rPr>
              <w:t>人员伤亡或引发二次事故</w:t>
            </w:r>
          </w:p>
        </w:tc>
      </w:tr>
      <w:tr w14:paraId="2ABFF2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145508DD">
            <w:pPr>
              <w:pStyle w:val="43"/>
              <w:bidi w:val="0"/>
              <w:rPr>
                <w:color w:val="auto"/>
              </w:rPr>
            </w:pPr>
            <w:r>
              <w:rPr>
                <w:color w:val="auto"/>
              </w:rPr>
              <w:t>危险等级</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7502AE3F">
            <w:pPr>
              <w:pStyle w:val="43"/>
              <w:bidi w:val="0"/>
              <w:rPr>
                <w:color w:val="auto"/>
              </w:rPr>
            </w:pPr>
            <w:r>
              <w:rPr>
                <w:color w:val="auto"/>
              </w:rPr>
              <w:t>Ⅱ</w:t>
            </w:r>
          </w:p>
        </w:tc>
      </w:tr>
      <w:tr w14:paraId="3361C9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14:paraId="6FF9764E">
            <w:pPr>
              <w:pStyle w:val="43"/>
              <w:bidi w:val="0"/>
              <w:rPr>
                <w:color w:val="auto"/>
              </w:rPr>
            </w:pPr>
            <w:r>
              <w:rPr>
                <w:color w:val="auto"/>
              </w:rPr>
              <w:t>防范措施</w:t>
            </w:r>
          </w:p>
        </w:tc>
        <w:tc>
          <w:tcPr>
            <w:tcW w:w="7957" w:type="dxa"/>
            <w:gridSpan w:val="2"/>
            <w:tcBorders>
              <w:top w:val="single" w:color="auto" w:sz="4" w:space="0"/>
              <w:left w:val="single" w:color="auto" w:sz="4" w:space="0"/>
              <w:bottom w:val="single" w:color="auto" w:sz="4" w:space="0"/>
              <w:right w:val="single" w:color="auto" w:sz="4" w:space="0"/>
            </w:tcBorders>
            <w:noWrap w:val="0"/>
            <w:vAlign w:val="center"/>
          </w:tcPr>
          <w:p w14:paraId="2A414894">
            <w:pPr>
              <w:pStyle w:val="43"/>
              <w:bidi w:val="0"/>
              <w:jc w:val="left"/>
              <w:rPr>
                <w:rFonts w:hint="eastAsia" w:eastAsia="宋体"/>
                <w:color w:val="auto"/>
                <w:lang w:eastAsia="zh-CN"/>
              </w:rPr>
            </w:pPr>
            <w:r>
              <w:rPr>
                <w:color w:val="auto"/>
              </w:rPr>
              <w:t>1、</w:t>
            </w:r>
            <w:r>
              <w:rPr>
                <w:rFonts w:hint="eastAsia"/>
                <w:color w:val="auto"/>
                <w:lang w:val="en-US" w:eastAsia="zh-CN"/>
              </w:rPr>
              <w:t>受限空间作业需保证作业前、作业时均进行有效通风。作业时通风设备发生故障，应马上中断作业。此外，受限空间的通风设备应有备用电源，并派专人随时检修</w:t>
            </w:r>
            <w:r>
              <w:rPr>
                <w:rFonts w:hint="eastAsia"/>
                <w:color w:val="auto"/>
                <w:lang w:eastAsia="zh-CN"/>
              </w:rPr>
              <w:t>。</w:t>
            </w:r>
          </w:p>
          <w:p w14:paraId="7B29611B">
            <w:pPr>
              <w:pStyle w:val="43"/>
              <w:bidi w:val="0"/>
              <w:jc w:val="left"/>
              <w:rPr>
                <w:rFonts w:hint="eastAsia" w:eastAsia="宋体"/>
                <w:color w:val="auto"/>
                <w:lang w:eastAsia="zh-CN"/>
              </w:rPr>
            </w:pPr>
            <w:r>
              <w:rPr>
                <w:color w:val="auto"/>
              </w:rPr>
              <w:t>2、</w:t>
            </w:r>
            <w:r>
              <w:rPr>
                <w:rFonts w:hint="eastAsia"/>
                <w:color w:val="auto"/>
                <w:lang w:val="en-US" w:eastAsia="zh-CN"/>
              </w:rPr>
              <w:t>企业针对实际作业环境，配备符合作业环境要求的、合格的个人防护装备；设专人对作业人员进行装备的穿戴教学，并对装备进行统一的管理、检查和维修</w:t>
            </w:r>
            <w:r>
              <w:rPr>
                <w:rFonts w:hint="eastAsia"/>
                <w:color w:val="auto"/>
                <w:lang w:eastAsia="zh-CN"/>
              </w:rPr>
              <w:t>。</w:t>
            </w:r>
          </w:p>
          <w:p w14:paraId="724BCCFC">
            <w:pPr>
              <w:pStyle w:val="43"/>
              <w:bidi w:val="0"/>
              <w:jc w:val="left"/>
              <w:rPr>
                <w:color w:val="auto"/>
              </w:rPr>
            </w:pPr>
            <w:r>
              <w:rPr>
                <w:color w:val="auto"/>
              </w:rPr>
              <w:t>3、</w:t>
            </w:r>
            <w:r>
              <w:rPr>
                <w:rFonts w:hint="eastAsia"/>
                <w:color w:val="auto"/>
                <w:lang w:val="en-US" w:eastAsia="zh-CN"/>
              </w:rPr>
              <w:t>在作业前、作业时对作业环境的气体浓度进行有效检测。</w:t>
            </w:r>
          </w:p>
          <w:p w14:paraId="2F3EF34C">
            <w:pPr>
              <w:pStyle w:val="43"/>
              <w:bidi w:val="0"/>
              <w:jc w:val="left"/>
              <w:rPr>
                <w:rFonts w:hint="eastAsia"/>
                <w:color w:val="auto"/>
                <w:lang w:val="en-US" w:eastAsia="zh-CN"/>
              </w:rPr>
            </w:pPr>
            <w:r>
              <w:rPr>
                <w:rFonts w:hint="eastAsia"/>
                <w:color w:val="auto"/>
                <w:lang w:val="en-US" w:eastAsia="zh-CN"/>
              </w:rPr>
              <w:t>4、企业要经常开展安全宣传教育活动，加强作业人员的安全培训，提高员工安全意识和应急处置能力。</w:t>
            </w:r>
          </w:p>
          <w:p w14:paraId="4F08EFF7">
            <w:pPr>
              <w:pStyle w:val="43"/>
              <w:bidi w:val="0"/>
              <w:jc w:val="left"/>
              <w:rPr>
                <w:rFonts w:hint="default"/>
                <w:color w:val="auto"/>
                <w:lang w:val="en-US" w:eastAsia="zh-CN"/>
              </w:rPr>
            </w:pPr>
            <w:r>
              <w:rPr>
                <w:rFonts w:hint="eastAsia"/>
                <w:color w:val="auto"/>
                <w:lang w:val="en-US" w:eastAsia="zh-CN"/>
              </w:rPr>
              <w:t>5、建立健全安全管理制度，做到“三不入”，即无作业许可不进入，措施不落实不进入，无监护人不进入。</w:t>
            </w:r>
          </w:p>
        </w:tc>
      </w:tr>
    </w:tbl>
    <w:p w14:paraId="426489F2">
      <w:pPr>
        <w:spacing w:line="600" w:lineRule="exact"/>
        <w:ind w:firstLine="560" w:firstLineChars="200"/>
        <w:rPr>
          <w:color w:val="auto"/>
          <w:sz w:val="28"/>
          <w:szCs w:val="28"/>
        </w:rPr>
      </w:pPr>
      <w:r>
        <w:rPr>
          <w:color w:val="auto"/>
          <w:sz w:val="28"/>
          <w:szCs w:val="28"/>
        </w:rPr>
        <w:t>对</w:t>
      </w:r>
      <w:r>
        <w:rPr>
          <w:rFonts w:hint="eastAsia"/>
          <w:color w:val="auto"/>
          <w:sz w:val="28"/>
          <w:szCs w:val="28"/>
          <w:lang w:val="en-US" w:eastAsia="zh-CN"/>
        </w:rPr>
        <w:t>变</w:t>
      </w:r>
      <w:r>
        <w:rPr>
          <w:color w:val="auto"/>
          <w:sz w:val="28"/>
          <w:szCs w:val="28"/>
        </w:rPr>
        <w:t>配电作专项预先危险分析，见下表。</w:t>
      </w:r>
    </w:p>
    <w:tbl>
      <w:tblPr>
        <w:tblStyle w:val="3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95"/>
        <w:gridCol w:w="6991"/>
      </w:tblGrid>
      <w:tr w14:paraId="568E30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9286" w:type="dxa"/>
            <w:gridSpan w:val="2"/>
            <w:tcBorders>
              <w:top w:val="single" w:color="auto" w:sz="4" w:space="0"/>
              <w:left w:val="single" w:color="auto" w:sz="4" w:space="0"/>
              <w:bottom w:val="single" w:color="auto" w:sz="4" w:space="0"/>
              <w:right w:val="single" w:color="auto" w:sz="4" w:space="0"/>
            </w:tcBorders>
            <w:noWrap w:val="0"/>
            <w:vAlign w:val="center"/>
          </w:tcPr>
          <w:p w14:paraId="0D0B40F7">
            <w:pPr>
              <w:pStyle w:val="43"/>
              <w:bidi w:val="0"/>
              <w:rPr>
                <w:color w:val="auto"/>
              </w:rPr>
            </w:pPr>
            <w:r>
              <w:rPr>
                <w:rFonts w:hint="eastAsia"/>
                <w:color w:val="auto"/>
                <w:lang w:val="en-US" w:eastAsia="zh-CN"/>
              </w:rPr>
              <w:t>五</w:t>
            </w:r>
            <w:r>
              <w:rPr>
                <w:color w:val="auto"/>
              </w:rPr>
              <w:t>、配电作专项预先危险分析</w:t>
            </w:r>
          </w:p>
        </w:tc>
      </w:tr>
      <w:tr w14:paraId="4439C0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95" w:type="dxa"/>
            <w:tcBorders>
              <w:top w:val="single" w:color="auto" w:sz="4" w:space="0"/>
              <w:left w:val="single" w:color="auto" w:sz="4" w:space="0"/>
              <w:bottom w:val="single" w:color="auto" w:sz="4" w:space="0"/>
              <w:right w:val="single" w:color="auto" w:sz="4" w:space="0"/>
            </w:tcBorders>
            <w:noWrap w:val="0"/>
            <w:vAlign w:val="center"/>
          </w:tcPr>
          <w:p w14:paraId="018932EE">
            <w:pPr>
              <w:pStyle w:val="43"/>
              <w:bidi w:val="0"/>
              <w:rPr>
                <w:color w:val="auto"/>
              </w:rPr>
            </w:pPr>
            <w:r>
              <w:rPr>
                <w:color w:val="auto"/>
              </w:rPr>
              <w:t>主要危险源位置</w:t>
            </w:r>
          </w:p>
        </w:tc>
        <w:tc>
          <w:tcPr>
            <w:tcW w:w="6991" w:type="dxa"/>
            <w:tcBorders>
              <w:top w:val="single" w:color="auto" w:sz="4" w:space="0"/>
              <w:left w:val="single" w:color="auto" w:sz="4" w:space="0"/>
              <w:bottom w:val="single" w:color="auto" w:sz="4" w:space="0"/>
              <w:right w:val="single" w:color="auto" w:sz="4" w:space="0"/>
            </w:tcBorders>
            <w:noWrap w:val="0"/>
            <w:vAlign w:val="center"/>
          </w:tcPr>
          <w:p w14:paraId="3DAB4762">
            <w:pPr>
              <w:pStyle w:val="43"/>
              <w:bidi w:val="0"/>
              <w:rPr>
                <w:color w:val="auto"/>
              </w:rPr>
            </w:pPr>
            <w:r>
              <w:rPr>
                <w:rFonts w:hint="eastAsia"/>
                <w:color w:val="auto"/>
                <w:lang w:val="en-US" w:eastAsia="zh-CN"/>
              </w:rPr>
              <w:t>变</w:t>
            </w:r>
            <w:r>
              <w:rPr>
                <w:color w:val="auto"/>
              </w:rPr>
              <w:t>配电</w:t>
            </w:r>
            <w:r>
              <w:rPr>
                <w:rFonts w:hint="eastAsia"/>
                <w:color w:val="auto"/>
                <w:lang w:val="en-US" w:eastAsia="zh-CN"/>
              </w:rPr>
              <w:t>间</w:t>
            </w:r>
          </w:p>
        </w:tc>
      </w:tr>
      <w:tr w14:paraId="4CD707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95" w:type="dxa"/>
            <w:tcBorders>
              <w:top w:val="single" w:color="auto" w:sz="4" w:space="0"/>
              <w:left w:val="single" w:color="auto" w:sz="4" w:space="0"/>
              <w:bottom w:val="single" w:color="auto" w:sz="4" w:space="0"/>
              <w:right w:val="single" w:color="auto" w:sz="4" w:space="0"/>
            </w:tcBorders>
            <w:noWrap w:val="0"/>
            <w:vAlign w:val="center"/>
          </w:tcPr>
          <w:p w14:paraId="67C08638">
            <w:pPr>
              <w:pStyle w:val="43"/>
              <w:bidi w:val="0"/>
              <w:rPr>
                <w:color w:val="auto"/>
              </w:rPr>
            </w:pPr>
            <w:r>
              <w:rPr>
                <w:color w:val="auto"/>
              </w:rPr>
              <w:t>事故、故障类型</w:t>
            </w:r>
          </w:p>
        </w:tc>
        <w:tc>
          <w:tcPr>
            <w:tcW w:w="6991" w:type="dxa"/>
            <w:tcBorders>
              <w:top w:val="single" w:color="auto" w:sz="4" w:space="0"/>
              <w:left w:val="single" w:color="auto" w:sz="4" w:space="0"/>
              <w:bottom w:val="single" w:color="auto" w:sz="4" w:space="0"/>
              <w:right w:val="single" w:color="auto" w:sz="4" w:space="0"/>
            </w:tcBorders>
            <w:noWrap w:val="0"/>
            <w:vAlign w:val="center"/>
          </w:tcPr>
          <w:p w14:paraId="3664DB25">
            <w:pPr>
              <w:pStyle w:val="43"/>
              <w:bidi w:val="0"/>
              <w:rPr>
                <w:color w:val="auto"/>
              </w:rPr>
            </w:pPr>
            <w:r>
              <w:rPr>
                <w:color w:val="auto"/>
              </w:rPr>
              <w:t>火灾</w:t>
            </w:r>
            <w:r>
              <w:rPr>
                <w:rFonts w:hint="eastAsia"/>
                <w:color w:val="auto"/>
                <w:lang w:eastAsia="zh-CN"/>
              </w:rPr>
              <w:t>、</w:t>
            </w:r>
            <w:r>
              <w:rPr>
                <w:color w:val="auto"/>
              </w:rPr>
              <w:t>触电</w:t>
            </w:r>
          </w:p>
        </w:tc>
      </w:tr>
      <w:tr w14:paraId="6FD629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95" w:type="dxa"/>
            <w:tcBorders>
              <w:top w:val="single" w:color="auto" w:sz="4" w:space="0"/>
              <w:left w:val="single" w:color="auto" w:sz="4" w:space="0"/>
              <w:bottom w:val="single" w:color="auto" w:sz="4" w:space="0"/>
              <w:right w:val="single" w:color="auto" w:sz="4" w:space="0"/>
            </w:tcBorders>
            <w:noWrap w:val="0"/>
            <w:vAlign w:val="center"/>
          </w:tcPr>
          <w:p w14:paraId="6A4D8108">
            <w:pPr>
              <w:pStyle w:val="43"/>
              <w:bidi w:val="0"/>
              <w:rPr>
                <w:color w:val="auto"/>
              </w:rPr>
            </w:pPr>
            <w:r>
              <w:rPr>
                <w:color w:val="auto"/>
              </w:rPr>
              <w:t>危险等级</w:t>
            </w:r>
          </w:p>
        </w:tc>
        <w:tc>
          <w:tcPr>
            <w:tcW w:w="6991" w:type="dxa"/>
            <w:tcBorders>
              <w:top w:val="single" w:color="auto" w:sz="4" w:space="0"/>
              <w:left w:val="single" w:color="auto" w:sz="4" w:space="0"/>
              <w:bottom w:val="single" w:color="auto" w:sz="4" w:space="0"/>
              <w:right w:val="single" w:color="auto" w:sz="4" w:space="0"/>
            </w:tcBorders>
            <w:noWrap w:val="0"/>
            <w:vAlign w:val="center"/>
          </w:tcPr>
          <w:p w14:paraId="61107AA1">
            <w:pPr>
              <w:pStyle w:val="43"/>
              <w:bidi w:val="0"/>
              <w:rPr>
                <w:color w:val="auto"/>
              </w:rPr>
            </w:pPr>
            <w:r>
              <w:rPr>
                <w:color w:val="auto"/>
              </w:rPr>
              <w:t>Ⅱ</w:t>
            </w:r>
          </w:p>
        </w:tc>
      </w:tr>
      <w:tr w14:paraId="054DB8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95" w:type="dxa"/>
            <w:tcBorders>
              <w:top w:val="single" w:color="auto" w:sz="4" w:space="0"/>
              <w:left w:val="single" w:color="auto" w:sz="4" w:space="0"/>
              <w:bottom w:val="single" w:color="auto" w:sz="4" w:space="0"/>
              <w:right w:val="single" w:color="auto" w:sz="4" w:space="0"/>
            </w:tcBorders>
            <w:noWrap w:val="0"/>
            <w:vAlign w:val="center"/>
          </w:tcPr>
          <w:p w14:paraId="2A93F1EE">
            <w:pPr>
              <w:pStyle w:val="43"/>
              <w:bidi w:val="0"/>
              <w:rPr>
                <w:color w:val="auto"/>
              </w:rPr>
            </w:pPr>
            <w:r>
              <w:rPr>
                <w:color w:val="auto"/>
              </w:rPr>
              <w:t>触发条件</w:t>
            </w:r>
          </w:p>
        </w:tc>
        <w:tc>
          <w:tcPr>
            <w:tcW w:w="6991" w:type="dxa"/>
            <w:tcBorders>
              <w:top w:val="single" w:color="auto" w:sz="4" w:space="0"/>
              <w:left w:val="single" w:color="auto" w:sz="4" w:space="0"/>
              <w:bottom w:val="single" w:color="auto" w:sz="4" w:space="0"/>
              <w:right w:val="single" w:color="auto" w:sz="4" w:space="0"/>
            </w:tcBorders>
            <w:noWrap w:val="0"/>
            <w:vAlign w:val="center"/>
          </w:tcPr>
          <w:p w14:paraId="1E0FAD99">
            <w:pPr>
              <w:pStyle w:val="43"/>
              <w:bidi w:val="0"/>
              <w:jc w:val="left"/>
              <w:rPr>
                <w:color w:val="auto"/>
              </w:rPr>
            </w:pPr>
            <w:r>
              <w:rPr>
                <w:color w:val="auto"/>
              </w:rPr>
              <w:t>1、明火，过负荷，散热不良造成热量积聚导致火灾；</w:t>
            </w:r>
          </w:p>
          <w:p w14:paraId="5382BA61">
            <w:pPr>
              <w:pStyle w:val="43"/>
              <w:bidi w:val="0"/>
              <w:jc w:val="left"/>
              <w:rPr>
                <w:color w:val="auto"/>
              </w:rPr>
            </w:pPr>
            <w:r>
              <w:rPr>
                <w:color w:val="auto"/>
              </w:rPr>
              <w:t>2、</w:t>
            </w:r>
            <w:r>
              <w:rPr>
                <w:rFonts w:hint="eastAsia"/>
                <w:color w:val="auto"/>
                <w:lang w:val="en-US" w:eastAsia="zh-CN"/>
              </w:rPr>
              <w:t>变</w:t>
            </w:r>
            <w:r>
              <w:rPr>
                <w:color w:val="auto"/>
              </w:rPr>
              <w:t>配电电气裸露部位未采取防护措施、电线、电缆裸露漏电，人员在作业时接触到漏电部位，造成触电；</w:t>
            </w:r>
          </w:p>
          <w:p w14:paraId="5350BCF4">
            <w:pPr>
              <w:pStyle w:val="43"/>
              <w:bidi w:val="0"/>
              <w:jc w:val="left"/>
              <w:rPr>
                <w:color w:val="auto"/>
              </w:rPr>
            </w:pPr>
            <w:r>
              <w:rPr>
                <w:color w:val="auto"/>
              </w:rPr>
              <w:t>3、</w:t>
            </w:r>
            <w:r>
              <w:rPr>
                <w:rFonts w:hint="eastAsia"/>
                <w:color w:val="auto"/>
                <w:lang w:val="en-US" w:eastAsia="zh-CN"/>
              </w:rPr>
              <w:t>变</w:t>
            </w:r>
            <w:r>
              <w:rPr>
                <w:color w:val="auto"/>
              </w:rPr>
              <w:t>配电间及控制开关未标明所控制的设备，人员误拉闸引起电弧造成触电；</w:t>
            </w:r>
          </w:p>
          <w:p w14:paraId="06ED9F6A">
            <w:pPr>
              <w:pStyle w:val="43"/>
              <w:bidi w:val="0"/>
              <w:jc w:val="left"/>
              <w:rPr>
                <w:color w:val="auto"/>
              </w:rPr>
            </w:pPr>
            <w:r>
              <w:rPr>
                <w:color w:val="auto"/>
              </w:rPr>
              <w:t>4、电工作业时未断电或带电作业时未使用防护用品，非电工作业人员擅自进行电气作业；</w:t>
            </w:r>
          </w:p>
          <w:p w14:paraId="358BFF95">
            <w:pPr>
              <w:pStyle w:val="43"/>
              <w:bidi w:val="0"/>
              <w:jc w:val="left"/>
              <w:rPr>
                <w:color w:val="auto"/>
              </w:rPr>
            </w:pPr>
            <w:r>
              <w:rPr>
                <w:color w:val="auto"/>
              </w:rPr>
              <w:t>5、保护接地、工作接地不好或失效，设备发生损坏未能及时发现，致使常规设备或操作处带电；</w:t>
            </w:r>
          </w:p>
          <w:p w14:paraId="3F6225A4">
            <w:pPr>
              <w:pStyle w:val="43"/>
              <w:bidi w:val="0"/>
              <w:jc w:val="left"/>
              <w:rPr>
                <w:color w:val="auto"/>
              </w:rPr>
            </w:pPr>
            <w:r>
              <w:rPr>
                <w:color w:val="auto"/>
              </w:rPr>
              <w:t>6、检修时未断电和挂警示标志，其它人误起动。</w:t>
            </w:r>
          </w:p>
        </w:tc>
      </w:tr>
      <w:tr w14:paraId="5CE46F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95" w:type="dxa"/>
            <w:tcBorders>
              <w:top w:val="single" w:color="auto" w:sz="4" w:space="0"/>
              <w:left w:val="single" w:color="auto" w:sz="4" w:space="0"/>
              <w:bottom w:val="single" w:color="auto" w:sz="4" w:space="0"/>
              <w:right w:val="single" w:color="auto" w:sz="4" w:space="0"/>
            </w:tcBorders>
            <w:noWrap w:val="0"/>
            <w:vAlign w:val="center"/>
          </w:tcPr>
          <w:p w14:paraId="1D06FA87">
            <w:pPr>
              <w:pStyle w:val="43"/>
              <w:bidi w:val="0"/>
              <w:rPr>
                <w:color w:val="auto"/>
              </w:rPr>
            </w:pPr>
            <w:r>
              <w:rPr>
                <w:color w:val="auto"/>
              </w:rPr>
              <w:t>防范措施</w:t>
            </w:r>
          </w:p>
        </w:tc>
        <w:tc>
          <w:tcPr>
            <w:tcW w:w="6991" w:type="dxa"/>
            <w:tcBorders>
              <w:top w:val="single" w:color="auto" w:sz="4" w:space="0"/>
              <w:left w:val="single" w:color="auto" w:sz="4" w:space="0"/>
              <w:bottom w:val="single" w:color="auto" w:sz="4" w:space="0"/>
              <w:right w:val="single" w:color="auto" w:sz="4" w:space="0"/>
            </w:tcBorders>
            <w:noWrap w:val="0"/>
            <w:vAlign w:val="center"/>
          </w:tcPr>
          <w:p w14:paraId="2A207CC5">
            <w:pPr>
              <w:pStyle w:val="43"/>
              <w:bidi w:val="0"/>
              <w:jc w:val="left"/>
              <w:rPr>
                <w:color w:val="auto"/>
              </w:rPr>
            </w:pPr>
            <w:r>
              <w:rPr>
                <w:color w:val="auto"/>
              </w:rPr>
              <w:t>1、设备检修时进行断电并挂上警示标志，实行2人作业制度；</w:t>
            </w:r>
          </w:p>
          <w:p w14:paraId="4D743568">
            <w:pPr>
              <w:pStyle w:val="43"/>
              <w:bidi w:val="0"/>
              <w:jc w:val="left"/>
              <w:rPr>
                <w:color w:val="auto"/>
              </w:rPr>
            </w:pPr>
            <w:r>
              <w:rPr>
                <w:color w:val="auto"/>
              </w:rPr>
              <w:t>2、电气控制柜上标明所控制设备的名称和工艺编号，电动机设备采用工作接地、保护接地和中位点连接等；</w:t>
            </w:r>
          </w:p>
          <w:p w14:paraId="1A7D6180">
            <w:pPr>
              <w:pStyle w:val="43"/>
              <w:bidi w:val="0"/>
              <w:jc w:val="left"/>
              <w:rPr>
                <w:color w:val="auto"/>
              </w:rPr>
            </w:pPr>
            <w:r>
              <w:rPr>
                <w:color w:val="auto"/>
              </w:rPr>
              <w:t>3、作业人员严守工作岗位，加强巡视；</w:t>
            </w:r>
          </w:p>
          <w:p w14:paraId="458C09FF">
            <w:pPr>
              <w:pStyle w:val="43"/>
              <w:bidi w:val="0"/>
              <w:jc w:val="left"/>
              <w:rPr>
                <w:color w:val="auto"/>
              </w:rPr>
            </w:pPr>
            <w:r>
              <w:rPr>
                <w:color w:val="auto"/>
              </w:rPr>
              <w:t>4、作业人员配备绝缘棒、绝缘靴、垫和验电器等防护器材，电气作业人员配备绝缘鞋等。</w:t>
            </w:r>
          </w:p>
        </w:tc>
      </w:tr>
    </w:tbl>
    <w:p w14:paraId="7D056338">
      <w:pPr>
        <w:pStyle w:val="5"/>
        <w:rPr>
          <w:color w:val="auto"/>
          <w:highlight w:val="none"/>
        </w:rPr>
      </w:pPr>
      <w:bookmarkStart w:id="99" w:name="_Toc13858"/>
      <w:bookmarkStart w:id="100" w:name="_Toc17875"/>
      <w:bookmarkStart w:id="101" w:name="_Toc26115"/>
      <w:r>
        <w:rPr>
          <w:color w:val="auto"/>
          <w:highlight w:val="none"/>
        </w:rPr>
        <w:t>5.</w:t>
      </w:r>
      <w:r>
        <w:rPr>
          <w:rFonts w:hint="eastAsia"/>
          <w:color w:val="auto"/>
          <w:highlight w:val="none"/>
          <w:lang w:val="en-US" w:eastAsia="zh-CN"/>
        </w:rPr>
        <w:t>2</w:t>
      </w:r>
      <w:r>
        <w:rPr>
          <w:color w:val="auto"/>
          <w:highlight w:val="none"/>
        </w:rPr>
        <w:t>作业条件危险性评价法（LEC）</w:t>
      </w:r>
      <w:bookmarkEnd w:id="99"/>
      <w:bookmarkEnd w:id="100"/>
      <w:bookmarkEnd w:id="101"/>
    </w:p>
    <w:p w14:paraId="131D196B">
      <w:pPr>
        <w:pStyle w:val="6"/>
        <w:rPr>
          <w:color w:val="auto"/>
        </w:rPr>
      </w:pPr>
      <w:bookmarkStart w:id="102" w:name="_Toc3618"/>
      <w:r>
        <w:rPr>
          <w:color w:val="auto"/>
        </w:rPr>
        <w:t>5.</w:t>
      </w:r>
      <w:r>
        <w:rPr>
          <w:rFonts w:hint="eastAsia"/>
          <w:color w:val="auto"/>
          <w:lang w:val="en-US" w:eastAsia="zh-CN"/>
        </w:rPr>
        <w:t>2</w:t>
      </w:r>
      <w:r>
        <w:rPr>
          <w:color w:val="auto"/>
        </w:rPr>
        <w:t>.1评价单元</w:t>
      </w:r>
      <w:bookmarkEnd w:id="96"/>
      <w:bookmarkEnd w:id="97"/>
      <w:bookmarkEnd w:id="98"/>
      <w:bookmarkEnd w:id="102"/>
    </w:p>
    <w:p w14:paraId="799BC18E">
      <w:pPr>
        <w:spacing w:line="600" w:lineRule="exact"/>
        <w:ind w:firstLine="560" w:firstLineChars="200"/>
        <w:rPr>
          <w:color w:val="auto"/>
          <w:sz w:val="28"/>
        </w:rPr>
      </w:pPr>
      <w:r>
        <w:rPr>
          <w:color w:val="auto"/>
          <w:sz w:val="28"/>
        </w:rPr>
        <w:t>根据本项目经营过程的分析，确定评价单元为：</w:t>
      </w:r>
      <w:r>
        <w:rPr>
          <w:rFonts w:hint="eastAsia" w:hAnsi="宋体"/>
          <w:color w:val="auto"/>
          <w:sz w:val="28"/>
          <w:szCs w:val="28"/>
          <w:lang w:val="en-US" w:eastAsia="zh-CN"/>
        </w:rPr>
        <w:t>服务区</w:t>
      </w:r>
      <w:r>
        <w:rPr>
          <w:rFonts w:hAnsi="宋体"/>
          <w:color w:val="auto"/>
          <w:sz w:val="28"/>
          <w:szCs w:val="28"/>
        </w:rPr>
        <w:t>内</w:t>
      </w:r>
      <w:r>
        <w:rPr>
          <w:rFonts w:hint="eastAsia" w:hAnsi="宋体"/>
          <w:color w:val="auto"/>
          <w:sz w:val="28"/>
          <w:szCs w:val="28"/>
          <w:lang w:val="en-US" w:eastAsia="zh-CN"/>
        </w:rPr>
        <w:t>车辆行驶</w:t>
      </w:r>
      <w:r>
        <w:rPr>
          <w:rFonts w:hAnsi="宋体"/>
          <w:color w:val="auto"/>
          <w:sz w:val="28"/>
          <w:szCs w:val="28"/>
        </w:rPr>
        <w:t>、</w:t>
      </w:r>
      <w:r>
        <w:rPr>
          <w:rFonts w:hint="eastAsia" w:hAnsi="宋体"/>
          <w:color w:val="auto"/>
          <w:sz w:val="28"/>
          <w:szCs w:val="28"/>
          <w:lang w:val="en-US" w:eastAsia="zh-CN"/>
        </w:rPr>
        <w:t>车辆充电作业、变</w:t>
      </w:r>
      <w:r>
        <w:rPr>
          <w:rFonts w:hAnsi="宋体"/>
          <w:color w:val="auto"/>
          <w:sz w:val="28"/>
          <w:szCs w:val="28"/>
        </w:rPr>
        <w:t>配电</w:t>
      </w:r>
      <w:r>
        <w:rPr>
          <w:rFonts w:hint="eastAsia" w:hAnsi="宋体"/>
          <w:color w:val="auto"/>
          <w:sz w:val="28"/>
          <w:szCs w:val="28"/>
        </w:rPr>
        <w:t>间</w:t>
      </w:r>
      <w:r>
        <w:rPr>
          <w:rFonts w:hAnsi="宋体"/>
          <w:color w:val="auto"/>
          <w:sz w:val="28"/>
          <w:szCs w:val="28"/>
        </w:rPr>
        <w:t>作业、维修作业</w:t>
      </w:r>
      <w:r>
        <w:rPr>
          <w:rFonts w:hAnsi="宋体"/>
          <w:bCs/>
          <w:color w:val="auto"/>
          <w:sz w:val="28"/>
          <w:szCs w:val="28"/>
        </w:rPr>
        <w:t>等单元</w:t>
      </w:r>
      <w:r>
        <w:rPr>
          <w:rFonts w:hint="eastAsia" w:hAnsi="宋体"/>
          <w:bCs/>
          <w:color w:val="auto"/>
          <w:sz w:val="28"/>
          <w:szCs w:val="28"/>
          <w:lang w:eastAsia="zh-CN"/>
        </w:rPr>
        <w:t>、</w:t>
      </w:r>
      <w:r>
        <w:rPr>
          <w:rFonts w:hint="eastAsia" w:hAnsi="宋体"/>
          <w:bCs/>
          <w:color w:val="auto"/>
          <w:sz w:val="28"/>
          <w:szCs w:val="28"/>
          <w:lang w:val="en-US" w:eastAsia="zh-CN"/>
        </w:rPr>
        <w:t>柴油发电作业等</w:t>
      </w:r>
      <w:r>
        <w:rPr>
          <w:rFonts w:hAnsi="宋体"/>
          <w:bCs/>
          <w:color w:val="auto"/>
          <w:sz w:val="28"/>
          <w:szCs w:val="28"/>
        </w:rPr>
        <w:t>子单元。</w:t>
      </w:r>
    </w:p>
    <w:p w14:paraId="7905FA6E">
      <w:pPr>
        <w:pStyle w:val="6"/>
        <w:rPr>
          <w:color w:val="auto"/>
        </w:rPr>
      </w:pPr>
      <w:bookmarkStart w:id="103" w:name="_Toc904"/>
      <w:bookmarkStart w:id="104" w:name="_Toc13923"/>
      <w:bookmarkStart w:id="105" w:name="_Toc11606"/>
      <w:bookmarkStart w:id="106" w:name="_Toc15373"/>
      <w:r>
        <w:rPr>
          <w:color w:val="auto"/>
        </w:rPr>
        <w:t>5.</w:t>
      </w:r>
      <w:r>
        <w:rPr>
          <w:rFonts w:hint="eastAsia"/>
          <w:color w:val="auto"/>
          <w:lang w:val="en-US" w:eastAsia="zh-CN"/>
        </w:rPr>
        <w:t>2</w:t>
      </w:r>
      <w:r>
        <w:rPr>
          <w:color w:val="auto"/>
        </w:rPr>
        <w:t>.2作业条件危险性评价法的计算结果</w:t>
      </w:r>
      <w:bookmarkEnd w:id="103"/>
      <w:bookmarkEnd w:id="104"/>
      <w:bookmarkEnd w:id="105"/>
      <w:bookmarkEnd w:id="106"/>
    </w:p>
    <w:p w14:paraId="04A98038">
      <w:pPr>
        <w:spacing w:line="560" w:lineRule="exact"/>
        <w:ind w:firstLine="560" w:firstLineChars="200"/>
        <w:rPr>
          <w:color w:val="auto"/>
          <w:sz w:val="28"/>
        </w:rPr>
      </w:pPr>
      <w:r>
        <w:rPr>
          <w:color w:val="auto"/>
          <w:sz w:val="28"/>
        </w:rPr>
        <w:t>以</w:t>
      </w:r>
      <w:r>
        <w:rPr>
          <w:rFonts w:hint="eastAsia"/>
          <w:color w:val="auto"/>
          <w:sz w:val="28"/>
          <w:lang w:val="en-US" w:eastAsia="zh-CN"/>
        </w:rPr>
        <w:t>电动车辆充电</w:t>
      </w:r>
      <w:r>
        <w:rPr>
          <w:color w:val="auto"/>
          <w:sz w:val="28"/>
        </w:rPr>
        <w:t>为例说明LEC法的取值及计算过程。各单元计算结果及等级划分见表</w:t>
      </w:r>
      <w:r>
        <w:rPr>
          <w:rFonts w:hint="eastAsia"/>
          <w:color w:val="auto"/>
          <w:sz w:val="28"/>
          <w:lang w:val="en-US" w:eastAsia="zh-CN"/>
        </w:rPr>
        <w:t>4.2</w:t>
      </w:r>
      <w:r>
        <w:rPr>
          <w:color w:val="auto"/>
          <w:sz w:val="28"/>
        </w:rPr>
        <w:t>-</w:t>
      </w:r>
      <w:r>
        <w:rPr>
          <w:rFonts w:hint="eastAsia"/>
          <w:color w:val="auto"/>
          <w:sz w:val="28"/>
          <w:lang w:val="en-US" w:eastAsia="zh-CN"/>
        </w:rPr>
        <w:t>1</w:t>
      </w:r>
      <w:r>
        <w:rPr>
          <w:color w:val="auto"/>
          <w:sz w:val="28"/>
        </w:rPr>
        <w:t>。</w:t>
      </w:r>
    </w:p>
    <w:p w14:paraId="64F9639E">
      <w:pPr>
        <w:spacing w:line="560" w:lineRule="exact"/>
        <w:ind w:firstLine="544" w:firstLineChars="200"/>
        <w:rPr>
          <w:color w:val="auto"/>
          <w:spacing w:val="-4"/>
          <w:sz w:val="28"/>
          <w:szCs w:val="28"/>
        </w:rPr>
      </w:pPr>
      <w:r>
        <w:rPr>
          <w:color w:val="auto"/>
          <w:spacing w:val="-4"/>
          <w:sz w:val="28"/>
          <w:szCs w:val="28"/>
        </w:rPr>
        <w:t>1）事故发生的可能性L：在</w:t>
      </w:r>
      <w:r>
        <w:rPr>
          <w:rFonts w:hint="eastAsia"/>
          <w:color w:val="auto"/>
          <w:sz w:val="28"/>
          <w:lang w:val="en-US" w:eastAsia="zh-CN"/>
        </w:rPr>
        <w:t>车辆充电</w:t>
      </w:r>
      <w:r>
        <w:rPr>
          <w:color w:val="auto"/>
          <w:spacing w:val="-4"/>
          <w:sz w:val="28"/>
          <w:szCs w:val="28"/>
        </w:rPr>
        <w:t>过程中，由于</w:t>
      </w:r>
      <w:r>
        <w:rPr>
          <w:rFonts w:hint="eastAsia"/>
          <w:color w:val="auto"/>
          <w:spacing w:val="-4"/>
          <w:sz w:val="28"/>
          <w:szCs w:val="28"/>
          <w:lang w:val="en-US" w:eastAsia="zh-CN"/>
        </w:rPr>
        <w:t>线路老化、绝缘失效、过载或短路等</w:t>
      </w:r>
      <w:r>
        <w:rPr>
          <w:color w:val="auto"/>
          <w:spacing w:val="-4"/>
          <w:sz w:val="28"/>
          <w:szCs w:val="28"/>
        </w:rPr>
        <w:t>，可能发生火灾事故，</w:t>
      </w:r>
      <w:r>
        <w:rPr>
          <w:rFonts w:hint="eastAsia"/>
          <w:color w:val="auto"/>
          <w:spacing w:val="-4"/>
          <w:sz w:val="28"/>
          <w:szCs w:val="28"/>
          <w:lang w:val="en-US" w:eastAsia="zh-CN"/>
        </w:rPr>
        <w:t>若有混动汽车甚至可能发生爆炸事故，</w:t>
      </w:r>
      <w:r>
        <w:rPr>
          <w:color w:val="auto"/>
          <w:spacing w:val="-4"/>
          <w:sz w:val="28"/>
          <w:szCs w:val="28"/>
        </w:rPr>
        <w:t>但在安全设施完备、严格按规程作业时一般不会发生事故，故属“</w:t>
      </w:r>
      <w:r>
        <w:rPr>
          <w:color w:val="auto"/>
          <w:szCs w:val="21"/>
        </w:rPr>
        <w:t>极不可能，可以设想</w:t>
      </w:r>
      <w:r>
        <w:rPr>
          <w:color w:val="auto"/>
          <w:spacing w:val="-4"/>
          <w:sz w:val="28"/>
          <w:szCs w:val="28"/>
        </w:rPr>
        <w:t>”，故其分值L＝</w:t>
      </w:r>
      <w:r>
        <w:rPr>
          <w:rFonts w:hint="eastAsia"/>
          <w:color w:val="auto"/>
          <w:spacing w:val="-4"/>
          <w:sz w:val="28"/>
          <w:szCs w:val="28"/>
          <w:lang w:val="en-US" w:eastAsia="zh-CN"/>
        </w:rPr>
        <w:t>0.5</w:t>
      </w:r>
      <w:r>
        <w:rPr>
          <w:color w:val="auto"/>
          <w:spacing w:val="-4"/>
          <w:sz w:val="28"/>
          <w:szCs w:val="28"/>
        </w:rPr>
        <w:t>；</w:t>
      </w:r>
    </w:p>
    <w:p w14:paraId="34D40F5D">
      <w:pPr>
        <w:spacing w:line="560" w:lineRule="exact"/>
        <w:ind w:firstLine="560" w:firstLineChars="200"/>
        <w:rPr>
          <w:color w:val="auto"/>
          <w:sz w:val="28"/>
        </w:rPr>
      </w:pPr>
      <w:r>
        <w:rPr>
          <w:color w:val="auto"/>
          <w:sz w:val="28"/>
        </w:rPr>
        <w:t>2）暴露于危险环境的频繁程度E：员工</w:t>
      </w:r>
      <w:r>
        <w:rPr>
          <w:rFonts w:hint="eastAsia"/>
          <w:color w:val="auto"/>
          <w:sz w:val="28"/>
          <w:lang w:val="en-US" w:eastAsia="zh-CN"/>
        </w:rPr>
        <w:t>上班时间暴露</w:t>
      </w:r>
      <w:r>
        <w:rPr>
          <w:color w:val="auto"/>
          <w:sz w:val="28"/>
        </w:rPr>
        <w:t>，故取E＝</w:t>
      </w:r>
      <w:r>
        <w:rPr>
          <w:rFonts w:hint="eastAsia"/>
          <w:color w:val="auto"/>
          <w:sz w:val="28"/>
          <w:lang w:val="en-US" w:eastAsia="zh-CN"/>
        </w:rPr>
        <w:t>6</w:t>
      </w:r>
      <w:r>
        <w:rPr>
          <w:color w:val="auto"/>
          <w:sz w:val="28"/>
        </w:rPr>
        <w:t>；</w:t>
      </w:r>
    </w:p>
    <w:p w14:paraId="6EC24774">
      <w:pPr>
        <w:spacing w:line="560" w:lineRule="exact"/>
        <w:ind w:firstLine="560" w:firstLineChars="200"/>
        <w:rPr>
          <w:color w:val="auto"/>
          <w:sz w:val="28"/>
        </w:rPr>
      </w:pPr>
      <w:r>
        <w:rPr>
          <w:color w:val="auto"/>
          <w:sz w:val="28"/>
        </w:rPr>
        <w:t>3）发生事故产生的后果C：发生火灾、爆炸事故，可能造成人员死亡或重大的财产损失。故取C＝15；</w:t>
      </w:r>
    </w:p>
    <w:p w14:paraId="4D9490E7">
      <w:pPr>
        <w:spacing w:line="560" w:lineRule="exact"/>
        <w:ind w:firstLine="560" w:firstLineChars="200"/>
        <w:rPr>
          <w:color w:val="auto"/>
          <w:sz w:val="28"/>
        </w:rPr>
      </w:pPr>
      <w:r>
        <w:rPr>
          <w:color w:val="auto"/>
          <w:sz w:val="28"/>
        </w:rPr>
        <w:t>D＝L×E×C＝</w:t>
      </w:r>
      <w:r>
        <w:rPr>
          <w:rFonts w:hint="eastAsia"/>
          <w:color w:val="auto"/>
          <w:sz w:val="28"/>
          <w:lang w:val="en-US" w:eastAsia="zh-CN"/>
        </w:rPr>
        <w:t>0.5</w:t>
      </w:r>
      <w:r>
        <w:rPr>
          <w:color w:val="auto"/>
          <w:sz w:val="28"/>
        </w:rPr>
        <w:t>×</w:t>
      </w:r>
      <w:r>
        <w:rPr>
          <w:rFonts w:hint="eastAsia"/>
          <w:color w:val="auto"/>
          <w:sz w:val="28"/>
          <w:lang w:val="en-US" w:eastAsia="zh-CN"/>
        </w:rPr>
        <w:t>6</w:t>
      </w:r>
      <w:r>
        <w:rPr>
          <w:color w:val="auto"/>
          <w:sz w:val="28"/>
        </w:rPr>
        <w:t>×15＝45。</w:t>
      </w:r>
    </w:p>
    <w:p w14:paraId="1C834DB9">
      <w:pPr>
        <w:spacing w:line="560" w:lineRule="exact"/>
        <w:ind w:firstLine="560" w:firstLineChars="200"/>
        <w:rPr>
          <w:color w:val="auto"/>
          <w:sz w:val="24"/>
        </w:rPr>
      </w:pPr>
      <w:r>
        <w:rPr>
          <w:color w:val="auto"/>
          <w:sz w:val="28"/>
        </w:rPr>
        <w:t>结论：</w:t>
      </w:r>
      <w:r>
        <w:rPr>
          <w:rFonts w:hint="eastAsia"/>
          <w:color w:val="auto"/>
          <w:sz w:val="28"/>
          <w:lang w:val="en-US" w:eastAsia="zh-CN"/>
        </w:rPr>
        <w:t>充电区车辆充电</w:t>
      </w:r>
      <w:r>
        <w:rPr>
          <w:color w:val="auto"/>
          <w:sz w:val="28"/>
        </w:rPr>
        <w:t>属“一般危险”范围。</w:t>
      </w:r>
    </w:p>
    <w:p w14:paraId="76FBF296">
      <w:pPr>
        <w:pStyle w:val="48"/>
        <w:bidi w:val="0"/>
        <w:rPr>
          <w:b/>
          <w:bCs/>
          <w:color w:val="auto"/>
          <w:sz w:val="24"/>
        </w:rPr>
      </w:pPr>
      <w:r>
        <w:rPr>
          <w:rFonts w:hAnsi="宋体"/>
          <w:b/>
          <w:bCs/>
          <w:color w:val="auto"/>
          <w:sz w:val="24"/>
        </w:rPr>
        <w:t>表</w:t>
      </w:r>
      <w:r>
        <w:rPr>
          <w:b/>
          <w:color w:val="auto"/>
          <w:sz w:val="24"/>
        </w:rPr>
        <w:t>5</w:t>
      </w:r>
      <w:r>
        <w:rPr>
          <w:rFonts w:hint="eastAsia"/>
          <w:b/>
          <w:color w:val="auto"/>
          <w:sz w:val="24"/>
          <w:lang w:val="en-US" w:eastAsia="zh-CN"/>
        </w:rPr>
        <w:t>.2-1</w:t>
      </w:r>
      <w:r>
        <w:rPr>
          <w:rFonts w:hint="eastAsia" w:hAnsi="宋体"/>
          <w:color w:val="auto"/>
          <w:sz w:val="24"/>
        </w:rPr>
        <w:t xml:space="preserve">  </w:t>
      </w:r>
      <w:r>
        <w:rPr>
          <w:rFonts w:hAnsi="宋体"/>
          <w:b/>
          <w:bCs/>
          <w:color w:val="auto"/>
          <w:sz w:val="24"/>
        </w:rPr>
        <w:t>各单元危险评价表</w:t>
      </w:r>
    </w:p>
    <w:tbl>
      <w:tblPr>
        <w:tblStyle w:val="33"/>
        <w:tblW w:w="9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191"/>
        <w:gridCol w:w="1065"/>
        <w:gridCol w:w="2514"/>
        <w:gridCol w:w="584"/>
        <w:gridCol w:w="527"/>
        <w:gridCol w:w="618"/>
        <w:gridCol w:w="832"/>
        <w:gridCol w:w="1276"/>
      </w:tblGrid>
      <w:tr w14:paraId="16162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exact"/>
        </w:trPr>
        <w:tc>
          <w:tcPr>
            <w:tcW w:w="731" w:type="dxa"/>
            <w:vMerge w:val="restart"/>
            <w:noWrap w:val="0"/>
            <w:vAlign w:val="center"/>
          </w:tcPr>
          <w:p w14:paraId="617AC8F6">
            <w:pPr>
              <w:pStyle w:val="43"/>
              <w:bidi w:val="0"/>
              <w:rPr>
                <w:color w:val="auto"/>
              </w:rPr>
            </w:pPr>
            <w:r>
              <w:rPr>
                <w:color w:val="auto"/>
              </w:rPr>
              <w:t>序号</w:t>
            </w:r>
          </w:p>
        </w:tc>
        <w:tc>
          <w:tcPr>
            <w:tcW w:w="2256" w:type="dxa"/>
            <w:gridSpan w:val="2"/>
            <w:vMerge w:val="restart"/>
            <w:noWrap w:val="0"/>
            <w:vAlign w:val="center"/>
          </w:tcPr>
          <w:p w14:paraId="782A9FCC">
            <w:pPr>
              <w:pStyle w:val="43"/>
              <w:bidi w:val="0"/>
              <w:rPr>
                <w:color w:val="auto"/>
              </w:rPr>
            </w:pPr>
            <w:r>
              <w:rPr>
                <w:color w:val="auto"/>
              </w:rPr>
              <w:t>评价单元</w:t>
            </w:r>
          </w:p>
        </w:tc>
        <w:tc>
          <w:tcPr>
            <w:tcW w:w="2514" w:type="dxa"/>
            <w:vMerge w:val="restart"/>
            <w:noWrap w:val="0"/>
            <w:vAlign w:val="center"/>
          </w:tcPr>
          <w:p w14:paraId="2715ADB7">
            <w:pPr>
              <w:pStyle w:val="43"/>
              <w:bidi w:val="0"/>
              <w:rPr>
                <w:color w:val="auto"/>
              </w:rPr>
            </w:pPr>
            <w:r>
              <w:rPr>
                <w:color w:val="auto"/>
              </w:rPr>
              <w:t>危险源及潜在危险</w:t>
            </w:r>
          </w:p>
        </w:tc>
        <w:tc>
          <w:tcPr>
            <w:tcW w:w="2561" w:type="dxa"/>
            <w:gridSpan w:val="4"/>
            <w:noWrap w:val="0"/>
            <w:vAlign w:val="center"/>
          </w:tcPr>
          <w:p w14:paraId="324FE205">
            <w:pPr>
              <w:pStyle w:val="43"/>
              <w:bidi w:val="0"/>
              <w:rPr>
                <w:color w:val="auto"/>
              </w:rPr>
            </w:pPr>
            <w:r>
              <w:rPr>
                <w:color w:val="auto"/>
              </w:rPr>
              <w:t>D</w:t>
            </w:r>
            <w:r>
              <w:rPr>
                <w:color w:val="auto"/>
                <w:lang w:val="en-GB"/>
              </w:rPr>
              <w:t>＝</w:t>
            </w:r>
            <w:r>
              <w:rPr>
                <w:color w:val="auto"/>
              </w:rPr>
              <w:t>L×E×C</w:t>
            </w:r>
          </w:p>
        </w:tc>
        <w:tc>
          <w:tcPr>
            <w:tcW w:w="1276" w:type="dxa"/>
            <w:vMerge w:val="restart"/>
            <w:noWrap w:val="0"/>
            <w:vAlign w:val="center"/>
          </w:tcPr>
          <w:p w14:paraId="72F81927">
            <w:pPr>
              <w:pStyle w:val="43"/>
              <w:bidi w:val="0"/>
              <w:rPr>
                <w:color w:val="auto"/>
              </w:rPr>
            </w:pPr>
            <w:r>
              <w:rPr>
                <w:color w:val="auto"/>
              </w:rPr>
              <w:t>危险等级</w:t>
            </w:r>
          </w:p>
        </w:tc>
      </w:tr>
      <w:tr w14:paraId="5AA09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exact"/>
        </w:trPr>
        <w:tc>
          <w:tcPr>
            <w:tcW w:w="731" w:type="dxa"/>
            <w:vMerge w:val="continue"/>
            <w:noWrap w:val="0"/>
            <w:vAlign w:val="center"/>
          </w:tcPr>
          <w:p w14:paraId="156CA85F">
            <w:pPr>
              <w:pStyle w:val="43"/>
              <w:bidi w:val="0"/>
              <w:rPr>
                <w:color w:val="auto"/>
              </w:rPr>
            </w:pPr>
          </w:p>
        </w:tc>
        <w:tc>
          <w:tcPr>
            <w:tcW w:w="2256" w:type="dxa"/>
            <w:gridSpan w:val="2"/>
            <w:vMerge w:val="continue"/>
            <w:noWrap w:val="0"/>
            <w:vAlign w:val="center"/>
          </w:tcPr>
          <w:p w14:paraId="3781C66B">
            <w:pPr>
              <w:pStyle w:val="43"/>
              <w:bidi w:val="0"/>
              <w:rPr>
                <w:color w:val="auto"/>
              </w:rPr>
            </w:pPr>
          </w:p>
        </w:tc>
        <w:tc>
          <w:tcPr>
            <w:tcW w:w="2514" w:type="dxa"/>
            <w:vMerge w:val="continue"/>
            <w:noWrap w:val="0"/>
            <w:vAlign w:val="center"/>
          </w:tcPr>
          <w:p w14:paraId="72B6C3C4">
            <w:pPr>
              <w:pStyle w:val="43"/>
              <w:bidi w:val="0"/>
              <w:rPr>
                <w:color w:val="auto"/>
              </w:rPr>
            </w:pPr>
          </w:p>
        </w:tc>
        <w:tc>
          <w:tcPr>
            <w:tcW w:w="584" w:type="dxa"/>
            <w:noWrap w:val="0"/>
            <w:vAlign w:val="center"/>
          </w:tcPr>
          <w:p w14:paraId="2556285D">
            <w:pPr>
              <w:pStyle w:val="43"/>
              <w:bidi w:val="0"/>
              <w:rPr>
                <w:color w:val="auto"/>
              </w:rPr>
            </w:pPr>
            <w:r>
              <w:rPr>
                <w:color w:val="auto"/>
              </w:rPr>
              <w:t>L</w:t>
            </w:r>
          </w:p>
        </w:tc>
        <w:tc>
          <w:tcPr>
            <w:tcW w:w="527" w:type="dxa"/>
            <w:noWrap w:val="0"/>
            <w:vAlign w:val="center"/>
          </w:tcPr>
          <w:p w14:paraId="14C14BAC">
            <w:pPr>
              <w:pStyle w:val="43"/>
              <w:bidi w:val="0"/>
              <w:rPr>
                <w:color w:val="auto"/>
              </w:rPr>
            </w:pPr>
            <w:r>
              <w:rPr>
                <w:color w:val="auto"/>
              </w:rPr>
              <w:t>E</w:t>
            </w:r>
          </w:p>
        </w:tc>
        <w:tc>
          <w:tcPr>
            <w:tcW w:w="618" w:type="dxa"/>
            <w:noWrap w:val="0"/>
            <w:vAlign w:val="center"/>
          </w:tcPr>
          <w:p w14:paraId="58D6241B">
            <w:pPr>
              <w:pStyle w:val="43"/>
              <w:bidi w:val="0"/>
              <w:rPr>
                <w:color w:val="auto"/>
              </w:rPr>
            </w:pPr>
            <w:r>
              <w:rPr>
                <w:color w:val="auto"/>
              </w:rPr>
              <w:t>C</w:t>
            </w:r>
          </w:p>
        </w:tc>
        <w:tc>
          <w:tcPr>
            <w:tcW w:w="832" w:type="dxa"/>
            <w:noWrap w:val="0"/>
            <w:vAlign w:val="center"/>
          </w:tcPr>
          <w:p w14:paraId="0F60D833">
            <w:pPr>
              <w:pStyle w:val="43"/>
              <w:bidi w:val="0"/>
              <w:rPr>
                <w:color w:val="auto"/>
              </w:rPr>
            </w:pPr>
            <w:r>
              <w:rPr>
                <w:color w:val="auto"/>
              </w:rPr>
              <w:t>D</w:t>
            </w:r>
          </w:p>
        </w:tc>
        <w:tc>
          <w:tcPr>
            <w:tcW w:w="1276" w:type="dxa"/>
            <w:vMerge w:val="continue"/>
            <w:noWrap w:val="0"/>
            <w:vAlign w:val="center"/>
          </w:tcPr>
          <w:p w14:paraId="21290362">
            <w:pPr>
              <w:pStyle w:val="43"/>
              <w:bidi w:val="0"/>
              <w:rPr>
                <w:color w:val="auto"/>
              </w:rPr>
            </w:pPr>
          </w:p>
        </w:tc>
      </w:tr>
      <w:tr w14:paraId="65E02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exact"/>
        </w:trPr>
        <w:tc>
          <w:tcPr>
            <w:tcW w:w="731" w:type="dxa"/>
            <w:vMerge w:val="restart"/>
            <w:noWrap w:val="0"/>
            <w:vAlign w:val="center"/>
          </w:tcPr>
          <w:p w14:paraId="612A15B2">
            <w:pPr>
              <w:pStyle w:val="43"/>
              <w:bidi w:val="0"/>
              <w:rPr>
                <w:color w:val="auto"/>
              </w:rPr>
            </w:pPr>
            <w:r>
              <w:rPr>
                <w:rFonts w:hint="eastAsia"/>
                <w:color w:val="auto"/>
                <w:lang w:val="en-US" w:eastAsia="zh-CN"/>
              </w:rPr>
              <w:t>1</w:t>
            </w:r>
          </w:p>
        </w:tc>
        <w:tc>
          <w:tcPr>
            <w:tcW w:w="2256" w:type="dxa"/>
            <w:gridSpan w:val="2"/>
            <w:vMerge w:val="restart"/>
            <w:noWrap w:val="0"/>
            <w:vAlign w:val="center"/>
          </w:tcPr>
          <w:p w14:paraId="289D4188">
            <w:pPr>
              <w:pStyle w:val="43"/>
              <w:bidi w:val="0"/>
              <w:rPr>
                <w:rFonts w:hint="default"/>
                <w:color w:val="auto"/>
                <w:lang w:val="en-US" w:eastAsia="zh-CN"/>
              </w:rPr>
            </w:pPr>
            <w:r>
              <w:rPr>
                <w:rFonts w:hint="eastAsia"/>
                <w:color w:val="auto"/>
                <w:lang w:val="en-US" w:eastAsia="zh-CN"/>
              </w:rPr>
              <w:t>服务区道路单元</w:t>
            </w:r>
          </w:p>
        </w:tc>
        <w:tc>
          <w:tcPr>
            <w:tcW w:w="2514" w:type="dxa"/>
            <w:shd w:val="clear" w:color="auto" w:fill="auto"/>
            <w:noWrap w:val="0"/>
            <w:vAlign w:val="center"/>
          </w:tcPr>
          <w:p w14:paraId="10C58284">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color w:val="auto"/>
              </w:rPr>
              <w:t>火灾</w:t>
            </w:r>
            <w:r>
              <w:rPr>
                <w:rFonts w:hint="eastAsia"/>
                <w:color w:val="auto"/>
                <w:lang w:eastAsia="zh-CN"/>
              </w:rPr>
              <w:t>、</w:t>
            </w:r>
            <w:r>
              <w:rPr>
                <w:rFonts w:hint="eastAsia"/>
                <w:color w:val="auto"/>
                <w:lang w:val="en-US" w:eastAsia="zh-CN"/>
              </w:rPr>
              <w:t>爆炸</w:t>
            </w:r>
          </w:p>
        </w:tc>
        <w:tc>
          <w:tcPr>
            <w:tcW w:w="584" w:type="dxa"/>
            <w:shd w:val="clear" w:color="auto" w:fill="auto"/>
            <w:noWrap w:val="0"/>
            <w:vAlign w:val="center"/>
          </w:tcPr>
          <w:p w14:paraId="79BD8ADF">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0.5</w:t>
            </w:r>
          </w:p>
        </w:tc>
        <w:tc>
          <w:tcPr>
            <w:tcW w:w="527" w:type="dxa"/>
            <w:shd w:val="clear" w:color="auto" w:fill="auto"/>
            <w:noWrap w:val="0"/>
            <w:vAlign w:val="center"/>
          </w:tcPr>
          <w:p w14:paraId="15B8703A">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6</w:t>
            </w:r>
          </w:p>
        </w:tc>
        <w:tc>
          <w:tcPr>
            <w:tcW w:w="618" w:type="dxa"/>
            <w:shd w:val="clear" w:color="auto" w:fill="auto"/>
            <w:noWrap w:val="0"/>
            <w:vAlign w:val="center"/>
          </w:tcPr>
          <w:p w14:paraId="692142A6">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15</w:t>
            </w:r>
          </w:p>
        </w:tc>
        <w:tc>
          <w:tcPr>
            <w:tcW w:w="832" w:type="dxa"/>
            <w:shd w:val="clear" w:color="auto" w:fill="auto"/>
            <w:noWrap w:val="0"/>
            <w:vAlign w:val="center"/>
          </w:tcPr>
          <w:p w14:paraId="75B08799">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45</w:t>
            </w:r>
          </w:p>
        </w:tc>
        <w:tc>
          <w:tcPr>
            <w:tcW w:w="1276" w:type="dxa"/>
            <w:shd w:val="clear" w:color="auto" w:fill="auto"/>
            <w:noWrap w:val="0"/>
            <w:vAlign w:val="center"/>
          </w:tcPr>
          <w:p w14:paraId="578F6F36">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一般危险</w:t>
            </w:r>
          </w:p>
        </w:tc>
      </w:tr>
      <w:tr w14:paraId="38A21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exact"/>
        </w:trPr>
        <w:tc>
          <w:tcPr>
            <w:tcW w:w="731" w:type="dxa"/>
            <w:vMerge w:val="continue"/>
            <w:noWrap w:val="0"/>
            <w:vAlign w:val="center"/>
          </w:tcPr>
          <w:p w14:paraId="484059AA">
            <w:pPr>
              <w:pStyle w:val="43"/>
              <w:bidi w:val="0"/>
              <w:rPr>
                <w:color w:val="auto"/>
              </w:rPr>
            </w:pPr>
          </w:p>
        </w:tc>
        <w:tc>
          <w:tcPr>
            <w:tcW w:w="2256" w:type="dxa"/>
            <w:gridSpan w:val="2"/>
            <w:vMerge w:val="continue"/>
            <w:noWrap w:val="0"/>
            <w:vAlign w:val="center"/>
          </w:tcPr>
          <w:p w14:paraId="35988D64">
            <w:pPr>
              <w:pStyle w:val="43"/>
              <w:bidi w:val="0"/>
              <w:rPr>
                <w:rFonts w:hint="eastAsia"/>
                <w:color w:val="auto"/>
                <w:lang w:val="en-US" w:eastAsia="zh-CN"/>
              </w:rPr>
            </w:pPr>
          </w:p>
        </w:tc>
        <w:tc>
          <w:tcPr>
            <w:tcW w:w="2514" w:type="dxa"/>
            <w:shd w:val="clear" w:color="auto" w:fill="auto"/>
            <w:noWrap w:val="0"/>
            <w:vAlign w:val="center"/>
          </w:tcPr>
          <w:p w14:paraId="0EAAAEA8">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车辆伤害</w:t>
            </w:r>
          </w:p>
        </w:tc>
        <w:tc>
          <w:tcPr>
            <w:tcW w:w="584" w:type="dxa"/>
            <w:shd w:val="clear" w:color="auto" w:fill="auto"/>
            <w:noWrap w:val="0"/>
            <w:vAlign w:val="center"/>
          </w:tcPr>
          <w:p w14:paraId="676D78BE">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0.5</w:t>
            </w:r>
          </w:p>
        </w:tc>
        <w:tc>
          <w:tcPr>
            <w:tcW w:w="527" w:type="dxa"/>
            <w:shd w:val="clear" w:color="auto" w:fill="auto"/>
            <w:noWrap w:val="0"/>
            <w:vAlign w:val="center"/>
          </w:tcPr>
          <w:p w14:paraId="7A8F86C7">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6</w:t>
            </w:r>
          </w:p>
        </w:tc>
        <w:tc>
          <w:tcPr>
            <w:tcW w:w="618" w:type="dxa"/>
            <w:shd w:val="clear" w:color="auto" w:fill="auto"/>
            <w:noWrap w:val="0"/>
            <w:vAlign w:val="center"/>
          </w:tcPr>
          <w:p w14:paraId="335724F3">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7</w:t>
            </w:r>
          </w:p>
        </w:tc>
        <w:tc>
          <w:tcPr>
            <w:tcW w:w="832" w:type="dxa"/>
            <w:shd w:val="clear" w:color="auto" w:fill="auto"/>
            <w:noWrap w:val="0"/>
            <w:vAlign w:val="center"/>
          </w:tcPr>
          <w:p w14:paraId="5160CB86">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21</w:t>
            </w:r>
          </w:p>
        </w:tc>
        <w:tc>
          <w:tcPr>
            <w:tcW w:w="1276" w:type="dxa"/>
            <w:shd w:val="clear" w:color="auto" w:fill="auto"/>
            <w:noWrap w:val="0"/>
            <w:vAlign w:val="center"/>
          </w:tcPr>
          <w:p w14:paraId="62F9A5B2">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一般危险</w:t>
            </w:r>
          </w:p>
        </w:tc>
      </w:tr>
      <w:tr w14:paraId="1341C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trPr>
        <w:tc>
          <w:tcPr>
            <w:tcW w:w="731" w:type="dxa"/>
            <w:vMerge w:val="restart"/>
            <w:noWrap w:val="0"/>
            <w:vAlign w:val="center"/>
          </w:tcPr>
          <w:p w14:paraId="32C3116A">
            <w:pPr>
              <w:pStyle w:val="43"/>
              <w:bidi w:val="0"/>
              <w:rPr>
                <w:rFonts w:hint="eastAsia"/>
                <w:color w:val="auto"/>
                <w:lang w:eastAsia="zh-CN"/>
              </w:rPr>
            </w:pPr>
            <w:r>
              <w:rPr>
                <w:rFonts w:hint="eastAsia"/>
                <w:color w:val="auto"/>
                <w:lang w:val="en-US" w:eastAsia="zh-CN"/>
              </w:rPr>
              <w:t>2</w:t>
            </w:r>
          </w:p>
        </w:tc>
        <w:tc>
          <w:tcPr>
            <w:tcW w:w="1191" w:type="dxa"/>
            <w:vMerge w:val="restart"/>
            <w:noWrap w:val="0"/>
            <w:vAlign w:val="center"/>
          </w:tcPr>
          <w:p w14:paraId="1E2445DD">
            <w:pPr>
              <w:pStyle w:val="43"/>
              <w:bidi w:val="0"/>
              <w:rPr>
                <w:rFonts w:hint="eastAsia"/>
                <w:color w:val="auto"/>
              </w:rPr>
            </w:pPr>
            <w:r>
              <w:rPr>
                <w:rFonts w:hint="eastAsia"/>
                <w:color w:val="auto"/>
              </w:rPr>
              <w:t>充电区</w:t>
            </w:r>
          </w:p>
          <w:p w14:paraId="05853E71">
            <w:pPr>
              <w:pStyle w:val="43"/>
              <w:bidi w:val="0"/>
              <w:rPr>
                <w:color w:val="auto"/>
              </w:rPr>
            </w:pPr>
            <w:r>
              <w:rPr>
                <w:rFonts w:hint="eastAsia"/>
                <w:color w:val="auto"/>
              </w:rPr>
              <w:t>单元</w:t>
            </w:r>
          </w:p>
        </w:tc>
        <w:tc>
          <w:tcPr>
            <w:tcW w:w="1065" w:type="dxa"/>
            <w:vMerge w:val="restart"/>
            <w:noWrap w:val="0"/>
            <w:vAlign w:val="center"/>
          </w:tcPr>
          <w:p w14:paraId="44CE8503">
            <w:pPr>
              <w:pStyle w:val="43"/>
              <w:bidi w:val="0"/>
              <w:rPr>
                <w:rFonts w:hint="eastAsia"/>
                <w:color w:val="auto"/>
              </w:rPr>
            </w:pPr>
            <w:r>
              <w:rPr>
                <w:rFonts w:hint="eastAsia"/>
                <w:color w:val="auto"/>
              </w:rPr>
              <w:t>车辆</w:t>
            </w:r>
          </w:p>
          <w:p w14:paraId="0741DD29">
            <w:pPr>
              <w:pStyle w:val="43"/>
              <w:bidi w:val="0"/>
              <w:rPr>
                <w:rFonts w:hint="eastAsia" w:eastAsia="宋体"/>
                <w:color w:val="auto"/>
                <w:lang w:val="en-US" w:eastAsia="zh-CN"/>
              </w:rPr>
            </w:pPr>
            <w:r>
              <w:rPr>
                <w:rFonts w:hint="eastAsia"/>
                <w:color w:val="auto"/>
              </w:rPr>
              <w:t>充电</w:t>
            </w:r>
            <w:r>
              <w:rPr>
                <w:rFonts w:hint="eastAsia"/>
                <w:color w:val="auto"/>
                <w:lang w:val="en-US" w:eastAsia="zh-CN"/>
              </w:rPr>
              <w:t>作业</w:t>
            </w:r>
          </w:p>
        </w:tc>
        <w:tc>
          <w:tcPr>
            <w:tcW w:w="2514" w:type="dxa"/>
            <w:noWrap w:val="0"/>
            <w:vAlign w:val="center"/>
          </w:tcPr>
          <w:p w14:paraId="1EBC6DD3">
            <w:pPr>
              <w:pStyle w:val="43"/>
              <w:bidi w:val="0"/>
              <w:rPr>
                <w:rFonts w:hint="default"/>
                <w:color w:val="auto"/>
                <w:lang w:val="en-US" w:eastAsia="zh-CN"/>
              </w:rPr>
            </w:pPr>
            <w:r>
              <w:rPr>
                <w:color w:val="auto"/>
              </w:rPr>
              <w:t>火灾</w:t>
            </w:r>
            <w:r>
              <w:rPr>
                <w:rFonts w:hint="eastAsia"/>
                <w:color w:val="auto"/>
                <w:lang w:eastAsia="zh-CN"/>
              </w:rPr>
              <w:t>、</w:t>
            </w:r>
            <w:r>
              <w:rPr>
                <w:rFonts w:hint="eastAsia"/>
                <w:color w:val="auto"/>
                <w:lang w:val="en-US" w:eastAsia="zh-CN"/>
              </w:rPr>
              <w:t>爆炸</w:t>
            </w:r>
          </w:p>
        </w:tc>
        <w:tc>
          <w:tcPr>
            <w:tcW w:w="584" w:type="dxa"/>
            <w:noWrap w:val="0"/>
            <w:vAlign w:val="center"/>
          </w:tcPr>
          <w:p w14:paraId="0857C762">
            <w:pPr>
              <w:pStyle w:val="43"/>
              <w:bidi w:val="0"/>
              <w:rPr>
                <w:color w:val="auto"/>
              </w:rPr>
            </w:pPr>
            <w:r>
              <w:rPr>
                <w:rFonts w:hint="eastAsia"/>
                <w:color w:val="auto"/>
              </w:rPr>
              <w:t>0.5</w:t>
            </w:r>
          </w:p>
        </w:tc>
        <w:tc>
          <w:tcPr>
            <w:tcW w:w="527" w:type="dxa"/>
            <w:noWrap w:val="0"/>
            <w:vAlign w:val="center"/>
          </w:tcPr>
          <w:p w14:paraId="36CC85ED">
            <w:pPr>
              <w:pStyle w:val="43"/>
              <w:bidi w:val="0"/>
              <w:rPr>
                <w:color w:val="auto"/>
              </w:rPr>
            </w:pPr>
            <w:r>
              <w:rPr>
                <w:color w:val="auto"/>
              </w:rPr>
              <w:t>6</w:t>
            </w:r>
          </w:p>
        </w:tc>
        <w:tc>
          <w:tcPr>
            <w:tcW w:w="618" w:type="dxa"/>
            <w:noWrap w:val="0"/>
            <w:vAlign w:val="center"/>
          </w:tcPr>
          <w:p w14:paraId="5A4C89C6">
            <w:pPr>
              <w:pStyle w:val="43"/>
              <w:bidi w:val="0"/>
              <w:rPr>
                <w:color w:val="auto"/>
              </w:rPr>
            </w:pPr>
            <w:r>
              <w:rPr>
                <w:rFonts w:hint="eastAsia"/>
                <w:color w:val="auto"/>
              </w:rPr>
              <w:t>15</w:t>
            </w:r>
          </w:p>
        </w:tc>
        <w:tc>
          <w:tcPr>
            <w:tcW w:w="832" w:type="dxa"/>
            <w:noWrap w:val="0"/>
            <w:vAlign w:val="center"/>
          </w:tcPr>
          <w:p w14:paraId="70D88BD0">
            <w:pPr>
              <w:pStyle w:val="43"/>
              <w:bidi w:val="0"/>
              <w:rPr>
                <w:color w:val="auto"/>
              </w:rPr>
            </w:pPr>
            <w:r>
              <w:rPr>
                <w:rFonts w:hint="eastAsia"/>
                <w:color w:val="auto"/>
              </w:rPr>
              <w:t>45</w:t>
            </w:r>
          </w:p>
        </w:tc>
        <w:tc>
          <w:tcPr>
            <w:tcW w:w="1276" w:type="dxa"/>
            <w:noWrap w:val="0"/>
            <w:vAlign w:val="center"/>
          </w:tcPr>
          <w:p w14:paraId="35E86E85">
            <w:pPr>
              <w:pStyle w:val="43"/>
              <w:bidi w:val="0"/>
              <w:rPr>
                <w:color w:val="auto"/>
              </w:rPr>
            </w:pPr>
            <w:r>
              <w:rPr>
                <w:color w:val="auto"/>
              </w:rPr>
              <w:t>一般危险</w:t>
            </w:r>
          </w:p>
        </w:tc>
      </w:tr>
      <w:tr w14:paraId="62733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exact"/>
        </w:trPr>
        <w:tc>
          <w:tcPr>
            <w:tcW w:w="731" w:type="dxa"/>
            <w:vMerge w:val="continue"/>
            <w:noWrap w:val="0"/>
            <w:vAlign w:val="center"/>
          </w:tcPr>
          <w:p w14:paraId="6E8CA93F">
            <w:pPr>
              <w:pStyle w:val="43"/>
              <w:bidi w:val="0"/>
              <w:rPr>
                <w:rFonts w:hint="eastAsia"/>
                <w:color w:val="auto"/>
              </w:rPr>
            </w:pPr>
          </w:p>
        </w:tc>
        <w:tc>
          <w:tcPr>
            <w:tcW w:w="1191" w:type="dxa"/>
            <w:vMerge w:val="continue"/>
            <w:noWrap w:val="0"/>
            <w:vAlign w:val="center"/>
          </w:tcPr>
          <w:p w14:paraId="4F75E4EA">
            <w:pPr>
              <w:pStyle w:val="43"/>
              <w:bidi w:val="0"/>
              <w:rPr>
                <w:rFonts w:hint="eastAsia"/>
                <w:color w:val="auto"/>
              </w:rPr>
            </w:pPr>
          </w:p>
        </w:tc>
        <w:tc>
          <w:tcPr>
            <w:tcW w:w="1065" w:type="dxa"/>
            <w:vMerge w:val="continue"/>
            <w:noWrap w:val="0"/>
            <w:vAlign w:val="center"/>
          </w:tcPr>
          <w:p w14:paraId="1AC0CC87">
            <w:pPr>
              <w:pStyle w:val="43"/>
              <w:bidi w:val="0"/>
              <w:rPr>
                <w:rFonts w:hint="eastAsia"/>
                <w:color w:val="auto"/>
              </w:rPr>
            </w:pPr>
          </w:p>
        </w:tc>
        <w:tc>
          <w:tcPr>
            <w:tcW w:w="2514" w:type="dxa"/>
            <w:noWrap w:val="0"/>
            <w:vAlign w:val="center"/>
          </w:tcPr>
          <w:p w14:paraId="27C8BA3F">
            <w:pPr>
              <w:pStyle w:val="43"/>
              <w:bidi w:val="0"/>
              <w:rPr>
                <w:color w:val="auto"/>
              </w:rPr>
            </w:pPr>
            <w:r>
              <w:rPr>
                <w:color w:val="auto"/>
              </w:rPr>
              <w:t>触电</w:t>
            </w:r>
          </w:p>
        </w:tc>
        <w:tc>
          <w:tcPr>
            <w:tcW w:w="584" w:type="dxa"/>
            <w:noWrap w:val="0"/>
            <w:vAlign w:val="center"/>
          </w:tcPr>
          <w:p w14:paraId="7EE79760">
            <w:pPr>
              <w:pStyle w:val="43"/>
              <w:bidi w:val="0"/>
              <w:rPr>
                <w:rFonts w:hint="eastAsia"/>
                <w:color w:val="auto"/>
              </w:rPr>
            </w:pPr>
            <w:r>
              <w:rPr>
                <w:rFonts w:hint="eastAsia"/>
                <w:color w:val="auto"/>
              </w:rPr>
              <w:t>0.5</w:t>
            </w:r>
          </w:p>
        </w:tc>
        <w:tc>
          <w:tcPr>
            <w:tcW w:w="527" w:type="dxa"/>
            <w:noWrap w:val="0"/>
            <w:vAlign w:val="center"/>
          </w:tcPr>
          <w:p w14:paraId="7A57C1E3">
            <w:pPr>
              <w:pStyle w:val="43"/>
              <w:bidi w:val="0"/>
              <w:rPr>
                <w:rFonts w:hint="eastAsia"/>
                <w:color w:val="auto"/>
              </w:rPr>
            </w:pPr>
            <w:r>
              <w:rPr>
                <w:rFonts w:hint="eastAsia"/>
                <w:color w:val="auto"/>
              </w:rPr>
              <w:t>6</w:t>
            </w:r>
          </w:p>
        </w:tc>
        <w:tc>
          <w:tcPr>
            <w:tcW w:w="618" w:type="dxa"/>
            <w:noWrap w:val="0"/>
            <w:vAlign w:val="center"/>
          </w:tcPr>
          <w:p w14:paraId="4BCF4014">
            <w:pPr>
              <w:pStyle w:val="43"/>
              <w:bidi w:val="0"/>
              <w:rPr>
                <w:color w:val="auto"/>
              </w:rPr>
            </w:pPr>
            <w:r>
              <w:rPr>
                <w:color w:val="auto"/>
              </w:rPr>
              <w:t>15</w:t>
            </w:r>
          </w:p>
        </w:tc>
        <w:tc>
          <w:tcPr>
            <w:tcW w:w="832" w:type="dxa"/>
            <w:noWrap w:val="0"/>
            <w:vAlign w:val="center"/>
          </w:tcPr>
          <w:p w14:paraId="26A74E60">
            <w:pPr>
              <w:pStyle w:val="43"/>
              <w:bidi w:val="0"/>
              <w:rPr>
                <w:color w:val="auto"/>
              </w:rPr>
            </w:pPr>
            <w:r>
              <w:rPr>
                <w:color w:val="auto"/>
              </w:rPr>
              <w:t>45</w:t>
            </w:r>
          </w:p>
        </w:tc>
        <w:tc>
          <w:tcPr>
            <w:tcW w:w="1276" w:type="dxa"/>
            <w:noWrap w:val="0"/>
            <w:vAlign w:val="center"/>
          </w:tcPr>
          <w:p w14:paraId="6E74B93A">
            <w:pPr>
              <w:pStyle w:val="43"/>
              <w:bidi w:val="0"/>
              <w:rPr>
                <w:color w:val="auto"/>
              </w:rPr>
            </w:pPr>
            <w:r>
              <w:rPr>
                <w:color w:val="auto"/>
              </w:rPr>
              <w:t>一般危险</w:t>
            </w:r>
          </w:p>
        </w:tc>
      </w:tr>
      <w:tr w14:paraId="04556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trPr>
        <w:tc>
          <w:tcPr>
            <w:tcW w:w="731" w:type="dxa"/>
            <w:vMerge w:val="continue"/>
            <w:noWrap w:val="0"/>
            <w:vAlign w:val="center"/>
          </w:tcPr>
          <w:p w14:paraId="6B835A11">
            <w:pPr>
              <w:pStyle w:val="43"/>
              <w:bidi w:val="0"/>
              <w:rPr>
                <w:rFonts w:hint="eastAsia"/>
                <w:color w:val="auto"/>
              </w:rPr>
            </w:pPr>
          </w:p>
        </w:tc>
        <w:tc>
          <w:tcPr>
            <w:tcW w:w="1191" w:type="dxa"/>
            <w:vMerge w:val="continue"/>
            <w:noWrap w:val="0"/>
            <w:vAlign w:val="center"/>
          </w:tcPr>
          <w:p w14:paraId="14D426BA">
            <w:pPr>
              <w:pStyle w:val="43"/>
              <w:bidi w:val="0"/>
              <w:rPr>
                <w:rFonts w:hint="eastAsia"/>
                <w:color w:val="auto"/>
              </w:rPr>
            </w:pPr>
          </w:p>
        </w:tc>
        <w:tc>
          <w:tcPr>
            <w:tcW w:w="1065" w:type="dxa"/>
            <w:vMerge w:val="continue"/>
            <w:noWrap w:val="0"/>
            <w:vAlign w:val="center"/>
          </w:tcPr>
          <w:p w14:paraId="4240B8E4">
            <w:pPr>
              <w:pStyle w:val="43"/>
              <w:bidi w:val="0"/>
              <w:rPr>
                <w:rFonts w:hint="eastAsia"/>
                <w:color w:val="auto"/>
              </w:rPr>
            </w:pPr>
          </w:p>
        </w:tc>
        <w:tc>
          <w:tcPr>
            <w:tcW w:w="2514" w:type="dxa"/>
            <w:noWrap w:val="0"/>
            <w:vAlign w:val="center"/>
          </w:tcPr>
          <w:p w14:paraId="45A42C9D">
            <w:pPr>
              <w:pStyle w:val="43"/>
              <w:bidi w:val="0"/>
              <w:rPr>
                <w:color w:val="auto"/>
              </w:rPr>
            </w:pPr>
            <w:r>
              <w:rPr>
                <w:color w:val="auto"/>
              </w:rPr>
              <w:t>车辆伤害</w:t>
            </w:r>
          </w:p>
        </w:tc>
        <w:tc>
          <w:tcPr>
            <w:tcW w:w="584" w:type="dxa"/>
            <w:noWrap w:val="0"/>
            <w:vAlign w:val="center"/>
          </w:tcPr>
          <w:p w14:paraId="4B69A745">
            <w:pPr>
              <w:pStyle w:val="43"/>
              <w:bidi w:val="0"/>
              <w:rPr>
                <w:color w:val="auto"/>
              </w:rPr>
            </w:pPr>
            <w:r>
              <w:rPr>
                <w:rFonts w:hint="eastAsia"/>
                <w:color w:val="auto"/>
              </w:rPr>
              <w:t>0.5</w:t>
            </w:r>
          </w:p>
        </w:tc>
        <w:tc>
          <w:tcPr>
            <w:tcW w:w="527" w:type="dxa"/>
            <w:noWrap w:val="0"/>
            <w:vAlign w:val="center"/>
          </w:tcPr>
          <w:p w14:paraId="24BFD65E">
            <w:pPr>
              <w:pStyle w:val="43"/>
              <w:bidi w:val="0"/>
              <w:rPr>
                <w:color w:val="auto"/>
              </w:rPr>
            </w:pPr>
            <w:r>
              <w:rPr>
                <w:color w:val="auto"/>
              </w:rPr>
              <w:t>6</w:t>
            </w:r>
          </w:p>
        </w:tc>
        <w:tc>
          <w:tcPr>
            <w:tcW w:w="618" w:type="dxa"/>
            <w:noWrap w:val="0"/>
            <w:vAlign w:val="center"/>
          </w:tcPr>
          <w:p w14:paraId="65D61C44">
            <w:pPr>
              <w:pStyle w:val="43"/>
              <w:bidi w:val="0"/>
              <w:rPr>
                <w:color w:val="auto"/>
              </w:rPr>
            </w:pPr>
            <w:r>
              <w:rPr>
                <w:rFonts w:hint="eastAsia"/>
                <w:color w:val="auto"/>
              </w:rPr>
              <w:t>7</w:t>
            </w:r>
          </w:p>
        </w:tc>
        <w:tc>
          <w:tcPr>
            <w:tcW w:w="832" w:type="dxa"/>
            <w:noWrap w:val="0"/>
            <w:vAlign w:val="center"/>
          </w:tcPr>
          <w:p w14:paraId="76EC765D">
            <w:pPr>
              <w:pStyle w:val="43"/>
              <w:bidi w:val="0"/>
              <w:rPr>
                <w:rFonts w:hint="default"/>
                <w:color w:val="auto"/>
                <w:lang w:val="en-US" w:eastAsia="zh-CN"/>
              </w:rPr>
            </w:pPr>
            <w:r>
              <w:rPr>
                <w:rFonts w:hint="eastAsia"/>
                <w:color w:val="auto"/>
                <w:lang w:val="en-US" w:eastAsia="zh-CN"/>
              </w:rPr>
              <w:t>21</w:t>
            </w:r>
          </w:p>
        </w:tc>
        <w:tc>
          <w:tcPr>
            <w:tcW w:w="1276" w:type="dxa"/>
            <w:noWrap w:val="0"/>
            <w:vAlign w:val="center"/>
          </w:tcPr>
          <w:p w14:paraId="591BD1C4">
            <w:pPr>
              <w:pStyle w:val="43"/>
              <w:bidi w:val="0"/>
              <w:rPr>
                <w:color w:val="auto"/>
              </w:rPr>
            </w:pPr>
            <w:r>
              <w:rPr>
                <w:color w:val="auto"/>
              </w:rPr>
              <w:t>一般危险</w:t>
            </w:r>
          </w:p>
        </w:tc>
      </w:tr>
      <w:tr w14:paraId="24BAE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31" w:type="dxa"/>
            <w:vMerge w:val="restart"/>
            <w:noWrap w:val="0"/>
            <w:vAlign w:val="center"/>
          </w:tcPr>
          <w:p w14:paraId="16110B6D">
            <w:pPr>
              <w:pStyle w:val="43"/>
              <w:bidi w:val="0"/>
              <w:rPr>
                <w:rFonts w:hint="default" w:eastAsia="宋体"/>
                <w:color w:val="auto"/>
                <w:lang w:val="en-US" w:eastAsia="zh-CN"/>
              </w:rPr>
            </w:pPr>
            <w:r>
              <w:rPr>
                <w:rFonts w:hint="eastAsia"/>
                <w:color w:val="auto"/>
                <w:lang w:val="en-US" w:eastAsia="zh-CN"/>
              </w:rPr>
              <w:t>3</w:t>
            </w:r>
          </w:p>
        </w:tc>
        <w:tc>
          <w:tcPr>
            <w:tcW w:w="1191" w:type="dxa"/>
            <w:vMerge w:val="restart"/>
            <w:noWrap w:val="0"/>
            <w:vAlign w:val="center"/>
          </w:tcPr>
          <w:p w14:paraId="3AB9DE32">
            <w:pPr>
              <w:pStyle w:val="43"/>
              <w:bidi w:val="0"/>
              <w:rPr>
                <w:rFonts w:hint="default" w:eastAsia="宋体"/>
                <w:color w:val="auto"/>
                <w:lang w:val="en-US" w:eastAsia="zh-CN"/>
              </w:rPr>
            </w:pPr>
            <w:r>
              <w:rPr>
                <w:rFonts w:hint="eastAsia"/>
                <w:color w:val="auto"/>
                <w:lang w:val="en-US" w:eastAsia="zh-CN"/>
              </w:rPr>
              <w:t>公用工程单元</w:t>
            </w:r>
          </w:p>
        </w:tc>
        <w:tc>
          <w:tcPr>
            <w:tcW w:w="1065" w:type="dxa"/>
            <w:vMerge w:val="restart"/>
            <w:noWrap w:val="0"/>
            <w:vAlign w:val="center"/>
          </w:tcPr>
          <w:p w14:paraId="458CAAAC">
            <w:pPr>
              <w:pStyle w:val="43"/>
              <w:bidi w:val="0"/>
              <w:rPr>
                <w:rFonts w:hint="default" w:eastAsia="宋体"/>
                <w:color w:val="auto"/>
                <w:lang w:val="en-US" w:eastAsia="zh-CN"/>
              </w:rPr>
            </w:pPr>
            <w:r>
              <w:rPr>
                <w:rFonts w:hint="eastAsia"/>
                <w:color w:val="auto"/>
                <w:lang w:val="en-US" w:eastAsia="zh-CN"/>
              </w:rPr>
              <w:t>受限空间作业</w:t>
            </w:r>
          </w:p>
        </w:tc>
        <w:tc>
          <w:tcPr>
            <w:tcW w:w="2514" w:type="dxa"/>
            <w:noWrap w:val="0"/>
            <w:vAlign w:val="center"/>
          </w:tcPr>
          <w:p w14:paraId="234CC160">
            <w:pPr>
              <w:pStyle w:val="43"/>
              <w:bidi w:val="0"/>
              <w:rPr>
                <w:rFonts w:hint="default" w:eastAsia="宋体"/>
                <w:color w:val="auto"/>
                <w:lang w:val="en-US" w:eastAsia="zh-CN"/>
              </w:rPr>
            </w:pPr>
            <w:r>
              <w:rPr>
                <w:rFonts w:hint="eastAsia"/>
                <w:color w:val="auto"/>
                <w:lang w:val="en-US" w:eastAsia="zh-CN"/>
              </w:rPr>
              <w:t>中毒窒息</w:t>
            </w:r>
          </w:p>
        </w:tc>
        <w:tc>
          <w:tcPr>
            <w:tcW w:w="584" w:type="dxa"/>
            <w:shd w:val="clear" w:color="auto" w:fill="auto"/>
            <w:noWrap w:val="0"/>
            <w:vAlign w:val="center"/>
          </w:tcPr>
          <w:p w14:paraId="1E9734F3">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0.5</w:t>
            </w:r>
          </w:p>
        </w:tc>
        <w:tc>
          <w:tcPr>
            <w:tcW w:w="527" w:type="dxa"/>
            <w:shd w:val="clear" w:color="auto" w:fill="auto"/>
            <w:noWrap w:val="0"/>
            <w:vAlign w:val="center"/>
          </w:tcPr>
          <w:p w14:paraId="439F83A8">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6</w:t>
            </w:r>
          </w:p>
        </w:tc>
        <w:tc>
          <w:tcPr>
            <w:tcW w:w="618" w:type="dxa"/>
            <w:shd w:val="clear" w:color="auto" w:fill="auto"/>
            <w:noWrap w:val="0"/>
            <w:vAlign w:val="center"/>
          </w:tcPr>
          <w:p w14:paraId="45C66C7A">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15</w:t>
            </w:r>
          </w:p>
        </w:tc>
        <w:tc>
          <w:tcPr>
            <w:tcW w:w="832" w:type="dxa"/>
            <w:shd w:val="clear" w:color="auto" w:fill="auto"/>
            <w:noWrap w:val="0"/>
            <w:vAlign w:val="center"/>
          </w:tcPr>
          <w:p w14:paraId="296CF7F7">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45</w:t>
            </w:r>
          </w:p>
        </w:tc>
        <w:tc>
          <w:tcPr>
            <w:tcW w:w="1276" w:type="dxa"/>
            <w:shd w:val="clear" w:color="auto" w:fill="auto"/>
            <w:noWrap w:val="0"/>
            <w:vAlign w:val="center"/>
          </w:tcPr>
          <w:p w14:paraId="74D8DB53">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一般危险</w:t>
            </w:r>
          </w:p>
        </w:tc>
      </w:tr>
      <w:tr w14:paraId="09BDA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31" w:type="dxa"/>
            <w:vMerge w:val="continue"/>
            <w:noWrap w:val="0"/>
            <w:vAlign w:val="center"/>
          </w:tcPr>
          <w:p w14:paraId="1FD5C0F4">
            <w:pPr>
              <w:pStyle w:val="43"/>
              <w:bidi w:val="0"/>
              <w:rPr>
                <w:color w:val="auto"/>
              </w:rPr>
            </w:pPr>
          </w:p>
        </w:tc>
        <w:tc>
          <w:tcPr>
            <w:tcW w:w="1191" w:type="dxa"/>
            <w:vMerge w:val="continue"/>
            <w:noWrap w:val="0"/>
            <w:vAlign w:val="center"/>
          </w:tcPr>
          <w:p w14:paraId="425587FA">
            <w:pPr>
              <w:pStyle w:val="43"/>
              <w:bidi w:val="0"/>
              <w:rPr>
                <w:color w:val="auto"/>
              </w:rPr>
            </w:pPr>
          </w:p>
        </w:tc>
        <w:tc>
          <w:tcPr>
            <w:tcW w:w="1065" w:type="dxa"/>
            <w:vMerge w:val="continue"/>
            <w:noWrap w:val="0"/>
            <w:vAlign w:val="center"/>
          </w:tcPr>
          <w:p w14:paraId="311A3BA7">
            <w:pPr>
              <w:pStyle w:val="43"/>
              <w:bidi w:val="0"/>
              <w:rPr>
                <w:color w:val="auto"/>
              </w:rPr>
            </w:pPr>
          </w:p>
        </w:tc>
        <w:tc>
          <w:tcPr>
            <w:tcW w:w="2514" w:type="dxa"/>
            <w:shd w:val="clear" w:color="auto" w:fill="auto"/>
            <w:noWrap w:val="0"/>
            <w:vAlign w:val="center"/>
          </w:tcPr>
          <w:p w14:paraId="43CD5BF5">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淹溺</w:t>
            </w:r>
          </w:p>
        </w:tc>
        <w:tc>
          <w:tcPr>
            <w:tcW w:w="584" w:type="dxa"/>
            <w:shd w:val="clear" w:color="auto" w:fill="auto"/>
            <w:noWrap w:val="0"/>
            <w:vAlign w:val="center"/>
          </w:tcPr>
          <w:p w14:paraId="55FA11CE">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0.5</w:t>
            </w:r>
          </w:p>
        </w:tc>
        <w:tc>
          <w:tcPr>
            <w:tcW w:w="527" w:type="dxa"/>
            <w:shd w:val="clear" w:color="auto" w:fill="auto"/>
            <w:noWrap w:val="0"/>
            <w:vAlign w:val="center"/>
          </w:tcPr>
          <w:p w14:paraId="21908EC7">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6</w:t>
            </w:r>
          </w:p>
        </w:tc>
        <w:tc>
          <w:tcPr>
            <w:tcW w:w="618" w:type="dxa"/>
            <w:shd w:val="clear" w:color="auto" w:fill="auto"/>
            <w:noWrap w:val="0"/>
            <w:vAlign w:val="center"/>
          </w:tcPr>
          <w:p w14:paraId="58E76871">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15</w:t>
            </w:r>
          </w:p>
        </w:tc>
        <w:tc>
          <w:tcPr>
            <w:tcW w:w="832" w:type="dxa"/>
            <w:shd w:val="clear" w:color="auto" w:fill="auto"/>
            <w:noWrap w:val="0"/>
            <w:vAlign w:val="center"/>
          </w:tcPr>
          <w:p w14:paraId="388ACC09">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45</w:t>
            </w:r>
          </w:p>
        </w:tc>
        <w:tc>
          <w:tcPr>
            <w:tcW w:w="1276" w:type="dxa"/>
            <w:shd w:val="clear" w:color="auto" w:fill="auto"/>
            <w:noWrap w:val="0"/>
            <w:vAlign w:val="center"/>
          </w:tcPr>
          <w:p w14:paraId="7FBDA5A7">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一般危险</w:t>
            </w:r>
          </w:p>
        </w:tc>
      </w:tr>
      <w:tr w14:paraId="4F1D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exact"/>
        </w:trPr>
        <w:tc>
          <w:tcPr>
            <w:tcW w:w="731" w:type="dxa"/>
            <w:vMerge w:val="continue"/>
            <w:noWrap w:val="0"/>
            <w:vAlign w:val="center"/>
          </w:tcPr>
          <w:p w14:paraId="5D9C1EB9">
            <w:pPr>
              <w:pStyle w:val="43"/>
              <w:bidi w:val="0"/>
              <w:rPr>
                <w:color w:val="auto"/>
              </w:rPr>
            </w:pPr>
          </w:p>
        </w:tc>
        <w:tc>
          <w:tcPr>
            <w:tcW w:w="1191" w:type="dxa"/>
            <w:vMerge w:val="continue"/>
            <w:noWrap w:val="0"/>
            <w:vAlign w:val="center"/>
          </w:tcPr>
          <w:p w14:paraId="3C59BD15">
            <w:pPr>
              <w:pStyle w:val="43"/>
              <w:bidi w:val="0"/>
              <w:rPr>
                <w:color w:val="auto"/>
              </w:rPr>
            </w:pPr>
          </w:p>
        </w:tc>
        <w:tc>
          <w:tcPr>
            <w:tcW w:w="1065" w:type="dxa"/>
            <w:vMerge w:val="restart"/>
            <w:noWrap w:val="0"/>
            <w:vAlign w:val="center"/>
          </w:tcPr>
          <w:p w14:paraId="0F142184">
            <w:pPr>
              <w:pStyle w:val="43"/>
              <w:bidi w:val="0"/>
              <w:rPr>
                <w:color w:val="auto"/>
              </w:rPr>
            </w:pPr>
            <w:r>
              <w:rPr>
                <w:rFonts w:hint="eastAsia"/>
                <w:color w:val="auto"/>
                <w:lang w:val="en-US" w:eastAsia="zh-CN"/>
              </w:rPr>
              <w:t>变</w:t>
            </w:r>
            <w:r>
              <w:rPr>
                <w:color w:val="auto"/>
              </w:rPr>
              <w:t>配电作业</w:t>
            </w:r>
          </w:p>
        </w:tc>
        <w:tc>
          <w:tcPr>
            <w:tcW w:w="2514" w:type="dxa"/>
            <w:noWrap w:val="0"/>
            <w:vAlign w:val="center"/>
          </w:tcPr>
          <w:p w14:paraId="5A13EC2B">
            <w:pPr>
              <w:pStyle w:val="43"/>
              <w:bidi w:val="0"/>
              <w:rPr>
                <w:color w:val="auto"/>
              </w:rPr>
            </w:pPr>
            <w:r>
              <w:rPr>
                <w:color w:val="auto"/>
              </w:rPr>
              <w:t>火灾</w:t>
            </w:r>
          </w:p>
        </w:tc>
        <w:tc>
          <w:tcPr>
            <w:tcW w:w="584" w:type="dxa"/>
            <w:noWrap w:val="0"/>
            <w:vAlign w:val="center"/>
          </w:tcPr>
          <w:p w14:paraId="11A0E7EB">
            <w:pPr>
              <w:pStyle w:val="43"/>
              <w:bidi w:val="0"/>
              <w:rPr>
                <w:rFonts w:hint="default"/>
                <w:color w:val="auto"/>
                <w:lang w:val="en-US" w:eastAsia="zh-CN"/>
              </w:rPr>
            </w:pPr>
            <w:r>
              <w:rPr>
                <w:rFonts w:hint="eastAsia"/>
                <w:color w:val="auto"/>
                <w:lang w:val="en-US" w:eastAsia="zh-CN"/>
              </w:rPr>
              <w:t>0.5</w:t>
            </w:r>
          </w:p>
        </w:tc>
        <w:tc>
          <w:tcPr>
            <w:tcW w:w="527" w:type="dxa"/>
            <w:noWrap w:val="0"/>
            <w:vAlign w:val="center"/>
          </w:tcPr>
          <w:p w14:paraId="764357EF">
            <w:pPr>
              <w:pStyle w:val="43"/>
              <w:bidi w:val="0"/>
              <w:rPr>
                <w:rFonts w:hint="eastAsia"/>
                <w:color w:val="auto"/>
                <w:lang w:eastAsia="zh-CN"/>
              </w:rPr>
            </w:pPr>
            <w:r>
              <w:rPr>
                <w:rFonts w:hint="eastAsia"/>
                <w:color w:val="auto"/>
                <w:lang w:val="en-US" w:eastAsia="zh-CN"/>
              </w:rPr>
              <w:t>3</w:t>
            </w:r>
          </w:p>
        </w:tc>
        <w:tc>
          <w:tcPr>
            <w:tcW w:w="618" w:type="dxa"/>
            <w:noWrap w:val="0"/>
            <w:vAlign w:val="center"/>
          </w:tcPr>
          <w:p w14:paraId="5D93C8F8">
            <w:pPr>
              <w:pStyle w:val="43"/>
              <w:bidi w:val="0"/>
              <w:rPr>
                <w:color w:val="auto"/>
              </w:rPr>
            </w:pPr>
            <w:r>
              <w:rPr>
                <w:color w:val="auto"/>
              </w:rPr>
              <w:t>7</w:t>
            </w:r>
          </w:p>
        </w:tc>
        <w:tc>
          <w:tcPr>
            <w:tcW w:w="832" w:type="dxa"/>
            <w:noWrap w:val="0"/>
            <w:vAlign w:val="center"/>
          </w:tcPr>
          <w:p w14:paraId="42070083">
            <w:pPr>
              <w:pStyle w:val="43"/>
              <w:bidi w:val="0"/>
              <w:rPr>
                <w:rFonts w:hint="default"/>
                <w:color w:val="auto"/>
                <w:lang w:val="en-US" w:eastAsia="zh-CN"/>
              </w:rPr>
            </w:pPr>
            <w:r>
              <w:rPr>
                <w:rFonts w:hint="eastAsia"/>
                <w:color w:val="auto"/>
                <w:lang w:val="en-US" w:eastAsia="zh-CN"/>
              </w:rPr>
              <w:t>10.5</w:t>
            </w:r>
          </w:p>
        </w:tc>
        <w:tc>
          <w:tcPr>
            <w:tcW w:w="1276" w:type="dxa"/>
            <w:noWrap w:val="0"/>
            <w:vAlign w:val="center"/>
          </w:tcPr>
          <w:p w14:paraId="1C468EAF">
            <w:pPr>
              <w:pStyle w:val="43"/>
              <w:bidi w:val="0"/>
              <w:rPr>
                <w:color w:val="auto"/>
              </w:rPr>
            </w:pPr>
            <w:r>
              <w:rPr>
                <w:rFonts w:hint="eastAsia"/>
                <w:color w:val="auto"/>
              </w:rPr>
              <w:t>稍有危险</w:t>
            </w:r>
          </w:p>
        </w:tc>
      </w:tr>
      <w:tr w14:paraId="154E1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exact"/>
        </w:trPr>
        <w:tc>
          <w:tcPr>
            <w:tcW w:w="731" w:type="dxa"/>
            <w:vMerge w:val="continue"/>
            <w:noWrap w:val="0"/>
            <w:vAlign w:val="center"/>
          </w:tcPr>
          <w:p w14:paraId="7B8033F1">
            <w:pPr>
              <w:pStyle w:val="43"/>
              <w:bidi w:val="0"/>
              <w:rPr>
                <w:color w:val="auto"/>
              </w:rPr>
            </w:pPr>
          </w:p>
        </w:tc>
        <w:tc>
          <w:tcPr>
            <w:tcW w:w="1191" w:type="dxa"/>
            <w:vMerge w:val="continue"/>
            <w:noWrap w:val="0"/>
            <w:vAlign w:val="center"/>
          </w:tcPr>
          <w:p w14:paraId="43909976">
            <w:pPr>
              <w:pStyle w:val="43"/>
              <w:bidi w:val="0"/>
              <w:rPr>
                <w:color w:val="auto"/>
              </w:rPr>
            </w:pPr>
          </w:p>
        </w:tc>
        <w:tc>
          <w:tcPr>
            <w:tcW w:w="1065" w:type="dxa"/>
            <w:vMerge w:val="continue"/>
            <w:noWrap w:val="0"/>
            <w:vAlign w:val="center"/>
          </w:tcPr>
          <w:p w14:paraId="1FB34292">
            <w:pPr>
              <w:pStyle w:val="43"/>
              <w:bidi w:val="0"/>
              <w:rPr>
                <w:color w:val="auto"/>
              </w:rPr>
            </w:pPr>
          </w:p>
        </w:tc>
        <w:tc>
          <w:tcPr>
            <w:tcW w:w="2514" w:type="dxa"/>
            <w:noWrap w:val="0"/>
            <w:vAlign w:val="center"/>
          </w:tcPr>
          <w:p w14:paraId="5CD90573">
            <w:pPr>
              <w:pStyle w:val="43"/>
              <w:bidi w:val="0"/>
              <w:rPr>
                <w:color w:val="auto"/>
              </w:rPr>
            </w:pPr>
            <w:r>
              <w:rPr>
                <w:color w:val="auto"/>
              </w:rPr>
              <w:t>触电</w:t>
            </w:r>
          </w:p>
        </w:tc>
        <w:tc>
          <w:tcPr>
            <w:tcW w:w="584" w:type="dxa"/>
            <w:noWrap w:val="0"/>
            <w:vAlign w:val="center"/>
          </w:tcPr>
          <w:p w14:paraId="6260E8DF">
            <w:pPr>
              <w:pStyle w:val="43"/>
              <w:bidi w:val="0"/>
              <w:rPr>
                <w:rFonts w:hint="eastAsia"/>
                <w:color w:val="auto"/>
              </w:rPr>
            </w:pPr>
            <w:r>
              <w:rPr>
                <w:rFonts w:hint="eastAsia"/>
                <w:color w:val="auto"/>
              </w:rPr>
              <w:t>0.5</w:t>
            </w:r>
          </w:p>
        </w:tc>
        <w:tc>
          <w:tcPr>
            <w:tcW w:w="527" w:type="dxa"/>
            <w:noWrap w:val="0"/>
            <w:vAlign w:val="center"/>
          </w:tcPr>
          <w:p w14:paraId="2EE6A5A4">
            <w:pPr>
              <w:pStyle w:val="43"/>
              <w:bidi w:val="0"/>
              <w:rPr>
                <w:rFonts w:hint="eastAsia"/>
                <w:color w:val="auto"/>
                <w:lang w:eastAsia="zh-CN"/>
              </w:rPr>
            </w:pPr>
            <w:r>
              <w:rPr>
                <w:rFonts w:hint="eastAsia"/>
                <w:color w:val="auto"/>
                <w:lang w:val="en-US" w:eastAsia="zh-CN"/>
              </w:rPr>
              <w:t>3</w:t>
            </w:r>
          </w:p>
        </w:tc>
        <w:tc>
          <w:tcPr>
            <w:tcW w:w="618" w:type="dxa"/>
            <w:noWrap w:val="0"/>
            <w:vAlign w:val="center"/>
          </w:tcPr>
          <w:p w14:paraId="25CAD330">
            <w:pPr>
              <w:pStyle w:val="43"/>
              <w:bidi w:val="0"/>
              <w:rPr>
                <w:color w:val="auto"/>
              </w:rPr>
            </w:pPr>
            <w:r>
              <w:rPr>
                <w:color w:val="auto"/>
              </w:rPr>
              <w:t>15</w:t>
            </w:r>
          </w:p>
        </w:tc>
        <w:tc>
          <w:tcPr>
            <w:tcW w:w="832" w:type="dxa"/>
            <w:noWrap w:val="0"/>
            <w:vAlign w:val="center"/>
          </w:tcPr>
          <w:p w14:paraId="3326248C">
            <w:pPr>
              <w:pStyle w:val="43"/>
              <w:bidi w:val="0"/>
              <w:rPr>
                <w:rFonts w:hint="default"/>
                <w:color w:val="auto"/>
                <w:lang w:val="en-US" w:eastAsia="zh-CN"/>
              </w:rPr>
            </w:pPr>
            <w:r>
              <w:rPr>
                <w:rFonts w:hint="eastAsia"/>
                <w:color w:val="auto"/>
                <w:lang w:val="en-US" w:eastAsia="zh-CN"/>
              </w:rPr>
              <w:t>22.5</w:t>
            </w:r>
          </w:p>
        </w:tc>
        <w:tc>
          <w:tcPr>
            <w:tcW w:w="1276" w:type="dxa"/>
            <w:noWrap w:val="0"/>
            <w:vAlign w:val="center"/>
          </w:tcPr>
          <w:p w14:paraId="58F49EEF">
            <w:pPr>
              <w:pStyle w:val="43"/>
              <w:bidi w:val="0"/>
              <w:rPr>
                <w:color w:val="auto"/>
              </w:rPr>
            </w:pPr>
            <w:r>
              <w:rPr>
                <w:color w:val="auto"/>
              </w:rPr>
              <w:t>一般危险</w:t>
            </w:r>
          </w:p>
        </w:tc>
      </w:tr>
      <w:tr w14:paraId="33773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1" w:type="dxa"/>
            <w:vMerge w:val="continue"/>
            <w:noWrap w:val="0"/>
            <w:vAlign w:val="center"/>
          </w:tcPr>
          <w:p w14:paraId="05F8CE08">
            <w:pPr>
              <w:pStyle w:val="43"/>
              <w:bidi w:val="0"/>
              <w:rPr>
                <w:color w:val="auto"/>
              </w:rPr>
            </w:pPr>
          </w:p>
        </w:tc>
        <w:tc>
          <w:tcPr>
            <w:tcW w:w="1191" w:type="dxa"/>
            <w:vMerge w:val="continue"/>
            <w:noWrap w:val="0"/>
            <w:vAlign w:val="center"/>
          </w:tcPr>
          <w:p w14:paraId="07CE4CB3">
            <w:pPr>
              <w:pStyle w:val="43"/>
              <w:bidi w:val="0"/>
              <w:rPr>
                <w:color w:val="auto"/>
              </w:rPr>
            </w:pPr>
          </w:p>
        </w:tc>
        <w:tc>
          <w:tcPr>
            <w:tcW w:w="1065" w:type="dxa"/>
            <w:vMerge w:val="restart"/>
            <w:noWrap w:val="0"/>
            <w:vAlign w:val="center"/>
          </w:tcPr>
          <w:p w14:paraId="2CB8ABC5">
            <w:pPr>
              <w:pStyle w:val="43"/>
              <w:bidi w:val="0"/>
              <w:rPr>
                <w:rFonts w:hint="eastAsia"/>
                <w:color w:val="auto"/>
              </w:rPr>
            </w:pPr>
            <w:r>
              <w:rPr>
                <w:rFonts w:hint="eastAsia"/>
                <w:color w:val="auto"/>
              </w:rPr>
              <w:t>维修</w:t>
            </w:r>
          </w:p>
          <w:p w14:paraId="7ED54C2A">
            <w:pPr>
              <w:pStyle w:val="43"/>
              <w:bidi w:val="0"/>
              <w:rPr>
                <w:rFonts w:hint="eastAsia"/>
                <w:color w:val="auto"/>
              </w:rPr>
            </w:pPr>
            <w:r>
              <w:rPr>
                <w:rFonts w:hint="eastAsia"/>
                <w:color w:val="auto"/>
              </w:rPr>
              <w:t>作业</w:t>
            </w:r>
          </w:p>
        </w:tc>
        <w:tc>
          <w:tcPr>
            <w:tcW w:w="2514" w:type="dxa"/>
            <w:noWrap w:val="0"/>
            <w:vAlign w:val="center"/>
          </w:tcPr>
          <w:p w14:paraId="1D28FF97">
            <w:pPr>
              <w:pStyle w:val="43"/>
              <w:bidi w:val="0"/>
              <w:rPr>
                <w:color w:val="auto"/>
              </w:rPr>
            </w:pPr>
            <w:r>
              <w:rPr>
                <w:color w:val="auto"/>
              </w:rPr>
              <w:t>触电</w:t>
            </w:r>
          </w:p>
        </w:tc>
        <w:tc>
          <w:tcPr>
            <w:tcW w:w="584" w:type="dxa"/>
            <w:noWrap w:val="0"/>
            <w:vAlign w:val="center"/>
          </w:tcPr>
          <w:p w14:paraId="46AE9CF0">
            <w:pPr>
              <w:pStyle w:val="43"/>
              <w:bidi w:val="0"/>
              <w:rPr>
                <w:rFonts w:hint="eastAsia"/>
                <w:color w:val="auto"/>
              </w:rPr>
            </w:pPr>
            <w:r>
              <w:rPr>
                <w:rFonts w:hint="eastAsia"/>
                <w:color w:val="auto"/>
              </w:rPr>
              <w:t>0.5</w:t>
            </w:r>
          </w:p>
        </w:tc>
        <w:tc>
          <w:tcPr>
            <w:tcW w:w="527" w:type="dxa"/>
            <w:noWrap w:val="0"/>
            <w:vAlign w:val="center"/>
          </w:tcPr>
          <w:p w14:paraId="6FAC1131">
            <w:pPr>
              <w:pStyle w:val="43"/>
              <w:bidi w:val="0"/>
              <w:rPr>
                <w:rFonts w:hint="eastAsia"/>
                <w:color w:val="auto"/>
              </w:rPr>
            </w:pPr>
            <w:r>
              <w:rPr>
                <w:rFonts w:hint="eastAsia"/>
                <w:color w:val="auto"/>
                <w:lang w:val="en-US" w:eastAsia="zh-CN"/>
              </w:rPr>
              <w:t>3</w:t>
            </w:r>
          </w:p>
        </w:tc>
        <w:tc>
          <w:tcPr>
            <w:tcW w:w="618" w:type="dxa"/>
            <w:noWrap w:val="0"/>
            <w:vAlign w:val="center"/>
          </w:tcPr>
          <w:p w14:paraId="185B1CDE">
            <w:pPr>
              <w:pStyle w:val="43"/>
              <w:bidi w:val="0"/>
              <w:rPr>
                <w:color w:val="auto"/>
              </w:rPr>
            </w:pPr>
            <w:r>
              <w:rPr>
                <w:color w:val="auto"/>
              </w:rPr>
              <w:t>15</w:t>
            </w:r>
          </w:p>
        </w:tc>
        <w:tc>
          <w:tcPr>
            <w:tcW w:w="832" w:type="dxa"/>
            <w:noWrap w:val="0"/>
            <w:vAlign w:val="center"/>
          </w:tcPr>
          <w:p w14:paraId="35445CEB">
            <w:pPr>
              <w:pStyle w:val="43"/>
              <w:bidi w:val="0"/>
              <w:rPr>
                <w:color w:val="auto"/>
              </w:rPr>
            </w:pPr>
            <w:r>
              <w:rPr>
                <w:rFonts w:hint="eastAsia"/>
                <w:color w:val="auto"/>
                <w:lang w:val="en-US" w:eastAsia="zh-CN"/>
              </w:rPr>
              <w:t>22.5</w:t>
            </w:r>
          </w:p>
        </w:tc>
        <w:tc>
          <w:tcPr>
            <w:tcW w:w="1276" w:type="dxa"/>
            <w:noWrap w:val="0"/>
            <w:vAlign w:val="center"/>
          </w:tcPr>
          <w:p w14:paraId="69AD8CD9">
            <w:pPr>
              <w:pStyle w:val="43"/>
              <w:bidi w:val="0"/>
              <w:rPr>
                <w:color w:val="auto"/>
              </w:rPr>
            </w:pPr>
            <w:r>
              <w:rPr>
                <w:color w:val="auto"/>
              </w:rPr>
              <w:t>一般危险</w:t>
            </w:r>
          </w:p>
        </w:tc>
      </w:tr>
      <w:tr w14:paraId="7B7A9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exact"/>
        </w:trPr>
        <w:tc>
          <w:tcPr>
            <w:tcW w:w="731" w:type="dxa"/>
            <w:vMerge w:val="continue"/>
            <w:noWrap w:val="0"/>
            <w:vAlign w:val="center"/>
          </w:tcPr>
          <w:p w14:paraId="55E2EB3F">
            <w:pPr>
              <w:pStyle w:val="43"/>
              <w:bidi w:val="0"/>
              <w:rPr>
                <w:color w:val="auto"/>
              </w:rPr>
            </w:pPr>
          </w:p>
        </w:tc>
        <w:tc>
          <w:tcPr>
            <w:tcW w:w="1191" w:type="dxa"/>
            <w:vMerge w:val="continue"/>
            <w:noWrap w:val="0"/>
            <w:vAlign w:val="center"/>
          </w:tcPr>
          <w:p w14:paraId="380EDEE7">
            <w:pPr>
              <w:pStyle w:val="43"/>
              <w:bidi w:val="0"/>
              <w:rPr>
                <w:color w:val="auto"/>
              </w:rPr>
            </w:pPr>
          </w:p>
        </w:tc>
        <w:tc>
          <w:tcPr>
            <w:tcW w:w="1065" w:type="dxa"/>
            <w:vMerge w:val="continue"/>
            <w:noWrap w:val="0"/>
            <w:vAlign w:val="center"/>
          </w:tcPr>
          <w:p w14:paraId="0DACB711">
            <w:pPr>
              <w:pStyle w:val="43"/>
              <w:bidi w:val="0"/>
              <w:rPr>
                <w:rFonts w:hint="eastAsia"/>
                <w:color w:val="auto"/>
              </w:rPr>
            </w:pPr>
          </w:p>
        </w:tc>
        <w:tc>
          <w:tcPr>
            <w:tcW w:w="2514" w:type="dxa"/>
            <w:noWrap w:val="0"/>
            <w:vAlign w:val="center"/>
          </w:tcPr>
          <w:p w14:paraId="5E35767B">
            <w:pPr>
              <w:pStyle w:val="43"/>
              <w:bidi w:val="0"/>
              <w:rPr>
                <w:color w:val="auto"/>
              </w:rPr>
            </w:pPr>
            <w:r>
              <w:rPr>
                <w:color w:val="auto"/>
              </w:rPr>
              <w:t>机械伤害</w:t>
            </w:r>
          </w:p>
        </w:tc>
        <w:tc>
          <w:tcPr>
            <w:tcW w:w="584" w:type="dxa"/>
            <w:noWrap w:val="0"/>
            <w:vAlign w:val="center"/>
          </w:tcPr>
          <w:p w14:paraId="3B7A7C6D">
            <w:pPr>
              <w:pStyle w:val="43"/>
              <w:bidi w:val="0"/>
              <w:rPr>
                <w:rFonts w:hint="eastAsia"/>
                <w:color w:val="auto"/>
              </w:rPr>
            </w:pPr>
            <w:r>
              <w:rPr>
                <w:rFonts w:hint="eastAsia"/>
                <w:color w:val="auto"/>
              </w:rPr>
              <w:t>0.5</w:t>
            </w:r>
          </w:p>
        </w:tc>
        <w:tc>
          <w:tcPr>
            <w:tcW w:w="527" w:type="dxa"/>
            <w:noWrap w:val="0"/>
            <w:vAlign w:val="center"/>
          </w:tcPr>
          <w:p w14:paraId="0CEC4AFF">
            <w:pPr>
              <w:pStyle w:val="43"/>
              <w:bidi w:val="0"/>
              <w:rPr>
                <w:rFonts w:hint="eastAsia"/>
                <w:color w:val="auto"/>
              </w:rPr>
            </w:pPr>
            <w:r>
              <w:rPr>
                <w:rFonts w:hint="eastAsia"/>
                <w:color w:val="auto"/>
              </w:rPr>
              <w:t>3</w:t>
            </w:r>
          </w:p>
        </w:tc>
        <w:tc>
          <w:tcPr>
            <w:tcW w:w="618" w:type="dxa"/>
            <w:noWrap w:val="0"/>
            <w:vAlign w:val="center"/>
          </w:tcPr>
          <w:p w14:paraId="3ED0F10E">
            <w:pPr>
              <w:pStyle w:val="43"/>
              <w:bidi w:val="0"/>
              <w:rPr>
                <w:rFonts w:hint="eastAsia"/>
                <w:color w:val="auto"/>
              </w:rPr>
            </w:pPr>
            <w:r>
              <w:rPr>
                <w:rFonts w:hint="eastAsia"/>
                <w:color w:val="auto"/>
              </w:rPr>
              <w:t>7</w:t>
            </w:r>
          </w:p>
        </w:tc>
        <w:tc>
          <w:tcPr>
            <w:tcW w:w="832" w:type="dxa"/>
            <w:noWrap w:val="0"/>
            <w:vAlign w:val="center"/>
          </w:tcPr>
          <w:p w14:paraId="7465BD40">
            <w:pPr>
              <w:pStyle w:val="43"/>
              <w:bidi w:val="0"/>
              <w:rPr>
                <w:rFonts w:hint="eastAsia"/>
                <w:color w:val="auto"/>
              </w:rPr>
            </w:pPr>
            <w:r>
              <w:rPr>
                <w:rFonts w:hint="eastAsia"/>
                <w:color w:val="auto"/>
              </w:rPr>
              <w:t>10.5</w:t>
            </w:r>
          </w:p>
        </w:tc>
        <w:tc>
          <w:tcPr>
            <w:tcW w:w="1276" w:type="dxa"/>
            <w:noWrap w:val="0"/>
            <w:vAlign w:val="center"/>
          </w:tcPr>
          <w:p w14:paraId="5542674C">
            <w:pPr>
              <w:pStyle w:val="43"/>
              <w:bidi w:val="0"/>
              <w:rPr>
                <w:color w:val="auto"/>
              </w:rPr>
            </w:pPr>
            <w:r>
              <w:rPr>
                <w:rFonts w:hint="eastAsia"/>
                <w:color w:val="auto"/>
              </w:rPr>
              <w:t>稍有危险</w:t>
            </w:r>
          </w:p>
        </w:tc>
      </w:tr>
      <w:tr w14:paraId="45DED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exact"/>
        </w:trPr>
        <w:tc>
          <w:tcPr>
            <w:tcW w:w="731" w:type="dxa"/>
            <w:vMerge w:val="continue"/>
            <w:noWrap w:val="0"/>
            <w:vAlign w:val="center"/>
          </w:tcPr>
          <w:p w14:paraId="4F2CDAE4">
            <w:pPr>
              <w:pStyle w:val="43"/>
              <w:bidi w:val="0"/>
              <w:rPr>
                <w:color w:val="auto"/>
              </w:rPr>
            </w:pPr>
          </w:p>
        </w:tc>
        <w:tc>
          <w:tcPr>
            <w:tcW w:w="1191" w:type="dxa"/>
            <w:vMerge w:val="continue"/>
            <w:noWrap w:val="0"/>
            <w:vAlign w:val="center"/>
          </w:tcPr>
          <w:p w14:paraId="6288CB12">
            <w:pPr>
              <w:pStyle w:val="43"/>
              <w:bidi w:val="0"/>
              <w:rPr>
                <w:color w:val="auto"/>
              </w:rPr>
            </w:pPr>
          </w:p>
        </w:tc>
        <w:tc>
          <w:tcPr>
            <w:tcW w:w="1065" w:type="dxa"/>
            <w:vMerge w:val="continue"/>
            <w:noWrap w:val="0"/>
            <w:vAlign w:val="center"/>
          </w:tcPr>
          <w:p w14:paraId="2D546282">
            <w:pPr>
              <w:pStyle w:val="43"/>
              <w:bidi w:val="0"/>
              <w:rPr>
                <w:rFonts w:hint="eastAsia"/>
                <w:color w:val="auto"/>
              </w:rPr>
            </w:pPr>
          </w:p>
        </w:tc>
        <w:tc>
          <w:tcPr>
            <w:tcW w:w="2514" w:type="dxa"/>
            <w:noWrap w:val="0"/>
            <w:vAlign w:val="center"/>
          </w:tcPr>
          <w:p w14:paraId="4986DF16">
            <w:pPr>
              <w:pStyle w:val="43"/>
              <w:bidi w:val="0"/>
              <w:rPr>
                <w:color w:val="auto"/>
              </w:rPr>
            </w:pPr>
            <w:r>
              <w:rPr>
                <w:color w:val="auto"/>
              </w:rPr>
              <w:t>物体打击</w:t>
            </w:r>
          </w:p>
        </w:tc>
        <w:tc>
          <w:tcPr>
            <w:tcW w:w="584" w:type="dxa"/>
            <w:noWrap w:val="0"/>
            <w:vAlign w:val="center"/>
          </w:tcPr>
          <w:p w14:paraId="1488DF9E">
            <w:pPr>
              <w:pStyle w:val="43"/>
              <w:bidi w:val="0"/>
              <w:rPr>
                <w:rFonts w:hint="eastAsia"/>
                <w:color w:val="auto"/>
              </w:rPr>
            </w:pPr>
            <w:r>
              <w:rPr>
                <w:rFonts w:hint="eastAsia"/>
                <w:color w:val="auto"/>
              </w:rPr>
              <w:t>1</w:t>
            </w:r>
          </w:p>
        </w:tc>
        <w:tc>
          <w:tcPr>
            <w:tcW w:w="527" w:type="dxa"/>
            <w:noWrap w:val="0"/>
            <w:vAlign w:val="center"/>
          </w:tcPr>
          <w:p w14:paraId="00C6B6A9">
            <w:pPr>
              <w:pStyle w:val="43"/>
              <w:bidi w:val="0"/>
              <w:rPr>
                <w:rFonts w:hint="eastAsia"/>
                <w:color w:val="auto"/>
              </w:rPr>
            </w:pPr>
            <w:r>
              <w:rPr>
                <w:rFonts w:hint="eastAsia"/>
                <w:color w:val="auto"/>
              </w:rPr>
              <w:t>3</w:t>
            </w:r>
          </w:p>
        </w:tc>
        <w:tc>
          <w:tcPr>
            <w:tcW w:w="618" w:type="dxa"/>
            <w:noWrap w:val="0"/>
            <w:vAlign w:val="center"/>
          </w:tcPr>
          <w:p w14:paraId="502D56D0">
            <w:pPr>
              <w:pStyle w:val="43"/>
              <w:bidi w:val="0"/>
              <w:rPr>
                <w:rFonts w:hint="eastAsia"/>
                <w:color w:val="auto"/>
              </w:rPr>
            </w:pPr>
            <w:r>
              <w:rPr>
                <w:rFonts w:hint="eastAsia"/>
                <w:color w:val="auto"/>
              </w:rPr>
              <w:t>7</w:t>
            </w:r>
          </w:p>
        </w:tc>
        <w:tc>
          <w:tcPr>
            <w:tcW w:w="832" w:type="dxa"/>
            <w:noWrap w:val="0"/>
            <w:vAlign w:val="center"/>
          </w:tcPr>
          <w:p w14:paraId="3780E522">
            <w:pPr>
              <w:pStyle w:val="43"/>
              <w:bidi w:val="0"/>
              <w:rPr>
                <w:rFonts w:hint="eastAsia"/>
                <w:color w:val="auto"/>
              </w:rPr>
            </w:pPr>
            <w:r>
              <w:rPr>
                <w:rFonts w:hint="eastAsia"/>
                <w:color w:val="auto"/>
              </w:rPr>
              <w:t>21</w:t>
            </w:r>
          </w:p>
        </w:tc>
        <w:tc>
          <w:tcPr>
            <w:tcW w:w="1276" w:type="dxa"/>
            <w:noWrap w:val="0"/>
            <w:vAlign w:val="center"/>
          </w:tcPr>
          <w:p w14:paraId="2401B63A">
            <w:pPr>
              <w:pStyle w:val="43"/>
              <w:bidi w:val="0"/>
              <w:rPr>
                <w:color w:val="auto"/>
              </w:rPr>
            </w:pPr>
            <w:r>
              <w:rPr>
                <w:color w:val="auto"/>
              </w:rPr>
              <w:t>一般危险</w:t>
            </w:r>
          </w:p>
        </w:tc>
      </w:tr>
      <w:tr w14:paraId="3A254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exact"/>
        </w:trPr>
        <w:tc>
          <w:tcPr>
            <w:tcW w:w="731" w:type="dxa"/>
            <w:vMerge w:val="continue"/>
            <w:noWrap w:val="0"/>
            <w:vAlign w:val="center"/>
          </w:tcPr>
          <w:p w14:paraId="52F35460">
            <w:pPr>
              <w:pStyle w:val="43"/>
              <w:bidi w:val="0"/>
              <w:rPr>
                <w:color w:val="auto"/>
              </w:rPr>
            </w:pPr>
          </w:p>
        </w:tc>
        <w:tc>
          <w:tcPr>
            <w:tcW w:w="1191" w:type="dxa"/>
            <w:vMerge w:val="continue"/>
            <w:noWrap w:val="0"/>
            <w:vAlign w:val="center"/>
          </w:tcPr>
          <w:p w14:paraId="1B6812EC">
            <w:pPr>
              <w:pStyle w:val="43"/>
              <w:bidi w:val="0"/>
              <w:rPr>
                <w:color w:val="auto"/>
              </w:rPr>
            </w:pPr>
          </w:p>
        </w:tc>
        <w:tc>
          <w:tcPr>
            <w:tcW w:w="1065" w:type="dxa"/>
            <w:vMerge w:val="restart"/>
            <w:noWrap w:val="0"/>
            <w:vAlign w:val="center"/>
          </w:tcPr>
          <w:p w14:paraId="4F0BB6E9">
            <w:pPr>
              <w:pStyle w:val="43"/>
              <w:bidi w:val="0"/>
              <w:rPr>
                <w:rFonts w:hint="default" w:eastAsia="宋体"/>
                <w:color w:val="auto"/>
                <w:lang w:val="en-US" w:eastAsia="zh-CN"/>
              </w:rPr>
            </w:pPr>
            <w:r>
              <w:rPr>
                <w:rFonts w:hint="eastAsia"/>
                <w:color w:val="auto"/>
                <w:lang w:val="en-US" w:eastAsia="zh-CN"/>
              </w:rPr>
              <w:t>柴油发电作业</w:t>
            </w:r>
          </w:p>
        </w:tc>
        <w:tc>
          <w:tcPr>
            <w:tcW w:w="2514" w:type="dxa"/>
            <w:shd w:val="clear" w:color="auto" w:fill="auto"/>
            <w:noWrap w:val="0"/>
            <w:vAlign w:val="center"/>
          </w:tcPr>
          <w:p w14:paraId="67503A63">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color w:val="auto"/>
              </w:rPr>
              <w:t>火灾</w:t>
            </w:r>
            <w:r>
              <w:rPr>
                <w:rFonts w:hint="eastAsia"/>
                <w:color w:val="auto"/>
                <w:lang w:eastAsia="zh-CN"/>
              </w:rPr>
              <w:t>、</w:t>
            </w:r>
            <w:r>
              <w:rPr>
                <w:rFonts w:hint="eastAsia"/>
                <w:color w:val="auto"/>
                <w:lang w:val="en-US" w:eastAsia="zh-CN"/>
              </w:rPr>
              <w:t>爆炸</w:t>
            </w:r>
          </w:p>
        </w:tc>
        <w:tc>
          <w:tcPr>
            <w:tcW w:w="584" w:type="dxa"/>
            <w:shd w:val="clear" w:color="auto" w:fill="auto"/>
            <w:noWrap w:val="0"/>
            <w:vAlign w:val="center"/>
          </w:tcPr>
          <w:p w14:paraId="1A13366D">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0.5</w:t>
            </w:r>
          </w:p>
        </w:tc>
        <w:tc>
          <w:tcPr>
            <w:tcW w:w="527" w:type="dxa"/>
            <w:shd w:val="clear" w:color="auto" w:fill="auto"/>
            <w:noWrap w:val="0"/>
            <w:vAlign w:val="center"/>
          </w:tcPr>
          <w:p w14:paraId="7E79C21A">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3</w:t>
            </w:r>
          </w:p>
        </w:tc>
        <w:tc>
          <w:tcPr>
            <w:tcW w:w="618" w:type="dxa"/>
            <w:shd w:val="clear" w:color="auto" w:fill="auto"/>
            <w:noWrap w:val="0"/>
            <w:vAlign w:val="center"/>
          </w:tcPr>
          <w:p w14:paraId="64B1E64B">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7</w:t>
            </w:r>
          </w:p>
        </w:tc>
        <w:tc>
          <w:tcPr>
            <w:tcW w:w="832" w:type="dxa"/>
            <w:shd w:val="clear" w:color="auto" w:fill="auto"/>
            <w:noWrap w:val="0"/>
            <w:vAlign w:val="center"/>
          </w:tcPr>
          <w:p w14:paraId="4EC33C9F">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10.5</w:t>
            </w:r>
          </w:p>
        </w:tc>
        <w:tc>
          <w:tcPr>
            <w:tcW w:w="1276" w:type="dxa"/>
            <w:shd w:val="clear" w:color="auto" w:fill="auto"/>
            <w:noWrap w:val="0"/>
            <w:vAlign w:val="center"/>
          </w:tcPr>
          <w:p w14:paraId="12B29112">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稍有危险</w:t>
            </w:r>
          </w:p>
        </w:tc>
      </w:tr>
      <w:tr w14:paraId="74B67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exact"/>
        </w:trPr>
        <w:tc>
          <w:tcPr>
            <w:tcW w:w="731" w:type="dxa"/>
            <w:vMerge w:val="continue"/>
            <w:noWrap w:val="0"/>
            <w:vAlign w:val="center"/>
          </w:tcPr>
          <w:p w14:paraId="5D525DEC">
            <w:pPr>
              <w:pStyle w:val="43"/>
              <w:bidi w:val="0"/>
              <w:rPr>
                <w:color w:val="auto"/>
              </w:rPr>
            </w:pPr>
          </w:p>
        </w:tc>
        <w:tc>
          <w:tcPr>
            <w:tcW w:w="1191" w:type="dxa"/>
            <w:vMerge w:val="continue"/>
            <w:noWrap w:val="0"/>
            <w:vAlign w:val="center"/>
          </w:tcPr>
          <w:p w14:paraId="573163DA">
            <w:pPr>
              <w:pStyle w:val="43"/>
              <w:bidi w:val="0"/>
              <w:rPr>
                <w:color w:val="auto"/>
              </w:rPr>
            </w:pPr>
          </w:p>
        </w:tc>
        <w:tc>
          <w:tcPr>
            <w:tcW w:w="1065" w:type="dxa"/>
            <w:vMerge w:val="continue"/>
            <w:noWrap w:val="0"/>
            <w:vAlign w:val="center"/>
          </w:tcPr>
          <w:p w14:paraId="77952AA5">
            <w:pPr>
              <w:pStyle w:val="43"/>
              <w:bidi w:val="0"/>
              <w:rPr>
                <w:rFonts w:hint="eastAsia"/>
                <w:color w:val="auto"/>
              </w:rPr>
            </w:pPr>
          </w:p>
        </w:tc>
        <w:tc>
          <w:tcPr>
            <w:tcW w:w="2514" w:type="dxa"/>
            <w:shd w:val="clear" w:color="auto" w:fill="auto"/>
            <w:noWrap w:val="0"/>
            <w:vAlign w:val="center"/>
          </w:tcPr>
          <w:p w14:paraId="0DE443EB">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触电</w:t>
            </w:r>
          </w:p>
        </w:tc>
        <w:tc>
          <w:tcPr>
            <w:tcW w:w="584" w:type="dxa"/>
            <w:shd w:val="clear" w:color="auto" w:fill="auto"/>
            <w:noWrap w:val="0"/>
            <w:vAlign w:val="center"/>
          </w:tcPr>
          <w:p w14:paraId="05879F5D">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0.5</w:t>
            </w:r>
          </w:p>
        </w:tc>
        <w:tc>
          <w:tcPr>
            <w:tcW w:w="527" w:type="dxa"/>
            <w:shd w:val="clear" w:color="auto" w:fill="auto"/>
            <w:noWrap w:val="0"/>
            <w:vAlign w:val="center"/>
          </w:tcPr>
          <w:p w14:paraId="502A203C">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3</w:t>
            </w:r>
          </w:p>
        </w:tc>
        <w:tc>
          <w:tcPr>
            <w:tcW w:w="618" w:type="dxa"/>
            <w:shd w:val="clear" w:color="auto" w:fill="auto"/>
            <w:noWrap w:val="0"/>
            <w:vAlign w:val="center"/>
          </w:tcPr>
          <w:p w14:paraId="72001993">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15</w:t>
            </w:r>
          </w:p>
        </w:tc>
        <w:tc>
          <w:tcPr>
            <w:tcW w:w="832" w:type="dxa"/>
            <w:shd w:val="clear" w:color="auto" w:fill="auto"/>
            <w:noWrap w:val="0"/>
            <w:vAlign w:val="center"/>
          </w:tcPr>
          <w:p w14:paraId="02CDF547">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22.5</w:t>
            </w:r>
          </w:p>
        </w:tc>
        <w:tc>
          <w:tcPr>
            <w:tcW w:w="1276" w:type="dxa"/>
            <w:shd w:val="clear" w:color="auto" w:fill="auto"/>
            <w:noWrap w:val="0"/>
            <w:vAlign w:val="center"/>
          </w:tcPr>
          <w:p w14:paraId="79BEE3C9">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一般危险</w:t>
            </w:r>
          </w:p>
        </w:tc>
      </w:tr>
      <w:tr w14:paraId="46692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exact"/>
        </w:trPr>
        <w:tc>
          <w:tcPr>
            <w:tcW w:w="731" w:type="dxa"/>
            <w:vMerge w:val="restart"/>
            <w:noWrap w:val="0"/>
            <w:vAlign w:val="center"/>
          </w:tcPr>
          <w:p w14:paraId="1B4E0D6A">
            <w:pPr>
              <w:pStyle w:val="43"/>
              <w:bidi w:val="0"/>
              <w:rPr>
                <w:rFonts w:hint="eastAsia" w:eastAsia="宋体"/>
                <w:color w:val="auto"/>
                <w:lang w:val="en-US" w:eastAsia="zh-CN"/>
              </w:rPr>
            </w:pPr>
            <w:r>
              <w:rPr>
                <w:rFonts w:hint="eastAsia"/>
                <w:color w:val="auto"/>
                <w:lang w:val="en-US" w:eastAsia="zh-CN"/>
              </w:rPr>
              <w:t>4</w:t>
            </w:r>
          </w:p>
        </w:tc>
        <w:tc>
          <w:tcPr>
            <w:tcW w:w="1191" w:type="dxa"/>
            <w:vMerge w:val="restart"/>
            <w:noWrap w:val="0"/>
            <w:vAlign w:val="center"/>
          </w:tcPr>
          <w:p w14:paraId="1F5D3F30">
            <w:pPr>
              <w:pStyle w:val="43"/>
              <w:bidi w:val="0"/>
              <w:rPr>
                <w:rFonts w:hint="default" w:eastAsia="宋体"/>
                <w:color w:val="auto"/>
                <w:lang w:val="en-US" w:eastAsia="zh-CN"/>
              </w:rPr>
            </w:pPr>
            <w:r>
              <w:rPr>
                <w:rFonts w:hint="eastAsia"/>
                <w:color w:val="auto"/>
                <w:lang w:val="en-US" w:eastAsia="zh-CN"/>
              </w:rPr>
              <w:t>配套服务单元</w:t>
            </w:r>
          </w:p>
        </w:tc>
        <w:tc>
          <w:tcPr>
            <w:tcW w:w="1065" w:type="dxa"/>
            <w:vMerge w:val="restart"/>
            <w:noWrap w:val="0"/>
            <w:vAlign w:val="center"/>
          </w:tcPr>
          <w:p w14:paraId="5464F7C9">
            <w:pPr>
              <w:pStyle w:val="43"/>
              <w:bidi w:val="0"/>
              <w:rPr>
                <w:rFonts w:hint="eastAsia" w:eastAsia="宋体"/>
                <w:color w:val="auto"/>
                <w:lang w:val="en-US" w:eastAsia="zh-CN"/>
              </w:rPr>
            </w:pPr>
            <w:r>
              <w:rPr>
                <w:rFonts w:hint="eastAsia"/>
                <w:color w:val="auto"/>
                <w:lang w:val="en-US" w:eastAsia="zh-CN"/>
              </w:rPr>
              <w:t>餐饮</w:t>
            </w:r>
          </w:p>
        </w:tc>
        <w:tc>
          <w:tcPr>
            <w:tcW w:w="2514" w:type="dxa"/>
            <w:shd w:val="clear" w:color="auto" w:fill="auto"/>
            <w:noWrap w:val="0"/>
            <w:vAlign w:val="center"/>
          </w:tcPr>
          <w:p w14:paraId="4861BC7B">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color w:val="auto"/>
              </w:rPr>
              <w:t>火灾</w:t>
            </w:r>
          </w:p>
        </w:tc>
        <w:tc>
          <w:tcPr>
            <w:tcW w:w="584" w:type="dxa"/>
            <w:shd w:val="clear" w:color="auto" w:fill="auto"/>
            <w:noWrap w:val="0"/>
            <w:vAlign w:val="center"/>
          </w:tcPr>
          <w:p w14:paraId="719D0182">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0.5</w:t>
            </w:r>
          </w:p>
        </w:tc>
        <w:tc>
          <w:tcPr>
            <w:tcW w:w="527" w:type="dxa"/>
            <w:shd w:val="clear" w:color="auto" w:fill="auto"/>
            <w:noWrap w:val="0"/>
            <w:vAlign w:val="center"/>
          </w:tcPr>
          <w:p w14:paraId="0A382A47">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3</w:t>
            </w:r>
          </w:p>
        </w:tc>
        <w:tc>
          <w:tcPr>
            <w:tcW w:w="618" w:type="dxa"/>
            <w:shd w:val="clear" w:color="auto" w:fill="auto"/>
            <w:noWrap w:val="0"/>
            <w:vAlign w:val="center"/>
          </w:tcPr>
          <w:p w14:paraId="72C9B5DE">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7</w:t>
            </w:r>
          </w:p>
        </w:tc>
        <w:tc>
          <w:tcPr>
            <w:tcW w:w="832" w:type="dxa"/>
            <w:shd w:val="clear" w:color="auto" w:fill="auto"/>
            <w:noWrap w:val="0"/>
            <w:vAlign w:val="center"/>
          </w:tcPr>
          <w:p w14:paraId="212E9136">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10.5</w:t>
            </w:r>
          </w:p>
        </w:tc>
        <w:tc>
          <w:tcPr>
            <w:tcW w:w="1276" w:type="dxa"/>
            <w:shd w:val="clear" w:color="auto" w:fill="auto"/>
            <w:noWrap w:val="0"/>
            <w:vAlign w:val="center"/>
          </w:tcPr>
          <w:p w14:paraId="55C4F2F1">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稍有危险</w:t>
            </w:r>
          </w:p>
        </w:tc>
      </w:tr>
      <w:tr w14:paraId="20318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exact"/>
        </w:trPr>
        <w:tc>
          <w:tcPr>
            <w:tcW w:w="731" w:type="dxa"/>
            <w:vMerge w:val="continue"/>
            <w:noWrap w:val="0"/>
            <w:vAlign w:val="center"/>
          </w:tcPr>
          <w:p w14:paraId="03927260">
            <w:pPr>
              <w:pStyle w:val="43"/>
              <w:bidi w:val="0"/>
              <w:rPr>
                <w:rFonts w:hint="eastAsia"/>
                <w:color w:val="auto"/>
                <w:lang w:val="en-US" w:eastAsia="zh-CN"/>
              </w:rPr>
            </w:pPr>
          </w:p>
        </w:tc>
        <w:tc>
          <w:tcPr>
            <w:tcW w:w="1191" w:type="dxa"/>
            <w:vMerge w:val="continue"/>
            <w:noWrap w:val="0"/>
            <w:vAlign w:val="center"/>
          </w:tcPr>
          <w:p w14:paraId="5A5302D4">
            <w:pPr>
              <w:pStyle w:val="43"/>
              <w:bidi w:val="0"/>
              <w:rPr>
                <w:rFonts w:hint="eastAsia"/>
                <w:color w:val="auto"/>
                <w:lang w:val="en-US" w:eastAsia="zh-CN"/>
              </w:rPr>
            </w:pPr>
          </w:p>
        </w:tc>
        <w:tc>
          <w:tcPr>
            <w:tcW w:w="1065" w:type="dxa"/>
            <w:vMerge w:val="continue"/>
            <w:noWrap w:val="0"/>
            <w:vAlign w:val="center"/>
          </w:tcPr>
          <w:p w14:paraId="71C13C23">
            <w:pPr>
              <w:pStyle w:val="43"/>
              <w:bidi w:val="0"/>
              <w:rPr>
                <w:rFonts w:hint="eastAsia"/>
                <w:color w:val="auto"/>
              </w:rPr>
            </w:pPr>
          </w:p>
        </w:tc>
        <w:tc>
          <w:tcPr>
            <w:tcW w:w="2514" w:type="dxa"/>
            <w:shd w:val="clear" w:color="auto" w:fill="auto"/>
            <w:noWrap w:val="0"/>
            <w:vAlign w:val="center"/>
          </w:tcPr>
          <w:p w14:paraId="0645B80E">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触电</w:t>
            </w:r>
          </w:p>
        </w:tc>
        <w:tc>
          <w:tcPr>
            <w:tcW w:w="584" w:type="dxa"/>
            <w:shd w:val="clear" w:color="auto" w:fill="auto"/>
            <w:noWrap w:val="0"/>
            <w:vAlign w:val="center"/>
          </w:tcPr>
          <w:p w14:paraId="0E7733D0">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0.5</w:t>
            </w:r>
          </w:p>
        </w:tc>
        <w:tc>
          <w:tcPr>
            <w:tcW w:w="527" w:type="dxa"/>
            <w:shd w:val="clear" w:color="auto" w:fill="auto"/>
            <w:noWrap w:val="0"/>
            <w:vAlign w:val="center"/>
          </w:tcPr>
          <w:p w14:paraId="5BCFFA31">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3</w:t>
            </w:r>
          </w:p>
        </w:tc>
        <w:tc>
          <w:tcPr>
            <w:tcW w:w="618" w:type="dxa"/>
            <w:shd w:val="clear" w:color="auto" w:fill="auto"/>
            <w:noWrap w:val="0"/>
            <w:vAlign w:val="center"/>
          </w:tcPr>
          <w:p w14:paraId="6104D9C7">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color w:val="auto"/>
              </w:rPr>
              <w:t>15</w:t>
            </w:r>
          </w:p>
        </w:tc>
        <w:tc>
          <w:tcPr>
            <w:tcW w:w="832" w:type="dxa"/>
            <w:shd w:val="clear" w:color="auto" w:fill="auto"/>
            <w:noWrap w:val="0"/>
            <w:vAlign w:val="center"/>
          </w:tcPr>
          <w:p w14:paraId="181CCA39">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22.5</w:t>
            </w:r>
          </w:p>
        </w:tc>
        <w:tc>
          <w:tcPr>
            <w:tcW w:w="1276" w:type="dxa"/>
            <w:shd w:val="clear" w:color="auto" w:fill="auto"/>
            <w:noWrap w:val="0"/>
            <w:vAlign w:val="center"/>
          </w:tcPr>
          <w:p w14:paraId="60AA817D">
            <w:pPr>
              <w:pStyle w:val="43"/>
              <w:bidi w:val="0"/>
              <w:ind w:firstLine="0" w:firstLineChars="0"/>
              <w:rPr>
                <w:rFonts w:ascii="Times New Roman" w:hAnsi="Times New Roman" w:eastAsia="宋体" w:cs="Times New Roman"/>
                <w:color w:val="auto"/>
                <w:kern w:val="18"/>
                <w:sz w:val="21"/>
                <w:szCs w:val="21"/>
                <w:lang w:val="en-US" w:eastAsia="zh-CN" w:bidi="ar-SA"/>
              </w:rPr>
            </w:pPr>
            <w:r>
              <w:rPr>
                <w:color w:val="auto"/>
              </w:rPr>
              <w:t>一般危险</w:t>
            </w:r>
          </w:p>
        </w:tc>
      </w:tr>
      <w:tr w14:paraId="0CB17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exact"/>
        </w:trPr>
        <w:tc>
          <w:tcPr>
            <w:tcW w:w="731" w:type="dxa"/>
            <w:vMerge w:val="continue"/>
            <w:noWrap w:val="0"/>
            <w:vAlign w:val="center"/>
          </w:tcPr>
          <w:p w14:paraId="11197C5C">
            <w:pPr>
              <w:pStyle w:val="43"/>
              <w:bidi w:val="0"/>
              <w:rPr>
                <w:rFonts w:hint="eastAsia"/>
                <w:color w:val="auto"/>
                <w:lang w:val="en-US" w:eastAsia="zh-CN"/>
              </w:rPr>
            </w:pPr>
          </w:p>
        </w:tc>
        <w:tc>
          <w:tcPr>
            <w:tcW w:w="1191" w:type="dxa"/>
            <w:vMerge w:val="continue"/>
            <w:noWrap w:val="0"/>
            <w:vAlign w:val="center"/>
          </w:tcPr>
          <w:p w14:paraId="4A698772">
            <w:pPr>
              <w:pStyle w:val="43"/>
              <w:bidi w:val="0"/>
              <w:rPr>
                <w:rFonts w:hint="eastAsia"/>
                <w:color w:val="auto"/>
                <w:lang w:val="en-US" w:eastAsia="zh-CN"/>
              </w:rPr>
            </w:pPr>
          </w:p>
        </w:tc>
        <w:tc>
          <w:tcPr>
            <w:tcW w:w="1065" w:type="dxa"/>
            <w:vMerge w:val="continue"/>
            <w:noWrap w:val="0"/>
            <w:vAlign w:val="center"/>
          </w:tcPr>
          <w:p w14:paraId="7C66C36C">
            <w:pPr>
              <w:pStyle w:val="43"/>
              <w:bidi w:val="0"/>
              <w:rPr>
                <w:rFonts w:hint="eastAsia"/>
                <w:color w:val="auto"/>
              </w:rPr>
            </w:pPr>
          </w:p>
        </w:tc>
        <w:tc>
          <w:tcPr>
            <w:tcW w:w="2514" w:type="dxa"/>
            <w:shd w:val="clear" w:color="auto" w:fill="auto"/>
            <w:noWrap w:val="0"/>
            <w:vAlign w:val="center"/>
          </w:tcPr>
          <w:p w14:paraId="419D0F86">
            <w:pPr>
              <w:pStyle w:val="43"/>
              <w:bidi w:val="0"/>
              <w:ind w:firstLine="0" w:firstLineChars="0"/>
              <w:rPr>
                <w:rFonts w:hint="default" w:eastAsia="宋体"/>
                <w:color w:val="auto"/>
                <w:lang w:val="en-US" w:eastAsia="zh-CN"/>
              </w:rPr>
            </w:pPr>
            <w:r>
              <w:rPr>
                <w:rFonts w:hint="eastAsia"/>
                <w:color w:val="auto"/>
                <w:lang w:val="en-US" w:eastAsia="zh-CN"/>
              </w:rPr>
              <w:t>机械伤害</w:t>
            </w:r>
          </w:p>
        </w:tc>
        <w:tc>
          <w:tcPr>
            <w:tcW w:w="584" w:type="dxa"/>
            <w:shd w:val="clear" w:color="auto" w:fill="auto"/>
            <w:noWrap w:val="0"/>
            <w:vAlign w:val="center"/>
          </w:tcPr>
          <w:p w14:paraId="7D5D5DED">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0.5</w:t>
            </w:r>
          </w:p>
        </w:tc>
        <w:tc>
          <w:tcPr>
            <w:tcW w:w="527" w:type="dxa"/>
            <w:shd w:val="clear" w:color="auto" w:fill="auto"/>
            <w:noWrap w:val="0"/>
            <w:vAlign w:val="center"/>
          </w:tcPr>
          <w:p w14:paraId="57F26C66">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3</w:t>
            </w:r>
          </w:p>
        </w:tc>
        <w:tc>
          <w:tcPr>
            <w:tcW w:w="618" w:type="dxa"/>
            <w:shd w:val="clear" w:color="auto" w:fill="auto"/>
            <w:noWrap w:val="0"/>
            <w:vAlign w:val="center"/>
          </w:tcPr>
          <w:p w14:paraId="41A4D6B5">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7</w:t>
            </w:r>
          </w:p>
        </w:tc>
        <w:tc>
          <w:tcPr>
            <w:tcW w:w="832" w:type="dxa"/>
            <w:shd w:val="clear" w:color="auto" w:fill="auto"/>
            <w:noWrap w:val="0"/>
            <w:vAlign w:val="center"/>
          </w:tcPr>
          <w:p w14:paraId="43EAA3EC">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10.5</w:t>
            </w:r>
          </w:p>
        </w:tc>
        <w:tc>
          <w:tcPr>
            <w:tcW w:w="1276" w:type="dxa"/>
            <w:shd w:val="clear" w:color="auto" w:fill="auto"/>
            <w:noWrap w:val="0"/>
            <w:vAlign w:val="center"/>
          </w:tcPr>
          <w:p w14:paraId="56A4D43E">
            <w:pPr>
              <w:pStyle w:val="43"/>
              <w:bidi w:val="0"/>
              <w:ind w:firstLine="0" w:firstLineChars="0"/>
              <w:rPr>
                <w:rFonts w:ascii="Times New Roman" w:hAnsi="Times New Roman" w:eastAsia="宋体" w:cs="Times New Roman"/>
                <w:color w:val="auto"/>
                <w:kern w:val="18"/>
                <w:sz w:val="21"/>
                <w:szCs w:val="21"/>
                <w:lang w:val="en-US" w:eastAsia="zh-CN" w:bidi="ar-SA"/>
              </w:rPr>
            </w:pPr>
            <w:r>
              <w:rPr>
                <w:rFonts w:hint="eastAsia"/>
                <w:color w:val="auto"/>
              </w:rPr>
              <w:t>稍有危险</w:t>
            </w:r>
          </w:p>
        </w:tc>
      </w:tr>
    </w:tbl>
    <w:p w14:paraId="7E418585">
      <w:pPr>
        <w:spacing w:line="600" w:lineRule="exact"/>
        <w:ind w:firstLine="544" w:firstLineChars="200"/>
        <w:rPr>
          <w:bCs/>
          <w:color w:val="auto"/>
          <w:spacing w:val="-4"/>
          <w:sz w:val="28"/>
          <w:szCs w:val="28"/>
        </w:rPr>
      </w:pPr>
      <w:r>
        <w:rPr>
          <w:rFonts w:hAnsi="宋体"/>
          <w:bCs/>
          <w:color w:val="auto"/>
          <w:spacing w:val="-4"/>
          <w:sz w:val="28"/>
          <w:szCs w:val="28"/>
        </w:rPr>
        <w:t>由表</w:t>
      </w:r>
      <w:r>
        <w:rPr>
          <w:bCs/>
          <w:color w:val="auto"/>
          <w:spacing w:val="-4"/>
          <w:sz w:val="28"/>
          <w:szCs w:val="28"/>
        </w:rPr>
        <w:t>5</w:t>
      </w:r>
      <w:r>
        <w:rPr>
          <w:rFonts w:hint="eastAsia"/>
          <w:bCs/>
          <w:color w:val="auto"/>
          <w:spacing w:val="-4"/>
          <w:sz w:val="28"/>
          <w:szCs w:val="28"/>
          <w:lang w:val="en-US" w:eastAsia="zh-CN"/>
        </w:rPr>
        <w:t>.2-1</w:t>
      </w:r>
      <w:r>
        <w:rPr>
          <w:rFonts w:hAnsi="宋体"/>
          <w:bCs/>
          <w:color w:val="auto"/>
          <w:spacing w:val="-4"/>
          <w:sz w:val="28"/>
          <w:szCs w:val="28"/>
        </w:rPr>
        <w:t>的评价结果可以看出，该项目的作业条件相对比较安全。在选定的评价单元中的作业均在</w:t>
      </w:r>
      <w:r>
        <w:rPr>
          <w:rFonts w:hint="eastAsia" w:hAnsi="宋体"/>
          <w:bCs/>
          <w:color w:val="auto"/>
          <w:spacing w:val="-4"/>
          <w:sz w:val="28"/>
          <w:szCs w:val="28"/>
        </w:rPr>
        <w:t>“</w:t>
      </w:r>
      <w:r>
        <w:rPr>
          <w:rFonts w:hAnsi="宋体"/>
          <w:color w:val="auto"/>
          <w:spacing w:val="-4"/>
          <w:sz w:val="28"/>
          <w:szCs w:val="28"/>
        </w:rPr>
        <w:t>一般危险</w:t>
      </w:r>
      <w:r>
        <w:rPr>
          <w:rFonts w:hint="eastAsia" w:hAnsi="宋体"/>
          <w:color w:val="auto"/>
          <w:spacing w:val="-4"/>
          <w:sz w:val="28"/>
          <w:szCs w:val="28"/>
        </w:rPr>
        <w:t>”“稍有危险</w:t>
      </w:r>
      <w:r>
        <w:rPr>
          <w:rFonts w:hint="eastAsia" w:hAnsi="宋体"/>
          <w:bCs/>
          <w:color w:val="auto"/>
          <w:spacing w:val="-4"/>
          <w:sz w:val="28"/>
          <w:szCs w:val="28"/>
        </w:rPr>
        <w:t>”</w:t>
      </w:r>
      <w:r>
        <w:rPr>
          <w:rFonts w:hAnsi="宋体"/>
          <w:bCs/>
          <w:color w:val="auto"/>
          <w:spacing w:val="-4"/>
          <w:sz w:val="28"/>
          <w:szCs w:val="28"/>
        </w:rPr>
        <w:t>范围，作业条件相对安全。</w:t>
      </w:r>
    </w:p>
    <w:p w14:paraId="5426E5AB">
      <w:pPr>
        <w:spacing w:line="600" w:lineRule="exact"/>
        <w:ind w:firstLine="560" w:firstLineChars="200"/>
        <w:rPr>
          <w:bCs/>
          <w:color w:val="auto"/>
          <w:sz w:val="28"/>
          <w:szCs w:val="21"/>
        </w:rPr>
      </w:pPr>
      <w:r>
        <w:rPr>
          <w:bCs/>
          <w:color w:val="auto"/>
          <w:sz w:val="28"/>
          <w:szCs w:val="21"/>
        </w:rPr>
        <w:t>项目的安全经营运行首先应注重日常安全管理，建立健全完善的安全生产责任制、安全管理制度、安全操作规程、技术操作规程并确保其贯彻落实；要认真抓好操作及管理人员的安全知识和操作技能的培训，确保人员具有与</w:t>
      </w:r>
      <w:r>
        <w:rPr>
          <w:rFonts w:hint="eastAsia"/>
          <w:bCs/>
          <w:color w:val="auto"/>
          <w:sz w:val="28"/>
          <w:szCs w:val="21"/>
          <w:lang w:val="en-US" w:eastAsia="zh-CN"/>
        </w:rPr>
        <w:t>建设</w:t>
      </w:r>
      <w:r>
        <w:rPr>
          <w:bCs/>
          <w:color w:val="auto"/>
          <w:sz w:val="28"/>
          <w:szCs w:val="21"/>
        </w:rPr>
        <w:t>项目所需知识水平相适应的技术素质和安全素质，保证</w:t>
      </w:r>
      <w:r>
        <w:rPr>
          <w:rFonts w:hint="eastAsia"/>
          <w:bCs/>
          <w:color w:val="auto"/>
          <w:sz w:val="28"/>
          <w:szCs w:val="21"/>
          <w:lang w:val="en-US" w:eastAsia="zh-CN"/>
        </w:rPr>
        <w:t>各项</w:t>
      </w:r>
      <w:r>
        <w:rPr>
          <w:bCs/>
          <w:color w:val="auto"/>
          <w:sz w:val="28"/>
          <w:szCs w:val="21"/>
        </w:rPr>
        <w:t>安全作业。</w:t>
      </w:r>
    </w:p>
    <w:p w14:paraId="16F2378E">
      <w:pPr>
        <w:pStyle w:val="41"/>
        <w:rPr>
          <w:color w:val="auto"/>
        </w:rPr>
      </w:pPr>
      <w:r>
        <w:rPr>
          <w:b w:val="0"/>
          <w:bCs/>
          <w:color w:val="auto"/>
          <w:kern w:val="2"/>
          <w:szCs w:val="21"/>
        </w:rPr>
        <w:br w:type="page"/>
      </w:r>
    </w:p>
    <w:bookmarkEnd w:id="84"/>
    <w:bookmarkEnd w:id="85"/>
    <w:p w14:paraId="609DD458">
      <w:pPr>
        <w:pStyle w:val="4"/>
        <w:bidi w:val="0"/>
        <w:rPr>
          <w:rStyle w:val="47"/>
          <w:rFonts w:hint="default" w:eastAsia="宋体"/>
          <w:b/>
          <w:bCs/>
          <w:color w:val="auto"/>
          <w:sz w:val="32"/>
          <w:szCs w:val="32"/>
          <w:lang w:val="en-US" w:eastAsia="zh-CN"/>
        </w:rPr>
      </w:pPr>
      <w:bookmarkStart w:id="107" w:name="_Toc5815"/>
      <w:r>
        <w:rPr>
          <w:rStyle w:val="47"/>
          <w:rFonts w:hint="eastAsia"/>
          <w:b/>
          <w:bCs/>
          <w:color w:val="auto"/>
          <w:sz w:val="32"/>
          <w:szCs w:val="32"/>
          <w:lang w:val="en-US" w:eastAsia="zh-CN"/>
        </w:rPr>
        <w:t>6建设项目设施和条件符合性评价</w:t>
      </w:r>
      <w:bookmarkEnd w:id="107"/>
    </w:p>
    <w:p w14:paraId="19EE3570">
      <w:pPr>
        <w:pStyle w:val="5"/>
        <w:bidi w:val="0"/>
        <w:rPr>
          <w:rFonts w:hint="default"/>
          <w:color w:val="auto"/>
          <w:lang w:val="en-US" w:eastAsia="zh-CN"/>
        </w:rPr>
      </w:pPr>
      <w:bookmarkStart w:id="108" w:name="_Toc1764"/>
      <w:bookmarkStart w:id="109" w:name="_Toc350517387"/>
      <w:r>
        <w:rPr>
          <w:rFonts w:hint="eastAsia"/>
          <w:color w:val="auto"/>
          <w:lang w:val="en-US" w:eastAsia="zh-CN"/>
        </w:rPr>
        <w:t>6.1选址及总平面布置评价单元</w:t>
      </w:r>
      <w:bookmarkEnd w:id="108"/>
    </w:p>
    <w:p w14:paraId="6672B92A">
      <w:pPr>
        <w:ind w:firstLine="552" w:firstLineChars="200"/>
        <w:rPr>
          <w:rFonts w:hint="eastAsia"/>
          <w:color w:val="auto"/>
          <w:spacing w:val="-2"/>
          <w:sz w:val="28"/>
          <w:szCs w:val="28"/>
          <w:lang w:val="en-US" w:eastAsia="zh-CN"/>
        </w:rPr>
      </w:pPr>
      <w:r>
        <w:rPr>
          <w:rFonts w:hint="eastAsia"/>
          <w:color w:val="auto"/>
          <w:spacing w:val="-2"/>
          <w:sz w:val="28"/>
          <w:szCs w:val="28"/>
          <w:lang w:val="en-US" w:eastAsia="zh-CN"/>
        </w:rPr>
        <w:t>该项目为改扩建项目，未改变服务区选址，因此，本次评价只针对项目与周边环境的安全间距的合规性作出评价。</w:t>
      </w:r>
    </w:p>
    <w:p w14:paraId="41AB589E">
      <w:pPr>
        <w:ind w:firstLine="552" w:firstLineChars="200"/>
        <w:rPr>
          <w:rFonts w:hint="eastAsia"/>
          <w:color w:val="auto"/>
          <w:spacing w:val="-2"/>
          <w:sz w:val="28"/>
          <w:szCs w:val="28"/>
          <w:lang w:val="en-US" w:eastAsia="zh-CN"/>
        </w:rPr>
      </w:pPr>
      <w:r>
        <w:rPr>
          <w:rFonts w:hint="eastAsia"/>
          <w:color w:val="auto"/>
          <w:spacing w:val="-2"/>
          <w:sz w:val="28"/>
          <w:szCs w:val="28"/>
          <w:lang w:val="en-US" w:eastAsia="zh-CN"/>
        </w:rPr>
        <w:t>项目建设地址位于</w:t>
      </w:r>
      <w:r>
        <w:rPr>
          <w:rFonts w:hint="eastAsia"/>
          <w:color w:val="auto"/>
          <w:sz w:val="28"/>
          <w:szCs w:val="28"/>
          <w:lang w:val="en-US" w:eastAsia="zh-CN"/>
        </w:rPr>
        <w:t>修水县太阳升镇大广高速服务区</w:t>
      </w:r>
      <w:r>
        <w:rPr>
          <w:rFonts w:hint="eastAsia"/>
          <w:color w:val="auto"/>
          <w:spacing w:val="-2"/>
          <w:sz w:val="28"/>
          <w:szCs w:val="28"/>
        </w:rPr>
        <w:t>，</w:t>
      </w:r>
      <w:r>
        <w:rPr>
          <w:rFonts w:hint="eastAsia"/>
          <w:color w:val="auto"/>
          <w:spacing w:val="-2"/>
          <w:sz w:val="28"/>
          <w:szCs w:val="28"/>
          <w:lang w:val="en-US" w:eastAsia="zh-CN"/>
        </w:rPr>
        <w:t>服务区紧邻大广高速两侧，服务区出、入口均由匝道连接大广高速公路</w:t>
      </w:r>
      <w:r>
        <w:rPr>
          <w:rFonts w:hint="eastAsia"/>
          <w:color w:val="auto"/>
          <w:spacing w:val="-2"/>
          <w:sz w:val="28"/>
          <w:szCs w:val="28"/>
        </w:rPr>
        <w:t>。</w:t>
      </w:r>
      <w:r>
        <w:rPr>
          <w:rFonts w:hint="eastAsia"/>
          <w:color w:val="auto"/>
          <w:spacing w:val="-2"/>
          <w:sz w:val="28"/>
          <w:szCs w:val="28"/>
          <w:lang w:val="en-US" w:eastAsia="zh-CN"/>
        </w:rPr>
        <w:t>除面向高速其余三侧均为山地。</w:t>
      </w:r>
    </w:p>
    <w:p w14:paraId="5D601505">
      <w:pPr>
        <w:ind w:firstLine="552" w:firstLineChars="200"/>
        <w:rPr>
          <w:rFonts w:hint="default"/>
          <w:color w:val="auto"/>
          <w:spacing w:val="-2"/>
          <w:sz w:val="28"/>
          <w:szCs w:val="28"/>
          <w:lang w:val="en-US" w:eastAsia="zh-CN"/>
        </w:rPr>
      </w:pPr>
      <w:r>
        <w:rPr>
          <w:rFonts w:hint="eastAsia"/>
          <w:color w:val="auto"/>
          <w:spacing w:val="-2"/>
          <w:sz w:val="28"/>
          <w:szCs w:val="28"/>
          <w:lang w:val="en-US" w:eastAsia="zh-CN"/>
        </w:rPr>
        <w:t>由上可知，该项目与周边环境的安全间距符合要求。</w:t>
      </w:r>
    </w:p>
    <w:p w14:paraId="0C6B3F0E">
      <w:pPr>
        <w:ind w:firstLine="560" w:firstLineChars="200"/>
        <w:rPr>
          <w:rFonts w:hint="eastAsia"/>
          <w:color w:val="auto"/>
          <w:sz w:val="28"/>
          <w:szCs w:val="28"/>
          <w:lang w:val="en-US" w:eastAsia="zh-CN"/>
        </w:rPr>
      </w:pPr>
      <w:r>
        <w:rPr>
          <w:rFonts w:hint="eastAsia"/>
          <w:color w:val="auto"/>
          <w:sz w:val="28"/>
          <w:szCs w:val="28"/>
          <w:lang w:val="en-US" w:eastAsia="zh-CN"/>
        </w:rPr>
        <w:t>根据《高速公路服务区设计规范》DB36T698-2017相关规定，选址及总平面布置单元安全检查如下表：</w:t>
      </w:r>
    </w:p>
    <w:p w14:paraId="36038D39">
      <w:pPr>
        <w:pStyle w:val="48"/>
        <w:bidi w:val="0"/>
        <w:rPr>
          <w:rFonts w:hint="default"/>
          <w:color w:val="auto"/>
          <w:lang w:val="en-US" w:eastAsia="zh-CN"/>
        </w:rPr>
      </w:pPr>
      <w:r>
        <w:rPr>
          <w:rFonts w:hint="eastAsia"/>
          <w:color w:val="auto"/>
          <w:lang w:val="en-US" w:eastAsia="zh-CN"/>
        </w:rPr>
        <w:t>表6.1-1总平面布置单元检查表</w:t>
      </w:r>
    </w:p>
    <w:tbl>
      <w:tblPr>
        <w:tblStyle w:val="33"/>
        <w:tblW w:w="929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69"/>
        <w:gridCol w:w="4661"/>
        <w:gridCol w:w="1825"/>
        <w:gridCol w:w="1591"/>
        <w:gridCol w:w="650"/>
      </w:tblGrid>
      <w:tr w14:paraId="756A50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9" w:type="dxa"/>
            <w:noWrap w:val="0"/>
            <w:vAlign w:val="center"/>
          </w:tcPr>
          <w:p w14:paraId="42D06F8C">
            <w:pPr>
              <w:pStyle w:val="43"/>
              <w:bidi w:val="0"/>
              <w:rPr>
                <w:rFonts w:hint="eastAsia"/>
                <w:b/>
                <w:bCs/>
                <w:color w:val="auto"/>
              </w:rPr>
            </w:pPr>
            <w:r>
              <w:rPr>
                <w:rFonts w:hint="eastAsia"/>
                <w:b/>
                <w:bCs/>
                <w:color w:val="auto"/>
              </w:rPr>
              <w:t>序号</w:t>
            </w:r>
          </w:p>
        </w:tc>
        <w:tc>
          <w:tcPr>
            <w:tcW w:w="4661" w:type="dxa"/>
            <w:noWrap w:val="0"/>
            <w:vAlign w:val="center"/>
          </w:tcPr>
          <w:p w14:paraId="213DFC5E">
            <w:pPr>
              <w:pStyle w:val="43"/>
              <w:bidi w:val="0"/>
              <w:rPr>
                <w:rFonts w:hint="eastAsia"/>
                <w:b/>
                <w:bCs/>
                <w:color w:val="auto"/>
              </w:rPr>
            </w:pPr>
            <w:r>
              <w:rPr>
                <w:rFonts w:hint="eastAsia"/>
                <w:b/>
                <w:bCs/>
                <w:color w:val="auto"/>
              </w:rPr>
              <w:t>检查内容</w:t>
            </w:r>
          </w:p>
        </w:tc>
        <w:tc>
          <w:tcPr>
            <w:tcW w:w="1825" w:type="dxa"/>
            <w:noWrap w:val="0"/>
            <w:vAlign w:val="center"/>
          </w:tcPr>
          <w:p w14:paraId="28F6D6BE">
            <w:pPr>
              <w:pStyle w:val="43"/>
              <w:bidi w:val="0"/>
              <w:rPr>
                <w:rFonts w:hint="eastAsia"/>
                <w:b/>
                <w:bCs/>
                <w:color w:val="auto"/>
                <w:lang w:val="en-US" w:eastAsia="zh-CN"/>
              </w:rPr>
            </w:pPr>
            <w:r>
              <w:rPr>
                <w:rFonts w:hint="eastAsia"/>
                <w:b/>
                <w:bCs/>
                <w:color w:val="auto"/>
                <w:lang w:val="en-US" w:eastAsia="zh-CN"/>
              </w:rPr>
              <w:t>依据</w:t>
            </w:r>
          </w:p>
        </w:tc>
        <w:tc>
          <w:tcPr>
            <w:tcW w:w="1591" w:type="dxa"/>
            <w:noWrap w:val="0"/>
            <w:vAlign w:val="center"/>
          </w:tcPr>
          <w:p w14:paraId="7E1F0B8E">
            <w:pPr>
              <w:pStyle w:val="43"/>
              <w:bidi w:val="0"/>
              <w:rPr>
                <w:rFonts w:hint="eastAsia"/>
                <w:b/>
                <w:bCs/>
                <w:color w:val="auto"/>
              </w:rPr>
            </w:pPr>
            <w:r>
              <w:rPr>
                <w:rFonts w:hint="eastAsia"/>
                <w:b/>
                <w:bCs/>
                <w:color w:val="auto"/>
              </w:rPr>
              <w:t>检查记录</w:t>
            </w:r>
          </w:p>
        </w:tc>
        <w:tc>
          <w:tcPr>
            <w:tcW w:w="650" w:type="dxa"/>
            <w:noWrap w:val="0"/>
            <w:vAlign w:val="center"/>
          </w:tcPr>
          <w:p w14:paraId="0A5FC23E">
            <w:pPr>
              <w:pStyle w:val="43"/>
              <w:bidi w:val="0"/>
              <w:rPr>
                <w:rFonts w:hint="eastAsia"/>
                <w:b/>
                <w:bCs/>
                <w:color w:val="auto"/>
              </w:rPr>
            </w:pPr>
            <w:r>
              <w:rPr>
                <w:rFonts w:hint="eastAsia"/>
                <w:b/>
                <w:bCs/>
                <w:color w:val="auto"/>
              </w:rPr>
              <w:t>结论</w:t>
            </w:r>
          </w:p>
        </w:tc>
      </w:tr>
      <w:tr w14:paraId="2489A8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9" w:type="dxa"/>
            <w:noWrap w:val="0"/>
            <w:vAlign w:val="center"/>
          </w:tcPr>
          <w:p w14:paraId="6B1971F0">
            <w:pPr>
              <w:pStyle w:val="43"/>
              <w:numPr>
                <w:ilvl w:val="0"/>
                <w:numId w:val="6"/>
              </w:numPr>
              <w:bidi w:val="0"/>
              <w:ind w:left="0" w:leftChars="0" w:firstLine="0" w:firstLineChars="0"/>
              <w:rPr>
                <w:rFonts w:hint="default"/>
                <w:color w:val="auto"/>
                <w:lang w:val="en-US" w:eastAsia="zh-CN"/>
              </w:rPr>
            </w:pPr>
          </w:p>
        </w:tc>
        <w:tc>
          <w:tcPr>
            <w:tcW w:w="4661" w:type="dxa"/>
            <w:noWrap w:val="0"/>
            <w:vAlign w:val="center"/>
          </w:tcPr>
          <w:p w14:paraId="3D231607">
            <w:pPr>
              <w:pStyle w:val="43"/>
              <w:bidi w:val="0"/>
              <w:jc w:val="left"/>
              <w:rPr>
                <w:rFonts w:hint="eastAsia"/>
                <w:color w:val="auto"/>
                <w:lang w:val="en-US" w:eastAsia="zh-CN"/>
              </w:rPr>
            </w:pPr>
            <w:r>
              <w:rPr>
                <w:rFonts w:hint="eastAsia"/>
                <w:color w:val="auto"/>
                <w:lang w:val="en-US" w:eastAsia="zh-CN"/>
              </w:rPr>
              <w:t xml:space="preserve"> 高速公路服务区的总体布局宜优先采用双侧分离式，可对称布设或非对称布设。当采用双侧分离对称式布设时，应设置连接两侧服务区的人行及车行通道:当采用单侧集中式时，应在主线旁的匝道处设置高速公路服务区的交通诱导标识。</w:t>
            </w:r>
          </w:p>
        </w:tc>
        <w:tc>
          <w:tcPr>
            <w:tcW w:w="1825" w:type="dxa"/>
            <w:noWrap w:val="0"/>
            <w:vAlign w:val="center"/>
          </w:tcPr>
          <w:p w14:paraId="3A120D1B">
            <w:pPr>
              <w:pStyle w:val="43"/>
              <w:bidi w:val="0"/>
              <w:rPr>
                <w:rFonts w:hint="default"/>
                <w:color w:val="auto"/>
                <w:lang w:val="en-US" w:eastAsia="zh-CN"/>
              </w:rPr>
            </w:pPr>
            <w:r>
              <w:rPr>
                <w:rFonts w:hint="default"/>
                <w:color w:val="auto"/>
                <w:lang w:val="en-US" w:eastAsia="zh-CN"/>
              </w:rPr>
              <w:t>《高速公路服务区设计规范》DB36T698-2017</w:t>
            </w:r>
          </w:p>
          <w:p w14:paraId="5DF04F2D">
            <w:pPr>
              <w:pStyle w:val="43"/>
              <w:bidi w:val="0"/>
              <w:ind w:firstLine="0" w:firstLineChars="0"/>
              <w:rPr>
                <w:rFonts w:hint="default"/>
                <w:color w:val="auto"/>
                <w:lang w:val="en-US" w:eastAsia="zh-CN"/>
              </w:rPr>
            </w:pPr>
            <w:r>
              <w:rPr>
                <w:rFonts w:hint="eastAsia"/>
                <w:color w:val="auto"/>
                <w:lang w:val="en-US" w:eastAsia="zh-CN"/>
              </w:rPr>
              <w:t>7.1.1</w:t>
            </w:r>
          </w:p>
        </w:tc>
        <w:tc>
          <w:tcPr>
            <w:tcW w:w="1591" w:type="dxa"/>
            <w:noWrap w:val="0"/>
            <w:vAlign w:val="center"/>
          </w:tcPr>
          <w:p w14:paraId="1EF123CD">
            <w:pPr>
              <w:pStyle w:val="43"/>
              <w:bidi w:val="0"/>
              <w:rPr>
                <w:rFonts w:hint="default"/>
                <w:color w:val="auto"/>
                <w:lang w:val="en-US" w:eastAsia="zh-CN"/>
              </w:rPr>
            </w:pPr>
            <w:r>
              <w:rPr>
                <w:rFonts w:hint="eastAsia"/>
                <w:color w:val="auto"/>
                <w:lang w:val="en-US" w:eastAsia="zh-CN"/>
              </w:rPr>
              <w:t>采用双侧分离对称式布设</w:t>
            </w:r>
          </w:p>
        </w:tc>
        <w:tc>
          <w:tcPr>
            <w:tcW w:w="650" w:type="dxa"/>
            <w:noWrap w:val="0"/>
            <w:vAlign w:val="center"/>
          </w:tcPr>
          <w:p w14:paraId="5A67400D">
            <w:pPr>
              <w:pStyle w:val="43"/>
              <w:bidi w:val="0"/>
              <w:ind w:firstLine="0" w:firstLineChars="0"/>
              <w:rPr>
                <w:rFonts w:hint="eastAsia"/>
                <w:color w:val="auto"/>
                <w:lang w:val="en-US" w:eastAsia="zh-CN"/>
              </w:rPr>
            </w:pPr>
            <w:r>
              <w:rPr>
                <w:rFonts w:hint="eastAsia"/>
                <w:color w:val="auto"/>
                <w:lang w:val="en-US" w:eastAsia="zh-CN"/>
              </w:rPr>
              <w:t>符合</w:t>
            </w:r>
          </w:p>
        </w:tc>
      </w:tr>
      <w:tr w14:paraId="130D8B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9" w:type="dxa"/>
            <w:noWrap w:val="0"/>
            <w:vAlign w:val="center"/>
          </w:tcPr>
          <w:p w14:paraId="1A11FFFC">
            <w:pPr>
              <w:pStyle w:val="43"/>
              <w:numPr>
                <w:ilvl w:val="0"/>
                <w:numId w:val="6"/>
              </w:numPr>
              <w:bidi w:val="0"/>
              <w:ind w:left="0" w:leftChars="0" w:firstLine="0" w:firstLineChars="0"/>
              <w:rPr>
                <w:rFonts w:hint="default"/>
                <w:color w:val="auto"/>
                <w:lang w:val="en-US" w:eastAsia="zh-CN"/>
              </w:rPr>
            </w:pPr>
          </w:p>
        </w:tc>
        <w:tc>
          <w:tcPr>
            <w:tcW w:w="4661" w:type="dxa"/>
            <w:noWrap w:val="0"/>
            <w:vAlign w:val="center"/>
          </w:tcPr>
          <w:p w14:paraId="52E4F69B">
            <w:pPr>
              <w:pStyle w:val="43"/>
              <w:bidi w:val="0"/>
              <w:jc w:val="left"/>
              <w:rPr>
                <w:rFonts w:hint="eastAsia"/>
                <w:color w:val="auto"/>
                <w:lang w:val="en-US" w:eastAsia="zh-CN"/>
              </w:rPr>
            </w:pPr>
            <w:r>
              <w:rPr>
                <w:rFonts w:hint="eastAsia"/>
                <w:color w:val="auto"/>
                <w:lang w:val="en-US" w:eastAsia="zh-CN"/>
              </w:rPr>
              <w:t>高速公路服务区的场所和建筑设施应满足为车服务、为人服务等功能，场所、建筑设施布置应满足以下要求:</w:t>
            </w:r>
          </w:p>
          <w:p w14:paraId="63CB17F2">
            <w:pPr>
              <w:pStyle w:val="43"/>
              <w:bidi w:val="0"/>
              <w:jc w:val="left"/>
              <w:rPr>
                <w:rFonts w:hint="eastAsia"/>
                <w:color w:val="auto"/>
                <w:lang w:val="en-US" w:eastAsia="zh-CN"/>
              </w:rPr>
            </w:pPr>
            <w:r>
              <w:rPr>
                <w:rFonts w:hint="eastAsia"/>
                <w:color w:val="auto"/>
                <w:lang w:val="en-US" w:eastAsia="zh-CN"/>
              </w:rPr>
              <w:t>a)场所由道路交通、广场、停车场、绿地、其它等组成。</w:t>
            </w:r>
          </w:p>
          <w:p w14:paraId="52B37443">
            <w:pPr>
              <w:pStyle w:val="43"/>
              <w:bidi w:val="0"/>
              <w:jc w:val="left"/>
              <w:rPr>
                <w:rFonts w:hint="eastAsia"/>
                <w:color w:val="auto"/>
                <w:lang w:val="en-US" w:eastAsia="zh-CN"/>
              </w:rPr>
            </w:pPr>
            <w:r>
              <w:rPr>
                <w:rFonts w:hint="eastAsia"/>
                <w:color w:val="auto"/>
                <w:lang w:val="en-US" w:eastAsia="zh-CN"/>
              </w:rPr>
              <w:t>b)建筑设施由综合楼、公共厕所、加油站、充电站、汽修站、员工宿舍、其它等组成。</w:t>
            </w:r>
          </w:p>
        </w:tc>
        <w:tc>
          <w:tcPr>
            <w:tcW w:w="1825" w:type="dxa"/>
            <w:noWrap w:val="0"/>
            <w:vAlign w:val="center"/>
          </w:tcPr>
          <w:p w14:paraId="2166D3F5">
            <w:pPr>
              <w:pStyle w:val="43"/>
              <w:bidi w:val="0"/>
              <w:rPr>
                <w:rFonts w:hint="default"/>
                <w:color w:val="auto"/>
                <w:lang w:val="en-US" w:eastAsia="zh-CN"/>
              </w:rPr>
            </w:pPr>
            <w:r>
              <w:rPr>
                <w:rFonts w:hint="default"/>
                <w:color w:val="auto"/>
                <w:lang w:val="en-US" w:eastAsia="zh-CN"/>
              </w:rPr>
              <w:t>《高速公路服务区设计规范》DB36T698-2017</w:t>
            </w:r>
          </w:p>
          <w:p w14:paraId="4B29D79B">
            <w:pPr>
              <w:pStyle w:val="43"/>
              <w:bidi w:val="0"/>
              <w:ind w:firstLine="0" w:firstLineChars="0"/>
              <w:rPr>
                <w:rFonts w:hint="default"/>
                <w:color w:val="auto"/>
                <w:lang w:val="en-US" w:eastAsia="zh-CN"/>
              </w:rPr>
            </w:pPr>
            <w:r>
              <w:rPr>
                <w:rFonts w:hint="eastAsia"/>
                <w:color w:val="auto"/>
                <w:lang w:val="en-US" w:eastAsia="zh-CN"/>
              </w:rPr>
              <w:t>7.1.2</w:t>
            </w:r>
          </w:p>
        </w:tc>
        <w:tc>
          <w:tcPr>
            <w:tcW w:w="1591" w:type="dxa"/>
            <w:noWrap w:val="0"/>
            <w:vAlign w:val="center"/>
          </w:tcPr>
          <w:p w14:paraId="449349B3">
            <w:pPr>
              <w:pStyle w:val="43"/>
              <w:bidi w:val="0"/>
              <w:rPr>
                <w:rFonts w:hint="default"/>
                <w:color w:val="auto"/>
                <w:lang w:val="en-US" w:eastAsia="zh-CN"/>
              </w:rPr>
            </w:pPr>
            <w:r>
              <w:rPr>
                <w:rFonts w:hint="eastAsia"/>
                <w:color w:val="auto"/>
                <w:lang w:val="en-US" w:eastAsia="zh-CN"/>
              </w:rPr>
              <w:t>满足所述要求</w:t>
            </w:r>
          </w:p>
        </w:tc>
        <w:tc>
          <w:tcPr>
            <w:tcW w:w="650" w:type="dxa"/>
            <w:noWrap w:val="0"/>
            <w:vAlign w:val="center"/>
          </w:tcPr>
          <w:p w14:paraId="667C7DFA">
            <w:pPr>
              <w:pStyle w:val="43"/>
              <w:bidi w:val="0"/>
              <w:ind w:firstLine="0" w:firstLineChars="0"/>
              <w:rPr>
                <w:rFonts w:hint="eastAsia"/>
                <w:color w:val="auto"/>
                <w:lang w:val="en-US" w:eastAsia="zh-CN"/>
              </w:rPr>
            </w:pPr>
            <w:r>
              <w:rPr>
                <w:rFonts w:hint="eastAsia"/>
                <w:color w:val="auto"/>
                <w:lang w:val="en-US" w:eastAsia="zh-CN"/>
              </w:rPr>
              <w:t>符合</w:t>
            </w:r>
          </w:p>
        </w:tc>
      </w:tr>
      <w:tr w14:paraId="2E5649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9" w:type="dxa"/>
            <w:noWrap w:val="0"/>
            <w:vAlign w:val="center"/>
          </w:tcPr>
          <w:p w14:paraId="6F87765E">
            <w:pPr>
              <w:pStyle w:val="43"/>
              <w:numPr>
                <w:ilvl w:val="0"/>
                <w:numId w:val="6"/>
              </w:numPr>
              <w:bidi w:val="0"/>
              <w:ind w:left="0" w:leftChars="0" w:firstLine="0" w:firstLineChars="0"/>
              <w:rPr>
                <w:rFonts w:hint="eastAsia"/>
                <w:color w:val="auto"/>
                <w:lang w:val="en-US" w:eastAsia="zh-CN"/>
              </w:rPr>
            </w:pPr>
          </w:p>
        </w:tc>
        <w:tc>
          <w:tcPr>
            <w:tcW w:w="4661" w:type="dxa"/>
            <w:noWrap w:val="0"/>
            <w:vAlign w:val="center"/>
          </w:tcPr>
          <w:p w14:paraId="6610301C">
            <w:pPr>
              <w:pStyle w:val="43"/>
              <w:bidi w:val="0"/>
              <w:jc w:val="left"/>
              <w:rPr>
                <w:rFonts w:hint="eastAsia"/>
                <w:color w:val="auto"/>
                <w:lang w:val="en-US" w:eastAsia="zh-CN"/>
              </w:rPr>
            </w:pPr>
            <w:r>
              <w:rPr>
                <w:rFonts w:hint="eastAsia"/>
                <w:color w:val="auto"/>
                <w:lang w:val="en-US" w:eastAsia="zh-CN"/>
              </w:rPr>
              <w:t>一般规定</w:t>
            </w:r>
          </w:p>
          <w:p w14:paraId="3D780ACA">
            <w:pPr>
              <w:pStyle w:val="43"/>
              <w:bidi w:val="0"/>
              <w:jc w:val="left"/>
              <w:rPr>
                <w:rFonts w:hint="eastAsia"/>
                <w:color w:val="auto"/>
                <w:lang w:val="en-US" w:eastAsia="zh-CN"/>
              </w:rPr>
            </w:pPr>
            <w:r>
              <w:rPr>
                <w:rFonts w:hint="eastAsia"/>
                <w:color w:val="auto"/>
                <w:lang w:val="en-US" w:eastAsia="zh-CN"/>
              </w:rPr>
              <w:t>a)总图布置范围沿高速公路方向从主线入口匝道至出口匝道。以综合楼、加油站、充电站、道路交通为纽带进行场所和建筑设施的综合布置。</w:t>
            </w:r>
          </w:p>
          <w:p w14:paraId="04DED336">
            <w:pPr>
              <w:pStyle w:val="43"/>
              <w:bidi w:val="0"/>
              <w:jc w:val="left"/>
              <w:rPr>
                <w:rFonts w:hint="eastAsia"/>
                <w:color w:val="auto"/>
                <w:lang w:val="en-US" w:eastAsia="zh-CN"/>
              </w:rPr>
            </w:pPr>
            <w:r>
              <w:rPr>
                <w:rFonts w:hint="eastAsia"/>
                <w:color w:val="auto"/>
                <w:lang w:val="en-US" w:eastAsia="zh-CN"/>
              </w:rPr>
              <w:t>b)功能分区可分为综合服务区、车辆停放区、车辆加油区、车辆充电区、车辆加水维修区、后勤服务区和休闲绿化区，并应做到布局合理，使用方便，流线简捷。</w:t>
            </w:r>
          </w:p>
          <w:p w14:paraId="77E908E5">
            <w:pPr>
              <w:pStyle w:val="43"/>
              <w:bidi w:val="0"/>
              <w:jc w:val="left"/>
              <w:rPr>
                <w:rFonts w:hint="eastAsia"/>
                <w:color w:val="auto"/>
                <w:lang w:val="en-US" w:eastAsia="zh-CN"/>
              </w:rPr>
            </w:pPr>
            <w:r>
              <w:rPr>
                <w:rFonts w:hint="eastAsia"/>
                <w:color w:val="auto"/>
                <w:lang w:val="en-US" w:eastAsia="zh-CN"/>
              </w:rPr>
              <w:t>c)综合楼与高速公路主线的安全距离宜大于50m。</w:t>
            </w:r>
          </w:p>
          <w:p w14:paraId="2C4B743B">
            <w:pPr>
              <w:pStyle w:val="43"/>
              <w:bidi w:val="0"/>
              <w:jc w:val="left"/>
              <w:rPr>
                <w:rFonts w:hint="eastAsia"/>
                <w:color w:val="auto"/>
                <w:lang w:val="en-US" w:eastAsia="zh-CN"/>
              </w:rPr>
            </w:pPr>
            <w:r>
              <w:rPr>
                <w:rFonts w:hint="eastAsia"/>
                <w:color w:val="auto"/>
                <w:lang w:val="en-US" w:eastAsia="zh-CN"/>
              </w:rPr>
              <w:t>d)总平面布置应设置独立的员工宿舍楼，并配置供职工活动、晾晒场地等场所。</w:t>
            </w:r>
          </w:p>
        </w:tc>
        <w:tc>
          <w:tcPr>
            <w:tcW w:w="1825" w:type="dxa"/>
            <w:noWrap w:val="0"/>
            <w:vAlign w:val="center"/>
          </w:tcPr>
          <w:p w14:paraId="44BABB4E">
            <w:pPr>
              <w:pStyle w:val="43"/>
              <w:bidi w:val="0"/>
              <w:rPr>
                <w:rFonts w:hint="default"/>
                <w:color w:val="auto"/>
                <w:lang w:val="en-US" w:eastAsia="zh-CN"/>
              </w:rPr>
            </w:pPr>
            <w:r>
              <w:rPr>
                <w:rFonts w:hint="default"/>
                <w:color w:val="auto"/>
                <w:lang w:val="en-US" w:eastAsia="zh-CN"/>
              </w:rPr>
              <w:t>《高速公路服务区设计规范》DB36T698-2017</w:t>
            </w:r>
          </w:p>
          <w:p w14:paraId="570E2275">
            <w:pPr>
              <w:pStyle w:val="43"/>
              <w:bidi w:val="0"/>
              <w:ind w:firstLine="0" w:firstLineChars="0"/>
              <w:rPr>
                <w:rFonts w:hint="default"/>
                <w:color w:val="auto"/>
                <w:lang w:val="en-US" w:eastAsia="zh-CN"/>
              </w:rPr>
            </w:pPr>
            <w:r>
              <w:rPr>
                <w:rFonts w:hint="eastAsia"/>
                <w:color w:val="auto"/>
                <w:lang w:val="en-US" w:eastAsia="zh-CN"/>
              </w:rPr>
              <w:t>7.2.1</w:t>
            </w:r>
          </w:p>
        </w:tc>
        <w:tc>
          <w:tcPr>
            <w:tcW w:w="1591" w:type="dxa"/>
            <w:noWrap w:val="0"/>
            <w:vAlign w:val="center"/>
          </w:tcPr>
          <w:p w14:paraId="2F8716DE">
            <w:pPr>
              <w:pStyle w:val="43"/>
              <w:bidi w:val="0"/>
              <w:rPr>
                <w:rFonts w:hint="default"/>
                <w:color w:val="auto"/>
                <w:lang w:val="en-US" w:eastAsia="zh-CN"/>
              </w:rPr>
            </w:pPr>
            <w:r>
              <w:rPr>
                <w:rFonts w:hint="eastAsia"/>
                <w:color w:val="auto"/>
                <w:lang w:val="en-US" w:eastAsia="zh-CN"/>
              </w:rPr>
              <w:t>可研中未提及，将在对策措施中提出</w:t>
            </w:r>
          </w:p>
        </w:tc>
        <w:tc>
          <w:tcPr>
            <w:tcW w:w="650" w:type="dxa"/>
            <w:noWrap w:val="0"/>
            <w:vAlign w:val="center"/>
          </w:tcPr>
          <w:p w14:paraId="00F13B88">
            <w:pPr>
              <w:pStyle w:val="43"/>
              <w:bidi w:val="0"/>
              <w:ind w:firstLine="0" w:firstLineChars="0"/>
              <w:rPr>
                <w:rFonts w:hint="eastAsia"/>
                <w:color w:val="auto"/>
                <w:lang w:val="en-US" w:eastAsia="zh-CN"/>
              </w:rPr>
            </w:pPr>
            <w:r>
              <w:rPr>
                <w:rFonts w:hint="eastAsia"/>
                <w:color w:val="auto"/>
                <w:lang w:val="en-US" w:eastAsia="zh-CN"/>
              </w:rPr>
              <w:t>-</w:t>
            </w:r>
          </w:p>
        </w:tc>
      </w:tr>
      <w:tr w14:paraId="563F17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9" w:type="dxa"/>
            <w:noWrap w:val="0"/>
            <w:vAlign w:val="center"/>
          </w:tcPr>
          <w:p w14:paraId="4460E0A3">
            <w:pPr>
              <w:pStyle w:val="43"/>
              <w:numPr>
                <w:ilvl w:val="0"/>
                <w:numId w:val="6"/>
              </w:numPr>
              <w:bidi w:val="0"/>
              <w:ind w:left="0" w:leftChars="0" w:firstLine="0" w:firstLineChars="0"/>
              <w:rPr>
                <w:rFonts w:hint="eastAsia"/>
                <w:color w:val="auto"/>
                <w:lang w:val="en-US" w:eastAsia="zh-CN"/>
              </w:rPr>
            </w:pPr>
          </w:p>
        </w:tc>
        <w:tc>
          <w:tcPr>
            <w:tcW w:w="4661" w:type="dxa"/>
            <w:noWrap w:val="0"/>
            <w:vAlign w:val="center"/>
          </w:tcPr>
          <w:p w14:paraId="70ACC9BA">
            <w:pPr>
              <w:pStyle w:val="43"/>
              <w:bidi w:val="0"/>
              <w:jc w:val="left"/>
              <w:rPr>
                <w:rFonts w:hint="eastAsia"/>
                <w:color w:val="auto"/>
                <w:lang w:val="en-US" w:eastAsia="zh-CN"/>
              </w:rPr>
            </w:pPr>
            <w:r>
              <w:rPr>
                <w:rFonts w:hint="eastAsia"/>
                <w:color w:val="auto"/>
                <w:lang w:val="en-US" w:eastAsia="zh-CN"/>
              </w:rPr>
              <w:t>货、客车的停车场应分开布置，客车停车区宜靠近主要建筑物设置；货车停车区不宜集中设置在主要建筑物前侧，并应设有安全通道至综合楼。</w:t>
            </w:r>
          </w:p>
        </w:tc>
        <w:tc>
          <w:tcPr>
            <w:tcW w:w="1825" w:type="dxa"/>
            <w:noWrap w:val="0"/>
            <w:vAlign w:val="center"/>
          </w:tcPr>
          <w:p w14:paraId="30E76F0D">
            <w:pPr>
              <w:pStyle w:val="43"/>
              <w:bidi w:val="0"/>
              <w:rPr>
                <w:rFonts w:hint="default"/>
                <w:color w:val="auto"/>
                <w:lang w:val="en-US" w:eastAsia="zh-CN"/>
              </w:rPr>
            </w:pPr>
            <w:r>
              <w:rPr>
                <w:rFonts w:hint="default"/>
                <w:color w:val="auto"/>
                <w:lang w:val="en-US" w:eastAsia="zh-CN"/>
              </w:rPr>
              <w:t>《高速公路服务区设计规范》DB36T698-2017</w:t>
            </w:r>
          </w:p>
          <w:p w14:paraId="4E68A39A">
            <w:pPr>
              <w:pStyle w:val="43"/>
              <w:bidi w:val="0"/>
              <w:ind w:firstLine="0" w:firstLineChars="0"/>
              <w:rPr>
                <w:rFonts w:hint="default"/>
                <w:color w:val="auto"/>
                <w:lang w:val="en-US" w:eastAsia="zh-CN"/>
              </w:rPr>
            </w:pPr>
            <w:r>
              <w:rPr>
                <w:rFonts w:hint="eastAsia"/>
                <w:color w:val="auto"/>
                <w:lang w:val="en-US" w:eastAsia="zh-CN"/>
              </w:rPr>
              <w:t>7.2.2</w:t>
            </w:r>
          </w:p>
        </w:tc>
        <w:tc>
          <w:tcPr>
            <w:tcW w:w="1591" w:type="dxa"/>
            <w:noWrap w:val="0"/>
            <w:vAlign w:val="center"/>
          </w:tcPr>
          <w:p w14:paraId="44B551C6">
            <w:pPr>
              <w:pStyle w:val="43"/>
              <w:bidi w:val="0"/>
              <w:rPr>
                <w:rFonts w:hint="default"/>
                <w:color w:val="auto"/>
                <w:lang w:val="en-US" w:eastAsia="zh-CN"/>
              </w:rPr>
            </w:pPr>
            <w:r>
              <w:rPr>
                <w:rFonts w:hint="eastAsia"/>
                <w:color w:val="auto"/>
                <w:lang w:val="en-US" w:eastAsia="zh-CN"/>
              </w:rPr>
              <w:t>拟按要求布置货、客车停车位</w:t>
            </w:r>
          </w:p>
        </w:tc>
        <w:tc>
          <w:tcPr>
            <w:tcW w:w="650" w:type="dxa"/>
            <w:noWrap w:val="0"/>
            <w:vAlign w:val="center"/>
          </w:tcPr>
          <w:p w14:paraId="12E62892">
            <w:pPr>
              <w:pStyle w:val="43"/>
              <w:bidi w:val="0"/>
              <w:ind w:firstLine="0" w:firstLineChars="0"/>
              <w:rPr>
                <w:rFonts w:hint="eastAsia"/>
                <w:color w:val="auto"/>
                <w:lang w:val="en-US" w:eastAsia="zh-CN"/>
              </w:rPr>
            </w:pPr>
            <w:r>
              <w:rPr>
                <w:rFonts w:hint="eastAsia"/>
                <w:color w:val="auto"/>
                <w:lang w:val="en-US" w:eastAsia="zh-CN"/>
              </w:rPr>
              <w:t>符合</w:t>
            </w:r>
          </w:p>
        </w:tc>
      </w:tr>
      <w:tr w14:paraId="01AA53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9" w:type="dxa"/>
            <w:noWrap w:val="0"/>
            <w:vAlign w:val="center"/>
          </w:tcPr>
          <w:p w14:paraId="3F3267E1">
            <w:pPr>
              <w:pStyle w:val="43"/>
              <w:numPr>
                <w:ilvl w:val="0"/>
                <w:numId w:val="6"/>
              </w:numPr>
              <w:bidi w:val="0"/>
              <w:ind w:left="0" w:leftChars="0" w:firstLine="0" w:firstLineChars="0"/>
              <w:rPr>
                <w:rFonts w:hint="eastAsia"/>
                <w:color w:val="auto"/>
                <w:lang w:val="en-US" w:eastAsia="zh-CN"/>
              </w:rPr>
            </w:pPr>
          </w:p>
        </w:tc>
        <w:tc>
          <w:tcPr>
            <w:tcW w:w="4661" w:type="dxa"/>
            <w:noWrap w:val="0"/>
            <w:vAlign w:val="center"/>
          </w:tcPr>
          <w:p w14:paraId="6EA6EDC0">
            <w:pPr>
              <w:pStyle w:val="43"/>
              <w:bidi w:val="0"/>
              <w:jc w:val="left"/>
              <w:rPr>
                <w:rFonts w:hint="eastAsia"/>
                <w:color w:val="auto"/>
                <w:lang w:val="en-US" w:eastAsia="zh-CN"/>
              </w:rPr>
            </w:pPr>
            <w:r>
              <w:rPr>
                <w:rFonts w:hint="eastAsia"/>
                <w:color w:val="auto"/>
                <w:lang w:val="en-US" w:eastAsia="zh-CN"/>
              </w:rPr>
              <w:t>公共厕所宜靠近停车场与综合楼合并设置。独立设置的大型公共厕所与综合楼之间应设置走廊连接。</w:t>
            </w:r>
          </w:p>
        </w:tc>
        <w:tc>
          <w:tcPr>
            <w:tcW w:w="1825" w:type="dxa"/>
            <w:noWrap w:val="0"/>
            <w:vAlign w:val="center"/>
          </w:tcPr>
          <w:p w14:paraId="1FF709A1">
            <w:pPr>
              <w:pStyle w:val="43"/>
              <w:bidi w:val="0"/>
              <w:rPr>
                <w:rFonts w:hint="default"/>
                <w:color w:val="auto"/>
                <w:lang w:val="en-US" w:eastAsia="zh-CN"/>
              </w:rPr>
            </w:pPr>
            <w:r>
              <w:rPr>
                <w:rFonts w:hint="default"/>
                <w:color w:val="auto"/>
                <w:lang w:val="en-US" w:eastAsia="zh-CN"/>
              </w:rPr>
              <w:t>《高速公路服务区设计规范》DB36T698-2017</w:t>
            </w:r>
          </w:p>
          <w:p w14:paraId="403E7CC2">
            <w:pPr>
              <w:pStyle w:val="43"/>
              <w:bidi w:val="0"/>
              <w:ind w:firstLine="0" w:firstLineChars="0"/>
              <w:rPr>
                <w:rFonts w:hint="default"/>
                <w:color w:val="auto"/>
                <w:lang w:val="en-US" w:eastAsia="zh-CN"/>
              </w:rPr>
            </w:pPr>
            <w:r>
              <w:rPr>
                <w:rFonts w:hint="eastAsia"/>
                <w:color w:val="auto"/>
                <w:lang w:val="en-US" w:eastAsia="zh-CN"/>
              </w:rPr>
              <w:t>7.2.3</w:t>
            </w:r>
          </w:p>
        </w:tc>
        <w:tc>
          <w:tcPr>
            <w:tcW w:w="1591" w:type="dxa"/>
            <w:noWrap w:val="0"/>
            <w:vAlign w:val="center"/>
          </w:tcPr>
          <w:p w14:paraId="26BE9DD0">
            <w:pPr>
              <w:pStyle w:val="43"/>
              <w:bidi w:val="0"/>
              <w:rPr>
                <w:rFonts w:hint="default"/>
                <w:color w:val="auto"/>
                <w:lang w:val="en-US" w:eastAsia="zh-CN"/>
              </w:rPr>
            </w:pPr>
            <w:r>
              <w:rPr>
                <w:rFonts w:hint="eastAsia"/>
                <w:color w:val="auto"/>
                <w:lang w:val="en-US" w:eastAsia="zh-CN"/>
              </w:rPr>
              <w:t>公共厕所与综合楼合并设置</w:t>
            </w:r>
          </w:p>
        </w:tc>
        <w:tc>
          <w:tcPr>
            <w:tcW w:w="650" w:type="dxa"/>
            <w:noWrap w:val="0"/>
            <w:vAlign w:val="center"/>
          </w:tcPr>
          <w:p w14:paraId="03D7ECDB">
            <w:pPr>
              <w:pStyle w:val="43"/>
              <w:bidi w:val="0"/>
              <w:ind w:firstLine="0" w:firstLineChars="0"/>
              <w:rPr>
                <w:rFonts w:hint="eastAsia"/>
                <w:color w:val="auto"/>
                <w:lang w:val="en-US" w:eastAsia="zh-CN"/>
              </w:rPr>
            </w:pPr>
            <w:r>
              <w:rPr>
                <w:rFonts w:hint="eastAsia"/>
                <w:color w:val="auto"/>
                <w:lang w:val="en-US" w:eastAsia="zh-CN"/>
              </w:rPr>
              <w:t>符合</w:t>
            </w:r>
          </w:p>
        </w:tc>
      </w:tr>
      <w:tr w14:paraId="4BA61B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9" w:type="dxa"/>
            <w:noWrap w:val="0"/>
            <w:vAlign w:val="center"/>
          </w:tcPr>
          <w:p w14:paraId="48011476">
            <w:pPr>
              <w:pStyle w:val="43"/>
              <w:numPr>
                <w:ilvl w:val="0"/>
                <w:numId w:val="6"/>
              </w:numPr>
              <w:bidi w:val="0"/>
              <w:ind w:left="0" w:leftChars="0" w:firstLine="0" w:firstLineChars="0"/>
              <w:rPr>
                <w:rFonts w:hint="eastAsia"/>
                <w:color w:val="auto"/>
                <w:lang w:val="en-US" w:eastAsia="zh-CN"/>
              </w:rPr>
            </w:pPr>
          </w:p>
        </w:tc>
        <w:tc>
          <w:tcPr>
            <w:tcW w:w="4661" w:type="dxa"/>
            <w:noWrap w:val="0"/>
            <w:vAlign w:val="center"/>
          </w:tcPr>
          <w:p w14:paraId="603E054D">
            <w:pPr>
              <w:pStyle w:val="43"/>
              <w:bidi w:val="0"/>
              <w:jc w:val="left"/>
              <w:rPr>
                <w:rFonts w:hint="eastAsia"/>
                <w:color w:val="auto"/>
                <w:lang w:val="en-US" w:eastAsia="zh-CN"/>
              </w:rPr>
            </w:pPr>
            <w:r>
              <w:rPr>
                <w:rFonts w:hint="eastAsia"/>
                <w:color w:val="auto"/>
                <w:lang w:val="en-US" w:eastAsia="zh-CN"/>
              </w:rPr>
              <w:t>加油站宜设置在靠近场区出口位置，充电站宜独立设置，加油站、充电站四周宜有环形路贯通，且必须与周围建筑保持足够的安全距离，应符合相关规定。</w:t>
            </w:r>
          </w:p>
        </w:tc>
        <w:tc>
          <w:tcPr>
            <w:tcW w:w="1825" w:type="dxa"/>
            <w:noWrap w:val="0"/>
            <w:vAlign w:val="center"/>
          </w:tcPr>
          <w:p w14:paraId="52414389">
            <w:pPr>
              <w:pStyle w:val="43"/>
              <w:bidi w:val="0"/>
              <w:rPr>
                <w:rFonts w:hint="default"/>
                <w:color w:val="auto"/>
                <w:lang w:val="en-US" w:eastAsia="zh-CN"/>
              </w:rPr>
            </w:pPr>
            <w:r>
              <w:rPr>
                <w:rFonts w:hint="default"/>
                <w:color w:val="auto"/>
                <w:lang w:val="en-US" w:eastAsia="zh-CN"/>
              </w:rPr>
              <w:t>《高速公路服务区设计规范》DB36T698-2017</w:t>
            </w:r>
          </w:p>
          <w:p w14:paraId="03F3E103">
            <w:pPr>
              <w:pStyle w:val="43"/>
              <w:bidi w:val="0"/>
              <w:ind w:firstLine="0" w:firstLineChars="0"/>
              <w:rPr>
                <w:rFonts w:hint="default"/>
                <w:color w:val="auto"/>
                <w:lang w:val="en-US" w:eastAsia="zh-CN"/>
              </w:rPr>
            </w:pPr>
            <w:r>
              <w:rPr>
                <w:rFonts w:hint="eastAsia"/>
                <w:color w:val="auto"/>
                <w:lang w:val="en-US" w:eastAsia="zh-CN"/>
              </w:rPr>
              <w:t>7.2.4</w:t>
            </w:r>
          </w:p>
        </w:tc>
        <w:tc>
          <w:tcPr>
            <w:tcW w:w="1591" w:type="dxa"/>
            <w:noWrap w:val="0"/>
            <w:vAlign w:val="center"/>
          </w:tcPr>
          <w:p w14:paraId="6973DA15">
            <w:pPr>
              <w:pStyle w:val="43"/>
              <w:bidi w:val="0"/>
              <w:rPr>
                <w:rFonts w:hint="default"/>
                <w:color w:val="auto"/>
                <w:lang w:val="en-US" w:eastAsia="zh-CN"/>
              </w:rPr>
            </w:pPr>
            <w:r>
              <w:rPr>
                <w:rFonts w:hint="eastAsia"/>
                <w:color w:val="auto"/>
                <w:lang w:val="en-US" w:eastAsia="zh-CN"/>
              </w:rPr>
              <w:t>原有加油站设置在服务区出口处，充电设施拟按要求设置</w:t>
            </w:r>
          </w:p>
        </w:tc>
        <w:tc>
          <w:tcPr>
            <w:tcW w:w="650" w:type="dxa"/>
            <w:noWrap w:val="0"/>
            <w:vAlign w:val="center"/>
          </w:tcPr>
          <w:p w14:paraId="2727C6D7">
            <w:pPr>
              <w:pStyle w:val="43"/>
              <w:bidi w:val="0"/>
              <w:ind w:firstLine="0" w:firstLineChars="0"/>
              <w:rPr>
                <w:rFonts w:hint="eastAsia"/>
                <w:color w:val="auto"/>
                <w:lang w:val="en-US" w:eastAsia="zh-CN"/>
              </w:rPr>
            </w:pPr>
            <w:r>
              <w:rPr>
                <w:rFonts w:hint="eastAsia"/>
                <w:color w:val="auto"/>
                <w:lang w:val="en-US" w:eastAsia="zh-CN"/>
              </w:rPr>
              <w:t>符合</w:t>
            </w:r>
          </w:p>
        </w:tc>
      </w:tr>
      <w:tr w14:paraId="4E8110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69" w:type="dxa"/>
            <w:noWrap w:val="0"/>
            <w:vAlign w:val="center"/>
          </w:tcPr>
          <w:p w14:paraId="5FC96CD2">
            <w:pPr>
              <w:pStyle w:val="43"/>
              <w:numPr>
                <w:ilvl w:val="0"/>
                <w:numId w:val="6"/>
              </w:numPr>
              <w:bidi w:val="0"/>
              <w:ind w:left="0" w:leftChars="0" w:firstLine="0" w:firstLineChars="0"/>
              <w:rPr>
                <w:rFonts w:hint="eastAsia"/>
                <w:color w:val="auto"/>
                <w:lang w:val="en-US" w:eastAsia="zh-CN"/>
              </w:rPr>
            </w:pPr>
          </w:p>
        </w:tc>
        <w:tc>
          <w:tcPr>
            <w:tcW w:w="4661" w:type="dxa"/>
            <w:noWrap w:val="0"/>
            <w:vAlign w:val="center"/>
          </w:tcPr>
          <w:p w14:paraId="45120DCF">
            <w:pPr>
              <w:pStyle w:val="43"/>
              <w:bidi w:val="0"/>
              <w:jc w:val="left"/>
              <w:rPr>
                <w:rFonts w:hint="eastAsia"/>
                <w:color w:val="auto"/>
                <w:lang w:val="en-US" w:eastAsia="zh-CN"/>
              </w:rPr>
            </w:pPr>
            <w:r>
              <w:rPr>
                <w:rFonts w:hint="eastAsia"/>
                <w:color w:val="auto"/>
                <w:lang w:val="en-US" w:eastAsia="zh-CN"/>
              </w:rPr>
              <w:t>分类要求。按照“突出重点、分类设置”的原则:</w:t>
            </w:r>
          </w:p>
          <w:p w14:paraId="17D9C8CE">
            <w:pPr>
              <w:pStyle w:val="43"/>
              <w:bidi w:val="0"/>
              <w:jc w:val="left"/>
              <w:rPr>
                <w:rFonts w:hint="eastAsia"/>
                <w:color w:val="auto"/>
                <w:lang w:val="en-US" w:eastAsia="zh-CN"/>
              </w:rPr>
            </w:pPr>
            <w:r>
              <w:rPr>
                <w:rFonts w:hint="eastAsia"/>
                <w:color w:val="auto"/>
                <w:lang w:val="en-US" w:eastAsia="zh-CN"/>
              </w:rPr>
              <w:t>将全省109对在营高速公路服务区划分为三类(详见附件一)，按照同步配套原则，分别建设相应类别的“两室”。其中，一类“两室”面积分别不低于80平方米；二类“两室”面积分别不低于60平方米；三类“两室”面积分别不低于50平方米。新建及改扩建服务区参照分类设置。</w:t>
            </w:r>
          </w:p>
        </w:tc>
        <w:tc>
          <w:tcPr>
            <w:tcW w:w="1825" w:type="dxa"/>
            <w:noWrap w:val="0"/>
            <w:vAlign w:val="center"/>
          </w:tcPr>
          <w:p w14:paraId="6E628A02">
            <w:pPr>
              <w:pStyle w:val="43"/>
              <w:bidi w:val="0"/>
              <w:ind w:firstLine="0" w:firstLineChars="0"/>
              <w:rPr>
                <w:rFonts w:hint="default"/>
                <w:color w:val="auto"/>
                <w:lang w:val="en-US" w:eastAsia="zh-CN"/>
              </w:rPr>
            </w:pPr>
            <w:r>
              <w:rPr>
                <w:rFonts w:hint="eastAsia"/>
                <w:color w:val="auto"/>
                <w:lang w:val="en-US" w:eastAsia="zh-CN"/>
              </w:rPr>
              <w:t>赣交高速字[2021]14号</w:t>
            </w:r>
          </w:p>
        </w:tc>
        <w:tc>
          <w:tcPr>
            <w:tcW w:w="1591" w:type="dxa"/>
            <w:noWrap w:val="0"/>
            <w:vAlign w:val="center"/>
          </w:tcPr>
          <w:p w14:paraId="7B3FEA10">
            <w:pPr>
              <w:pStyle w:val="43"/>
              <w:bidi w:val="0"/>
              <w:rPr>
                <w:rFonts w:hint="default"/>
                <w:color w:val="auto"/>
                <w:lang w:val="en-US" w:eastAsia="zh-CN"/>
              </w:rPr>
            </w:pPr>
            <w:r>
              <w:rPr>
                <w:rFonts w:hint="eastAsia"/>
                <w:color w:val="auto"/>
                <w:lang w:val="en-US" w:eastAsia="zh-CN"/>
              </w:rPr>
              <w:t>拟按要求设置“两室”</w:t>
            </w:r>
          </w:p>
        </w:tc>
        <w:tc>
          <w:tcPr>
            <w:tcW w:w="650" w:type="dxa"/>
            <w:noWrap w:val="0"/>
            <w:vAlign w:val="center"/>
          </w:tcPr>
          <w:p w14:paraId="310A14E2">
            <w:pPr>
              <w:pStyle w:val="43"/>
              <w:bidi w:val="0"/>
              <w:ind w:firstLine="0" w:firstLineChars="0"/>
              <w:rPr>
                <w:rFonts w:hint="default"/>
                <w:color w:val="auto"/>
                <w:lang w:val="en-US" w:eastAsia="zh-CN"/>
              </w:rPr>
            </w:pPr>
            <w:r>
              <w:rPr>
                <w:rFonts w:hint="eastAsia"/>
                <w:color w:val="auto"/>
                <w:lang w:val="en-US" w:eastAsia="zh-CN"/>
              </w:rPr>
              <w:t>符合</w:t>
            </w:r>
          </w:p>
        </w:tc>
      </w:tr>
    </w:tbl>
    <w:p w14:paraId="27D1EC13">
      <w:pPr>
        <w:bidi w:val="0"/>
        <w:rPr>
          <w:rFonts w:hint="default"/>
          <w:color w:val="auto"/>
          <w:lang w:val="en-US" w:eastAsia="zh-CN"/>
        </w:rPr>
      </w:pPr>
      <w:r>
        <w:rPr>
          <w:rFonts w:hint="eastAsia"/>
          <w:b/>
          <w:bCs/>
          <w:color w:val="auto"/>
          <w:lang w:val="en-US" w:eastAsia="zh-CN"/>
        </w:rPr>
        <w:t>评价小结</w:t>
      </w:r>
      <w:r>
        <w:rPr>
          <w:rFonts w:hint="eastAsia"/>
          <w:color w:val="auto"/>
          <w:lang w:val="en-US" w:eastAsia="zh-CN"/>
        </w:rPr>
        <w:t>：检查7项，1项未提及，6项合格，该项目总平面布置的设计项符合相关要求。</w:t>
      </w:r>
    </w:p>
    <w:p w14:paraId="17419F74">
      <w:pPr>
        <w:pStyle w:val="48"/>
        <w:bidi w:val="0"/>
        <w:rPr>
          <w:rFonts w:hint="eastAsia"/>
          <w:color w:val="auto"/>
          <w:lang w:val="en-US" w:eastAsia="zh-CN"/>
        </w:rPr>
      </w:pPr>
      <w:r>
        <w:rPr>
          <w:rFonts w:hint="eastAsia"/>
          <w:color w:val="auto"/>
          <w:lang w:val="en-US" w:eastAsia="zh-CN"/>
        </w:rPr>
        <w:t>表6.1-2服务区内建构筑物防火间距一览表</w:t>
      </w:r>
    </w:p>
    <w:tbl>
      <w:tblPr>
        <w:tblStyle w:val="33"/>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530"/>
        <w:gridCol w:w="2520"/>
        <w:gridCol w:w="990"/>
        <w:gridCol w:w="900"/>
        <w:gridCol w:w="1918"/>
        <w:gridCol w:w="742"/>
      </w:tblGrid>
      <w:tr w14:paraId="6DDDB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80" w:type="dxa"/>
            <w:gridSpan w:val="7"/>
            <w:noWrap w:val="0"/>
            <w:vAlign w:val="center"/>
          </w:tcPr>
          <w:p w14:paraId="1B076EF1">
            <w:pPr>
              <w:pStyle w:val="43"/>
              <w:bidi w:val="0"/>
              <w:jc w:val="center"/>
              <w:rPr>
                <w:rFonts w:hint="eastAsia"/>
                <w:b/>
                <w:bCs/>
                <w:color w:val="auto"/>
                <w:lang w:val="en-US" w:eastAsia="zh-CN"/>
              </w:rPr>
            </w:pPr>
            <w:r>
              <w:rPr>
                <w:rFonts w:hint="eastAsia"/>
                <w:b/>
                <w:bCs/>
                <w:color w:val="auto"/>
                <w:lang w:val="en-US" w:eastAsia="zh-CN"/>
              </w:rPr>
              <w:t>东服务区</w:t>
            </w:r>
          </w:p>
        </w:tc>
      </w:tr>
      <w:tr w14:paraId="356FE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shd w:val="clear" w:color="auto" w:fill="auto"/>
            <w:noWrap w:val="0"/>
            <w:vAlign w:val="center"/>
          </w:tcPr>
          <w:p w14:paraId="738F8E8F">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序号</w:t>
            </w:r>
          </w:p>
        </w:tc>
        <w:tc>
          <w:tcPr>
            <w:tcW w:w="1530" w:type="dxa"/>
            <w:shd w:val="clear" w:color="auto" w:fill="auto"/>
            <w:noWrap w:val="0"/>
            <w:vAlign w:val="center"/>
          </w:tcPr>
          <w:p w14:paraId="53A90F38">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建（构）筑物名称</w:t>
            </w:r>
          </w:p>
        </w:tc>
        <w:tc>
          <w:tcPr>
            <w:tcW w:w="2520" w:type="dxa"/>
            <w:shd w:val="clear" w:color="auto" w:fill="auto"/>
            <w:noWrap w:val="0"/>
            <w:vAlign w:val="center"/>
          </w:tcPr>
          <w:p w14:paraId="489143D1">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rPr>
              <w:t>相邻</w:t>
            </w:r>
            <w:r>
              <w:rPr>
                <w:rFonts w:hint="eastAsia"/>
                <w:color w:val="auto"/>
                <w:lang w:val="en-US" w:eastAsia="zh-CN"/>
              </w:rPr>
              <w:t>建（构）筑物</w:t>
            </w:r>
          </w:p>
        </w:tc>
        <w:tc>
          <w:tcPr>
            <w:tcW w:w="990" w:type="dxa"/>
            <w:shd w:val="clear" w:color="auto" w:fill="auto"/>
            <w:noWrap w:val="0"/>
            <w:vAlign w:val="center"/>
          </w:tcPr>
          <w:p w14:paraId="644C8366">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拟设距离</w:t>
            </w:r>
            <w:r>
              <w:rPr>
                <w:rFonts w:hint="eastAsia"/>
                <w:color w:val="auto"/>
              </w:rPr>
              <w:t>（m）</w:t>
            </w:r>
          </w:p>
        </w:tc>
        <w:tc>
          <w:tcPr>
            <w:tcW w:w="900" w:type="dxa"/>
            <w:shd w:val="clear" w:color="auto" w:fill="auto"/>
            <w:noWrap w:val="0"/>
            <w:vAlign w:val="center"/>
          </w:tcPr>
          <w:p w14:paraId="7F64AD0C">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标准间距（m）</w:t>
            </w:r>
          </w:p>
        </w:tc>
        <w:tc>
          <w:tcPr>
            <w:tcW w:w="1918" w:type="dxa"/>
            <w:shd w:val="clear" w:color="auto" w:fill="auto"/>
            <w:noWrap w:val="0"/>
            <w:vAlign w:val="center"/>
          </w:tcPr>
          <w:p w14:paraId="4B874788">
            <w:pPr>
              <w:pStyle w:val="43"/>
              <w:bidi w:val="0"/>
              <w:ind w:firstLine="0" w:firstLineChars="0"/>
              <w:rPr>
                <w:rFonts w:hint="default"/>
                <w:color w:val="auto"/>
                <w:lang w:val="en-US" w:eastAsia="zh-CN"/>
              </w:rPr>
            </w:pPr>
            <w:r>
              <w:rPr>
                <w:rFonts w:hint="eastAsia"/>
                <w:color w:val="auto"/>
                <w:lang w:val="en-US" w:eastAsia="zh-CN"/>
              </w:rPr>
              <w:t>引用标准</w:t>
            </w:r>
          </w:p>
        </w:tc>
        <w:tc>
          <w:tcPr>
            <w:tcW w:w="742" w:type="dxa"/>
            <w:shd w:val="clear" w:color="auto" w:fill="auto"/>
            <w:noWrap w:val="0"/>
            <w:vAlign w:val="center"/>
          </w:tcPr>
          <w:p w14:paraId="1657A686">
            <w:pPr>
              <w:pStyle w:val="43"/>
              <w:bidi w:val="0"/>
              <w:ind w:firstLine="0" w:firstLineChars="0"/>
              <w:rPr>
                <w:rFonts w:hint="eastAsia"/>
                <w:color w:val="auto"/>
                <w:lang w:val="en-US" w:eastAsia="zh-CN"/>
              </w:rPr>
            </w:pPr>
            <w:r>
              <w:rPr>
                <w:rFonts w:hint="eastAsia"/>
                <w:color w:val="auto"/>
                <w:lang w:val="en-US" w:eastAsia="zh-CN"/>
              </w:rPr>
              <w:t>结论</w:t>
            </w:r>
          </w:p>
        </w:tc>
      </w:tr>
      <w:tr w14:paraId="39EE2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noWrap w:val="0"/>
            <w:vAlign w:val="center"/>
          </w:tcPr>
          <w:p w14:paraId="556FE782">
            <w:pPr>
              <w:pStyle w:val="43"/>
              <w:bidi w:val="0"/>
              <w:rPr>
                <w:rFonts w:hint="eastAsia" w:eastAsia="宋体"/>
                <w:color w:val="auto"/>
                <w:lang w:val="en-US" w:eastAsia="zh-CN"/>
              </w:rPr>
            </w:pPr>
            <w:r>
              <w:rPr>
                <w:rFonts w:hint="eastAsia"/>
                <w:color w:val="auto"/>
                <w:lang w:val="en-US" w:eastAsia="zh-CN"/>
              </w:rPr>
              <w:t>1</w:t>
            </w:r>
          </w:p>
        </w:tc>
        <w:tc>
          <w:tcPr>
            <w:tcW w:w="1530" w:type="dxa"/>
            <w:noWrap w:val="0"/>
            <w:vAlign w:val="center"/>
          </w:tcPr>
          <w:p w14:paraId="5407DC60">
            <w:pPr>
              <w:pStyle w:val="43"/>
              <w:bidi w:val="0"/>
              <w:rPr>
                <w:rFonts w:hint="default"/>
                <w:color w:val="auto"/>
                <w:lang w:val="en-US" w:eastAsia="zh-CN"/>
              </w:rPr>
            </w:pPr>
            <w:r>
              <w:rPr>
                <w:rFonts w:hint="eastAsia"/>
                <w:color w:val="auto"/>
                <w:lang w:val="en-US" w:eastAsia="zh-CN"/>
              </w:rPr>
              <w:t>综合楼</w:t>
            </w:r>
          </w:p>
        </w:tc>
        <w:tc>
          <w:tcPr>
            <w:tcW w:w="2520" w:type="dxa"/>
            <w:noWrap w:val="0"/>
            <w:vAlign w:val="center"/>
          </w:tcPr>
          <w:p w14:paraId="2D380290">
            <w:pPr>
              <w:pStyle w:val="43"/>
              <w:bidi w:val="0"/>
              <w:rPr>
                <w:rFonts w:hint="default" w:eastAsia="宋体"/>
                <w:color w:val="auto"/>
                <w:lang w:val="en-US" w:eastAsia="zh-CN"/>
              </w:rPr>
            </w:pPr>
            <w:r>
              <w:rPr>
                <w:rFonts w:hint="eastAsia"/>
                <w:color w:val="auto"/>
                <w:lang w:val="en-US" w:eastAsia="zh-CN"/>
              </w:rPr>
              <w:t>充电停车位</w:t>
            </w:r>
          </w:p>
        </w:tc>
        <w:tc>
          <w:tcPr>
            <w:tcW w:w="990" w:type="dxa"/>
            <w:noWrap w:val="0"/>
            <w:vAlign w:val="center"/>
          </w:tcPr>
          <w:p w14:paraId="637D4D14">
            <w:pPr>
              <w:pStyle w:val="43"/>
              <w:bidi w:val="0"/>
              <w:rPr>
                <w:rFonts w:hint="default"/>
                <w:color w:val="auto"/>
                <w:lang w:val="en-US" w:eastAsia="zh-CN"/>
              </w:rPr>
            </w:pPr>
            <w:r>
              <w:rPr>
                <w:rFonts w:hint="eastAsia"/>
                <w:color w:val="auto"/>
                <w:lang w:val="en-US" w:eastAsia="zh-CN"/>
              </w:rPr>
              <w:t>19.8</w:t>
            </w:r>
          </w:p>
        </w:tc>
        <w:tc>
          <w:tcPr>
            <w:tcW w:w="900" w:type="dxa"/>
            <w:noWrap w:val="0"/>
            <w:vAlign w:val="center"/>
          </w:tcPr>
          <w:p w14:paraId="74AFD759">
            <w:pPr>
              <w:pStyle w:val="43"/>
              <w:bidi w:val="0"/>
              <w:rPr>
                <w:rFonts w:hint="default"/>
                <w:color w:val="auto"/>
                <w:lang w:val="en-US" w:eastAsia="zh-CN"/>
              </w:rPr>
            </w:pPr>
            <w:r>
              <w:rPr>
                <w:rFonts w:hint="eastAsia"/>
                <w:color w:val="auto"/>
                <w:lang w:val="en-US" w:eastAsia="zh-CN"/>
              </w:rPr>
              <w:t>10</w:t>
            </w:r>
          </w:p>
        </w:tc>
        <w:tc>
          <w:tcPr>
            <w:tcW w:w="1918" w:type="dxa"/>
            <w:noWrap w:val="0"/>
            <w:vAlign w:val="center"/>
          </w:tcPr>
          <w:p w14:paraId="510C624E">
            <w:pPr>
              <w:pStyle w:val="43"/>
              <w:bidi w:val="0"/>
              <w:rPr>
                <w:rFonts w:hint="eastAsia"/>
                <w:color w:val="auto"/>
                <w:lang w:val="en-US" w:eastAsia="zh-CN"/>
              </w:rPr>
            </w:pPr>
            <w:r>
              <w:rPr>
                <w:rFonts w:hint="eastAsia"/>
                <w:color w:val="auto"/>
                <w:lang w:val="en-US" w:eastAsia="zh-CN"/>
              </w:rPr>
              <w:t>GB50966-2014</w:t>
            </w:r>
          </w:p>
          <w:p w14:paraId="0976E822">
            <w:pPr>
              <w:pStyle w:val="43"/>
              <w:bidi w:val="0"/>
              <w:rPr>
                <w:rFonts w:hint="eastAsia"/>
                <w:color w:val="auto"/>
                <w:lang w:val="en-US" w:eastAsia="zh-CN"/>
              </w:rPr>
            </w:pPr>
            <w:r>
              <w:rPr>
                <w:rFonts w:hint="eastAsia"/>
                <w:color w:val="auto"/>
                <w:lang w:val="en-US" w:eastAsia="zh-CN"/>
              </w:rPr>
              <w:t>3.2.4</w:t>
            </w:r>
          </w:p>
          <w:p w14:paraId="7B8D25C7">
            <w:pPr>
              <w:pStyle w:val="43"/>
              <w:bidi w:val="0"/>
              <w:rPr>
                <w:rFonts w:hint="eastAsia"/>
                <w:color w:val="auto"/>
                <w:lang w:val="en-US" w:eastAsia="zh-CN"/>
              </w:rPr>
            </w:pPr>
            <w:r>
              <w:rPr>
                <w:rFonts w:hint="eastAsia"/>
                <w:color w:val="auto"/>
                <w:lang w:val="en-US" w:eastAsia="zh-CN"/>
              </w:rPr>
              <w:t>GB50016-2014</w:t>
            </w:r>
          </w:p>
          <w:p w14:paraId="71AF487A">
            <w:pPr>
              <w:pStyle w:val="43"/>
              <w:bidi w:val="0"/>
              <w:rPr>
                <w:rFonts w:hint="eastAsia"/>
                <w:color w:val="auto"/>
                <w:lang w:val="en-US" w:eastAsia="zh-CN"/>
              </w:rPr>
            </w:pPr>
            <w:r>
              <w:rPr>
                <w:rFonts w:hint="eastAsia"/>
                <w:color w:val="auto"/>
                <w:lang w:val="en-US" w:eastAsia="zh-CN"/>
              </w:rPr>
              <w:t>(2018年版）</w:t>
            </w:r>
          </w:p>
          <w:p w14:paraId="099103B2">
            <w:pPr>
              <w:pStyle w:val="43"/>
              <w:bidi w:val="0"/>
              <w:rPr>
                <w:rFonts w:hint="default"/>
                <w:color w:val="auto"/>
                <w:lang w:val="en-US" w:eastAsia="zh-CN"/>
              </w:rPr>
            </w:pPr>
            <w:r>
              <w:rPr>
                <w:rFonts w:hint="eastAsia"/>
                <w:color w:val="auto"/>
                <w:lang w:val="en-US" w:eastAsia="zh-CN"/>
              </w:rPr>
              <w:t>3.4.1</w:t>
            </w:r>
          </w:p>
        </w:tc>
        <w:tc>
          <w:tcPr>
            <w:tcW w:w="742" w:type="dxa"/>
            <w:noWrap w:val="0"/>
            <w:vAlign w:val="center"/>
          </w:tcPr>
          <w:p w14:paraId="58CA1A8B">
            <w:pPr>
              <w:pStyle w:val="43"/>
              <w:bidi w:val="0"/>
              <w:rPr>
                <w:rFonts w:hint="default"/>
                <w:color w:val="auto"/>
                <w:lang w:val="en-US" w:eastAsia="zh-CN"/>
              </w:rPr>
            </w:pPr>
            <w:r>
              <w:rPr>
                <w:rFonts w:hint="eastAsia"/>
                <w:color w:val="auto"/>
                <w:lang w:val="en-US" w:eastAsia="zh-CN"/>
              </w:rPr>
              <w:t>合格</w:t>
            </w:r>
          </w:p>
        </w:tc>
      </w:tr>
      <w:tr w14:paraId="529D7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noWrap w:val="0"/>
            <w:vAlign w:val="center"/>
          </w:tcPr>
          <w:p w14:paraId="77776BEC">
            <w:pPr>
              <w:pStyle w:val="43"/>
              <w:bidi w:val="0"/>
              <w:rPr>
                <w:rFonts w:hint="eastAsia" w:eastAsia="宋体"/>
                <w:color w:val="auto"/>
                <w:lang w:val="en-US" w:eastAsia="zh-CN"/>
              </w:rPr>
            </w:pPr>
            <w:r>
              <w:rPr>
                <w:rFonts w:hint="eastAsia"/>
                <w:color w:val="auto"/>
                <w:lang w:val="en-US" w:eastAsia="zh-CN"/>
              </w:rPr>
              <w:t>2</w:t>
            </w:r>
          </w:p>
        </w:tc>
        <w:tc>
          <w:tcPr>
            <w:tcW w:w="1530" w:type="dxa"/>
            <w:noWrap w:val="0"/>
            <w:vAlign w:val="center"/>
          </w:tcPr>
          <w:p w14:paraId="1A93A863">
            <w:pPr>
              <w:pStyle w:val="43"/>
              <w:bidi w:val="0"/>
              <w:rPr>
                <w:rFonts w:hint="default"/>
                <w:color w:val="auto"/>
                <w:lang w:val="en-US" w:eastAsia="zh-CN"/>
              </w:rPr>
            </w:pPr>
            <w:r>
              <w:rPr>
                <w:rFonts w:hint="eastAsia"/>
                <w:color w:val="auto"/>
                <w:sz w:val="21"/>
                <w:szCs w:val="21"/>
                <w:lang w:val="en-US" w:eastAsia="zh-CN"/>
              </w:rPr>
              <w:t>综合楼</w:t>
            </w:r>
          </w:p>
        </w:tc>
        <w:tc>
          <w:tcPr>
            <w:tcW w:w="2520" w:type="dxa"/>
            <w:noWrap w:val="0"/>
            <w:vAlign w:val="center"/>
          </w:tcPr>
          <w:p w14:paraId="0D31B74F">
            <w:pPr>
              <w:pStyle w:val="43"/>
              <w:bidi w:val="0"/>
              <w:rPr>
                <w:rFonts w:hint="default"/>
                <w:color w:val="auto"/>
                <w:lang w:val="en-US" w:eastAsia="zh-CN"/>
              </w:rPr>
            </w:pPr>
            <w:r>
              <w:rPr>
                <w:rFonts w:hint="eastAsia"/>
                <w:color w:val="auto"/>
                <w:lang w:val="en-US" w:eastAsia="zh-CN"/>
              </w:rPr>
              <w:t>修车库</w:t>
            </w:r>
          </w:p>
        </w:tc>
        <w:tc>
          <w:tcPr>
            <w:tcW w:w="990" w:type="dxa"/>
            <w:noWrap w:val="0"/>
            <w:vAlign w:val="center"/>
          </w:tcPr>
          <w:p w14:paraId="03D0361B">
            <w:pPr>
              <w:pStyle w:val="43"/>
              <w:bidi w:val="0"/>
              <w:rPr>
                <w:rFonts w:hint="default"/>
                <w:color w:val="auto"/>
                <w:lang w:val="en-US" w:eastAsia="zh-CN"/>
              </w:rPr>
            </w:pPr>
            <w:r>
              <w:rPr>
                <w:rFonts w:hint="eastAsia"/>
                <w:color w:val="auto"/>
                <w:lang w:val="en-US" w:eastAsia="zh-CN"/>
              </w:rPr>
              <w:t>74.9</w:t>
            </w:r>
          </w:p>
        </w:tc>
        <w:tc>
          <w:tcPr>
            <w:tcW w:w="900" w:type="dxa"/>
            <w:noWrap w:val="0"/>
            <w:vAlign w:val="center"/>
          </w:tcPr>
          <w:p w14:paraId="725F0C63">
            <w:pPr>
              <w:pStyle w:val="43"/>
              <w:bidi w:val="0"/>
              <w:rPr>
                <w:rFonts w:hint="default"/>
                <w:color w:val="auto"/>
                <w:lang w:val="en-US" w:eastAsia="zh-CN"/>
              </w:rPr>
            </w:pPr>
            <w:r>
              <w:rPr>
                <w:rFonts w:hint="eastAsia"/>
                <w:color w:val="auto"/>
                <w:lang w:val="en-US" w:eastAsia="zh-CN"/>
              </w:rPr>
              <w:t>6</w:t>
            </w:r>
          </w:p>
        </w:tc>
        <w:tc>
          <w:tcPr>
            <w:tcW w:w="1918" w:type="dxa"/>
            <w:noWrap w:val="0"/>
            <w:vAlign w:val="center"/>
          </w:tcPr>
          <w:p w14:paraId="5B097DA9">
            <w:pPr>
              <w:pStyle w:val="43"/>
              <w:bidi w:val="0"/>
              <w:rPr>
                <w:rFonts w:hint="eastAsia"/>
                <w:color w:val="auto"/>
                <w:lang w:val="en-US" w:eastAsia="zh-CN"/>
              </w:rPr>
            </w:pPr>
            <w:r>
              <w:rPr>
                <w:rFonts w:hint="eastAsia"/>
                <w:color w:val="auto"/>
                <w:lang w:val="en-US" w:eastAsia="zh-CN"/>
              </w:rPr>
              <w:t>GB50016-2014</w:t>
            </w:r>
          </w:p>
          <w:p w14:paraId="0A44AA43">
            <w:pPr>
              <w:pStyle w:val="43"/>
              <w:bidi w:val="0"/>
              <w:rPr>
                <w:rFonts w:hint="eastAsia"/>
                <w:color w:val="auto"/>
                <w:lang w:val="en-US" w:eastAsia="zh-CN"/>
              </w:rPr>
            </w:pPr>
            <w:r>
              <w:rPr>
                <w:rFonts w:hint="eastAsia"/>
                <w:color w:val="auto"/>
                <w:lang w:val="en-US" w:eastAsia="zh-CN"/>
              </w:rPr>
              <w:t>(2018年版）</w:t>
            </w:r>
          </w:p>
          <w:p w14:paraId="0941E353">
            <w:pPr>
              <w:pStyle w:val="43"/>
              <w:bidi w:val="0"/>
              <w:rPr>
                <w:rFonts w:hint="default"/>
                <w:color w:val="auto"/>
                <w:lang w:val="en-US" w:eastAsia="zh-CN"/>
              </w:rPr>
            </w:pPr>
            <w:r>
              <w:rPr>
                <w:rFonts w:hint="eastAsia"/>
                <w:color w:val="auto"/>
                <w:lang w:val="en-US" w:eastAsia="zh-CN"/>
              </w:rPr>
              <w:t>5.2.2</w:t>
            </w:r>
          </w:p>
        </w:tc>
        <w:tc>
          <w:tcPr>
            <w:tcW w:w="742" w:type="dxa"/>
            <w:noWrap w:val="0"/>
            <w:vAlign w:val="center"/>
          </w:tcPr>
          <w:p w14:paraId="50EC676A">
            <w:pPr>
              <w:pStyle w:val="43"/>
              <w:bidi w:val="0"/>
              <w:rPr>
                <w:rFonts w:hint="default"/>
                <w:color w:val="auto"/>
                <w:lang w:val="en-US" w:eastAsia="zh-CN"/>
              </w:rPr>
            </w:pPr>
            <w:r>
              <w:rPr>
                <w:rFonts w:hint="eastAsia"/>
                <w:color w:val="auto"/>
                <w:lang w:val="en-US" w:eastAsia="zh-CN"/>
              </w:rPr>
              <w:t>合格</w:t>
            </w:r>
          </w:p>
        </w:tc>
      </w:tr>
      <w:tr w14:paraId="78DCB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noWrap w:val="0"/>
            <w:vAlign w:val="center"/>
          </w:tcPr>
          <w:p w14:paraId="3251D5D1">
            <w:pPr>
              <w:pStyle w:val="43"/>
              <w:bidi w:val="0"/>
              <w:rPr>
                <w:rFonts w:hint="eastAsia" w:eastAsia="宋体"/>
                <w:color w:val="auto"/>
                <w:lang w:val="en-US" w:eastAsia="zh-CN"/>
              </w:rPr>
            </w:pPr>
            <w:r>
              <w:rPr>
                <w:rFonts w:hint="eastAsia"/>
                <w:color w:val="auto"/>
                <w:lang w:val="en-US" w:eastAsia="zh-CN"/>
              </w:rPr>
              <w:t>3</w:t>
            </w:r>
          </w:p>
        </w:tc>
        <w:tc>
          <w:tcPr>
            <w:tcW w:w="1530" w:type="dxa"/>
            <w:noWrap w:val="0"/>
            <w:vAlign w:val="center"/>
          </w:tcPr>
          <w:p w14:paraId="587B003C">
            <w:pPr>
              <w:pStyle w:val="43"/>
              <w:bidi w:val="0"/>
              <w:rPr>
                <w:rFonts w:hint="default"/>
                <w:color w:val="auto"/>
                <w:lang w:val="en-US" w:eastAsia="zh-CN"/>
              </w:rPr>
            </w:pPr>
            <w:r>
              <w:rPr>
                <w:rFonts w:hint="eastAsia"/>
                <w:color w:val="auto"/>
                <w:sz w:val="21"/>
                <w:szCs w:val="21"/>
                <w:lang w:val="en-US" w:eastAsia="zh-CN"/>
              </w:rPr>
              <w:t>综合楼</w:t>
            </w:r>
          </w:p>
        </w:tc>
        <w:tc>
          <w:tcPr>
            <w:tcW w:w="2520" w:type="dxa"/>
            <w:noWrap w:val="0"/>
            <w:vAlign w:val="center"/>
          </w:tcPr>
          <w:p w14:paraId="1C8A059A">
            <w:pPr>
              <w:pStyle w:val="43"/>
              <w:bidi w:val="0"/>
              <w:rPr>
                <w:rFonts w:hint="default"/>
                <w:color w:val="auto"/>
                <w:lang w:val="en-US" w:eastAsia="zh-CN"/>
              </w:rPr>
            </w:pPr>
            <w:r>
              <w:rPr>
                <w:rFonts w:hint="eastAsia"/>
                <w:color w:val="auto"/>
                <w:lang w:val="en-US" w:eastAsia="zh-CN"/>
              </w:rPr>
              <w:t>设备用房</w:t>
            </w:r>
          </w:p>
        </w:tc>
        <w:tc>
          <w:tcPr>
            <w:tcW w:w="990" w:type="dxa"/>
            <w:noWrap w:val="0"/>
            <w:vAlign w:val="center"/>
          </w:tcPr>
          <w:p w14:paraId="03A03DD6">
            <w:pPr>
              <w:pStyle w:val="43"/>
              <w:bidi w:val="0"/>
              <w:rPr>
                <w:rFonts w:hint="default"/>
                <w:color w:val="auto"/>
                <w:lang w:val="en-US" w:eastAsia="zh-CN"/>
              </w:rPr>
            </w:pPr>
            <w:r>
              <w:rPr>
                <w:rFonts w:hint="eastAsia"/>
                <w:color w:val="auto"/>
                <w:lang w:val="en-US" w:eastAsia="zh-CN"/>
              </w:rPr>
              <w:t>72.8</w:t>
            </w:r>
          </w:p>
        </w:tc>
        <w:tc>
          <w:tcPr>
            <w:tcW w:w="900" w:type="dxa"/>
            <w:noWrap w:val="0"/>
            <w:vAlign w:val="center"/>
          </w:tcPr>
          <w:p w14:paraId="42CA88EF">
            <w:pPr>
              <w:pStyle w:val="43"/>
              <w:bidi w:val="0"/>
              <w:rPr>
                <w:rFonts w:hint="default"/>
                <w:color w:val="auto"/>
                <w:lang w:val="en-US" w:eastAsia="zh-CN"/>
              </w:rPr>
            </w:pPr>
            <w:r>
              <w:rPr>
                <w:rFonts w:hint="eastAsia"/>
                <w:color w:val="auto"/>
                <w:lang w:val="en-US" w:eastAsia="zh-CN"/>
              </w:rPr>
              <w:t>6</w:t>
            </w:r>
          </w:p>
        </w:tc>
        <w:tc>
          <w:tcPr>
            <w:tcW w:w="1918" w:type="dxa"/>
            <w:noWrap w:val="0"/>
            <w:vAlign w:val="center"/>
          </w:tcPr>
          <w:p w14:paraId="04C938AC">
            <w:pPr>
              <w:pStyle w:val="43"/>
              <w:bidi w:val="0"/>
              <w:rPr>
                <w:rFonts w:hint="eastAsia"/>
                <w:color w:val="auto"/>
                <w:lang w:val="en-US" w:eastAsia="zh-CN"/>
              </w:rPr>
            </w:pPr>
            <w:r>
              <w:rPr>
                <w:rFonts w:hint="eastAsia"/>
                <w:color w:val="auto"/>
                <w:lang w:val="en-US" w:eastAsia="zh-CN"/>
              </w:rPr>
              <w:t>GB50016-2014</w:t>
            </w:r>
          </w:p>
          <w:p w14:paraId="58B19374">
            <w:pPr>
              <w:pStyle w:val="43"/>
              <w:bidi w:val="0"/>
              <w:rPr>
                <w:rFonts w:hint="eastAsia"/>
                <w:color w:val="auto"/>
                <w:lang w:val="en-US" w:eastAsia="zh-CN"/>
              </w:rPr>
            </w:pPr>
            <w:r>
              <w:rPr>
                <w:rFonts w:hint="eastAsia"/>
                <w:color w:val="auto"/>
                <w:lang w:val="en-US" w:eastAsia="zh-CN"/>
              </w:rPr>
              <w:t>(2018年版）</w:t>
            </w:r>
          </w:p>
          <w:p w14:paraId="6EA5AAA1">
            <w:pPr>
              <w:pStyle w:val="43"/>
              <w:bidi w:val="0"/>
              <w:rPr>
                <w:rFonts w:hint="default"/>
                <w:color w:val="auto"/>
                <w:lang w:val="en-US" w:eastAsia="zh-CN"/>
              </w:rPr>
            </w:pPr>
            <w:r>
              <w:rPr>
                <w:rFonts w:hint="eastAsia"/>
                <w:color w:val="auto"/>
                <w:lang w:val="en-US" w:eastAsia="zh-CN"/>
              </w:rPr>
              <w:t>5.2.2</w:t>
            </w:r>
          </w:p>
        </w:tc>
        <w:tc>
          <w:tcPr>
            <w:tcW w:w="742" w:type="dxa"/>
            <w:noWrap w:val="0"/>
            <w:vAlign w:val="center"/>
          </w:tcPr>
          <w:p w14:paraId="578AD1DE">
            <w:pPr>
              <w:pStyle w:val="43"/>
              <w:bidi w:val="0"/>
              <w:rPr>
                <w:rFonts w:hint="eastAsia"/>
                <w:color w:val="auto"/>
                <w:lang w:val="en-US" w:eastAsia="zh-CN"/>
              </w:rPr>
            </w:pPr>
            <w:r>
              <w:rPr>
                <w:rFonts w:hint="eastAsia"/>
                <w:color w:val="auto"/>
                <w:lang w:val="en-US" w:eastAsia="zh-CN"/>
              </w:rPr>
              <w:t>合格</w:t>
            </w:r>
          </w:p>
        </w:tc>
      </w:tr>
      <w:tr w14:paraId="097C6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noWrap w:val="0"/>
            <w:vAlign w:val="center"/>
          </w:tcPr>
          <w:p w14:paraId="0C2E26F8">
            <w:pPr>
              <w:pStyle w:val="43"/>
              <w:bidi w:val="0"/>
              <w:rPr>
                <w:rFonts w:hint="eastAsia" w:eastAsia="宋体"/>
                <w:color w:val="auto"/>
                <w:lang w:val="en-US" w:eastAsia="zh-CN"/>
              </w:rPr>
            </w:pPr>
            <w:r>
              <w:rPr>
                <w:rFonts w:hint="eastAsia"/>
                <w:color w:val="auto"/>
                <w:lang w:val="en-US" w:eastAsia="zh-CN"/>
              </w:rPr>
              <w:t>4</w:t>
            </w:r>
          </w:p>
        </w:tc>
        <w:tc>
          <w:tcPr>
            <w:tcW w:w="1530" w:type="dxa"/>
            <w:shd w:val="clear" w:color="auto" w:fill="auto"/>
            <w:noWrap w:val="0"/>
            <w:vAlign w:val="center"/>
          </w:tcPr>
          <w:p w14:paraId="7EDBADE7">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sz w:val="21"/>
                <w:szCs w:val="21"/>
                <w:lang w:val="en-US" w:eastAsia="zh-CN"/>
              </w:rPr>
              <w:t>综合楼</w:t>
            </w:r>
          </w:p>
        </w:tc>
        <w:tc>
          <w:tcPr>
            <w:tcW w:w="2520" w:type="dxa"/>
            <w:shd w:val="clear" w:color="auto" w:fill="auto"/>
            <w:noWrap w:val="0"/>
            <w:vAlign w:val="center"/>
          </w:tcPr>
          <w:p w14:paraId="47F1B48A">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畜产、危险品车位</w:t>
            </w:r>
          </w:p>
        </w:tc>
        <w:tc>
          <w:tcPr>
            <w:tcW w:w="990" w:type="dxa"/>
            <w:shd w:val="clear" w:color="auto" w:fill="auto"/>
            <w:noWrap w:val="0"/>
            <w:vAlign w:val="center"/>
          </w:tcPr>
          <w:p w14:paraId="35945FC4">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66.9</w:t>
            </w:r>
          </w:p>
        </w:tc>
        <w:tc>
          <w:tcPr>
            <w:tcW w:w="900" w:type="dxa"/>
            <w:shd w:val="clear" w:color="auto" w:fill="auto"/>
            <w:noWrap w:val="0"/>
            <w:vAlign w:val="center"/>
          </w:tcPr>
          <w:p w14:paraId="0C42562C">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25</w:t>
            </w:r>
          </w:p>
        </w:tc>
        <w:tc>
          <w:tcPr>
            <w:tcW w:w="1918" w:type="dxa"/>
            <w:shd w:val="clear" w:color="auto" w:fill="auto"/>
            <w:noWrap w:val="0"/>
            <w:vAlign w:val="center"/>
          </w:tcPr>
          <w:p w14:paraId="5A7443EB">
            <w:pPr>
              <w:pStyle w:val="43"/>
              <w:bidi w:val="0"/>
              <w:rPr>
                <w:rFonts w:hint="default"/>
                <w:color w:val="auto"/>
                <w:lang w:val="en-US" w:eastAsia="zh-CN"/>
              </w:rPr>
            </w:pPr>
            <w:r>
              <w:rPr>
                <w:rFonts w:hint="eastAsia"/>
                <w:color w:val="auto"/>
                <w:lang w:val="en-US" w:eastAsia="zh-CN"/>
              </w:rPr>
              <w:t>GB50067-2014</w:t>
            </w:r>
          </w:p>
          <w:p w14:paraId="4AB062ED">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4.2.5</w:t>
            </w:r>
          </w:p>
        </w:tc>
        <w:tc>
          <w:tcPr>
            <w:tcW w:w="742" w:type="dxa"/>
            <w:noWrap w:val="0"/>
            <w:vAlign w:val="center"/>
          </w:tcPr>
          <w:p w14:paraId="25785ADD">
            <w:pPr>
              <w:pStyle w:val="43"/>
              <w:bidi w:val="0"/>
              <w:rPr>
                <w:rFonts w:hint="default"/>
                <w:color w:val="auto"/>
                <w:lang w:val="en-US" w:eastAsia="zh-CN"/>
              </w:rPr>
            </w:pPr>
            <w:r>
              <w:rPr>
                <w:rFonts w:hint="eastAsia"/>
                <w:color w:val="auto"/>
                <w:lang w:val="en-US" w:eastAsia="zh-CN"/>
              </w:rPr>
              <w:t>合格</w:t>
            </w:r>
          </w:p>
        </w:tc>
      </w:tr>
      <w:tr w14:paraId="3613D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80" w:type="dxa"/>
            <w:gridSpan w:val="7"/>
            <w:noWrap w:val="0"/>
            <w:vAlign w:val="center"/>
          </w:tcPr>
          <w:p w14:paraId="1E0856BF">
            <w:pPr>
              <w:pStyle w:val="43"/>
              <w:bidi w:val="0"/>
              <w:rPr>
                <w:rFonts w:hint="eastAsia"/>
                <w:b/>
                <w:bCs/>
                <w:color w:val="auto"/>
                <w:lang w:val="en-US" w:eastAsia="zh-CN"/>
              </w:rPr>
            </w:pPr>
            <w:r>
              <w:rPr>
                <w:rFonts w:hint="eastAsia"/>
                <w:b/>
                <w:bCs/>
                <w:color w:val="auto"/>
                <w:lang w:val="en-US" w:eastAsia="zh-CN"/>
              </w:rPr>
              <w:t>西服务区</w:t>
            </w:r>
          </w:p>
        </w:tc>
      </w:tr>
      <w:tr w14:paraId="66CCC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shd w:val="clear" w:color="auto" w:fill="auto"/>
            <w:noWrap w:val="0"/>
            <w:vAlign w:val="center"/>
          </w:tcPr>
          <w:p w14:paraId="524A5FAB">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序号</w:t>
            </w:r>
          </w:p>
        </w:tc>
        <w:tc>
          <w:tcPr>
            <w:tcW w:w="1530" w:type="dxa"/>
            <w:shd w:val="clear" w:color="auto" w:fill="auto"/>
            <w:noWrap w:val="0"/>
            <w:vAlign w:val="center"/>
          </w:tcPr>
          <w:p w14:paraId="6577C300">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建（构）筑物名称</w:t>
            </w:r>
          </w:p>
        </w:tc>
        <w:tc>
          <w:tcPr>
            <w:tcW w:w="2520" w:type="dxa"/>
            <w:shd w:val="clear" w:color="auto" w:fill="auto"/>
            <w:noWrap w:val="0"/>
            <w:vAlign w:val="center"/>
          </w:tcPr>
          <w:p w14:paraId="6AD7EAA2">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rPr>
              <w:t>相邻设施</w:t>
            </w:r>
          </w:p>
        </w:tc>
        <w:tc>
          <w:tcPr>
            <w:tcW w:w="990" w:type="dxa"/>
            <w:shd w:val="clear" w:color="auto" w:fill="auto"/>
            <w:noWrap w:val="0"/>
            <w:vAlign w:val="center"/>
          </w:tcPr>
          <w:p w14:paraId="2DCB4391">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拟设距离</w:t>
            </w:r>
            <w:r>
              <w:rPr>
                <w:rFonts w:hint="eastAsia"/>
                <w:color w:val="auto"/>
              </w:rPr>
              <w:t>（m）</w:t>
            </w:r>
          </w:p>
        </w:tc>
        <w:tc>
          <w:tcPr>
            <w:tcW w:w="900" w:type="dxa"/>
            <w:shd w:val="clear" w:color="auto" w:fill="auto"/>
            <w:noWrap w:val="0"/>
            <w:vAlign w:val="center"/>
          </w:tcPr>
          <w:p w14:paraId="3E965779">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标注间距（m）</w:t>
            </w:r>
          </w:p>
        </w:tc>
        <w:tc>
          <w:tcPr>
            <w:tcW w:w="1918" w:type="dxa"/>
            <w:shd w:val="clear" w:color="auto" w:fill="auto"/>
            <w:noWrap w:val="0"/>
            <w:vAlign w:val="center"/>
          </w:tcPr>
          <w:p w14:paraId="242AF667">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引用标准</w:t>
            </w:r>
          </w:p>
        </w:tc>
        <w:tc>
          <w:tcPr>
            <w:tcW w:w="742" w:type="dxa"/>
            <w:shd w:val="clear" w:color="auto" w:fill="auto"/>
            <w:noWrap w:val="0"/>
            <w:vAlign w:val="center"/>
          </w:tcPr>
          <w:p w14:paraId="740F9285">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结论</w:t>
            </w:r>
          </w:p>
        </w:tc>
      </w:tr>
      <w:tr w14:paraId="1FE1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noWrap w:val="0"/>
            <w:vAlign w:val="center"/>
          </w:tcPr>
          <w:p w14:paraId="73CD2E7E">
            <w:pPr>
              <w:pStyle w:val="43"/>
              <w:bidi w:val="0"/>
              <w:rPr>
                <w:rFonts w:hint="eastAsia" w:eastAsia="宋体"/>
                <w:color w:val="auto"/>
                <w:lang w:val="en-US" w:eastAsia="zh-CN"/>
              </w:rPr>
            </w:pPr>
            <w:r>
              <w:rPr>
                <w:rFonts w:hint="eastAsia"/>
                <w:color w:val="auto"/>
                <w:lang w:val="en-US" w:eastAsia="zh-CN"/>
              </w:rPr>
              <w:t>1</w:t>
            </w:r>
          </w:p>
        </w:tc>
        <w:tc>
          <w:tcPr>
            <w:tcW w:w="1530" w:type="dxa"/>
            <w:shd w:val="clear" w:color="auto" w:fill="auto"/>
            <w:noWrap w:val="0"/>
            <w:vAlign w:val="center"/>
          </w:tcPr>
          <w:p w14:paraId="03F81138">
            <w:pPr>
              <w:pStyle w:val="43"/>
              <w:bidi w:val="0"/>
              <w:rPr>
                <w:rFonts w:hint="default"/>
                <w:color w:val="auto"/>
                <w:lang w:val="en-US" w:eastAsia="zh-CN"/>
              </w:rPr>
            </w:pPr>
            <w:r>
              <w:rPr>
                <w:rFonts w:hint="eastAsia"/>
                <w:color w:val="auto"/>
                <w:lang w:val="en-US" w:eastAsia="zh-CN"/>
              </w:rPr>
              <w:t>综合楼</w:t>
            </w:r>
          </w:p>
        </w:tc>
        <w:tc>
          <w:tcPr>
            <w:tcW w:w="2520" w:type="dxa"/>
            <w:shd w:val="clear" w:color="auto" w:fill="auto"/>
            <w:noWrap w:val="0"/>
            <w:vAlign w:val="center"/>
          </w:tcPr>
          <w:p w14:paraId="3350A86C">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充电停车位</w:t>
            </w:r>
          </w:p>
        </w:tc>
        <w:tc>
          <w:tcPr>
            <w:tcW w:w="990" w:type="dxa"/>
            <w:noWrap w:val="0"/>
            <w:vAlign w:val="center"/>
          </w:tcPr>
          <w:p w14:paraId="4E1E1788">
            <w:pPr>
              <w:pStyle w:val="43"/>
              <w:bidi w:val="0"/>
              <w:rPr>
                <w:rFonts w:hint="default"/>
                <w:color w:val="auto"/>
                <w:lang w:val="en-US" w:eastAsia="zh-CN"/>
              </w:rPr>
            </w:pPr>
            <w:r>
              <w:rPr>
                <w:rFonts w:hint="eastAsia"/>
                <w:color w:val="auto"/>
                <w:lang w:val="en-US" w:eastAsia="zh-CN"/>
              </w:rPr>
              <w:t>18</w:t>
            </w:r>
          </w:p>
        </w:tc>
        <w:tc>
          <w:tcPr>
            <w:tcW w:w="900" w:type="dxa"/>
            <w:noWrap w:val="0"/>
            <w:vAlign w:val="center"/>
          </w:tcPr>
          <w:p w14:paraId="283A2E4A">
            <w:pPr>
              <w:pStyle w:val="43"/>
              <w:bidi w:val="0"/>
              <w:rPr>
                <w:rFonts w:hint="default"/>
                <w:color w:val="auto"/>
                <w:lang w:val="en-US" w:eastAsia="zh-CN"/>
              </w:rPr>
            </w:pPr>
            <w:r>
              <w:rPr>
                <w:rFonts w:hint="eastAsia"/>
                <w:color w:val="auto"/>
                <w:lang w:val="en-US" w:eastAsia="zh-CN"/>
              </w:rPr>
              <w:t>10</w:t>
            </w:r>
          </w:p>
        </w:tc>
        <w:tc>
          <w:tcPr>
            <w:tcW w:w="1918" w:type="dxa"/>
            <w:noWrap w:val="0"/>
            <w:vAlign w:val="center"/>
          </w:tcPr>
          <w:p w14:paraId="3EE5CD5F">
            <w:pPr>
              <w:pStyle w:val="43"/>
              <w:bidi w:val="0"/>
              <w:rPr>
                <w:rFonts w:hint="eastAsia"/>
                <w:color w:val="auto"/>
                <w:lang w:val="en-US" w:eastAsia="zh-CN"/>
              </w:rPr>
            </w:pPr>
            <w:r>
              <w:rPr>
                <w:rFonts w:hint="eastAsia"/>
                <w:color w:val="auto"/>
                <w:lang w:val="en-US" w:eastAsia="zh-CN"/>
              </w:rPr>
              <w:t>GB50966-2014</w:t>
            </w:r>
          </w:p>
          <w:p w14:paraId="664CCAB6">
            <w:pPr>
              <w:pStyle w:val="43"/>
              <w:bidi w:val="0"/>
              <w:rPr>
                <w:rFonts w:hint="eastAsia"/>
                <w:color w:val="auto"/>
                <w:lang w:val="en-US" w:eastAsia="zh-CN"/>
              </w:rPr>
            </w:pPr>
            <w:r>
              <w:rPr>
                <w:rFonts w:hint="eastAsia"/>
                <w:color w:val="auto"/>
                <w:lang w:val="en-US" w:eastAsia="zh-CN"/>
              </w:rPr>
              <w:t>3.2.4</w:t>
            </w:r>
          </w:p>
          <w:p w14:paraId="36491621">
            <w:pPr>
              <w:pStyle w:val="43"/>
              <w:bidi w:val="0"/>
              <w:rPr>
                <w:rFonts w:hint="eastAsia"/>
                <w:color w:val="auto"/>
                <w:lang w:val="en-US" w:eastAsia="zh-CN"/>
              </w:rPr>
            </w:pPr>
            <w:r>
              <w:rPr>
                <w:rFonts w:hint="eastAsia"/>
                <w:color w:val="auto"/>
                <w:lang w:val="en-US" w:eastAsia="zh-CN"/>
              </w:rPr>
              <w:t>GB50016-2014</w:t>
            </w:r>
          </w:p>
          <w:p w14:paraId="0AB86782">
            <w:pPr>
              <w:pStyle w:val="43"/>
              <w:bidi w:val="0"/>
              <w:rPr>
                <w:rFonts w:hint="eastAsia"/>
                <w:color w:val="auto"/>
                <w:lang w:val="en-US" w:eastAsia="zh-CN"/>
              </w:rPr>
            </w:pPr>
            <w:r>
              <w:rPr>
                <w:rFonts w:hint="eastAsia"/>
                <w:color w:val="auto"/>
                <w:lang w:val="en-US" w:eastAsia="zh-CN"/>
              </w:rPr>
              <w:t>(2018年版）</w:t>
            </w:r>
          </w:p>
          <w:p w14:paraId="2468189A">
            <w:pPr>
              <w:pStyle w:val="43"/>
              <w:bidi w:val="0"/>
              <w:rPr>
                <w:rFonts w:hint="default"/>
                <w:color w:val="auto"/>
                <w:lang w:val="en-US" w:eastAsia="zh-CN"/>
              </w:rPr>
            </w:pPr>
            <w:r>
              <w:rPr>
                <w:rFonts w:hint="eastAsia"/>
                <w:color w:val="auto"/>
                <w:lang w:val="en-US" w:eastAsia="zh-CN"/>
              </w:rPr>
              <w:t>3.4.1</w:t>
            </w:r>
          </w:p>
        </w:tc>
        <w:tc>
          <w:tcPr>
            <w:tcW w:w="742" w:type="dxa"/>
            <w:noWrap w:val="0"/>
            <w:vAlign w:val="center"/>
          </w:tcPr>
          <w:p w14:paraId="46B4305E">
            <w:pPr>
              <w:pStyle w:val="43"/>
              <w:bidi w:val="0"/>
              <w:rPr>
                <w:rFonts w:hint="default"/>
                <w:color w:val="auto"/>
                <w:lang w:val="en-US" w:eastAsia="zh-CN"/>
              </w:rPr>
            </w:pPr>
            <w:r>
              <w:rPr>
                <w:rFonts w:hint="eastAsia"/>
                <w:color w:val="auto"/>
                <w:lang w:val="en-US" w:eastAsia="zh-CN"/>
              </w:rPr>
              <w:t>合格</w:t>
            </w:r>
          </w:p>
        </w:tc>
      </w:tr>
      <w:tr w14:paraId="47109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noWrap w:val="0"/>
            <w:vAlign w:val="center"/>
          </w:tcPr>
          <w:p w14:paraId="2C29D389">
            <w:pPr>
              <w:pStyle w:val="43"/>
              <w:bidi w:val="0"/>
              <w:rPr>
                <w:rFonts w:hint="eastAsia" w:eastAsia="宋体"/>
                <w:color w:val="auto"/>
                <w:lang w:val="en-US" w:eastAsia="zh-CN"/>
              </w:rPr>
            </w:pPr>
            <w:r>
              <w:rPr>
                <w:rFonts w:hint="eastAsia"/>
                <w:color w:val="auto"/>
                <w:lang w:val="en-US" w:eastAsia="zh-CN"/>
              </w:rPr>
              <w:t>2</w:t>
            </w:r>
          </w:p>
        </w:tc>
        <w:tc>
          <w:tcPr>
            <w:tcW w:w="1530" w:type="dxa"/>
            <w:shd w:val="clear" w:color="auto" w:fill="auto"/>
            <w:noWrap w:val="0"/>
            <w:vAlign w:val="center"/>
          </w:tcPr>
          <w:p w14:paraId="7057DB1E">
            <w:pPr>
              <w:pStyle w:val="43"/>
              <w:bidi w:val="0"/>
              <w:rPr>
                <w:rFonts w:hint="default"/>
                <w:color w:val="auto"/>
                <w:lang w:val="en-US" w:eastAsia="zh-CN"/>
              </w:rPr>
            </w:pPr>
            <w:r>
              <w:rPr>
                <w:rFonts w:hint="eastAsia"/>
                <w:color w:val="auto"/>
                <w:sz w:val="21"/>
                <w:szCs w:val="21"/>
                <w:lang w:val="en-US" w:eastAsia="zh-CN"/>
              </w:rPr>
              <w:t>综合楼</w:t>
            </w:r>
          </w:p>
        </w:tc>
        <w:tc>
          <w:tcPr>
            <w:tcW w:w="2520" w:type="dxa"/>
            <w:shd w:val="clear" w:color="auto" w:fill="auto"/>
            <w:noWrap w:val="0"/>
            <w:vAlign w:val="center"/>
          </w:tcPr>
          <w:p w14:paraId="799B9F00">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修车库</w:t>
            </w:r>
          </w:p>
        </w:tc>
        <w:tc>
          <w:tcPr>
            <w:tcW w:w="990" w:type="dxa"/>
            <w:noWrap w:val="0"/>
            <w:vAlign w:val="center"/>
          </w:tcPr>
          <w:p w14:paraId="12C75A92">
            <w:pPr>
              <w:pStyle w:val="43"/>
              <w:bidi w:val="0"/>
              <w:rPr>
                <w:rFonts w:hint="default"/>
                <w:color w:val="auto"/>
                <w:lang w:val="en-US" w:eastAsia="zh-CN"/>
              </w:rPr>
            </w:pPr>
            <w:r>
              <w:rPr>
                <w:rFonts w:hint="eastAsia"/>
                <w:color w:val="auto"/>
                <w:lang w:val="en-US" w:eastAsia="zh-CN"/>
              </w:rPr>
              <w:t>56.4</w:t>
            </w:r>
          </w:p>
        </w:tc>
        <w:tc>
          <w:tcPr>
            <w:tcW w:w="900" w:type="dxa"/>
            <w:shd w:val="clear" w:color="auto" w:fill="auto"/>
            <w:noWrap w:val="0"/>
            <w:vAlign w:val="center"/>
          </w:tcPr>
          <w:p w14:paraId="2E0167F8">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6</w:t>
            </w:r>
          </w:p>
        </w:tc>
        <w:tc>
          <w:tcPr>
            <w:tcW w:w="1918" w:type="dxa"/>
            <w:shd w:val="clear" w:color="auto" w:fill="auto"/>
            <w:noWrap w:val="0"/>
            <w:vAlign w:val="center"/>
          </w:tcPr>
          <w:p w14:paraId="006DB23B">
            <w:pPr>
              <w:pStyle w:val="43"/>
              <w:bidi w:val="0"/>
              <w:rPr>
                <w:rFonts w:hint="eastAsia"/>
                <w:color w:val="auto"/>
                <w:lang w:val="en-US" w:eastAsia="zh-CN"/>
              </w:rPr>
            </w:pPr>
            <w:r>
              <w:rPr>
                <w:rFonts w:hint="eastAsia"/>
                <w:color w:val="auto"/>
                <w:lang w:val="en-US" w:eastAsia="zh-CN"/>
              </w:rPr>
              <w:t>GB50016-2014</w:t>
            </w:r>
          </w:p>
          <w:p w14:paraId="37E572B1">
            <w:pPr>
              <w:pStyle w:val="43"/>
              <w:bidi w:val="0"/>
              <w:ind w:firstLine="0" w:firstLineChars="0"/>
              <w:rPr>
                <w:rFonts w:hint="eastAsia"/>
                <w:color w:val="auto"/>
                <w:lang w:val="en-US" w:eastAsia="zh-CN"/>
              </w:rPr>
            </w:pPr>
            <w:r>
              <w:rPr>
                <w:rFonts w:hint="eastAsia"/>
                <w:color w:val="auto"/>
                <w:lang w:val="en-US" w:eastAsia="zh-CN"/>
              </w:rPr>
              <w:t>(2018年版）</w:t>
            </w:r>
          </w:p>
          <w:p w14:paraId="00794C1A">
            <w:pPr>
              <w:pStyle w:val="43"/>
              <w:bidi w:val="0"/>
              <w:ind w:firstLine="0" w:firstLineChars="0"/>
              <w:rPr>
                <w:rFonts w:hint="default"/>
                <w:color w:val="auto"/>
                <w:lang w:val="en-US" w:eastAsia="zh-CN"/>
              </w:rPr>
            </w:pPr>
            <w:r>
              <w:rPr>
                <w:rFonts w:hint="eastAsia"/>
                <w:color w:val="auto"/>
                <w:lang w:val="en-US" w:eastAsia="zh-CN"/>
              </w:rPr>
              <w:t>5.2.2</w:t>
            </w:r>
          </w:p>
        </w:tc>
        <w:tc>
          <w:tcPr>
            <w:tcW w:w="742" w:type="dxa"/>
            <w:noWrap w:val="0"/>
            <w:vAlign w:val="center"/>
          </w:tcPr>
          <w:p w14:paraId="3703884A">
            <w:pPr>
              <w:pStyle w:val="43"/>
              <w:bidi w:val="0"/>
              <w:ind w:firstLine="0" w:firstLineChars="0"/>
              <w:rPr>
                <w:rFonts w:hint="eastAsia"/>
                <w:color w:val="auto"/>
                <w:lang w:val="en-US" w:eastAsia="zh-CN"/>
              </w:rPr>
            </w:pPr>
            <w:r>
              <w:rPr>
                <w:rFonts w:hint="eastAsia"/>
                <w:color w:val="auto"/>
                <w:lang w:val="en-US" w:eastAsia="zh-CN"/>
              </w:rPr>
              <w:t>合格</w:t>
            </w:r>
          </w:p>
        </w:tc>
      </w:tr>
      <w:tr w14:paraId="6925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noWrap w:val="0"/>
            <w:vAlign w:val="center"/>
          </w:tcPr>
          <w:p w14:paraId="0AF0B169">
            <w:pPr>
              <w:pStyle w:val="43"/>
              <w:bidi w:val="0"/>
              <w:rPr>
                <w:rFonts w:hint="eastAsia" w:eastAsia="宋体"/>
                <w:color w:val="auto"/>
                <w:lang w:val="en-US" w:eastAsia="zh-CN"/>
              </w:rPr>
            </w:pPr>
            <w:r>
              <w:rPr>
                <w:rFonts w:hint="eastAsia"/>
                <w:color w:val="auto"/>
                <w:lang w:val="en-US" w:eastAsia="zh-CN"/>
              </w:rPr>
              <w:t>3</w:t>
            </w:r>
          </w:p>
        </w:tc>
        <w:tc>
          <w:tcPr>
            <w:tcW w:w="1530" w:type="dxa"/>
            <w:shd w:val="clear" w:color="auto" w:fill="auto"/>
            <w:noWrap w:val="0"/>
            <w:vAlign w:val="center"/>
          </w:tcPr>
          <w:p w14:paraId="5FE1E692">
            <w:pPr>
              <w:pStyle w:val="43"/>
              <w:bidi w:val="0"/>
              <w:rPr>
                <w:rFonts w:hint="default"/>
                <w:color w:val="auto"/>
                <w:lang w:val="en-US" w:eastAsia="zh-CN"/>
              </w:rPr>
            </w:pPr>
            <w:r>
              <w:rPr>
                <w:rFonts w:hint="eastAsia"/>
                <w:color w:val="auto"/>
                <w:sz w:val="21"/>
                <w:szCs w:val="21"/>
                <w:lang w:val="en-US" w:eastAsia="zh-CN"/>
              </w:rPr>
              <w:t>综合楼</w:t>
            </w:r>
          </w:p>
        </w:tc>
        <w:tc>
          <w:tcPr>
            <w:tcW w:w="2520" w:type="dxa"/>
            <w:shd w:val="clear" w:color="auto" w:fill="auto"/>
            <w:noWrap w:val="0"/>
            <w:vAlign w:val="center"/>
          </w:tcPr>
          <w:p w14:paraId="6923B81E">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设备用房</w:t>
            </w:r>
          </w:p>
        </w:tc>
        <w:tc>
          <w:tcPr>
            <w:tcW w:w="990" w:type="dxa"/>
            <w:noWrap w:val="0"/>
            <w:vAlign w:val="center"/>
          </w:tcPr>
          <w:p w14:paraId="19A5A116">
            <w:pPr>
              <w:pStyle w:val="43"/>
              <w:bidi w:val="0"/>
              <w:rPr>
                <w:rFonts w:hint="default"/>
                <w:color w:val="auto"/>
                <w:lang w:val="en-US" w:eastAsia="zh-CN"/>
              </w:rPr>
            </w:pPr>
            <w:r>
              <w:rPr>
                <w:rFonts w:hint="eastAsia"/>
                <w:color w:val="auto"/>
                <w:lang w:val="en-US" w:eastAsia="zh-CN"/>
              </w:rPr>
              <w:t>59.5</w:t>
            </w:r>
          </w:p>
        </w:tc>
        <w:tc>
          <w:tcPr>
            <w:tcW w:w="900" w:type="dxa"/>
            <w:shd w:val="clear" w:color="auto" w:fill="auto"/>
            <w:noWrap w:val="0"/>
            <w:vAlign w:val="center"/>
          </w:tcPr>
          <w:p w14:paraId="13D85D91">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6</w:t>
            </w:r>
          </w:p>
        </w:tc>
        <w:tc>
          <w:tcPr>
            <w:tcW w:w="1918" w:type="dxa"/>
            <w:shd w:val="clear" w:color="auto" w:fill="auto"/>
            <w:noWrap w:val="0"/>
            <w:vAlign w:val="center"/>
          </w:tcPr>
          <w:p w14:paraId="5846FE43">
            <w:pPr>
              <w:pStyle w:val="43"/>
              <w:bidi w:val="0"/>
              <w:rPr>
                <w:rFonts w:hint="eastAsia"/>
                <w:color w:val="auto"/>
                <w:lang w:val="en-US" w:eastAsia="zh-CN"/>
              </w:rPr>
            </w:pPr>
            <w:r>
              <w:rPr>
                <w:rFonts w:hint="eastAsia"/>
                <w:color w:val="auto"/>
                <w:lang w:val="en-US" w:eastAsia="zh-CN"/>
              </w:rPr>
              <w:t>GB50016-2014</w:t>
            </w:r>
          </w:p>
          <w:p w14:paraId="6087E6D8">
            <w:pPr>
              <w:pStyle w:val="43"/>
              <w:bidi w:val="0"/>
              <w:ind w:firstLine="0" w:firstLineChars="0"/>
              <w:rPr>
                <w:rFonts w:hint="eastAsia"/>
                <w:color w:val="auto"/>
                <w:lang w:val="en-US" w:eastAsia="zh-CN"/>
              </w:rPr>
            </w:pPr>
            <w:r>
              <w:rPr>
                <w:rFonts w:hint="eastAsia"/>
                <w:color w:val="auto"/>
                <w:lang w:val="en-US" w:eastAsia="zh-CN"/>
              </w:rPr>
              <w:t>(2018年版）</w:t>
            </w:r>
          </w:p>
          <w:p w14:paraId="2FC3B4FE">
            <w:pPr>
              <w:pStyle w:val="43"/>
              <w:bidi w:val="0"/>
              <w:ind w:firstLine="0" w:firstLineChars="0"/>
              <w:rPr>
                <w:rFonts w:hint="default"/>
                <w:color w:val="auto"/>
                <w:lang w:val="en-US" w:eastAsia="zh-CN"/>
              </w:rPr>
            </w:pPr>
            <w:r>
              <w:rPr>
                <w:rFonts w:hint="eastAsia"/>
                <w:color w:val="auto"/>
                <w:lang w:val="en-US" w:eastAsia="zh-CN"/>
              </w:rPr>
              <w:t>5.2.2</w:t>
            </w:r>
          </w:p>
        </w:tc>
        <w:tc>
          <w:tcPr>
            <w:tcW w:w="742" w:type="dxa"/>
            <w:noWrap w:val="0"/>
            <w:vAlign w:val="center"/>
          </w:tcPr>
          <w:p w14:paraId="5A830A3E">
            <w:pPr>
              <w:pStyle w:val="43"/>
              <w:bidi w:val="0"/>
              <w:ind w:firstLine="0" w:firstLineChars="0"/>
              <w:rPr>
                <w:rFonts w:hint="eastAsia"/>
                <w:color w:val="auto"/>
                <w:lang w:val="en-US" w:eastAsia="zh-CN"/>
              </w:rPr>
            </w:pPr>
            <w:r>
              <w:rPr>
                <w:rFonts w:hint="eastAsia"/>
                <w:color w:val="auto"/>
                <w:lang w:val="en-US" w:eastAsia="zh-CN"/>
              </w:rPr>
              <w:t>合格</w:t>
            </w:r>
          </w:p>
        </w:tc>
      </w:tr>
      <w:tr w14:paraId="3F589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noWrap w:val="0"/>
            <w:vAlign w:val="center"/>
          </w:tcPr>
          <w:p w14:paraId="52DDCCA6">
            <w:pPr>
              <w:pStyle w:val="43"/>
              <w:bidi w:val="0"/>
              <w:rPr>
                <w:rFonts w:hint="eastAsia" w:eastAsia="宋体"/>
                <w:color w:val="auto"/>
                <w:lang w:val="en-US" w:eastAsia="zh-CN"/>
              </w:rPr>
            </w:pPr>
            <w:r>
              <w:rPr>
                <w:rFonts w:hint="eastAsia"/>
                <w:color w:val="auto"/>
                <w:lang w:val="en-US" w:eastAsia="zh-CN"/>
              </w:rPr>
              <w:t>4</w:t>
            </w:r>
          </w:p>
        </w:tc>
        <w:tc>
          <w:tcPr>
            <w:tcW w:w="1530" w:type="dxa"/>
            <w:shd w:val="clear" w:color="auto" w:fill="auto"/>
            <w:noWrap w:val="0"/>
            <w:vAlign w:val="center"/>
          </w:tcPr>
          <w:p w14:paraId="11F47F56">
            <w:pPr>
              <w:pStyle w:val="43"/>
              <w:bidi w:val="0"/>
              <w:rPr>
                <w:rFonts w:hint="default"/>
                <w:color w:val="auto"/>
                <w:lang w:val="en-US" w:eastAsia="zh-CN"/>
              </w:rPr>
            </w:pPr>
            <w:r>
              <w:rPr>
                <w:rFonts w:hint="eastAsia"/>
                <w:color w:val="auto"/>
                <w:sz w:val="21"/>
                <w:szCs w:val="21"/>
                <w:lang w:val="en-US" w:eastAsia="zh-CN"/>
              </w:rPr>
              <w:t>综合楼</w:t>
            </w:r>
          </w:p>
        </w:tc>
        <w:tc>
          <w:tcPr>
            <w:tcW w:w="2520" w:type="dxa"/>
            <w:shd w:val="clear" w:color="auto" w:fill="auto"/>
            <w:noWrap w:val="0"/>
            <w:vAlign w:val="center"/>
          </w:tcPr>
          <w:p w14:paraId="11F06BB9">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办公配套用房</w:t>
            </w:r>
          </w:p>
        </w:tc>
        <w:tc>
          <w:tcPr>
            <w:tcW w:w="990" w:type="dxa"/>
            <w:noWrap w:val="0"/>
            <w:vAlign w:val="center"/>
          </w:tcPr>
          <w:p w14:paraId="00EDC566">
            <w:pPr>
              <w:pStyle w:val="43"/>
              <w:bidi w:val="0"/>
              <w:rPr>
                <w:rFonts w:hint="default"/>
                <w:color w:val="auto"/>
                <w:lang w:val="en-US" w:eastAsia="zh-CN"/>
              </w:rPr>
            </w:pPr>
            <w:r>
              <w:rPr>
                <w:rFonts w:hint="eastAsia"/>
                <w:color w:val="auto"/>
                <w:lang w:val="en-US" w:eastAsia="zh-CN"/>
              </w:rPr>
              <w:t>89.5</w:t>
            </w:r>
          </w:p>
        </w:tc>
        <w:tc>
          <w:tcPr>
            <w:tcW w:w="900" w:type="dxa"/>
            <w:shd w:val="clear" w:color="auto" w:fill="auto"/>
            <w:noWrap w:val="0"/>
            <w:vAlign w:val="center"/>
          </w:tcPr>
          <w:p w14:paraId="459817D3">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6</w:t>
            </w:r>
          </w:p>
        </w:tc>
        <w:tc>
          <w:tcPr>
            <w:tcW w:w="1918" w:type="dxa"/>
            <w:shd w:val="clear" w:color="auto" w:fill="auto"/>
            <w:noWrap w:val="0"/>
            <w:vAlign w:val="center"/>
          </w:tcPr>
          <w:p w14:paraId="21505605">
            <w:pPr>
              <w:pStyle w:val="43"/>
              <w:bidi w:val="0"/>
              <w:rPr>
                <w:rFonts w:hint="eastAsia"/>
                <w:color w:val="auto"/>
                <w:lang w:val="en-US" w:eastAsia="zh-CN"/>
              </w:rPr>
            </w:pPr>
            <w:r>
              <w:rPr>
                <w:rFonts w:hint="eastAsia"/>
                <w:color w:val="auto"/>
                <w:lang w:val="en-US" w:eastAsia="zh-CN"/>
              </w:rPr>
              <w:t>GB50016-2014</w:t>
            </w:r>
          </w:p>
          <w:p w14:paraId="423FA88E">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(2018年版）</w:t>
            </w:r>
          </w:p>
        </w:tc>
        <w:tc>
          <w:tcPr>
            <w:tcW w:w="742" w:type="dxa"/>
            <w:noWrap w:val="0"/>
            <w:vAlign w:val="center"/>
          </w:tcPr>
          <w:p w14:paraId="42C102FF">
            <w:pPr>
              <w:pStyle w:val="43"/>
              <w:bidi w:val="0"/>
              <w:ind w:firstLine="0" w:firstLineChars="0"/>
              <w:rPr>
                <w:rFonts w:hint="eastAsia"/>
                <w:color w:val="auto"/>
                <w:lang w:val="en-US" w:eastAsia="zh-CN"/>
              </w:rPr>
            </w:pPr>
            <w:r>
              <w:rPr>
                <w:rFonts w:hint="eastAsia"/>
                <w:color w:val="auto"/>
                <w:lang w:val="en-US" w:eastAsia="zh-CN"/>
              </w:rPr>
              <w:t>合格</w:t>
            </w:r>
          </w:p>
        </w:tc>
      </w:tr>
      <w:tr w14:paraId="3FD2A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noWrap w:val="0"/>
            <w:vAlign w:val="center"/>
          </w:tcPr>
          <w:p w14:paraId="6B4E3D64">
            <w:pPr>
              <w:pStyle w:val="43"/>
              <w:bidi w:val="0"/>
              <w:rPr>
                <w:rFonts w:hint="eastAsia" w:eastAsia="宋体"/>
                <w:color w:val="auto"/>
                <w:lang w:val="en-US" w:eastAsia="zh-CN"/>
              </w:rPr>
            </w:pPr>
            <w:r>
              <w:rPr>
                <w:rFonts w:hint="eastAsia"/>
                <w:color w:val="auto"/>
                <w:lang w:val="en-US" w:eastAsia="zh-CN"/>
              </w:rPr>
              <w:t>5</w:t>
            </w:r>
          </w:p>
        </w:tc>
        <w:tc>
          <w:tcPr>
            <w:tcW w:w="1530" w:type="dxa"/>
            <w:noWrap w:val="0"/>
            <w:vAlign w:val="center"/>
          </w:tcPr>
          <w:p w14:paraId="784A4FDF">
            <w:pPr>
              <w:pStyle w:val="43"/>
              <w:bidi w:val="0"/>
              <w:rPr>
                <w:rFonts w:hint="default"/>
                <w:color w:val="auto"/>
                <w:lang w:val="en-US" w:eastAsia="zh-CN"/>
              </w:rPr>
            </w:pPr>
            <w:r>
              <w:rPr>
                <w:rFonts w:hint="eastAsia"/>
                <w:color w:val="auto"/>
                <w:sz w:val="21"/>
                <w:szCs w:val="21"/>
                <w:lang w:val="en-US" w:eastAsia="zh-CN"/>
              </w:rPr>
              <w:t>综合楼</w:t>
            </w:r>
          </w:p>
        </w:tc>
        <w:tc>
          <w:tcPr>
            <w:tcW w:w="2520" w:type="dxa"/>
            <w:noWrap w:val="0"/>
            <w:vAlign w:val="center"/>
          </w:tcPr>
          <w:p w14:paraId="520D4158">
            <w:pPr>
              <w:pStyle w:val="43"/>
              <w:bidi w:val="0"/>
              <w:rPr>
                <w:rFonts w:hint="eastAsia" w:eastAsia="宋体"/>
                <w:color w:val="auto"/>
                <w:lang w:val="en-US" w:eastAsia="zh-CN"/>
              </w:rPr>
            </w:pPr>
            <w:r>
              <w:rPr>
                <w:rFonts w:hint="eastAsia"/>
                <w:color w:val="auto"/>
                <w:lang w:val="en-US" w:eastAsia="zh-CN"/>
              </w:rPr>
              <w:t>两室</w:t>
            </w:r>
          </w:p>
        </w:tc>
        <w:tc>
          <w:tcPr>
            <w:tcW w:w="990" w:type="dxa"/>
            <w:noWrap w:val="0"/>
            <w:vAlign w:val="center"/>
          </w:tcPr>
          <w:p w14:paraId="3BF393A0">
            <w:pPr>
              <w:pStyle w:val="43"/>
              <w:bidi w:val="0"/>
              <w:rPr>
                <w:rFonts w:hint="default"/>
                <w:color w:val="auto"/>
                <w:lang w:val="en-US" w:eastAsia="zh-CN"/>
              </w:rPr>
            </w:pPr>
            <w:r>
              <w:rPr>
                <w:rFonts w:hint="eastAsia"/>
                <w:color w:val="auto"/>
                <w:lang w:val="en-US" w:eastAsia="zh-CN"/>
              </w:rPr>
              <w:t>81.9</w:t>
            </w:r>
          </w:p>
        </w:tc>
        <w:tc>
          <w:tcPr>
            <w:tcW w:w="900" w:type="dxa"/>
            <w:shd w:val="clear" w:color="auto" w:fill="auto"/>
            <w:noWrap w:val="0"/>
            <w:vAlign w:val="center"/>
          </w:tcPr>
          <w:p w14:paraId="523E2F27">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6</w:t>
            </w:r>
          </w:p>
        </w:tc>
        <w:tc>
          <w:tcPr>
            <w:tcW w:w="1918" w:type="dxa"/>
            <w:shd w:val="clear" w:color="auto" w:fill="auto"/>
            <w:noWrap w:val="0"/>
            <w:vAlign w:val="center"/>
          </w:tcPr>
          <w:p w14:paraId="349800CD">
            <w:pPr>
              <w:pStyle w:val="43"/>
              <w:bidi w:val="0"/>
              <w:rPr>
                <w:rFonts w:hint="eastAsia"/>
                <w:color w:val="auto"/>
                <w:lang w:val="en-US" w:eastAsia="zh-CN"/>
              </w:rPr>
            </w:pPr>
            <w:r>
              <w:rPr>
                <w:rFonts w:hint="eastAsia"/>
                <w:color w:val="auto"/>
                <w:lang w:val="en-US" w:eastAsia="zh-CN"/>
              </w:rPr>
              <w:t>GB50016-2014</w:t>
            </w:r>
          </w:p>
          <w:p w14:paraId="2DC7E6F1">
            <w:pPr>
              <w:pStyle w:val="43"/>
              <w:bidi w:val="0"/>
              <w:ind w:firstLine="0" w:firstLineChars="0"/>
              <w:rPr>
                <w:rFonts w:hint="eastAsia"/>
                <w:color w:val="auto"/>
                <w:lang w:val="en-US" w:eastAsia="zh-CN"/>
              </w:rPr>
            </w:pPr>
            <w:r>
              <w:rPr>
                <w:rFonts w:hint="eastAsia"/>
                <w:color w:val="auto"/>
                <w:lang w:val="en-US" w:eastAsia="zh-CN"/>
              </w:rPr>
              <w:t>(2018年版）</w:t>
            </w:r>
          </w:p>
          <w:p w14:paraId="7309C910">
            <w:pPr>
              <w:pStyle w:val="43"/>
              <w:bidi w:val="0"/>
              <w:ind w:firstLine="0" w:firstLineChars="0"/>
              <w:rPr>
                <w:rFonts w:hint="default"/>
                <w:color w:val="auto"/>
                <w:lang w:val="en-US" w:eastAsia="zh-CN"/>
              </w:rPr>
            </w:pPr>
            <w:r>
              <w:rPr>
                <w:rFonts w:hint="eastAsia"/>
                <w:color w:val="auto"/>
                <w:lang w:val="en-US" w:eastAsia="zh-CN"/>
              </w:rPr>
              <w:t>5.2.2</w:t>
            </w:r>
          </w:p>
        </w:tc>
        <w:tc>
          <w:tcPr>
            <w:tcW w:w="742" w:type="dxa"/>
            <w:noWrap w:val="0"/>
            <w:vAlign w:val="center"/>
          </w:tcPr>
          <w:p w14:paraId="58C04911">
            <w:pPr>
              <w:pStyle w:val="43"/>
              <w:bidi w:val="0"/>
              <w:ind w:firstLine="0" w:firstLineChars="0"/>
              <w:rPr>
                <w:rFonts w:hint="eastAsia"/>
                <w:color w:val="auto"/>
                <w:lang w:val="en-US" w:eastAsia="zh-CN"/>
              </w:rPr>
            </w:pPr>
            <w:r>
              <w:rPr>
                <w:rFonts w:hint="eastAsia"/>
                <w:color w:val="auto"/>
                <w:lang w:val="en-US" w:eastAsia="zh-CN"/>
              </w:rPr>
              <w:t>合格</w:t>
            </w:r>
          </w:p>
        </w:tc>
      </w:tr>
      <w:tr w14:paraId="77118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shd w:val="clear" w:color="auto" w:fill="auto"/>
            <w:noWrap w:val="0"/>
            <w:vAlign w:val="center"/>
          </w:tcPr>
          <w:p w14:paraId="7BA84284">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6</w:t>
            </w:r>
          </w:p>
        </w:tc>
        <w:tc>
          <w:tcPr>
            <w:tcW w:w="1530" w:type="dxa"/>
            <w:shd w:val="clear" w:color="auto" w:fill="auto"/>
            <w:noWrap w:val="0"/>
            <w:vAlign w:val="center"/>
          </w:tcPr>
          <w:p w14:paraId="567A64BF">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sz w:val="21"/>
                <w:szCs w:val="21"/>
                <w:lang w:val="en-US" w:eastAsia="zh-CN"/>
              </w:rPr>
              <w:t>综合楼</w:t>
            </w:r>
          </w:p>
        </w:tc>
        <w:tc>
          <w:tcPr>
            <w:tcW w:w="2520" w:type="dxa"/>
            <w:shd w:val="clear" w:color="auto" w:fill="auto"/>
            <w:noWrap w:val="0"/>
            <w:vAlign w:val="center"/>
          </w:tcPr>
          <w:p w14:paraId="3AC927A4">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畜产、危险品车位</w:t>
            </w:r>
          </w:p>
        </w:tc>
        <w:tc>
          <w:tcPr>
            <w:tcW w:w="990" w:type="dxa"/>
            <w:shd w:val="clear" w:color="auto" w:fill="auto"/>
            <w:noWrap w:val="0"/>
            <w:vAlign w:val="center"/>
          </w:tcPr>
          <w:p w14:paraId="188CEC9C">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63.5</w:t>
            </w:r>
          </w:p>
        </w:tc>
        <w:tc>
          <w:tcPr>
            <w:tcW w:w="900" w:type="dxa"/>
            <w:shd w:val="clear" w:color="auto" w:fill="auto"/>
            <w:noWrap w:val="0"/>
            <w:vAlign w:val="center"/>
          </w:tcPr>
          <w:p w14:paraId="66E33251">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25</w:t>
            </w:r>
          </w:p>
        </w:tc>
        <w:tc>
          <w:tcPr>
            <w:tcW w:w="1918" w:type="dxa"/>
            <w:shd w:val="clear" w:color="auto" w:fill="auto"/>
            <w:noWrap w:val="0"/>
            <w:vAlign w:val="center"/>
          </w:tcPr>
          <w:p w14:paraId="4FBDE8CA">
            <w:pPr>
              <w:pStyle w:val="43"/>
              <w:bidi w:val="0"/>
              <w:rPr>
                <w:rFonts w:hint="default"/>
                <w:color w:val="auto"/>
                <w:lang w:val="en-US" w:eastAsia="zh-CN"/>
              </w:rPr>
            </w:pPr>
            <w:r>
              <w:rPr>
                <w:rFonts w:hint="eastAsia"/>
                <w:color w:val="auto"/>
                <w:lang w:val="en-US" w:eastAsia="zh-CN"/>
              </w:rPr>
              <w:t>GB50067-2014</w:t>
            </w:r>
          </w:p>
          <w:p w14:paraId="17159836">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4.2.5</w:t>
            </w:r>
          </w:p>
        </w:tc>
        <w:tc>
          <w:tcPr>
            <w:tcW w:w="742" w:type="dxa"/>
            <w:noWrap w:val="0"/>
            <w:vAlign w:val="center"/>
          </w:tcPr>
          <w:p w14:paraId="53900068">
            <w:pPr>
              <w:pStyle w:val="43"/>
              <w:bidi w:val="0"/>
              <w:ind w:firstLine="0" w:firstLineChars="0"/>
              <w:rPr>
                <w:rFonts w:hint="eastAsia"/>
                <w:color w:val="auto"/>
                <w:lang w:val="en-US" w:eastAsia="zh-CN"/>
              </w:rPr>
            </w:pPr>
            <w:r>
              <w:rPr>
                <w:rFonts w:hint="eastAsia"/>
                <w:color w:val="auto"/>
                <w:lang w:val="en-US" w:eastAsia="zh-CN"/>
              </w:rPr>
              <w:t>合格</w:t>
            </w:r>
          </w:p>
        </w:tc>
      </w:tr>
      <w:tr w14:paraId="68F83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0" w:type="dxa"/>
            <w:shd w:val="clear" w:color="auto" w:fill="auto"/>
            <w:noWrap w:val="0"/>
            <w:vAlign w:val="center"/>
          </w:tcPr>
          <w:p w14:paraId="036EAF36">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7</w:t>
            </w:r>
          </w:p>
        </w:tc>
        <w:tc>
          <w:tcPr>
            <w:tcW w:w="1530" w:type="dxa"/>
            <w:shd w:val="clear" w:color="auto" w:fill="auto"/>
            <w:noWrap w:val="0"/>
            <w:vAlign w:val="center"/>
          </w:tcPr>
          <w:p w14:paraId="684B1546">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sz w:val="21"/>
                <w:szCs w:val="21"/>
                <w:lang w:val="en-US" w:eastAsia="zh-CN"/>
              </w:rPr>
              <w:t>办公配套用房</w:t>
            </w:r>
          </w:p>
        </w:tc>
        <w:tc>
          <w:tcPr>
            <w:tcW w:w="2520" w:type="dxa"/>
            <w:shd w:val="clear" w:color="auto" w:fill="auto"/>
            <w:noWrap w:val="0"/>
            <w:vAlign w:val="center"/>
          </w:tcPr>
          <w:p w14:paraId="52DA57CF">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畜产、危险品车位</w:t>
            </w:r>
          </w:p>
        </w:tc>
        <w:tc>
          <w:tcPr>
            <w:tcW w:w="990" w:type="dxa"/>
            <w:shd w:val="clear" w:color="auto" w:fill="auto"/>
            <w:noWrap w:val="0"/>
            <w:vAlign w:val="center"/>
          </w:tcPr>
          <w:p w14:paraId="031497DF">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43.6</w:t>
            </w:r>
          </w:p>
        </w:tc>
        <w:tc>
          <w:tcPr>
            <w:tcW w:w="900" w:type="dxa"/>
            <w:shd w:val="clear" w:color="auto" w:fill="auto"/>
            <w:noWrap w:val="0"/>
            <w:vAlign w:val="center"/>
          </w:tcPr>
          <w:p w14:paraId="75C0CA0F">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25</w:t>
            </w:r>
          </w:p>
        </w:tc>
        <w:tc>
          <w:tcPr>
            <w:tcW w:w="1918" w:type="dxa"/>
            <w:shd w:val="clear" w:color="auto" w:fill="auto"/>
            <w:noWrap w:val="0"/>
            <w:vAlign w:val="center"/>
          </w:tcPr>
          <w:p w14:paraId="63B13E49">
            <w:pPr>
              <w:pStyle w:val="43"/>
              <w:bidi w:val="0"/>
              <w:rPr>
                <w:rFonts w:hint="default"/>
                <w:color w:val="auto"/>
                <w:lang w:val="en-US" w:eastAsia="zh-CN"/>
              </w:rPr>
            </w:pPr>
            <w:r>
              <w:rPr>
                <w:rFonts w:hint="eastAsia"/>
                <w:color w:val="auto"/>
                <w:lang w:val="en-US" w:eastAsia="zh-CN"/>
              </w:rPr>
              <w:t>GB50067-2014</w:t>
            </w:r>
          </w:p>
          <w:p w14:paraId="253A9C3D">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4.2.5</w:t>
            </w:r>
          </w:p>
        </w:tc>
        <w:tc>
          <w:tcPr>
            <w:tcW w:w="742" w:type="dxa"/>
            <w:noWrap w:val="0"/>
            <w:vAlign w:val="center"/>
          </w:tcPr>
          <w:p w14:paraId="6E0C36FB">
            <w:pPr>
              <w:pStyle w:val="43"/>
              <w:bidi w:val="0"/>
              <w:ind w:firstLine="0" w:firstLineChars="0"/>
              <w:rPr>
                <w:rFonts w:hint="default"/>
                <w:color w:val="auto"/>
                <w:lang w:val="en-US" w:eastAsia="zh-CN"/>
              </w:rPr>
            </w:pPr>
            <w:r>
              <w:rPr>
                <w:rFonts w:hint="eastAsia"/>
                <w:color w:val="auto"/>
                <w:lang w:val="en-US" w:eastAsia="zh-CN"/>
              </w:rPr>
              <w:t>合格</w:t>
            </w:r>
          </w:p>
        </w:tc>
      </w:tr>
    </w:tbl>
    <w:p w14:paraId="73B32BCA">
      <w:pPr>
        <w:bidi w:val="0"/>
        <w:rPr>
          <w:rFonts w:hint="eastAsia"/>
          <w:b/>
          <w:bCs/>
          <w:color w:val="auto"/>
          <w:lang w:val="en-US" w:eastAsia="zh-CN"/>
        </w:rPr>
      </w:pPr>
      <w:r>
        <w:rPr>
          <w:rFonts w:hint="eastAsia"/>
          <w:b/>
          <w:bCs/>
          <w:color w:val="auto"/>
          <w:lang w:val="en-US" w:eastAsia="zh-CN"/>
        </w:rPr>
        <w:t>评价小结：</w:t>
      </w:r>
    </w:p>
    <w:p w14:paraId="29D4F858">
      <w:pPr>
        <w:ind w:firstLine="560" w:firstLineChars="200"/>
        <w:rPr>
          <w:rFonts w:hint="default" w:eastAsia="宋体"/>
          <w:color w:val="auto"/>
          <w:lang w:val="en-US" w:eastAsia="zh-CN"/>
        </w:rPr>
      </w:pPr>
      <w:r>
        <w:rPr>
          <w:rFonts w:hint="eastAsia"/>
          <w:color w:val="auto"/>
          <w:lang w:val="en-US" w:eastAsia="zh-CN"/>
        </w:rPr>
        <w:t>由上述可知，本单元共检查18项，18项符合，该项目选址及总平面布置满足</w:t>
      </w:r>
      <w:r>
        <w:rPr>
          <w:rFonts w:hint="eastAsia"/>
          <w:color w:val="auto"/>
          <w:sz w:val="28"/>
          <w:szCs w:val="28"/>
          <w:lang w:val="en-US" w:eastAsia="zh-CN"/>
        </w:rPr>
        <w:t>《高速公路服务区设计规范》DB36T698-2017</w:t>
      </w:r>
      <w:r>
        <w:rPr>
          <w:color w:val="auto"/>
          <w:sz w:val="28"/>
          <w:szCs w:val="28"/>
        </w:rPr>
        <w:t>的</w:t>
      </w:r>
      <w:r>
        <w:rPr>
          <w:rFonts w:hint="eastAsia"/>
          <w:color w:val="auto"/>
          <w:sz w:val="28"/>
          <w:szCs w:val="28"/>
        </w:rPr>
        <w:t>规定。</w:t>
      </w:r>
      <w:r>
        <w:rPr>
          <w:rFonts w:hint="eastAsia"/>
          <w:color w:val="auto"/>
          <w:sz w:val="28"/>
          <w:szCs w:val="28"/>
          <w:lang w:val="en-US" w:eastAsia="zh-CN"/>
        </w:rPr>
        <w:t>该项目建构筑物防火间距满足标准规范《建筑设计防火规范》GB50016-2014(2018年版）、《汽车库、修车库、停车场设计防火规范》GB50067-2014要求。</w:t>
      </w:r>
    </w:p>
    <w:p w14:paraId="0C6928C9">
      <w:pPr>
        <w:pStyle w:val="5"/>
        <w:bidi w:val="0"/>
        <w:rPr>
          <w:rFonts w:hint="default"/>
          <w:color w:val="auto"/>
          <w:lang w:val="en-US" w:eastAsia="zh-CN"/>
        </w:rPr>
      </w:pPr>
      <w:bookmarkStart w:id="110" w:name="_Toc28047"/>
      <w:r>
        <w:rPr>
          <w:rFonts w:hint="eastAsia"/>
          <w:color w:val="auto"/>
          <w:lang w:val="en-US" w:eastAsia="zh-CN"/>
        </w:rPr>
        <w:t>6.2建筑设施及设备设施符合性评价</w:t>
      </w:r>
      <w:bookmarkEnd w:id="110"/>
    </w:p>
    <w:p w14:paraId="6439C930">
      <w:pPr>
        <w:ind w:firstLine="560" w:firstLineChars="200"/>
        <w:rPr>
          <w:rFonts w:hint="eastAsia"/>
          <w:color w:val="auto"/>
          <w:sz w:val="28"/>
          <w:szCs w:val="28"/>
          <w:lang w:val="en-US" w:eastAsia="zh-CN"/>
        </w:rPr>
      </w:pPr>
      <w:r>
        <w:rPr>
          <w:rFonts w:hint="eastAsia"/>
          <w:color w:val="auto"/>
          <w:sz w:val="28"/>
          <w:szCs w:val="28"/>
          <w:lang w:val="en-US" w:eastAsia="zh-CN"/>
        </w:rPr>
        <w:t>根据《高速公路服务区设计规范》DB36T698-2017、《电动汽车充电站设计规范》GB50966-2014等相关规定，对服务区建构筑物及设备设施进行符合性评价，见下表：</w:t>
      </w:r>
    </w:p>
    <w:p w14:paraId="2D0BB7A3">
      <w:pPr>
        <w:pStyle w:val="48"/>
        <w:bidi w:val="0"/>
        <w:rPr>
          <w:rFonts w:hint="default"/>
          <w:color w:val="auto"/>
          <w:lang w:val="en-US" w:eastAsia="zh-CN"/>
        </w:rPr>
      </w:pPr>
      <w:r>
        <w:rPr>
          <w:rFonts w:hint="eastAsia"/>
          <w:color w:val="auto"/>
          <w:lang w:val="en-US" w:eastAsia="zh-CN"/>
        </w:rPr>
        <w:t>表6.2-1建构筑物及设备设施符合性检查表</w:t>
      </w:r>
    </w:p>
    <w:tbl>
      <w:tblPr>
        <w:tblStyle w:val="33"/>
        <w:tblW w:w="93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72"/>
        <w:gridCol w:w="4685"/>
        <w:gridCol w:w="1807"/>
        <w:gridCol w:w="1608"/>
        <w:gridCol w:w="629"/>
      </w:tblGrid>
      <w:tr w14:paraId="6E1248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572" w:type="dxa"/>
            <w:noWrap w:val="0"/>
            <w:vAlign w:val="center"/>
          </w:tcPr>
          <w:p w14:paraId="0C97E2CB">
            <w:pPr>
              <w:pStyle w:val="43"/>
              <w:bidi w:val="0"/>
              <w:rPr>
                <w:rFonts w:hint="eastAsia"/>
                <w:b/>
                <w:bCs/>
                <w:color w:val="auto"/>
              </w:rPr>
            </w:pPr>
            <w:r>
              <w:rPr>
                <w:rFonts w:hint="eastAsia"/>
                <w:b/>
                <w:bCs/>
                <w:color w:val="auto"/>
              </w:rPr>
              <w:t>序号</w:t>
            </w:r>
          </w:p>
        </w:tc>
        <w:tc>
          <w:tcPr>
            <w:tcW w:w="4685" w:type="dxa"/>
            <w:noWrap w:val="0"/>
            <w:vAlign w:val="center"/>
          </w:tcPr>
          <w:p w14:paraId="7E985A70">
            <w:pPr>
              <w:pStyle w:val="43"/>
              <w:bidi w:val="0"/>
              <w:rPr>
                <w:rFonts w:hint="eastAsia"/>
                <w:b/>
                <w:bCs/>
                <w:color w:val="auto"/>
              </w:rPr>
            </w:pPr>
            <w:r>
              <w:rPr>
                <w:rFonts w:hint="eastAsia"/>
                <w:b/>
                <w:bCs/>
                <w:color w:val="auto"/>
              </w:rPr>
              <w:t>检查内容</w:t>
            </w:r>
          </w:p>
        </w:tc>
        <w:tc>
          <w:tcPr>
            <w:tcW w:w="1807" w:type="dxa"/>
            <w:noWrap w:val="0"/>
            <w:vAlign w:val="center"/>
          </w:tcPr>
          <w:p w14:paraId="4128544E">
            <w:pPr>
              <w:pStyle w:val="43"/>
              <w:bidi w:val="0"/>
              <w:rPr>
                <w:rFonts w:hint="eastAsia"/>
                <w:b/>
                <w:bCs/>
                <w:color w:val="auto"/>
                <w:lang w:val="en-US" w:eastAsia="zh-CN"/>
              </w:rPr>
            </w:pPr>
            <w:r>
              <w:rPr>
                <w:rFonts w:hint="eastAsia"/>
                <w:b/>
                <w:bCs/>
                <w:color w:val="auto"/>
                <w:lang w:val="en-US" w:eastAsia="zh-CN"/>
              </w:rPr>
              <w:t>依据</w:t>
            </w:r>
          </w:p>
        </w:tc>
        <w:tc>
          <w:tcPr>
            <w:tcW w:w="1608" w:type="dxa"/>
            <w:noWrap w:val="0"/>
            <w:vAlign w:val="center"/>
          </w:tcPr>
          <w:p w14:paraId="48E7F2E8">
            <w:pPr>
              <w:pStyle w:val="43"/>
              <w:bidi w:val="0"/>
              <w:rPr>
                <w:rFonts w:hint="eastAsia"/>
                <w:b/>
                <w:bCs/>
                <w:color w:val="auto"/>
              </w:rPr>
            </w:pPr>
            <w:r>
              <w:rPr>
                <w:rFonts w:hint="eastAsia"/>
                <w:b/>
                <w:bCs/>
                <w:color w:val="auto"/>
              </w:rPr>
              <w:t>检查记录</w:t>
            </w:r>
          </w:p>
        </w:tc>
        <w:tc>
          <w:tcPr>
            <w:tcW w:w="629" w:type="dxa"/>
            <w:noWrap w:val="0"/>
            <w:vAlign w:val="center"/>
          </w:tcPr>
          <w:p w14:paraId="02115236">
            <w:pPr>
              <w:pStyle w:val="43"/>
              <w:bidi w:val="0"/>
              <w:rPr>
                <w:rFonts w:hint="eastAsia"/>
                <w:b/>
                <w:bCs/>
                <w:color w:val="auto"/>
              </w:rPr>
            </w:pPr>
            <w:r>
              <w:rPr>
                <w:rFonts w:hint="eastAsia"/>
                <w:b/>
                <w:bCs/>
                <w:color w:val="auto"/>
              </w:rPr>
              <w:t>结论</w:t>
            </w:r>
          </w:p>
        </w:tc>
      </w:tr>
      <w:tr w14:paraId="2CB00C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572" w:type="dxa"/>
            <w:noWrap w:val="0"/>
            <w:vAlign w:val="center"/>
          </w:tcPr>
          <w:p w14:paraId="674CFE94">
            <w:pPr>
              <w:pStyle w:val="43"/>
              <w:bidi w:val="0"/>
              <w:rPr>
                <w:rFonts w:hint="eastAsia"/>
                <w:color w:val="auto"/>
              </w:rPr>
            </w:pPr>
          </w:p>
        </w:tc>
        <w:tc>
          <w:tcPr>
            <w:tcW w:w="8729" w:type="dxa"/>
            <w:gridSpan w:val="4"/>
            <w:noWrap w:val="0"/>
            <w:vAlign w:val="center"/>
          </w:tcPr>
          <w:p w14:paraId="1289A225">
            <w:pPr>
              <w:pStyle w:val="43"/>
              <w:bidi w:val="0"/>
              <w:rPr>
                <w:rFonts w:hint="default"/>
                <w:b/>
                <w:bCs/>
                <w:color w:val="auto"/>
                <w:lang w:val="en-US" w:eastAsia="zh-CN"/>
              </w:rPr>
            </w:pPr>
            <w:r>
              <w:rPr>
                <w:rFonts w:hint="eastAsia"/>
                <w:b/>
                <w:bCs/>
                <w:color w:val="auto"/>
                <w:lang w:val="en-US" w:eastAsia="zh-CN"/>
              </w:rPr>
              <w:t>综合楼</w:t>
            </w:r>
          </w:p>
        </w:tc>
      </w:tr>
      <w:tr w14:paraId="35FDE2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33982BA9">
            <w:pPr>
              <w:pStyle w:val="43"/>
              <w:bidi w:val="0"/>
              <w:rPr>
                <w:rFonts w:hint="eastAsia"/>
                <w:color w:val="auto"/>
              </w:rPr>
            </w:pPr>
            <w:r>
              <w:rPr>
                <w:rFonts w:hint="eastAsia"/>
                <w:color w:val="auto"/>
              </w:rPr>
              <w:t>1</w:t>
            </w:r>
          </w:p>
        </w:tc>
        <w:tc>
          <w:tcPr>
            <w:tcW w:w="4685" w:type="dxa"/>
            <w:noWrap w:val="0"/>
            <w:vAlign w:val="center"/>
          </w:tcPr>
          <w:p w14:paraId="1685A3D9">
            <w:pPr>
              <w:pStyle w:val="43"/>
              <w:bidi w:val="0"/>
              <w:jc w:val="left"/>
              <w:rPr>
                <w:rFonts w:hint="eastAsia"/>
                <w:color w:val="auto"/>
                <w:lang w:val="en-US" w:eastAsia="zh-CN"/>
              </w:rPr>
            </w:pPr>
            <w:r>
              <w:rPr>
                <w:rFonts w:hint="eastAsia"/>
                <w:color w:val="auto"/>
                <w:lang w:val="en-US" w:eastAsia="zh-CN"/>
              </w:rPr>
              <w:t>综合楼由门厅、餐厅、超市、商店、厕所、母婴室、客房、办公、监控、外廊和内廊等组成。</w:t>
            </w:r>
          </w:p>
        </w:tc>
        <w:tc>
          <w:tcPr>
            <w:tcW w:w="1807" w:type="dxa"/>
            <w:noWrap w:val="0"/>
            <w:vAlign w:val="center"/>
          </w:tcPr>
          <w:p w14:paraId="757E1FA8">
            <w:pPr>
              <w:pStyle w:val="43"/>
              <w:bidi w:val="0"/>
              <w:rPr>
                <w:rFonts w:hint="default"/>
                <w:color w:val="auto"/>
                <w:lang w:val="en-US" w:eastAsia="zh-CN"/>
              </w:rPr>
            </w:pPr>
            <w:r>
              <w:rPr>
                <w:rFonts w:hint="default"/>
                <w:color w:val="auto"/>
                <w:lang w:val="en-US" w:eastAsia="zh-CN"/>
              </w:rPr>
              <w:t>《高速公路服务区设计规范》DB36T698-2017</w:t>
            </w:r>
          </w:p>
          <w:p w14:paraId="6D856F06">
            <w:pPr>
              <w:pStyle w:val="43"/>
              <w:bidi w:val="0"/>
              <w:ind w:firstLine="0" w:firstLineChars="0"/>
              <w:rPr>
                <w:rFonts w:hint="default"/>
                <w:color w:val="auto"/>
                <w:lang w:val="en-US" w:eastAsia="zh-CN"/>
              </w:rPr>
            </w:pPr>
            <w:r>
              <w:rPr>
                <w:rFonts w:hint="eastAsia"/>
                <w:color w:val="auto"/>
                <w:lang w:val="en-US" w:eastAsia="zh-CN"/>
              </w:rPr>
              <w:t>9.1.1.1</w:t>
            </w:r>
          </w:p>
        </w:tc>
        <w:tc>
          <w:tcPr>
            <w:tcW w:w="1608" w:type="dxa"/>
            <w:noWrap w:val="0"/>
            <w:vAlign w:val="center"/>
          </w:tcPr>
          <w:p w14:paraId="2365F287">
            <w:pPr>
              <w:pStyle w:val="43"/>
              <w:bidi w:val="0"/>
              <w:rPr>
                <w:rFonts w:hint="eastAsia"/>
                <w:color w:val="auto"/>
              </w:rPr>
            </w:pPr>
            <w:r>
              <w:rPr>
                <w:rFonts w:hint="eastAsia"/>
                <w:color w:val="auto"/>
                <w:lang w:val="en-US" w:eastAsia="zh-CN"/>
              </w:rPr>
              <w:t>拟建综合楼由门厅、餐厅、超市、商店、厕所、母婴室、客房、办公、监控、外廊和内廊等组成。</w:t>
            </w:r>
          </w:p>
        </w:tc>
        <w:tc>
          <w:tcPr>
            <w:tcW w:w="629" w:type="dxa"/>
            <w:noWrap w:val="0"/>
            <w:vAlign w:val="center"/>
          </w:tcPr>
          <w:p w14:paraId="07F2A961">
            <w:pPr>
              <w:pStyle w:val="43"/>
              <w:bidi w:val="0"/>
              <w:rPr>
                <w:rFonts w:hint="eastAsia"/>
                <w:color w:val="auto"/>
                <w:lang w:eastAsia="zh-CN"/>
              </w:rPr>
            </w:pPr>
            <w:r>
              <w:rPr>
                <w:rFonts w:hint="eastAsia"/>
                <w:color w:val="auto"/>
                <w:lang w:val="en-US" w:eastAsia="zh-CN"/>
              </w:rPr>
              <w:t>符合</w:t>
            </w:r>
          </w:p>
        </w:tc>
      </w:tr>
      <w:tr w14:paraId="611D58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23017195">
            <w:pPr>
              <w:pStyle w:val="43"/>
              <w:bidi w:val="0"/>
              <w:rPr>
                <w:rFonts w:hint="eastAsia"/>
                <w:color w:val="auto"/>
                <w:lang w:val="en-US" w:eastAsia="zh-CN"/>
              </w:rPr>
            </w:pPr>
            <w:r>
              <w:rPr>
                <w:rFonts w:hint="eastAsia"/>
                <w:color w:val="auto"/>
                <w:lang w:val="en-US" w:eastAsia="zh-CN"/>
              </w:rPr>
              <w:t>2</w:t>
            </w:r>
          </w:p>
        </w:tc>
        <w:tc>
          <w:tcPr>
            <w:tcW w:w="4685" w:type="dxa"/>
            <w:noWrap w:val="0"/>
            <w:vAlign w:val="center"/>
          </w:tcPr>
          <w:p w14:paraId="24C012A7">
            <w:pPr>
              <w:pStyle w:val="43"/>
              <w:bidi w:val="0"/>
              <w:jc w:val="left"/>
              <w:rPr>
                <w:rFonts w:hint="eastAsia"/>
                <w:color w:val="auto"/>
              </w:rPr>
            </w:pPr>
            <w:r>
              <w:rPr>
                <w:rFonts w:hint="eastAsia"/>
                <w:color w:val="auto"/>
                <w:lang w:val="en-US" w:eastAsia="zh-CN"/>
              </w:rPr>
              <w:t>综合楼功能应分区合理、联系方便、动静分离、采光良好、通风对流。</w:t>
            </w:r>
          </w:p>
        </w:tc>
        <w:tc>
          <w:tcPr>
            <w:tcW w:w="1807" w:type="dxa"/>
            <w:noWrap w:val="0"/>
            <w:vAlign w:val="center"/>
          </w:tcPr>
          <w:p w14:paraId="08F8E1B0">
            <w:pPr>
              <w:pStyle w:val="43"/>
              <w:bidi w:val="0"/>
              <w:rPr>
                <w:rFonts w:hint="default"/>
                <w:color w:val="auto"/>
                <w:lang w:val="en-US" w:eastAsia="zh-CN"/>
              </w:rPr>
            </w:pPr>
            <w:r>
              <w:rPr>
                <w:rFonts w:hint="default"/>
                <w:color w:val="auto"/>
                <w:lang w:val="en-US" w:eastAsia="zh-CN"/>
              </w:rPr>
              <w:t>《高速公路服务区设计规范》DB36T698-2017</w:t>
            </w:r>
          </w:p>
          <w:p w14:paraId="1CF67C33">
            <w:pPr>
              <w:pStyle w:val="43"/>
              <w:bidi w:val="0"/>
              <w:ind w:firstLine="0" w:firstLineChars="0"/>
              <w:rPr>
                <w:rFonts w:hint="default"/>
                <w:color w:val="auto"/>
                <w:lang w:val="en-US" w:eastAsia="zh-CN"/>
              </w:rPr>
            </w:pPr>
            <w:r>
              <w:rPr>
                <w:rFonts w:hint="eastAsia"/>
                <w:color w:val="auto"/>
                <w:lang w:val="en-US" w:eastAsia="zh-CN"/>
              </w:rPr>
              <w:t>9.1.1.2</w:t>
            </w:r>
          </w:p>
        </w:tc>
        <w:tc>
          <w:tcPr>
            <w:tcW w:w="1608" w:type="dxa"/>
            <w:noWrap w:val="0"/>
            <w:vAlign w:val="center"/>
          </w:tcPr>
          <w:p w14:paraId="2CEC4D02">
            <w:pPr>
              <w:pStyle w:val="43"/>
              <w:bidi w:val="0"/>
              <w:rPr>
                <w:rFonts w:hint="eastAsia"/>
                <w:color w:val="auto"/>
              </w:rPr>
            </w:pPr>
            <w:r>
              <w:rPr>
                <w:rFonts w:hint="eastAsia"/>
                <w:color w:val="auto"/>
                <w:lang w:val="en-US" w:eastAsia="zh-CN"/>
              </w:rPr>
              <w:t>拟建综合楼功能分区合理、采光良好</w:t>
            </w:r>
          </w:p>
        </w:tc>
        <w:tc>
          <w:tcPr>
            <w:tcW w:w="629" w:type="dxa"/>
            <w:noWrap w:val="0"/>
            <w:vAlign w:val="center"/>
          </w:tcPr>
          <w:p w14:paraId="5B1BDD0A">
            <w:pPr>
              <w:pStyle w:val="43"/>
              <w:bidi w:val="0"/>
              <w:rPr>
                <w:rFonts w:hint="eastAsia"/>
                <w:color w:val="auto"/>
                <w:lang w:val="en-US" w:eastAsia="zh-CN"/>
              </w:rPr>
            </w:pPr>
            <w:r>
              <w:rPr>
                <w:rFonts w:hint="eastAsia"/>
                <w:color w:val="auto"/>
                <w:lang w:val="en-US" w:eastAsia="zh-CN"/>
              </w:rPr>
              <w:t>符合</w:t>
            </w:r>
          </w:p>
        </w:tc>
      </w:tr>
      <w:tr w14:paraId="22C84F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09CF8E35">
            <w:pPr>
              <w:pStyle w:val="43"/>
              <w:bidi w:val="0"/>
              <w:rPr>
                <w:rFonts w:hint="eastAsia"/>
                <w:color w:val="auto"/>
                <w:lang w:val="en-US" w:eastAsia="zh-CN"/>
              </w:rPr>
            </w:pPr>
            <w:r>
              <w:rPr>
                <w:rFonts w:hint="eastAsia"/>
                <w:color w:val="auto"/>
                <w:lang w:val="en-US" w:eastAsia="zh-CN"/>
              </w:rPr>
              <w:t>3</w:t>
            </w:r>
          </w:p>
        </w:tc>
        <w:tc>
          <w:tcPr>
            <w:tcW w:w="4685" w:type="dxa"/>
            <w:noWrap w:val="0"/>
            <w:vAlign w:val="center"/>
          </w:tcPr>
          <w:p w14:paraId="5C932A63">
            <w:pPr>
              <w:pStyle w:val="43"/>
              <w:bidi w:val="0"/>
              <w:jc w:val="left"/>
              <w:rPr>
                <w:rFonts w:hint="eastAsia"/>
                <w:color w:val="auto"/>
              </w:rPr>
            </w:pPr>
            <w:r>
              <w:rPr>
                <w:rFonts w:hint="eastAsia"/>
                <w:color w:val="auto"/>
                <w:lang w:val="en-US" w:eastAsia="zh-CN"/>
              </w:rPr>
              <w:t>问询处、信息查询、电话、传真、信息发布屏、休息等宜设在门厅。</w:t>
            </w:r>
          </w:p>
        </w:tc>
        <w:tc>
          <w:tcPr>
            <w:tcW w:w="1807" w:type="dxa"/>
            <w:noWrap w:val="0"/>
            <w:vAlign w:val="center"/>
          </w:tcPr>
          <w:p w14:paraId="596BB372">
            <w:pPr>
              <w:pStyle w:val="43"/>
              <w:bidi w:val="0"/>
              <w:rPr>
                <w:rFonts w:hint="default"/>
                <w:color w:val="auto"/>
                <w:lang w:val="en-US" w:eastAsia="zh-CN"/>
              </w:rPr>
            </w:pPr>
            <w:r>
              <w:rPr>
                <w:rFonts w:hint="default"/>
                <w:color w:val="auto"/>
                <w:lang w:val="en-US" w:eastAsia="zh-CN"/>
              </w:rPr>
              <w:t>《高速公路服务区设计规范》DB36T698-2017</w:t>
            </w:r>
          </w:p>
          <w:p w14:paraId="13FE2333">
            <w:pPr>
              <w:pStyle w:val="43"/>
              <w:bidi w:val="0"/>
              <w:ind w:firstLine="0" w:firstLineChars="0"/>
              <w:rPr>
                <w:rFonts w:hint="default"/>
                <w:color w:val="auto"/>
                <w:lang w:val="en-US" w:eastAsia="zh-CN"/>
              </w:rPr>
            </w:pPr>
            <w:r>
              <w:rPr>
                <w:rFonts w:hint="eastAsia"/>
                <w:color w:val="auto"/>
                <w:lang w:val="en-US" w:eastAsia="zh-CN"/>
              </w:rPr>
              <w:t>9.1.1.3</w:t>
            </w:r>
          </w:p>
        </w:tc>
        <w:tc>
          <w:tcPr>
            <w:tcW w:w="1608" w:type="dxa"/>
            <w:noWrap w:val="0"/>
            <w:vAlign w:val="center"/>
          </w:tcPr>
          <w:p w14:paraId="791CBD90">
            <w:pPr>
              <w:pStyle w:val="43"/>
              <w:bidi w:val="0"/>
              <w:rPr>
                <w:rFonts w:hint="default" w:eastAsia="宋体"/>
                <w:color w:val="auto"/>
                <w:lang w:val="en-US" w:eastAsia="zh-CN"/>
              </w:rPr>
            </w:pPr>
            <w:r>
              <w:rPr>
                <w:rFonts w:hint="eastAsia"/>
                <w:color w:val="auto"/>
                <w:lang w:val="en-US" w:eastAsia="zh-CN"/>
              </w:rPr>
              <w:t>拟按要求设置</w:t>
            </w:r>
          </w:p>
        </w:tc>
        <w:tc>
          <w:tcPr>
            <w:tcW w:w="629" w:type="dxa"/>
            <w:noWrap w:val="0"/>
            <w:vAlign w:val="center"/>
          </w:tcPr>
          <w:p w14:paraId="4DCED233">
            <w:pPr>
              <w:pStyle w:val="43"/>
              <w:bidi w:val="0"/>
              <w:rPr>
                <w:rFonts w:hint="eastAsia"/>
                <w:color w:val="auto"/>
                <w:lang w:val="en-US" w:eastAsia="zh-CN"/>
              </w:rPr>
            </w:pPr>
            <w:r>
              <w:rPr>
                <w:rFonts w:hint="eastAsia"/>
                <w:color w:val="auto"/>
                <w:lang w:val="en-US" w:eastAsia="zh-CN"/>
              </w:rPr>
              <w:t>符合</w:t>
            </w:r>
          </w:p>
        </w:tc>
      </w:tr>
      <w:tr w14:paraId="36BB57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1C58B2B8">
            <w:pPr>
              <w:pStyle w:val="43"/>
              <w:bidi w:val="0"/>
              <w:rPr>
                <w:rFonts w:hint="eastAsia"/>
                <w:color w:val="auto"/>
                <w:lang w:val="en-US" w:eastAsia="zh-CN"/>
              </w:rPr>
            </w:pPr>
            <w:r>
              <w:rPr>
                <w:rFonts w:hint="eastAsia"/>
                <w:color w:val="auto"/>
                <w:lang w:val="en-US" w:eastAsia="zh-CN"/>
              </w:rPr>
              <w:t>4</w:t>
            </w:r>
          </w:p>
        </w:tc>
        <w:tc>
          <w:tcPr>
            <w:tcW w:w="4685" w:type="dxa"/>
            <w:noWrap w:val="0"/>
            <w:vAlign w:val="center"/>
          </w:tcPr>
          <w:p w14:paraId="09ACF384">
            <w:pPr>
              <w:pStyle w:val="43"/>
              <w:bidi w:val="0"/>
              <w:jc w:val="left"/>
              <w:rPr>
                <w:rFonts w:hint="eastAsia"/>
                <w:color w:val="auto"/>
              </w:rPr>
            </w:pPr>
            <w:r>
              <w:rPr>
                <w:rFonts w:hint="eastAsia"/>
                <w:color w:val="auto"/>
                <w:lang w:val="en-US" w:eastAsia="zh-CN"/>
              </w:rPr>
              <w:t>应设置 24小时便利店，宜设置24小时开水房，公共区域较大人流的需求情况下宜设置备用开水设备,开水设备应根据安全要求隐形设置:超市、商店宜设具有自然通风条件的仓库。</w:t>
            </w:r>
          </w:p>
        </w:tc>
        <w:tc>
          <w:tcPr>
            <w:tcW w:w="1807" w:type="dxa"/>
            <w:noWrap w:val="0"/>
            <w:vAlign w:val="center"/>
          </w:tcPr>
          <w:p w14:paraId="0ED52FC5">
            <w:pPr>
              <w:pStyle w:val="43"/>
              <w:bidi w:val="0"/>
              <w:rPr>
                <w:rFonts w:hint="default"/>
                <w:color w:val="auto"/>
                <w:lang w:val="en-US" w:eastAsia="zh-CN"/>
              </w:rPr>
            </w:pPr>
            <w:r>
              <w:rPr>
                <w:rFonts w:hint="default"/>
                <w:color w:val="auto"/>
                <w:lang w:val="en-US" w:eastAsia="zh-CN"/>
              </w:rPr>
              <w:t>《高速公路服务区设计规范》DB36T698-2017</w:t>
            </w:r>
          </w:p>
          <w:p w14:paraId="6BE98FEF">
            <w:pPr>
              <w:pStyle w:val="43"/>
              <w:bidi w:val="0"/>
              <w:ind w:firstLine="0" w:firstLineChars="0"/>
              <w:rPr>
                <w:rFonts w:hint="default"/>
                <w:color w:val="auto"/>
                <w:lang w:val="en-US" w:eastAsia="zh-CN"/>
              </w:rPr>
            </w:pPr>
            <w:r>
              <w:rPr>
                <w:rFonts w:hint="eastAsia"/>
                <w:color w:val="auto"/>
                <w:lang w:val="en-US" w:eastAsia="zh-CN"/>
              </w:rPr>
              <w:t>9.1.1.4</w:t>
            </w:r>
          </w:p>
        </w:tc>
        <w:tc>
          <w:tcPr>
            <w:tcW w:w="1608" w:type="dxa"/>
            <w:noWrap w:val="0"/>
            <w:vAlign w:val="center"/>
          </w:tcPr>
          <w:p w14:paraId="29B22B16">
            <w:pPr>
              <w:pStyle w:val="43"/>
              <w:bidi w:val="0"/>
              <w:rPr>
                <w:rFonts w:hint="default" w:eastAsia="宋体"/>
                <w:color w:val="auto"/>
                <w:lang w:val="en-US" w:eastAsia="zh-CN"/>
              </w:rPr>
            </w:pPr>
            <w:r>
              <w:rPr>
                <w:rFonts w:hint="eastAsia"/>
                <w:color w:val="auto"/>
                <w:lang w:val="en-US" w:eastAsia="zh-CN"/>
              </w:rPr>
              <w:t>设计说明中未提及，将在对策措施中提出</w:t>
            </w:r>
          </w:p>
        </w:tc>
        <w:tc>
          <w:tcPr>
            <w:tcW w:w="629" w:type="dxa"/>
            <w:noWrap w:val="0"/>
            <w:vAlign w:val="center"/>
          </w:tcPr>
          <w:p w14:paraId="5D6DE3B6">
            <w:pPr>
              <w:pStyle w:val="43"/>
              <w:bidi w:val="0"/>
              <w:rPr>
                <w:rFonts w:hint="eastAsia"/>
                <w:color w:val="auto"/>
              </w:rPr>
            </w:pPr>
            <w:r>
              <w:rPr>
                <w:rFonts w:hint="eastAsia"/>
                <w:color w:val="auto"/>
                <w:lang w:val="en-US" w:eastAsia="zh-CN"/>
              </w:rPr>
              <w:t>-</w:t>
            </w:r>
          </w:p>
        </w:tc>
      </w:tr>
      <w:tr w14:paraId="678E36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62D56512">
            <w:pPr>
              <w:pStyle w:val="43"/>
              <w:bidi w:val="0"/>
              <w:rPr>
                <w:rFonts w:hint="eastAsia"/>
                <w:color w:val="auto"/>
                <w:lang w:val="en-US" w:eastAsia="zh-CN"/>
              </w:rPr>
            </w:pPr>
            <w:r>
              <w:rPr>
                <w:rFonts w:hint="eastAsia"/>
                <w:color w:val="auto"/>
                <w:lang w:val="en-US" w:eastAsia="zh-CN"/>
              </w:rPr>
              <w:t>5</w:t>
            </w:r>
          </w:p>
        </w:tc>
        <w:tc>
          <w:tcPr>
            <w:tcW w:w="4685" w:type="dxa"/>
            <w:noWrap w:val="0"/>
            <w:vAlign w:val="center"/>
          </w:tcPr>
          <w:p w14:paraId="7FEE1F1C">
            <w:pPr>
              <w:pStyle w:val="43"/>
              <w:bidi w:val="0"/>
              <w:jc w:val="left"/>
              <w:rPr>
                <w:rFonts w:hint="eastAsia"/>
                <w:color w:val="auto"/>
              </w:rPr>
            </w:pPr>
            <w:r>
              <w:rPr>
                <w:rFonts w:hint="eastAsia"/>
                <w:color w:val="auto"/>
                <w:lang w:val="en-US" w:eastAsia="zh-CN"/>
              </w:rPr>
              <w:t>母婴室应设置在综合楼公共区域，且有私密的空间，配置大人和宝宝座椅、操作台、电源插座、饮水机、垃圾桶、洗手池等设备。</w:t>
            </w:r>
          </w:p>
        </w:tc>
        <w:tc>
          <w:tcPr>
            <w:tcW w:w="1807" w:type="dxa"/>
            <w:noWrap w:val="0"/>
            <w:vAlign w:val="center"/>
          </w:tcPr>
          <w:p w14:paraId="35EF6C9C">
            <w:pPr>
              <w:pStyle w:val="43"/>
              <w:bidi w:val="0"/>
              <w:rPr>
                <w:rFonts w:hint="default"/>
                <w:color w:val="auto"/>
                <w:lang w:val="en-US" w:eastAsia="zh-CN"/>
              </w:rPr>
            </w:pPr>
            <w:r>
              <w:rPr>
                <w:rFonts w:hint="default"/>
                <w:color w:val="auto"/>
                <w:lang w:val="en-US" w:eastAsia="zh-CN"/>
              </w:rPr>
              <w:t>《高速公路服务区设计规范》DB36T698-2017</w:t>
            </w:r>
          </w:p>
          <w:p w14:paraId="6EBF2521">
            <w:pPr>
              <w:pStyle w:val="43"/>
              <w:bidi w:val="0"/>
              <w:ind w:firstLine="0" w:firstLineChars="0"/>
              <w:rPr>
                <w:rFonts w:hint="default"/>
                <w:color w:val="auto"/>
                <w:lang w:val="en-US" w:eastAsia="zh-CN"/>
              </w:rPr>
            </w:pPr>
            <w:r>
              <w:rPr>
                <w:rFonts w:hint="eastAsia"/>
                <w:color w:val="auto"/>
                <w:lang w:val="en-US" w:eastAsia="zh-CN"/>
              </w:rPr>
              <w:t>9.1.1.5</w:t>
            </w:r>
          </w:p>
        </w:tc>
        <w:tc>
          <w:tcPr>
            <w:tcW w:w="1608" w:type="dxa"/>
            <w:noWrap w:val="0"/>
            <w:vAlign w:val="center"/>
          </w:tcPr>
          <w:p w14:paraId="6B7DD0C1">
            <w:pPr>
              <w:pStyle w:val="43"/>
              <w:bidi w:val="0"/>
              <w:rPr>
                <w:rFonts w:hint="default" w:eastAsia="宋体"/>
                <w:color w:val="auto"/>
                <w:lang w:val="en-US" w:eastAsia="zh-CN"/>
              </w:rPr>
            </w:pPr>
            <w:r>
              <w:rPr>
                <w:rFonts w:hint="eastAsia"/>
                <w:color w:val="auto"/>
                <w:lang w:val="en-US" w:eastAsia="zh-CN"/>
              </w:rPr>
              <w:t>设计说明中未提及，将在对策措施中提出</w:t>
            </w:r>
          </w:p>
        </w:tc>
        <w:tc>
          <w:tcPr>
            <w:tcW w:w="629" w:type="dxa"/>
            <w:noWrap w:val="0"/>
            <w:vAlign w:val="center"/>
          </w:tcPr>
          <w:p w14:paraId="5C7030A3">
            <w:pPr>
              <w:pStyle w:val="43"/>
              <w:bidi w:val="0"/>
              <w:rPr>
                <w:rFonts w:hint="eastAsia"/>
                <w:color w:val="auto"/>
              </w:rPr>
            </w:pPr>
            <w:r>
              <w:rPr>
                <w:rFonts w:hint="eastAsia"/>
                <w:color w:val="auto"/>
                <w:lang w:val="en-US" w:eastAsia="zh-CN"/>
              </w:rPr>
              <w:t>-</w:t>
            </w:r>
          </w:p>
        </w:tc>
      </w:tr>
      <w:tr w14:paraId="32320F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2220CF48">
            <w:pPr>
              <w:pStyle w:val="43"/>
              <w:bidi w:val="0"/>
              <w:rPr>
                <w:rFonts w:hint="eastAsia"/>
                <w:color w:val="auto"/>
                <w:lang w:val="en-US" w:eastAsia="zh-CN"/>
              </w:rPr>
            </w:pPr>
            <w:r>
              <w:rPr>
                <w:rFonts w:hint="eastAsia"/>
                <w:color w:val="auto"/>
                <w:lang w:val="en-US" w:eastAsia="zh-CN"/>
              </w:rPr>
              <w:t>6</w:t>
            </w:r>
          </w:p>
        </w:tc>
        <w:tc>
          <w:tcPr>
            <w:tcW w:w="4685" w:type="dxa"/>
            <w:noWrap w:val="0"/>
            <w:vAlign w:val="center"/>
          </w:tcPr>
          <w:p w14:paraId="678B9DB6">
            <w:pPr>
              <w:pStyle w:val="43"/>
              <w:bidi w:val="0"/>
              <w:jc w:val="left"/>
              <w:rPr>
                <w:rFonts w:hint="eastAsia"/>
                <w:color w:val="auto"/>
              </w:rPr>
            </w:pPr>
            <w:r>
              <w:rPr>
                <w:rFonts w:hint="eastAsia"/>
                <w:color w:val="auto"/>
                <w:lang w:val="en-US" w:eastAsia="zh-CN"/>
              </w:rPr>
              <w:t>综合楼设计必须符合无障碍设计要求。中心服务区的综合楼设计必须有方便残疾人、老年人使用的设施:普通服务区的综合楼设计应有方便残疾人的设施。</w:t>
            </w:r>
          </w:p>
        </w:tc>
        <w:tc>
          <w:tcPr>
            <w:tcW w:w="1807" w:type="dxa"/>
            <w:noWrap w:val="0"/>
            <w:vAlign w:val="center"/>
          </w:tcPr>
          <w:p w14:paraId="457C40A6">
            <w:pPr>
              <w:pStyle w:val="43"/>
              <w:bidi w:val="0"/>
              <w:rPr>
                <w:rFonts w:hint="default"/>
                <w:color w:val="auto"/>
                <w:lang w:val="en-US" w:eastAsia="zh-CN"/>
              </w:rPr>
            </w:pPr>
            <w:r>
              <w:rPr>
                <w:rFonts w:hint="default"/>
                <w:color w:val="auto"/>
                <w:lang w:val="en-US" w:eastAsia="zh-CN"/>
              </w:rPr>
              <w:t>《高速公路服务区设计规范》DB36T698-2017</w:t>
            </w:r>
          </w:p>
          <w:p w14:paraId="0B775F86">
            <w:pPr>
              <w:pStyle w:val="43"/>
              <w:bidi w:val="0"/>
              <w:ind w:firstLine="0" w:firstLineChars="0"/>
              <w:rPr>
                <w:rFonts w:hint="default"/>
                <w:color w:val="auto"/>
                <w:lang w:val="en-US" w:eastAsia="zh-CN"/>
              </w:rPr>
            </w:pPr>
            <w:r>
              <w:rPr>
                <w:rFonts w:hint="eastAsia"/>
                <w:color w:val="auto"/>
                <w:lang w:val="en-US" w:eastAsia="zh-CN"/>
              </w:rPr>
              <w:t>9.1.1.6</w:t>
            </w:r>
          </w:p>
        </w:tc>
        <w:tc>
          <w:tcPr>
            <w:tcW w:w="1608" w:type="dxa"/>
            <w:noWrap w:val="0"/>
            <w:vAlign w:val="center"/>
          </w:tcPr>
          <w:p w14:paraId="24B26FA0">
            <w:pPr>
              <w:pStyle w:val="43"/>
              <w:bidi w:val="0"/>
              <w:rPr>
                <w:rFonts w:hint="eastAsia"/>
                <w:color w:val="auto"/>
                <w:lang w:val="en-US" w:eastAsia="zh-CN"/>
              </w:rPr>
            </w:pPr>
            <w:r>
              <w:rPr>
                <w:rFonts w:hint="eastAsia"/>
                <w:color w:val="auto"/>
                <w:lang w:val="en-US" w:eastAsia="zh-CN"/>
              </w:rPr>
              <w:t>设计说明中未提及，将在对策措施中提出</w:t>
            </w:r>
          </w:p>
        </w:tc>
        <w:tc>
          <w:tcPr>
            <w:tcW w:w="629" w:type="dxa"/>
            <w:noWrap w:val="0"/>
            <w:vAlign w:val="center"/>
          </w:tcPr>
          <w:p w14:paraId="3479E1CC">
            <w:pPr>
              <w:pStyle w:val="43"/>
              <w:bidi w:val="0"/>
              <w:rPr>
                <w:rFonts w:hint="default"/>
                <w:color w:val="auto"/>
                <w:lang w:val="en-US" w:eastAsia="zh-CN"/>
              </w:rPr>
            </w:pPr>
            <w:r>
              <w:rPr>
                <w:rFonts w:hint="eastAsia"/>
                <w:color w:val="auto"/>
                <w:lang w:val="en-US" w:eastAsia="zh-CN"/>
              </w:rPr>
              <w:t>-</w:t>
            </w:r>
          </w:p>
        </w:tc>
      </w:tr>
      <w:tr w14:paraId="7E4746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0A744323">
            <w:pPr>
              <w:pStyle w:val="43"/>
              <w:bidi w:val="0"/>
              <w:rPr>
                <w:rFonts w:hint="eastAsia"/>
                <w:color w:val="auto"/>
                <w:lang w:val="en-US" w:eastAsia="zh-CN"/>
              </w:rPr>
            </w:pPr>
            <w:r>
              <w:rPr>
                <w:rFonts w:hint="eastAsia"/>
                <w:color w:val="auto"/>
                <w:lang w:val="en-US" w:eastAsia="zh-CN"/>
              </w:rPr>
              <w:t>7</w:t>
            </w:r>
          </w:p>
        </w:tc>
        <w:tc>
          <w:tcPr>
            <w:tcW w:w="4685" w:type="dxa"/>
            <w:noWrap w:val="0"/>
            <w:vAlign w:val="center"/>
          </w:tcPr>
          <w:p w14:paraId="1D703C8B">
            <w:pPr>
              <w:pStyle w:val="43"/>
              <w:bidi w:val="0"/>
              <w:jc w:val="left"/>
              <w:rPr>
                <w:rFonts w:hint="eastAsia"/>
                <w:color w:val="auto"/>
                <w:lang w:val="en-US" w:eastAsia="zh-CN"/>
              </w:rPr>
            </w:pPr>
            <w:r>
              <w:rPr>
                <w:rFonts w:hint="eastAsia"/>
                <w:color w:val="auto"/>
                <w:lang w:val="en-US" w:eastAsia="zh-CN"/>
              </w:rPr>
              <w:t>平面布置应符合下列要求：</w:t>
            </w:r>
          </w:p>
          <w:p w14:paraId="4C91C6C5">
            <w:pPr>
              <w:pStyle w:val="43"/>
              <w:bidi w:val="0"/>
              <w:jc w:val="left"/>
              <w:rPr>
                <w:rFonts w:hint="eastAsia" w:eastAsia="宋体"/>
                <w:color w:val="auto"/>
                <w:lang w:eastAsia="zh-CN"/>
              </w:rPr>
            </w:pPr>
            <w:r>
              <w:rPr>
                <w:rFonts w:hint="eastAsia"/>
                <w:color w:val="auto"/>
                <w:lang w:val="en-US" w:eastAsia="zh-CN"/>
              </w:rPr>
              <w:t>a）</w:t>
            </w:r>
            <w:r>
              <w:rPr>
                <w:rFonts w:hint="eastAsia"/>
                <w:color w:val="auto"/>
              </w:rPr>
              <w:t>应考虑改扩建的需要</w:t>
            </w:r>
            <w:r>
              <w:rPr>
                <w:rFonts w:hint="eastAsia"/>
                <w:color w:val="auto"/>
                <w:lang w:eastAsia="zh-CN"/>
              </w:rPr>
              <w:t>；</w:t>
            </w:r>
          </w:p>
          <w:p w14:paraId="618651E5">
            <w:pPr>
              <w:pStyle w:val="43"/>
              <w:bidi w:val="0"/>
              <w:jc w:val="left"/>
              <w:rPr>
                <w:rFonts w:hint="eastAsia" w:eastAsia="宋体"/>
                <w:color w:val="auto"/>
                <w:lang w:eastAsia="zh-CN"/>
              </w:rPr>
            </w:pPr>
            <w:r>
              <w:rPr>
                <w:rFonts w:hint="eastAsia"/>
                <w:color w:val="auto"/>
                <w:lang w:val="en-US" w:eastAsia="zh-CN"/>
              </w:rPr>
              <w:t>b</w:t>
            </w:r>
            <w:r>
              <w:rPr>
                <w:rFonts w:hint="eastAsia"/>
                <w:color w:val="auto"/>
                <w:lang w:eastAsia="zh-CN"/>
              </w:rPr>
              <w:t>）</w:t>
            </w:r>
            <w:r>
              <w:rPr>
                <w:rFonts w:hint="eastAsia"/>
                <w:color w:val="auto"/>
              </w:rPr>
              <w:t>应根据场地现状，因地制宜，争取南北朝向</w:t>
            </w:r>
            <w:r>
              <w:rPr>
                <w:rFonts w:hint="eastAsia"/>
                <w:color w:val="auto"/>
                <w:lang w:eastAsia="zh-CN"/>
              </w:rPr>
              <w:t>；</w:t>
            </w:r>
          </w:p>
          <w:p w14:paraId="0A174D3E">
            <w:pPr>
              <w:pStyle w:val="43"/>
              <w:bidi w:val="0"/>
              <w:jc w:val="left"/>
              <w:rPr>
                <w:rFonts w:hint="eastAsia" w:eastAsia="宋体"/>
                <w:color w:val="auto"/>
                <w:lang w:eastAsia="zh-CN"/>
              </w:rPr>
            </w:pPr>
            <w:r>
              <w:rPr>
                <w:rFonts w:hint="eastAsia"/>
                <w:color w:val="auto"/>
                <w:lang w:val="en-US" w:eastAsia="zh-CN"/>
              </w:rPr>
              <w:t>c</w:t>
            </w:r>
            <w:r>
              <w:rPr>
                <w:rFonts w:hint="eastAsia"/>
                <w:color w:val="auto"/>
                <w:lang w:eastAsia="zh-CN"/>
              </w:rPr>
              <w:t>）</w:t>
            </w:r>
            <w:r>
              <w:rPr>
                <w:rFonts w:hint="eastAsia"/>
                <w:color w:val="auto"/>
              </w:rPr>
              <w:t>应利于夏季自然通风、冬季日照并避开冬季主导风向</w:t>
            </w:r>
            <w:r>
              <w:rPr>
                <w:rFonts w:hint="eastAsia"/>
                <w:color w:val="auto"/>
                <w:lang w:eastAsia="zh-CN"/>
              </w:rPr>
              <w:t>；</w:t>
            </w:r>
          </w:p>
          <w:p w14:paraId="583F92F9">
            <w:pPr>
              <w:pStyle w:val="43"/>
              <w:bidi w:val="0"/>
              <w:jc w:val="left"/>
              <w:rPr>
                <w:rFonts w:hint="eastAsia" w:eastAsia="宋体"/>
                <w:color w:val="auto"/>
                <w:lang w:eastAsia="zh-CN"/>
              </w:rPr>
            </w:pPr>
            <w:r>
              <w:rPr>
                <w:rFonts w:hint="eastAsia"/>
                <w:color w:val="auto"/>
                <w:lang w:val="en-US" w:eastAsia="zh-CN"/>
              </w:rPr>
              <w:t>d</w:t>
            </w:r>
            <w:r>
              <w:rPr>
                <w:rFonts w:hint="eastAsia"/>
                <w:color w:val="auto"/>
                <w:lang w:eastAsia="zh-CN"/>
              </w:rPr>
              <w:t>）</w:t>
            </w:r>
            <w:r>
              <w:rPr>
                <w:rFonts w:hint="eastAsia"/>
                <w:color w:val="auto"/>
              </w:rPr>
              <w:t>充分利用公共厕所的前场空间，布置活动商业零售点</w:t>
            </w:r>
            <w:r>
              <w:rPr>
                <w:rFonts w:hint="eastAsia"/>
                <w:color w:val="auto"/>
                <w:lang w:eastAsia="zh-CN"/>
              </w:rPr>
              <w:t>；</w:t>
            </w:r>
          </w:p>
          <w:p w14:paraId="677050D4">
            <w:pPr>
              <w:pStyle w:val="43"/>
              <w:bidi w:val="0"/>
              <w:jc w:val="left"/>
              <w:rPr>
                <w:rFonts w:hint="default" w:eastAsia="宋体"/>
                <w:color w:val="auto"/>
                <w:lang w:val="en-US" w:eastAsia="zh-CN"/>
              </w:rPr>
            </w:pPr>
            <w:r>
              <w:rPr>
                <w:rFonts w:hint="eastAsia"/>
                <w:color w:val="auto"/>
                <w:lang w:val="en-US" w:eastAsia="zh-CN"/>
              </w:rPr>
              <w:t>e</w:t>
            </w:r>
            <w:r>
              <w:rPr>
                <w:rFonts w:hint="eastAsia"/>
                <w:color w:val="auto"/>
                <w:lang w:eastAsia="zh-CN"/>
              </w:rPr>
              <w:t>）</w:t>
            </w:r>
            <w:r>
              <w:rPr>
                <w:rFonts w:hint="eastAsia"/>
                <w:color w:val="auto"/>
              </w:rPr>
              <w:t>办公区宜包括管理办公室、商务办公室、会议室、监控室、贵宾接待室、活动室及职工书屋等。</w:t>
            </w:r>
          </w:p>
        </w:tc>
        <w:tc>
          <w:tcPr>
            <w:tcW w:w="1807" w:type="dxa"/>
            <w:noWrap w:val="0"/>
            <w:vAlign w:val="center"/>
          </w:tcPr>
          <w:p w14:paraId="6466ED5D">
            <w:pPr>
              <w:pStyle w:val="43"/>
              <w:bidi w:val="0"/>
              <w:rPr>
                <w:rFonts w:hint="default"/>
                <w:color w:val="auto"/>
                <w:lang w:val="en-US" w:eastAsia="zh-CN"/>
              </w:rPr>
            </w:pPr>
            <w:r>
              <w:rPr>
                <w:rFonts w:hint="default"/>
                <w:color w:val="auto"/>
                <w:lang w:val="en-US" w:eastAsia="zh-CN"/>
              </w:rPr>
              <w:t>《高速公路服务区设计规范》DB36T698-2017</w:t>
            </w:r>
          </w:p>
          <w:p w14:paraId="38903AD4">
            <w:pPr>
              <w:pStyle w:val="43"/>
              <w:bidi w:val="0"/>
              <w:rPr>
                <w:rFonts w:hint="default"/>
                <w:color w:val="auto"/>
                <w:lang w:val="en-US" w:eastAsia="zh-CN"/>
              </w:rPr>
            </w:pPr>
            <w:r>
              <w:rPr>
                <w:rFonts w:hint="eastAsia"/>
                <w:color w:val="auto"/>
                <w:lang w:val="en-US" w:eastAsia="zh-CN"/>
              </w:rPr>
              <w:t>9.1.2</w:t>
            </w:r>
          </w:p>
        </w:tc>
        <w:tc>
          <w:tcPr>
            <w:tcW w:w="1608" w:type="dxa"/>
            <w:noWrap w:val="0"/>
            <w:vAlign w:val="center"/>
          </w:tcPr>
          <w:p w14:paraId="55E9F693">
            <w:pPr>
              <w:pStyle w:val="43"/>
              <w:bidi w:val="0"/>
              <w:rPr>
                <w:rFonts w:hint="default" w:eastAsia="宋体"/>
                <w:color w:val="auto"/>
                <w:lang w:val="en-US" w:eastAsia="zh-CN"/>
              </w:rPr>
            </w:pPr>
            <w:r>
              <w:rPr>
                <w:rFonts w:hint="eastAsia"/>
                <w:color w:val="auto"/>
                <w:lang w:val="en-US" w:eastAsia="zh-CN"/>
              </w:rPr>
              <w:t>平面布置符合所述要求</w:t>
            </w:r>
          </w:p>
        </w:tc>
        <w:tc>
          <w:tcPr>
            <w:tcW w:w="629" w:type="dxa"/>
            <w:noWrap w:val="0"/>
            <w:vAlign w:val="center"/>
          </w:tcPr>
          <w:p w14:paraId="240B7F56">
            <w:pPr>
              <w:pStyle w:val="43"/>
              <w:bidi w:val="0"/>
              <w:rPr>
                <w:rFonts w:hint="eastAsia"/>
                <w:color w:val="auto"/>
              </w:rPr>
            </w:pPr>
            <w:r>
              <w:rPr>
                <w:rFonts w:hint="eastAsia"/>
                <w:color w:val="auto"/>
                <w:lang w:val="en-US" w:eastAsia="zh-CN"/>
              </w:rPr>
              <w:t>符合</w:t>
            </w:r>
          </w:p>
        </w:tc>
      </w:tr>
      <w:tr w14:paraId="3D7FAA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24AD59B3">
            <w:pPr>
              <w:pStyle w:val="43"/>
              <w:bidi w:val="0"/>
              <w:rPr>
                <w:rFonts w:hint="eastAsia"/>
                <w:color w:val="auto"/>
                <w:lang w:val="en-US" w:eastAsia="zh-CN"/>
              </w:rPr>
            </w:pPr>
          </w:p>
        </w:tc>
        <w:tc>
          <w:tcPr>
            <w:tcW w:w="8729" w:type="dxa"/>
            <w:gridSpan w:val="4"/>
            <w:noWrap w:val="0"/>
            <w:vAlign w:val="center"/>
          </w:tcPr>
          <w:p w14:paraId="4E0E87DF">
            <w:pPr>
              <w:pStyle w:val="43"/>
              <w:bidi w:val="0"/>
              <w:rPr>
                <w:rFonts w:hint="default" w:eastAsia="宋体"/>
                <w:color w:val="auto"/>
                <w:lang w:val="en-US" w:eastAsia="zh-CN"/>
              </w:rPr>
            </w:pPr>
            <w:r>
              <w:rPr>
                <w:rFonts w:hint="eastAsia"/>
                <w:b/>
                <w:bCs/>
                <w:color w:val="auto"/>
                <w:lang w:val="en-US" w:eastAsia="zh-CN"/>
              </w:rPr>
              <w:t>停车场、修车库</w:t>
            </w:r>
          </w:p>
        </w:tc>
      </w:tr>
      <w:tr w14:paraId="7BF678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672C186C">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1</w:t>
            </w:r>
          </w:p>
        </w:tc>
        <w:tc>
          <w:tcPr>
            <w:tcW w:w="4685" w:type="dxa"/>
            <w:noWrap w:val="0"/>
            <w:vAlign w:val="center"/>
          </w:tcPr>
          <w:p w14:paraId="037A7722">
            <w:pPr>
              <w:pStyle w:val="43"/>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eastAsia="宋体"/>
                <w:color w:val="auto"/>
                <w:lang w:val="en-US" w:eastAsia="zh-CN"/>
              </w:rPr>
            </w:pPr>
            <w:r>
              <w:rPr>
                <w:rFonts w:hint="default" w:eastAsia="宋体"/>
                <w:color w:val="auto"/>
                <w:lang w:val="en-US" w:eastAsia="zh-CN"/>
              </w:rPr>
              <w:t>停车场与相邻的一、二级耐火等级建筑之间，当相邻建筑的外墙为无门、窗、洞口的防火墙，或比停车部位高15m范围以下的外墙均为无门、窗、洞口的防火墙时，防火间距可不限。</w:t>
            </w:r>
          </w:p>
        </w:tc>
        <w:tc>
          <w:tcPr>
            <w:tcW w:w="1807" w:type="dxa"/>
            <w:noWrap w:val="0"/>
            <w:vAlign w:val="center"/>
          </w:tcPr>
          <w:p w14:paraId="1D845AF0">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微软雅黑" w:hAnsi="微软雅黑" w:eastAsia="微软雅黑" w:cs="微软雅黑"/>
                <w:i w:val="0"/>
                <w:iCs w:val="0"/>
                <w:caps w:val="0"/>
                <w:color w:val="auto"/>
                <w:spacing w:val="0"/>
                <w:sz w:val="19"/>
                <w:szCs w:val="19"/>
                <w:u w:val="none"/>
                <w:shd w:val="clear" w:fill="FFFFFF"/>
              </w:rPr>
            </w:pPr>
            <w:r>
              <w:rPr>
                <w:rFonts w:hint="eastAsia" w:ascii="微软雅黑" w:hAnsi="微软雅黑" w:eastAsia="微软雅黑" w:cs="微软雅黑"/>
                <w:i w:val="0"/>
                <w:iCs w:val="0"/>
                <w:caps w:val="0"/>
                <w:color w:val="auto"/>
                <w:spacing w:val="0"/>
                <w:sz w:val="19"/>
                <w:szCs w:val="19"/>
                <w:u w:val="none"/>
                <w:shd w:val="clear" w:fill="FFFFFF"/>
                <w:lang w:eastAsia="zh-CN"/>
              </w:rPr>
              <w:t>《</w:t>
            </w:r>
            <w:r>
              <w:rPr>
                <w:rFonts w:ascii="微软雅黑" w:hAnsi="微软雅黑" w:eastAsia="微软雅黑" w:cs="微软雅黑"/>
                <w:i w:val="0"/>
                <w:iCs w:val="0"/>
                <w:caps w:val="0"/>
                <w:color w:val="auto"/>
                <w:spacing w:val="0"/>
                <w:sz w:val="19"/>
                <w:szCs w:val="19"/>
                <w:u w:val="none"/>
                <w:shd w:val="clear" w:fill="FFFFFF"/>
              </w:rPr>
              <w:fldChar w:fldCharType="begin"/>
            </w:r>
            <w:r>
              <w:rPr>
                <w:rFonts w:ascii="微软雅黑" w:hAnsi="微软雅黑" w:eastAsia="微软雅黑" w:cs="微软雅黑"/>
                <w:i w:val="0"/>
                <w:iCs w:val="0"/>
                <w:caps w:val="0"/>
                <w:color w:val="auto"/>
                <w:spacing w:val="0"/>
                <w:sz w:val="19"/>
                <w:szCs w:val="19"/>
                <w:u w:val="none"/>
                <w:shd w:val="clear" w:fill="FFFFFF"/>
              </w:rPr>
              <w:instrText xml:space="preserve"> HYPERLINK "http://www.jianbiaoku.com/webarbs/book/363.shtml" \t "http://www.jianbiaoku.com/webarbs/book/363/_self" </w:instrText>
            </w:r>
            <w:r>
              <w:rPr>
                <w:rFonts w:ascii="微软雅黑" w:hAnsi="微软雅黑" w:eastAsia="微软雅黑" w:cs="微软雅黑"/>
                <w:i w:val="0"/>
                <w:iCs w:val="0"/>
                <w:caps w:val="0"/>
                <w:color w:val="auto"/>
                <w:spacing w:val="0"/>
                <w:sz w:val="19"/>
                <w:szCs w:val="19"/>
                <w:u w:val="none"/>
                <w:shd w:val="clear" w:fill="FFFFFF"/>
              </w:rPr>
              <w:fldChar w:fldCharType="separate"/>
            </w:r>
            <w:r>
              <w:rPr>
                <w:rStyle w:val="40"/>
                <w:rFonts w:hint="eastAsia" w:ascii="微软雅黑" w:hAnsi="微软雅黑" w:eastAsia="微软雅黑" w:cs="微软雅黑"/>
                <w:i w:val="0"/>
                <w:iCs w:val="0"/>
                <w:caps w:val="0"/>
                <w:color w:val="auto"/>
                <w:spacing w:val="0"/>
                <w:sz w:val="19"/>
                <w:szCs w:val="19"/>
                <w:u w:val="none"/>
                <w:shd w:val="clear" w:fill="FFFFFF"/>
              </w:rPr>
              <w:t>汽车库、修车库、停车场设计防火规范</w:t>
            </w:r>
            <w:r>
              <w:rPr>
                <w:rFonts w:hint="eastAsia" w:ascii="微软雅黑" w:hAnsi="微软雅黑" w:eastAsia="微软雅黑" w:cs="微软雅黑"/>
                <w:i w:val="0"/>
                <w:iCs w:val="0"/>
                <w:caps w:val="0"/>
                <w:color w:val="auto"/>
                <w:spacing w:val="0"/>
                <w:sz w:val="19"/>
                <w:szCs w:val="19"/>
                <w:u w:val="none"/>
                <w:shd w:val="clear" w:fill="FFFFFF"/>
                <w:lang w:eastAsia="zh-CN"/>
              </w:rPr>
              <w:t>》</w:t>
            </w:r>
            <w:r>
              <w:rPr>
                <w:rStyle w:val="40"/>
                <w:rFonts w:hint="eastAsia" w:ascii="微软雅黑" w:hAnsi="微软雅黑" w:eastAsia="微软雅黑" w:cs="微软雅黑"/>
                <w:i w:val="0"/>
                <w:iCs w:val="0"/>
                <w:caps w:val="0"/>
                <w:color w:val="auto"/>
                <w:spacing w:val="0"/>
                <w:sz w:val="19"/>
                <w:szCs w:val="19"/>
                <w:u w:val="none"/>
                <w:shd w:val="clear" w:fill="FFFFFF"/>
              </w:rPr>
              <w:t xml:space="preserve"> GB50067-2014</w:t>
            </w:r>
            <w:r>
              <w:rPr>
                <w:rFonts w:hint="eastAsia" w:ascii="微软雅黑" w:hAnsi="微软雅黑" w:eastAsia="微软雅黑" w:cs="微软雅黑"/>
                <w:i w:val="0"/>
                <w:iCs w:val="0"/>
                <w:caps w:val="0"/>
                <w:color w:val="auto"/>
                <w:spacing w:val="0"/>
                <w:sz w:val="19"/>
                <w:szCs w:val="19"/>
                <w:u w:val="none"/>
                <w:shd w:val="clear" w:fill="FFFFFF"/>
              </w:rPr>
              <w:fldChar w:fldCharType="end"/>
            </w:r>
          </w:p>
          <w:p w14:paraId="2BAF3359">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ascii="微软雅黑" w:hAnsi="微软雅黑" w:eastAsia="微软雅黑" w:cs="微软雅黑"/>
                <w:i w:val="0"/>
                <w:iCs w:val="0"/>
                <w:caps w:val="0"/>
                <w:color w:val="auto"/>
                <w:spacing w:val="0"/>
                <w:sz w:val="19"/>
                <w:szCs w:val="19"/>
                <w:u w:val="none"/>
                <w:shd w:val="clear" w:fill="FFFFFF"/>
                <w:lang w:val="en-US" w:eastAsia="zh-CN"/>
              </w:rPr>
            </w:pPr>
            <w:r>
              <w:rPr>
                <w:rFonts w:hint="eastAsia" w:ascii="微软雅黑" w:hAnsi="微软雅黑" w:eastAsia="微软雅黑" w:cs="微软雅黑"/>
                <w:i w:val="0"/>
                <w:iCs w:val="0"/>
                <w:caps w:val="0"/>
                <w:color w:val="auto"/>
                <w:spacing w:val="0"/>
                <w:sz w:val="19"/>
                <w:szCs w:val="19"/>
                <w:u w:val="none"/>
                <w:shd w:val="clear" w:fill="FFFFFF"/>
                <w:lang w:val="en-US" w:eastAsia="zh-CN"/>
              </w:rPr>
              <w:t>4.2.3</w:t>
            </w:r>
          </w:p>
        </w:tc>
        <w:tc>
          <w:tcPr>
            <w:tcW w:w="1608" w:type="dxa"/>
            <w:noWrap w:val="0"/>
            <w:vAlign w:val="center"/>
          </w:tcPr>
          <w:p w14:paraId="30975A92">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eastAsia="宋体"/>
                <w:color w:val="auto"/>
                <w:lang w:val="en-US" w:eastAsia="zh-CN"/>
              </w:rPr>
            </w:pPr>
            <w:r>
              <w:rPr>
                <w:rFonts w:hint="eastAsia"/>
                <w:color w:val="auto"/>
                <w:lang w:val="en-US" w:eastAsia="zh-CN"/>
              </w:rPr>
              <w:t>停车场与建构筑物防火间距符合要求</w:t>
            </w:r>
          </w:p>
        </w:tc>
        <w:tc>
          <w:tcPr>
            <w:tcW w:w="629" w:type="dxa"/>
            <w:noWrap w:val="0"/>
            <w:vAlign w:val="center"/>
          </w:tcPr>
          <w:p w14:paraId="2529C673">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eastAsia="宋体"/>
                <w:color w:val="auto"/>
                <w:lang w:val="en-US" w:eastAsia="zh-CN"/>
              </w:rPr>
            </w:pPr>
            <w:r>
              <w:rPr>
                <w:rFonts w:hint="eastAsia"/>
                <w:color w:val="auto"/>
                <w:lang w:val="en-US" w:eastAsia="zh-CN"/>
              </w:rPr>
              <w:t>符合</w:t>
            </w:r>
          </w:p>
        </w:tc>
      </w:tr>
      <w:tr w14:paraId="213E30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545AB3C1">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2</w:t>
            </w:r>
          </w:p>
        </w:tc>
        <w:tc>
          <w:tcPr>
            <w:tcW w:w="4685" w:type="dxa"/>
            <w:noWrap w:val="0"/>
            <w:vAlign w:val="center"/>
          </w:tcPr>
          <w:p w14:paraId="21DEEB49">
            <w:pPr>
              <w:pStyle w:val="43"/>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eastAsia="宋体"/>
                <w:color w:val="auto"/>
                <w:lang w:val="en-US" w:eastAsia="zh-CN"/>
              </w:rPr>
            </w:pPr>
            <w:r>
              <w:rPr>
                <w:rFonts w:hint="default" w:eastAsia="宋体"/>
                <w:color w:val="auto"/>
                <w:lang w:val="en-US" w:eastAsia="zh-CN"/>
              </w:rPr>
              <w:t>甲、乙类物品运输车的汽车库、修车库、停车场与民用建筑的防火间距不应小于25m，与重要公共建筑的防火间距不应小于50m。甲类物品运输车的汽车库、修车库、停车场与明火或散发火花地点的防火间距不应小于30m，与厂房、仓库的防火间距应按本规范表4.2.1的规定值增加2m。</w:t>
            </w:r>
          </w:p>
        </w:tc>
        <w:tc>
          <w:tcPr>
            <w:tcW w:w="1807" w:type="dxa"/>
            <w:noWrap w:val="0"/>
            <w:vAlign w:val="center"/>
          </w:tcPr>
          <w:p w14:paraId="2589411E">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微软雅黑" w:hAnsi="微软雅黑" w:eastAsia="微软雅黑" w:cs="微软雅黑"/>
                <w:i w:val="0"/>
                <w:iCs w:val="0"/>
                <w:caps w:val="0"/>
                <w:color w:val="auto"/>
                <w:spacing w:val="0"/>
                <w:sz w:val="19"/>
                <w:szCs w:val="19"/>
                <w:u w:val="none"/>
                <w:shd w:val="clear" w:fill="FFFFFF"/>
              </w:rPr>
            </w:pPr>
            <w:r>
              <w:rPr>
                <w:rFonts w:hint="eastAsia" w:ascii="微软雅黑" w:hAnsi="微软雅黑" w:eastAsia="微软雅黑" w:cs="微软雅黑"/>
                <w:i w:val="0"/>
                <w:iCs w:val="0"/>
                <w:caps w:val="0"/>
                <w:color w:val="auto"/>
                <w:spacing w:val="0"/>
                <w:sz w:val="19"/>
                <w:szCs w:val="19"/>
                <w:u w:val="none"/>
                <w:shd w:val="clear" w:fill="FFFFFF"/>
                <w:lang w:eastAsia="zh-CN"/>
              </w:rPr>
              <w:t>《</w:t>
            </w:r>
            <w:r>
              <w:rPr>
                <w:rFonts w:ascii="微软雅黑" w:hAnsi="微软雅黑" w:eastAsia="微软雅黑" w:cs="微软雅黑"/>
                <w:i w:val="0"/>
                <w:iCs w:val="0"/>
                <w:caps w:val="0"/>
                <w:color w:val="auto"/>
                <w:spacing w:val="0"/>
                <w:sz w:val="19"/>
                <w:szCs w:val="19"/>
                <w:u w:val="none"/>
                <w:shd w:val="clear" w:fill="FFFFFF"/>
              </w:rPr>
              <w:fldChar w:fldCharType="begin"/>
            </w:r>
            <w:r>
              <w:rPr>
                <w:rFonts w:ascii="微软雅黑" w:hAnsi="微软雅黑" w:eastAsia="微软雅黑" w:cs="微软雅黑"/>
                <w:i w:val="0"/>
                <w:iCs w:val="0"/>
                <w:caps w:val="0"/>
                <w:color w:val="auto"/>
                <w:spacing w:val="0"/>
                <w:sz w:val="19"/>
                <w:szCs w:val="19"/>
                <w:u w:val="none"/>
                <w:shd w:val="clear" w:fill="FFFFFF"/>
              </w:rPr>
              <w:instrText xml:space="preserve"> HYPERLINK "http://www.jianbiaoku.com/webarbs/book/363.shtml" \t "http://www.jianbiaoku.com/webarbs/book/363/_self" </w:instrText>
            </w:r>
            <w:r>
              <w:rPr>
                <w:rFonts w:ascii="微软雅黑" w:hAnsi="微软雅黑" w:eastAsia="微软雅黑" w:cs="微软雅黑"/>
                <w:i w:val="0"/>
                <w:iCs w:val="0"/>
                <w:caps w:val="0"/>
                <w:color w:val="auto"/>
                <w:spacing w:val="0"/>
                <w:sz w:val="19"/>
                <w:szCs w:val="19"/>
                <w:u w:val="none"/>
                <w:shd w:val="clear" w:fill="FFFFFF"/>
              </w:rPr>
              <w:fldChar w:fldCharType="separate"/>
            </w:r>
            <w:r>
              <w:rPr>
                <w:rStyle w:val="40"/>
                <w:rFonts w:hint="eastAsia" w:ascii="微软雅黑" w:hAnsi="微软雅黑" w:eastAsia="微软雅黑" w:cs="微软雅黑"/>
                <w:i w:val="0"/>
                <w:iCs w:val="0"/>
                <w:caps w:val="0"/>
                <w:color w:val="auto"/>
                <w:spacing w:val="0"/>
                <w:sz w:val="19"/>
                <w:szCs w:val="19"/>
                <w:u w:val="none"/>
                <w:shd w:val="clear" w:fill="FFFFFF"/>
              </w:rPr>
              <w:t>汽车库、修车库、停车场设计防火规范</w:t>
            </w:r>
            <w:r>
              <w:rPr>
                <w:rFonts w:hint="eastAsia" w:ascii="微软雅黑" w:hAnsi="微软雅黑" w:eastAsia="微软雅黑" w:cs="微软雅黑"/>
                <w:i w:val="0"/>
                <w:iCs w:val="0"/>
                <w:caps w:val="0"/>
                <w:color w:val="auto"/>
                <w:spacing w:val="0"/>
                <w:sz w:val="19"/>
                <w:szCs w:val="19"/>
                <w:u w:val="none"/>
                <w:shd w:val="clear" w:fill="FFFFFF"/>
                <w:lang w:eastAsia="zh-CN"/>
              </w:rPr>
              <w:t>》</w:t>
            </w:r>
            <w:r>
              <w:rPr>
                <w:rStyle w:val="40"/>
                <w:rFonts w:hint="eastAsia" w:ascii="微软雅黑" w:hAnsi="微软雅黑" w:eastAsia="微软雅黑" w:cs="微软雅黑"/>
                <w:i w:val="0"/>
                <w:iCs w:val="0"/>
                <w:caps w:val="0"/>
                <w:color w:val="auto"/>
                <w:spacing w:val="0"/>
                <w:sz w:val="19"/>
                <w:szCs w:val="19"/>
                <w:u w:val="none"/>
                <w:shd w:val="clear" w:fill="FFFFFF"/>
              </w:rPr>
              <w:t xml:space="preserve"> GB50067-2014</w:t>
            </w:r>
            <w:r>
              <w:rPr>
                <w:rFonts w:hint="eastAsia" w:ascii="微软雅黑" w:hAnsi="微软雅黑" w:eastAsia="微软雅黑" w:cs="微软雅黑"/>
                <w:i w:val="0"/>
                <w:iCs w:val="0"/>
                <w:caps w:val="0"/>
                <w:color w:val="auto"/>
                <w:spacing w:val="0"/>
                <w:sz w:val="19"/>
                <w:szCs w:val="19"/>
                <w:u w:val="none"/>
                <w:shd w:val="clear" w:fill="FFFFFF"/>
              </w:rPr>
              <w:fldChar w:fldCharType="end"/>
            </w:r>
          </w:p>
          <w:p w14:paraId="508404B7">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ascii="微软雅黑" w:hAnsi="微软雅黑" w:eastAsia="微软雅黑" w:cs="微软雅黑"/>
                <w:i w:val="0"/>
                <w:iCs w:val="0"/>
                <w:caps w:val="0"/>
                <w:color w:val="auto"/>
                <w:spacing w:val="0"/>
                <w:sz w:val="19"/>
                <w:szCs w:val="19"/>
                <w:u w:val="none"/>
                <w:shd w:val="clear" w:fill="FFFFFF"/>
                <w:lang w:val="en-US" w:eastAsia="zh-CN"/>
              </w:rPr>
            </w:pPr>
            <w:r>
              <w:rPr>
                <w:rFonts w:hint="eastAsia" w:ascii="微软雅黑" w:hAnsi="微软雅黑" w:eastAsia="微软雅黑" w:cs="微软雅黑"/>
                <w:i w:val="0"/>
                <w:iCs w:val="0"/>
                <w:caps w:val="0"/>
                <w:color w:val="auto"/>
                <w:spacing w:val="0"/>
                <w:sz w:val="19"/>
                <w:szCs w:val="19"/>
                <w:u w:val="none"/>
                <w:shd w:val="clear" w:fill="FFFFFF"/>
                <w:lang w:val="en-US" w:eastAsia="zh-CN"/>
              </w:rPr>
              <w:t>4.2.5</w:t>
            </w:r>
          </w:p>
        </w:tc>
        <w:tc>
          <w:tcPr>
            <w:tcW w:w="1608" w:type="dxa"/>
            <w:noWrap w:val="0"/>
            <w:vAlign w:val="center"/>
          </w:tcPr>
          <w:p w14:paraId="739E1B31">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危化品停车位与建筑物的防火间距符合要求</w:t>
            </w:r>
          </w:p>
        </w:tc>
        <w:tc>
          <w:tcPr>
            <w:tcW w:w="629" w:type="dxa"/>
            <w:noWrap w:val="0"/>
            <w:vAlign w:val="center"/>
          </w:tcPr>
          <w:p w14:paraId="5A6B303F">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符合</w:t>
            </w:r>
          </w:p>
        </w:tc>
      </w:tr>
      <w:tr w14:paraId="386857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1BE21EE6">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3</w:t>
            </w:r>
          </w:p>
        </w:tc>
        <w:tc>
          <w:tcPr>
            <w:tcW w:w="4685" w:type="dxa"/>
            <w:noWrap w:val="0"/>
            <w:vAlign w:val="center"/>
          </w:tcPr>
          <w:p w14:paraId="0E8948FE">
            <w:pPr>
              <w:pStyle w:val="43"/>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eastAsia="宋体"/>
                <w:color w:val="auto"/>
                <w:lang w:val="en-US" w:eastAsia="zh-CN"/>
              </w:rPr>
            </w:pPr>
            <w:r>
              <w:rPr>
                <w:rFonts w:hint="default" w:eastAsia="宋体"/>
                <w:color w:val="auto"/>
                <w:lang w:val="en-US" w:eastAsia="zh-CN"/>
              </w:rPr>
              <w:t>停车场的汽车宜分组停放，每组的停车数量不宜大于50辆，组之间的防火间距不应小于6m。</w:t>
            </w:r>
          </w:p>
        </w:tc>
        <w:tc>
          <w:tcPr>
            <w:tcW w:w="1807" w:type="dxa"/>
            <w:noWrap w:val="0"/>
            <w:vAlign w:val="center"/>
          </w:tcPr>
          <w:p w14:paraId="7D249E77">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微软雅黑" w:hAnsi="微软雅黑" w:eastAsia="微软雅黑" w:cs="微软雅黑"/>
                <w:i w:val="0"/>
                <w:iCs w:val="0"/>
                <w:caps w:val="0"/>
                <w:color w:val="auto"/>
                <w:spacing w:val="0"/>
                <w:sz w:val="19"/>
                <w:szCs w:val="19"/>
                <w:u w:val="none"/>
                <w:shd w:val="clear" w:fill="FFFFFF"/>
              </w:rPr>
            </w:pPr>
            <w:r>
              <w:rPr>
                <w:rFonts w:hint="eastAsia" w:ascii="微软雅黑" w:hAnsi="微软雅黑" w:eastAsia="微软雅黑" w:cs="微软雅黑"/>
                <w:i w:val="0"/>
                <w:iCs w:val="0"/>
                <w:caps w:val="0"/>
                <w:color w:val="auto"/>
                <w:spacing w:val="0"/>
                <w:sz w:val="19"/>
                <w:szCs w:val="19"/>
                <w:u w:val="none"/>
                <w:shd w:val="clear" w:fill="FFFFFF"/>
                <w:lang w:eastAsia="zh-CN"/>
              </w:rPr>
              <w:t>《</w:t>
            </w:r>
            <w:r>
              <w:rPr>
                <w:rFonts w:ascii="微软雅黑" w:hAnsi="微软雅黑" w:eastAsia="微软雅黑" w:cs="微软雅黑"/>
                <w:i w:val="0"/>
                <w:iCs w:val="0"/>
                <w:caps w:val="0"/>
                <w:color w:val="auto"/>
                <w:spacing w:val="0"/>
                <w:sz w:val="19"/>
                <w:szCs w:val="19"/>
                <w:u w:val="none"/>
                <w:shd w:val="clear" w:fill="FFFFFF"/>
              </w:rPr>
              <w:fldChar w:fldCharType="begin"/>
            </w:r>
            <w:r>
              <w:rPr>
                <w:rFonts w:ascii="微软雅黑" w:hAnsi="微软雅黑" w:eastAsia="微软雅黑" w:cs="微软雅黑"/>
                <w:i w:val="0"/>
                <w:iCs w:val="0"/>
                <w:caps w:val="0"/>
                <w:color w:val="auto"/>
                <w:spacing w:val="0"/>
                <w:sz w:val="19"/>
                <w:szCs w:val="19"/>
                <w:u w:val="none"/>
                <w:shd w:val="clear" w:fill="FFFFFF"/>
              </w:rPr>
              <w:instrText xml:space="preserve"> HYPERLINK "http://www.jianbiaoku.com/webarbs/book/363.shtml" \t "http://www.jianbiaoku.com/webarbs/book/363/_self" </w:instrText>
            </w:r>
            <w:r>
              <w:rPr>
                <w:rFonts w:ascii="微软雅黑" w:hAnsi="微软雅黑" w:eastAsia="微软雅黑" w:cs="微软雅黑"/>
                <w:i w:val="0"/>
                <w:iCs w:val="0"/>
                <w:caps w:val="0"/>
                <w:color w:val="auto"/>
                <w:spacing w:val="0"/>
                <w:sz w:val="19"/>
                <w:szCs w:val="19"/>
                <w:u w:val="none"/>
                <w:shd w:val="clear" w:fill="FFFFFF"/>
              </w:rPr>
              <w:fldChar w:fldCharType="separate"/>
            </w:r>
            <w:r>
              <w:rPr>
                <w:rStyle w:val="40"/>
                <w:rFonts w:hint="eastAsia" w:ascii="微软雅黑" w:hAnsi="微软雅黑" w:eastAsia="微软雅黑" w:cs="微软雅黑"/>
                <w:i w:val="0"/>
                <w:iCs w:val="0"/>
                <w:caps w:val="0"/>
                <w:color w:val="auto"/>
                <w:spacing w:val="0"/>
                <w:sz w:val="19"/>
                <w:szCs w:val="19"/>
                <w:u w:val="none"/>
                <w:shd w:val="clear" w:fill="FFFFFF"/>
              </w:rPr>
              <w:t>汽车库、修车库、停车场设计防火规范</w:t>
            </w:r>
            <w:r>
              <w:rPr>
                <w:rFonts w:hint="eastAsia" w:ascii="微软雅黑" w:hAnsi="微软雅黑" w:eastAsia="微软雅黑" w:cs="微软雅黑"/>
                <w:i w:val="0"/>
                <w:iCs w:val="0"/>
                <w:caps w:val="0"/>
                <w:color w:val="auto"/>
                <w:spacing w:val="0"/>
                <w:sz w:val="19"/>
                <w:szCs w:val="19"/>
                <w:u w:val="none"/>
                <w:shd w:val="clear" w:fill="FFFFFF"/>
                <w:lang w:eastAsia="zh-CN"/>
              </w:rPr>
              <w:t>》</w:t>
            </w:r>
            <w:r>
              <w:rPr>
                <w:rStyle w:val="40"/>
                <w:rFonts w:hint="eastAsia" w:ascii="微软雅黑" w:hAnsi="微软雅黑" w:eastAsia="微软雅黑" w:cs="微软雅黑"/>
                <w:i w:val="0"/>
                <w:iCs w:val="0"/>
                <w:caps w:val="0"/>
                <w:color w:val="auto"/>
                <w:spacing w:val="0"/>
                <w:sz w:val="19"/>
                <w:szCs w:val="19"/>
                <w:u w:val="none"/>
                <w:shd w:val="clear" w:fill="FFFFFF"/>
              </w:rPr>
              <w:t xml:space="preserve"> GB50067-2014</w:t>
            </w:r>
            <w:r>
              <w:rPr>
                <w:rFonts w:hint="eastAsia" w:ascii="微软雅黑" w:hAnsi="微软雅黑" w:eastAsia="微软雅黑" w:cs="微软雅黑"/>
                <w:i w:val="0"/>
                <w:iCs w:val="0"/>
                <w:caps w:val="0"/>
                <w:color w:val="auto"/>
                <w:spacing w:val="0"/>
                <w:sz w:val="19"/>
                <w:szCs w:val="19"/>
                <w:u w:val="none"/>
                <w:shd w:val="clear" w:fill="FFFFFF"/>
              </w:rPr>
              <w:fldChar w:fldCharType="end"/>
            </w:r>
          </w:p>
          <w:p w14:paraId="475E0868">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ascii="微软雅黑" w:hAnsi="微软雅黑" w:eastAsia="微软雅黑" w:cs="微软雅黑"/>
                <w:i w:val="0"/>
                <w:iCs w:val="0"/>
                <w:caps w:val="0"/>
                <w:color w:val="auto"/>
                <w:spacing w:val="0"/>
                <w:sz w:val="19"/>
                <w:szCs w:val="19"/>
                <w:u w:val="none"/>
                <w:shd w:val="clear" w:fill="FFFFFF"/>
                <w:lang w:val="en-US" w:eastAsia="zh-CN"/>
              </w:rPr>
            </w:pPr>
            <w:r>
              <w:rPr>
                <w:rFonts w:hint="eastAsia" w:ascii="微软雅黑" w:hAnsi="微软雅黑" w:eastAsia="微软雅黑" w:cs="微软雅黑"/>
                <w:i w:val="0"/>
                <w:iCs w:val="0"/>
                <w:caps w:val="0"/>
                <w:color w:val="auto"/>
                <w:spacing w:val="0"/>
                <w:sz w:val="19"/>
                <w:szCs w:val="19"/>
                <w:u w:val="none"/>
                <w:shd w:val="clear" w:fill="FFFFFF"/>
                <w:lang w:val="en-US" w:eastAsia="zh-CN"/>
              </w:rPr>
              <w:t>4.2.10</w:t>
            </w:r>
          </w:p>
        </w:tc>
        <w:tc>
          <w:tcPr>
            <w:tcW w:w="1608" w:type="dxa"/>
            <w:noWrap w:val="0"/>
            <w:vAlign w:val="center"/>
          </w:tcPr>
          <w:p w14:paraId="2E7446EB">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每组停车数量不大于50辆，组间的防火间距不小于6m</w:t>
            </w:r>
          </w:p>
        </w:tc>
        <w:tc>
          <w:tcPr>
            <w:tcW w:w="629" w:type="dxa"/>
            <w:noWrap w:val="0"/>
            <w:vAlign w:val="center"/>
          </w:tcPr>
          <w:p w14:paraId="566F8A90">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符合</w:t>
            </w:r>
          </w:p>
        </w:tc>
      </w:tr>
      <w:tr w14:paraId="2F9612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22FB5211">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4</w:t>
            </w:r>
          </w:p>
        </w:tc>
        <w:tc>
          <w:tcPr>
            <w:tcW w:w="4685" w:type="dxa"/>
            <w:noWrap w:val="0"/>
            <w:vAlign w:val="center"/>
          </w:tcPr>
          <w:p w14:paraId="2294C4E7">
            <w:pPr>
              <w:pStyle w:val="43"/>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eastAsia="宋体"/>
                <w:color w:val="auto"/>
                <w:lang w:val="en-US" w:eastAsia="zh-CN"/>
              </w:rPr>
            </w:pPr>
            <w:r>
              <w:rPr>
                <w:rFonts w:hint="default" w:eastAsia="宋体"/>
                <w:color w:val="auto"/>
                <w:lang w:val="en-US" w:eastAsia="zh-CN"/>
              </w:rPr>
              <w:t>修车库每个防火分区的最大允许建筑面积不应大于2000m</w:t>
            </w:r>
            <w:r>
              <w:rPr>
                <w:rFonts w:hint="default" w:eastAsia="宋体"/>
                <w:color w:val="auto"/>
                <w:vertAlign w:val="superscript"/>
                <w:lang w:val="en-US" w:eastAsia="zh-CN"/>
              </w:rPr>
              <w:t>2</w:t>
            </w:r>
            <w:r>
              <w:rPr>
                <w:rFonts w:hint="default" w:eastAsia="宋体"/>
                <w:color w:val="auto"/>
                <w:lang w:val="en-US" w:eastAsia="zh-CN"/>
              </w:rPr>
              <w:t>，当修车部位与相邻使用有机溶剂的清洗和喷漆工段采用防火墙分隔时，每个防火分区的最大允许建筑面积不应大于4000m2。</w:t>
            </w:r>
          </w:p>
        </w:tc>
        <w:tc>
          <w:tcPr>
            <w:tcW w:w="1807" w:type="dxa"/>
            <w:noWrap w:val="0"/>
            <w:vAlign w:val="center"/>
          </w:tcPr>
          <w:p w14:paraId="45FDDDC8">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微软雅黑" w:hAnsi="微软雅黑" w:eastAsia="微软雅黑" w:cs="微软雅黑"/>
                <w:i w:val="0"/>
                <w:iCs w:val="0"/>
                <w:caps w:val="0"/>
                <w:color w:val="auto"/>
                <w:spacing w:val="0"/>
                <w:sz w:val="19"/>
                <w:szCs w:val="19"/>
                <w:u w:val="none"/>
                <w:shd w:val="clear" w:fill="FFFFFF"/>
              </w:rPr>
            </w:pPr>
            <w:r>
              <w:rPr>
                <w:rFonts w:hint="eastAsia" w:ascii="微软雅黑" w:hAnsi="微软雅黑" w:eastAsia="微软雅黑" w:cs="微软雅黑"/>
                <w:i w:val="0"/>
                <w:iCs w:val="0"/>
                <w:caps w:val="0"/>
                <w:color w:val="auto"/>
                <w:spacing w:val="0"/>
                <w:sz w:val="19"/>
                <w:szCs w:val="19"/>
                <w:u w:val="none"/>
                <w:shd w:val="clear" w:fill="FFFFFF"/>
                <w:lang w:eastAsia="zh-CN"/>
              </w:rPr>
              <w:t>《</w:t>
            </w:r>
            <w:r>
              <w:rPr>
                <w:rFonts w:ascii="微软雅黑" w:hAnsi="微软雅黑" w:eastAsia="微软雅黑" w:cs="微软雅黑"/>
                <w:i w:val="0"/>
                <w:iCs w:val="0"/>
                <w:caps w:val="0"/>
                <w:color w:val="auto"/>
                <w:spacing w:val="0"/>
                <w:sz w:val="19"/>
                <w:szCs w:val="19"/>
                <w:u w:val="none"/>
                <w:shd w:val="clear" w:fill="FFFFFF"/>
              </w:rPr>
              <w:fldChar w:fldCharType="begin"/>
            </w:r>
            <w:r>
              <w:rPr>
                <w:rFonts w:ascii="微软雅黑" w:hAnsi="微软雅黑" w:eastAsia="微软雅黑" w:cs="微软雅黑"/>
                <w:i w:val="0"/>
                <w:iCs w:val="0"/>
                <w:caps w:val="0"/>
                <w:color w:val="auto"/>
                <w:spacing w:val="0"/>
                <w:sz w:val="19"/>
                <w:szCs w:val="19"/>
                <w:u w:val="none"/>
                <w:shd w:val="clear" w:fill="FFFFFF"/>
              </w:rPr>
              <w:instrText xml:space="preserve"> HYPERLINK "http://www.jianbiaoku.com/webarbs/book/363.shtml" \t "http://www.jianbiaoku.com/webarbs/book/363/_self" </w:instrText>
            </w:r>
            <w:r>
              <w:rPr>
                <w:rFonts w:ascii="微软雅黑" w:hAnsi="微软雅黑" w:eastAsia="微软雅黑" w:cs="微软雅黑"/>
                <w:i w:val="0"/>
                <w:iCs w:val="0"/>
                <w:caps w:val="0"/>
                <w:color w:val="auto"/>
                <w:spacing w:val="0"/>
                <w:sz w:val="19"/>
                <w:szCs w:val="19"/>
                <w:u w:val="none"/>
                <w:shd w:val="clear" w:fill="FFFFFF"/>
              </w:rPr>
              <w:fldChar w:fldCharType="separate"/>
            </w:r>
            <w:r>
              <w:rPr>
                <w:rStyle w:val="40"/>
                <w:rFonts w:hint="eastAsia" w:ascii="微软雅黑" w:hAnsi="微软雅黑" w:eastAsia="微软雅黑" w:cs="微软雅黑"/>
                <w:i w:val="0"/>
                <w:iCs w:val="0"/>
                <w:caps w:val="0"/>
                <w:color w:val="auto"/>
                <w:spacing w:val="0"/>
                <w:sz w:val="19"/>
                <w:szCs w:val="19"/>
                <w:u w:val="none"/>
                <w:shd w:val="clear" w:fill="FFFFFF"/>
              </w:rPr>
              <w:t>汽车库、修车库、停车场设计防火规范</w:t>
            </w:r>
            <w:r>
              <w:rPr>
                <w:rFonts w:hint="eastAsia" w:ascii="微软雅黑" w:hAnsi="微软雅黑" w:eastAsia="微软雅黑" w:cs="微软雅黑"/>
                <w:i w:val="0"/>
                <w:iCs w:val="0"/>
                <w:caps w:val="0"/>
                <w:color w:val="auto"/>
                <w:spacing w:val="0"/>
                <w:sz w:val="19"/>
                <w:szCs w:val="19"/>
                <w:u w:val="none"/>
                <w:shd w:val="clear" w:fill="FFFFFF"/>
                <w:lang w:eastAsia="zh-CN"/>
              </w:rPr>
              <w:t>》</w:t>
            </w:r>
            <w:r>
              <w:rPr>
                <w:rStyle w:val="40"/>
                <w:rFonts w:hint="eastAsia" w:ascii="微软雅黑" w:hAnsi="微软雅黑" w:eastAsia="微软雅黑" w:cs="微软雅黑"/>
                <w:i w:val="0"/>
                <w:iCs w:val="0"/>
                <w:caps w:val="0"/>
                <w:color w:val="auto"/>
                <w:spacing w:val="0"/>
                <w:sz w:val="19"/>
                <w:szCs w:val="19"/>
                <w:u w:val="none"/>
                <w:shd w:val="clear" w:fill="FFFFFF"/>
              </w:rPr>
              <w:t xml:space="preserve"> GB50067-2014</w:t>
            </w:r>
            <w:r>
              <w:rPr>
                <w:rFonts w:hint="eastAsia" w:ascii="微软雅黑" w:hAnsi="微软雅黑" w:eastAsia="微软雅黑" w:cs="微软雅黑"/>
                <w:i w:val="0"/>
                <w:iCs w:val="0"/>
                <w:caps w:val="0"/>
                <w:color w:val="auto"/>
                <w:spacing w:val="0"/>
                <w:sz w:val="19"/>
                <w:szCs w:val="19"/>
                <w:u w:val="none"/>
                <w:shd w:val="clear" w:fill="FFFFFF"/>
              </w:rPr>
              <w:fldChar w:fldCharType="end"/>
            </w:r>
          </w:p>
          <w:p w14:paraId="7C322913">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ascii="微软雅黑" w:hAnsi="微软雅黑" w:eastAsia="微软雅黑" w:cs="微软雅黑"/>
                <w:i w:val="0"/>
                <w:iCs w:val="0"/>
                <w:caps w:val="0"/>
                <w:color w:val="auto"/>
                <w:spacing w:val="0"/>
                <w:sz w:val="19"/>
                <w:szCs w:val="19"/>
                <w:u w:val="none"/>
                <w:shd w:val="clear" w:fill="FFFFFF"/>
                <w:lang w:val="en-US" w:eastAsia="zh-CN"/>
              </w:rPr>
            </w:pPr>
            <w:r>
              <w:rPr>
                <w:rFonts w:hint="eastAsia" w:ascii="微软雅黑" w:hAnsi="微软雅黑" w:eastAsia="微软雅黑" w:cs="微软雅黑"/>
                <w:i w:val="0"/>
                <w:iCs w:val="0"/>
                <w:caps w:val="0"/>
                <w:color w:val="auto"/>
                <w:spacing w:val="0"/>
                <w:sz w:val="19"/>
                <w:szCs w:val="19"/>
                <w:u w:val="none"/>
                <w:shd w:val="clear" w:fill="FFFFFF"/>
                <w:lang w:val="en-US" w:eastAsia="zh-CN"/>
              </w:rPr>
              <w:t>5.1.5</w:t>
            </w:r>
          </w:p>
        </w:tc>
        <w:tc>
          <w:tcPr>
            <w:tcW w:w="1608" w:type="dxa"/>
            <w:noWrap w:val="0"/>
            <w:vAlign w:val="center"/>
          </w:tcPr>
          <w:p w14:paraId="58A6474B">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color w:val="auto"/>
                <w:lang w:val="en-US" w:eastAsia="zh-CN"/>
              </w:rPr>
            </w:pPr>
            <w:r>
              <w:rPr>
                <w:rFonts w:hint="eastAsia"/>
                <w:color w:val="auto"/>
                <w:lang w:val="en-US" w:eastAsia="zh-CN"/>
              </w:rPr>
              <w:t>设计说明中未提及，将在对策措施中提出</w:t>
            </w:r>
          </w:p>
        </w:tc>
        <w:tc>
          <w:tcPr>
            <w:tcW w:w="629" w:type="dxa"/>
            <w:noWrap w:val="0"/>
            <w:vAlign w:val="center"/>
          </w:tcPr>
          <w:p w14:paraId="34A6DE98">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w:t>
            </w:r>
          </w:p>
        </w:tc>
      </w:tr>
      <w:tr w14:paraId="5B9302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09B89B08">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5</w:t>
            </w:r>
          </w:p>
        </w:tc>
        <w:tc>
          <w:tcPr>
            <w:tcW w:w="4685" w:type="dxa"/>
            <w:noWrap w:val="0"/>
            <w:vAlign w:val="center"/>
          </w:tcPr>
          <w:p w14:paraId="296D7376">
            <w:pPr>
              <w:pStyle w:val="43"/>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eastAsia="宋体"/>
                <w:color w:val="auto"/>
                <w:lang w:val="en-US" w:eastAsia="zh-CN"/>
              </w:rPr>
            </w:pPr>
            <w:r>
              <w:rPr>
                <w:rFonts w:hint="default" w:eastAsia="宋体"/>
                <w:color w:val="auto"/>
                <w:lang w:val="en-US" w:eastAsia="zh-CN"/>
              </w:rPr>
              <w:t>汽车库内设置修理车位时，停车部位与修车部位之间应采用防火墙和耐火极限不低于2.00h的不燃性楼板分隔。</w:t>
            </w:r>
          </w:p>
        </w:tc>
        <w:tc>
          <w:tcPr>
            <w:tcW w:w="1807" w:type="dxa"/>
            <w:noWrap w:val="0"/>
            <w:vAlign w:val="center"/>
          </w:tcPr>
          <w:p w14:paraId="590A9C97">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微软雅黑" w:hAnsi="微软雅黑" w:eastAsia="微软雅黑" w:cs="微软雅黑"/>
                <w:i w:val="0"/>
                <w:iCs w:val="0"/>
                <w:caps w:val="0"/>
                <w:color w:val="auto"/>
                <w:spacing w:val="0"/>
                <w:sz w:val="19"/>
                <w:szCs w:val="19"/>
                <w:u w:val="none"/>
                <w:shd w:val="clear" w:fill="FFFFFF"/>
              </w:rPr>
            </w:pPr>
            <w:r>
              <w:rPr>
                <w:rFonts w:hint="eastAsia" w:ascii="微软雅黑" w:hAnsi="微软雅黑" w:eastAsia="微软雅黑" w:cs="微软雅黑"/>
                <w:i w:val="0"/>
                <w:iCs w:val="0"/>
                <w:caps w:val="0"/>
                <w:color w:val="auto"/>
                <w:spacing w:val="0"/>
                <w:sz w:val="19"/>
                <w:szCs w:val="19"/>
                <w:u w:val="none"/>
                <w:shd w:val="clear" w:fill="FFFFFF"/>
                <w:lang w:eastAsia="zh-CN"/>
              </w:rPr>
              <w:t>《</w:t>
            </w:r>
            <w:r>
              <w:rPr>
                <w:rFonts w:ascii="微软雅黑" w:hAnsi="微软雅黑" w:eastAsia="微软雅黑" w:cs="微软雅黑"/>
                <w:i w:val="0"/>
                <w:iCs w:val="0"/>
                <w:caps w:val="0"/>
                <w:color w:val="auto"/>
                <w:spacing w:val="0"/>
                <w:sz w:val="19"/>
                <w:szCs w:val="19"/>
                <w:u w:val="none"/>
                <w:shd w:val="clear" w:fill="FFFFFF"/>
              </w:rPr>
              <w:fldChar w:fldCharType="begin"/>
            </w:r>
            <w:r>
              <w:rPr>
                <w:rFonts w:ascii="微软雅黑" w:hAnsi="微软雅黑" w:eastAsia="微软雅黑" w:cs="微软雅黑"/>
                <w:i w:val="0"/>
                <w:iCs w:val="0"/>
                <w:caps w:val="0"/>
                <w:color w:val="auto"/>
                <w:spacing w:val="0"/>
                <w:sz w:val="19"/>
                <w:szCs w:val="19"/>
                <w:u w:val="none"/>
                <w:shd w:val="clear" w:fill="FFFFFF"/>
              </w:rPr>
              <w:instrText xml:space="preserve"> HYPERLINK "http://www.jianbiaoku.com/webarbs/book/363.shtml" \t "http://www.jianbiaoku.com/webarbs/book/363/_self" </w:instrText>
            </w:r>
            <w:r>
              <w:rPr>
                <w:rFonts w:ascii="微软雅黑" w:hAnsi="微软雅黑" w:eastAsia="微软雅黑" w:cs="微软雅黑"/>
                <w:i w:val="0"/>
                <w:iCs w:val="0"/>
                <w:caps w:val="0"/>
                <w:color w:val="auto"/>
                <w:spacing w:val="0"/>
                <w:sz w:val="19"/>
                <w:szCs w:val="19"/>
                <w:u w:val="none"/>
                <w:shd w:val="clear" w:fill="FFFFFF"/>
              </w:rPr>
              <w:fldChar w:fldCharType="separate"/>
            </w:r>
            <w:r>
              <w:rPr>
                <w:rStyle w:val="40"/>
                <w:rFonts w:hint="eastAsia" w:ascii="微软雅黑" w:hAnsi="微软雅黑" w:eastAsia="微软雅黑" w:cs="微软雅黑"/>
                <w:i w:val="0"/>
                <w:iCs w:val="0"/>
                <w:caps w:val="0"/>
                <w:color w:val="auto"/>
                <w:spacing w:val="0"/>
                <w:sz w:val="19"/>
                <w:szCs w:val="19"/>
                <w:u w:val="none"/>
                <w:shd w:val="clear" w:fill="FFFFFF"/>
              </w:rPr>
              <w:t>汽车库、修车库、停车场设计防火规范</w:t>
            </w:r>
            <w:r>
              <w:rPr>
                <w:rFonts w:hint="eastAsia" w:ascii="微软雅黑" w:hAnsi="微软雅黑" w:eastAsia="微软雅黑" w:cs="微软雅黑"/>
                <w:i w:val="0"/>
                <w:iCs w:val="0"/>
                <w:caps w:val="0"/>
                <w:color w:val="auto"/>
                <w:spacing w:val="0"/>
                <w:sz w:val="19"/>
                <w:szCs w:val="19"/>
                <w:u w:val="none"/>
                <w:shd w:val="clear" w:fill="FFFFFF"/>
                <w:lang w:eastAsia="zh-CN"/>
              </w:rPr>
              <w:t>》</w:t>
            </w:r>
            <w:r>
              <w:rPr>
                <w:rStyle w:val="40"/>
                <w:rFonts w:hint="eastAsia" w:ascii="微软雅黑" w:hAnsi="微软雅黑" w:eastAsia="微软雅黑" w:cs="微软雅黑"/>
                <w:i w:val="0"/>
                <w:iCs w:val="0"/>
                <w:caps w:val="0"/>
                <w:color w:val="auto"/>
                <w:spacing w:val="0"/>
                <w:sz w:val="19"/>
                <w:szCs w:val="19"/>
                <w:u w:val="none"/>
                <w:shd w:val="clear" w:fill="FFFFFF"/>
              </w:rPr>
              <w:t xml:space="preserve"> GB50067-2014</w:t>
            </w:r>
            <w:r>
              <w:rPr>
                <w:rFonts w:hint="eastAsia" w:ascii="微软雅黑" w:hAnsi="微软雅黑" w:eastAsia="微软雅黑" w:cs="微软雅黑"/>
                <w:i w:val="0"/>
                <w:iCs w:val="0"/>
                <w:caps w:val="0"/>
                <w:color w:val="auto"/>
                <w:spacing w:val="0"/>
                <w:sz w:val="19"/>
                <w:szCs w:val="19"/>
                <w:u w:val="none"/>
                <w:shd w:val="clear" w:fill="FFFFFF"/>
              </w:rPr>
              <w:fldChar w:fldCharType="end"/>
            </w:r>
          </w:p>
          <w:p w14:paraId="02E4A477">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微软雅黑" w:hAnsi="微软雅黑" w:eastAsia="微软雅黑" w:cs="微软雅黑"/>
                <w:i w:val="0"/>
                <w:iCs w:val="0"/>
                <w:caps w:val="0"/>
                <w:color w:val="auto"/>
                <w:spacing w:val="0"/>
                <w:sz w:val="19"/>
                <w:szCs w:val="19"/>
                <w:u w:val="none"/>
                <w:shd w:val="clear" w:fill="FFFFFF"/>
                <w:lang w:val="en-US" w:eastAsia="zh-CN"/>
              </w:rPr>
            </w:pPr>
            <w:r>
              <w:rPr>
                <w:rFonts w:hint="eastAsia" w:ascii="微软雅黑" w:hAnsi="微软雅黑" w:eastAsia="微软雅黑" w:cs="微软雅黑"/>
                <w:i w:val="0"/>
                <w:iCs w:val="0"/>
                <w:caps w:val="0"/>
                <w:color w:val="auto"/>
                <w:spacing w:val="0"/>
                <w:sz w:val="19"/>
                <w:szCs w:val="19"/>
                <w:u w:val="none"/>
                <w:shd w:val="clear" w:fill="FFFFFF"/>
                <w:lang w:val="en-US" w:eastAsia="zh-CN"/>
              </w:rPr>
              <w:t>5.1.7</w:t>
            </w:r>
          </w:p>
        </w:tc>
        <w:tc>
          <w:tcPr>
            <w:tcW w:w="1608" w:type="dxa"/>
            <w:noWrap w:val="0"/>
            <w:vAlign w:val="center"/>
          </w:tcPr>
          <w:p w14:paraId="457356D7">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color w:val="auto"/>
                <w:lang w:val="en-US" w:eastAsia="zh-CN"/>
              </w:rPr>
            </w:pPr>
            <w:r>
              <w:rPr>
                <w:rFonts w:hint="eastAsia"/>
                <w:color w:val="auto"/>
                <w:lang w:val="en-US" w:eastAsia="zh-CN"/>
              </w:rPr>
              <w:t>设计说明中未提及，将在对策措施中提出</w:t>
            </w:r>
          </w:p>
        </w:tc>
        <w:tc>
          <w:tcPr>
            <w:tcW w:w="629" w:type="dxa"/>
            <w:noWrap w:val="0"/>
            <w:vAlign w:val="center"/>
          </w:tcPr>
          <w:p w14:paraId="7566D5A6">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w:t>
            </w:r>
          </w:p>
        </w:tc>
      </w:tr>
      <w:tr w14:paraId="77E569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56D699ED">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6</w:t>
            </w:r>
          </w:p>
        </w:tc>
        <w:tc>
          <w:tcPr>
            <w:tcW w:w="4685" w:type="dxa"/>
            <w:noWrap w:val="0"/>
            <w:vAlign w:val="center"/>
          </w:tcPr>
          <w:p w14:paraId="0EFC83EA">
            <w:pPr>
              <w:pStyle w:val="43"/>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eastAsia="宋体"/>
                <w:color w:val="auto"/>
                <w:lang w:val="en-US" w:eastAsia="zh-CN"/>
              </w:rPr>
            </w:pPr>
            <w:r>
              <w:rPr>
                <w:rFonts w:hint="default" w:eastAsia="宋体"/>
                <w:color w:val="auto"/>
                <w:lang w:val="en-US" w:eastAsia="zh-CN"/>
              </w:rPr>
              <w:t> 修车库内使用有机溶剂清洗和喷漆的工段，当超过3个车位时，均应采用防火隔墙等分隔措施。</w:t>
            </w:r>
          </w:p>
        </w:tc>
        <w:tc>
          <w:tcPr>
            <w:tcW w:w="1807" w:type="dxa"/>
            <w:noWrap w:val="0"/>
            <w:vAlign w:val="center"/>
          </w:tcPr>
          <w:p w14:paraId="04A07F5A">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微软雅黑" w:hAnsi="微软雅黑" w:eastAsia="微软雅黑" w:cs="微软雅黑"/>
                <w:i w:val="0"/>
                <w:iCs w:val="0"/>
                <w:caps w:val="0"/>
                <w:color w:val="auto"/>
                <w:spacing w:val="0"/>
                <w:sz w:val="19"/>
                <w:szCs w:val="19"/>
                <w:u w:val="none"/>
                <w:shd w:val="clear" w:fill="FFFFFF"/>
              </w:rPr>
            </w:pPr>
            <w:r>
              <w:rPr>
                <w:rFonts w:hint="eastAsia" w:ascii="微软雅黑" w:hAnsi="微软雅黑" w:eastAsia="微软雅黑" w:cs="微软雅黑"/>
                <w:i w:val="0"/>
                <w:iCs w:val="0"/>
                <w:caps w:val="0"/>
                <w:color w:val="auto"/>
                <w:spacing w:val="0"/>
                <w:sz w:val="19"/>
                <w:szCs w:val="19"/>
                <w:u w:val="none"/>
                <w:shd w:val="clear" w:fill="FFFFFF"/>
                <w:lang w:eastAsia="zh-CN"/>
              </w:rPr>
              <w:t>《</w:t>
            </w:r>
            <w:r>
              <w:rPr>
                <w:rFonts w:ascii="微软雅黑" w:hAnsi="微软雅黑" w:eastAsia="微软雅黑" w:cs="微软雅黑"/>
                <w:i w:val="0"/>
                <w:iCs w:val="0"/>
                <w:caps w:val="0"/>
                <w:color w:val="auto"/>
                <w:spacing w:val="0"/>
                <w:sz w:val="19"/>
                <w:szCs w:val="19"/>
                <w:u w:val="none"/>
                <w:shd w:val="clear" w:fill="FFFFFF"/>
              </w:rPr>
              <w:fldChar w:fldCharType="begin"/>
            </w:r>
            <w:r>
              <w:rPr>
                <w:rFonts w:ascii="微软雅黑" w:hAnsi="微软雅黑" w:eastAsia="微软雅黑" w:cs="微软雅黑"/>
                <w:i w:val="0"/>
                <w:iCs w:val="0"/>
                <w:caps w:val="0"/>
                <w:color w:val="auto"/>
                <w:spacing w:val="0"/>
                <w:sz w:val="19"/>
                <w:szCs w:val="19"/>
                <w:u w:val="none"/>
                <w:shd w:val="clear" w:fill="FFFFFF"/>
              </w:rPr>
              <w:instrText xml:space="preserve"> HYPERLINK "http://www.jianbiaoku.com/webarbs/book/363.shtml" \t "http://www.jianbiaoku.com/webarbs/book/363/_self" </w:instrText>
            </w:r>
            <w:r>
              <w:rPr>
                <w:rFonts w:ascii="微软雅黑" w:hAnsi="微软雅黑" w:eastAsia="微软雅黑" w:cs="微软雅黑"/>
                <w:i w:val="0"/>
                <w:iCs w:val="0"/>
                <w:caps w:val="0"/>
                <w:color w:val="auto"/>
                <w:spacing w:val="0"/>
                <w:sz w:val="19"/>
                <w:szCs w:val="19"/>
                <w:u w:val="none"/>
                <w:shd w:val="clear" w:fill="FFFFFF"/>
              </w:rPr>
              <w:fldChar w:fldCharType="separate"/>
            </w:r>
            <w:r>
              <w:rPr>
                <w:rStyle w:val="40"/>
                <w:rFonts w:hint="eastAsia" w:ascii="微软雅黑" w:hAnsi="微软雅黑" w:eastAsia="微软雅黑" w:cs="微软雅黑"/>
                <w:i w:val="0"/>
                <w:iCs w:val="0"/>
                <w:caps w:val="0"/>
                <w:color w:val="auto"/>
                <w:spacing w:val="0"/>
                <w:sz w:val="19"/>
                <w:szCs w:val="19"/>
                <w:u w:val="none"/>
                <w:shd w:val="clear" w:fill="FFFFFF"/>
              </w:rPr>
              <w:t>汽车库、修车库、停车场设计防火规范</w:t>
            </w:r>
            <w:r>
              <w:rPr>
                <w:rFonts w:hint="eastAsia" w:ascii="微软雅黑" w:hAnsi="微软雅黑" w:eastAsia="微软雅黑" w:cs="微软雅黑"/>
                <w:i w:val="0"/>
                <w:iCs w:val="0"/>
                <w:caps w:val="0"/>
                <w:color w:val="auto"/>
                <w:spacing w:val="0"/>
                <w:sz w:val="19"/>
                <w:szCs w:val="19"/>
                <w:u w:val="none"/>
                <w:shd w:val="clear" w:fill="FFFFFF"/>
                <w:lang w:eastAsia="zh-CN"/>
              </w:rPr>
              <w:t>》</w:t>
            </w:r>
            <w:r>
              <w:rPr>
                <w:rStyle w:val="40"/>
                <w:rFonts w:hint="eastAsia" w:ascii="微软雅黑" w:hAnsi="微软雅黑" w:eastAsia="微软雅黑" w:cs="微软雅黑"/>
                <w:i w:val="0"/>
                <w:iCs w:val="0"/>
                <w:caps w:val="0"/>
                <w:color w:val="auto"/>
                <w:spacing w:val="0"/>
                <w:sz w:val="19"/>
                <w:szCs w:val="19"/>
                <w:u w:val="none"/>
                <w:shd w:val="clear" w:fill="FFFFFF"/>
              </w:rPr>
              <w:t xml:space="preserve"> GB50067-2014</w:t>
            </w:r>
            <w:r>
              <w:rPr>
                <w:rFonts w:hint="eastAsia" w:ascii="微软雅黑" w:hAnsi="微软雅黑" w:eastAsia="微软雅黑" w:cs="微软雅黑"/>
                <w:i w:val="0"/>
                <w:iCs w:val="0"/>
                <w:caps w:val="0"/>
                <w:color w:val="auto"/>
                <w:spacing w:val="0"/>
                <w:sz w:val="19"/>
                <w:szCs w:val="19"/>
                <w:u w:val="none"/>
                <w:shd w:val="clear" w:fill="FFFFFF"/>
              </w:rPr>
              <w:fldChar w:fldCharType="end"/>
            </w:r>
          </w:p>
          <w:p w14:paraId="2B48C67A">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ascii="微软雅黑" w:hAnsi="微软雅黑" w:eastAsia="微软雅黑" w:cs="微软雅黑"/>
                <w:i w:val="0"/>
                <w:iCs w:val="0"/>
                <w:caps w:val="0"/>
                <w:color w:val="auto"/>
                <w:spacing w:val="0"/>
                <w:sz w:val="19"/>
                <w:szCs w:val="19"/>
                <w:u w:val="none"/>
                <w:shd w:val="clear" w:fill="FFFFFF"/>
                <w:lang w:val="en-US" w:eastAsia="zh-CN"/>
              </w:rPr>
            </w:pPr>
            <w:r>
              <w:rPr>
                <w:rFonts w:hint="eastAsia" w:ascii="微软雅黑" w:hAnsi="微软雅黑" w:eastAsia="微软雅黑" w:cs="微软雅黑"/>
                <w:i w:val="0"/>
                <w:iCs w:val="0"/>
                <w:caps w:val="0"/>
                <w:color w:val="auto"/>
                <w:spacing w:val="0"/>
                <w:sz w:val="19"/>
                <w:szCs w:val="19"/>
                <w:u w:val="none"/>
                <w:shd w:val="clear" w:fill="FFFFFF"/>
                <w:lang w:val="en-US" w:eastAsia="zh-CN"/>
              </w:rPr>
              <w:t>5.1.8</w:t>
            </w:r>
          </w:p>
        </w:tc>
        <w:tc>
          <w:tcPr>
            <w:tcW w:w="1608" w:type="dxa"/>
            <w:noWrap w:val="0"/>
            <w:vAlign w:val="center"/>
          </w:tcPr>
          <w:p w14:paraId="33505851">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color w:val="auto"/>
                <w:lang w:val="en-US" w:eastAsia="zh-CN"/>
              </w:rPr>
            </w:pPr>
            <w:r>
              <w:rPr>
                <w:rFonts w:hint="eastAsia"/>
                <w:color w:val="auto"/>
                <w:lang w:val="en-US" w:eastAsia="zh-CN"/>
              </w:rPr>
              <w:t>设计说明中未提及，将在对策措施中提出</w:t>
            </w:r>
          </w:p>
        </w:tc>
        <w:tc>
          <w:tcPr>
            <w:tcW w:w="629" w:type="dxa"/>
            <w:noWrap w:val="0"/>
            <w:vAlign w:val="center"/>
          </w:tcPr>
          <w:p w14:paraId="1E7C377D">
            <w:pPr>
              <w:pStyle w:val="43"/>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default"/>
                <w:color w:val="auto"/>
                <w:lang w:val="en-US" w:eastAsia="zh-CN"/>
              </w:rPr>
            </w:pPr>
            <w:r>
              <w:rPr>
                <w:rFonts w:hint="eastAsia"/>
                <w:color w:val="auto"/>
                <w:lang w:val="en-US" w:eastAsia="zh-CN"/>
              </w:rPr>
              <w:t>-</w:t>
            </w:r>
          </w:p>
        </w:tc>
      </w:tr>
      <w:tr w14:paraId="7FA452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47996538">
            <w:pPr>
              <w:pStyle w:val="43"/>
              <w:bidi w:val="0"/>
              <w:rPr>
                <w:rFonts w:hint="eastAsia"/>
                <w:color w:val="auto"/>
                <w:lang w:val="en-US" w:eastAsia="zh-CN"/>
              </w:rPr>
            </w:pPr>
          </w:p>
        </w:tc>
        <w:tc>
          <w:tcPr>
            <w:tcW w:w="8729" w:type="dxa"/>
            <w:gridSpan w:val="4"/>
            <w:noWrap w:val="0"/>
            <w:vAlign w:val="center"/>
          </w:tcPr>
          <w:p w14:paraId="7AAF480B">
            <w:pPr>
              <w:pStyle w:val="43"/>
              <w:bidi w:val="0"/>
              <w:rPr>
                <w:rFonts w:hint="eastAsia"/>
                <w:b/>
                <w:bCs/>
                <w:color w:val="auto"/>
                <w:lang w:val="en-US" w:eastAsia="zh-CN"/>
              </w:rPr>
            </w:pPr>
            <w:r>
              <w:rPr>
                <w:rFonts w:hint="eastAsia"/>
                <w:b/>
                <w:bCs/>
                <w:color w:val="auto"/>
                <w:lang w:val="en-US" w:eastAsia="zh-CN"/>
              </w:rPr>
              <w:t>充电设施</w:t>
            </w:r>
          </w:p>
        </w:tc>
      </w:tr>
      <w:tr w14:paraId="31DCFD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shd w:val="clear" w:color="auto" w:fill="auto"/>
            <w:noWrap w:val="0"/>
            <w:vAlign w:val="center"/>
          </w:tcPr>
          <w:p w14:paraId="00725950">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1</w:t>
            </w:r>
          </w:p>
        </w:tc>
        <w:tc>
          <w:tcPr>
            <w:tcW w:w="4685" w:type="dxa"/>
            <w:shd w:val="clear" w:color="auto" w:fill="auto"/>
            <w:noWrap w:val="0"/>
            <w:vAlign w:val="center"/>
          </w:tcPr>
          <w:p w14:paraId="2F1469EC">
            <w:pPr>
              <w:pStyle w:val="43"/>
              <w:bidi w:val="0"/>
              <w:ind w:firstLine="0" w:firstLineChars="0"/>
              <w:jc w:val="left"/>
              <w:rPr>
                <w:rFonts w:hint="eastAsia" w:ascii="Times New Roman" w:hAnsi="Times New Roman" w:eastAsia="宋体" w:cs="Times New Roman"/>
                <w:color w:val="auto"/>
                <w:kern w:val="18"/>
                <w:sz w:val="21"/>
                <w:szCs w:val="21"/>
                <w:lang w:val="en-US" w:eastAsia="zh-CN" w:bidi="ar-SA"/>
              </w:rPr>
            </w:pPr>
            <w:r>
              <w:rPr>
                <w:rFonts w:hint="eastAsia"/>
                <w:b/>
                <w:bCs/>
                <w:color w:val="auto"/>
                <w:lang w:val="en-US" w:eastAsia="zh-CN"/>
              </w:rPr>
              <w:t>充电站不应靠近有潜在火灾或爆炸危险的地方，当与有爆炸危险的建筑物毗邻时，应符合现行国家标准《爆炸危险环境电力装置设计规范》GB50058的有关规定。</w:t>
            </w:r>
          </w:p>
        </w:tc>
        <w:tc>
          <w:tcPr>
            <w:tcW w:w="1807" w:type="dxa"/>
            <w:shd w:val="clear" w:color="auto" w:fill="auto"/>
            <w:noWrap w:val="0"/>
            <w:vAlign w:val="center"/>
          </w:tcPr>
          <w:p w14:paraId="29532C18">
            <w:pPr>
              <w:pStyle w:val="43"/>
              <w:bidi w:val="0"/>
              <w:rPr>
                <w:rFonts w:hint="default"/>
                <w:color w:val="auto"/>
                <w:lang w:val="en-US" w:eastAsia="zh-CN"/>
              </w:rPr>
            </w:pPr>
            <w:r>
              <w:rPr>
                <w:rFonts w:hint="default"/>
                <w:color w:val="auto"/>
                <w:lang w:val="en-US" w:eastAsia="zh-CN"/>
              </w:rPr>
              <w:t>《电动汽车充电站设计规范》GB50966-2014</w:t>
            </w:r>
          </w:p>
          <w:p w14:paraId="4CCE02CF">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3.2.5</w:t>
            </w:r>
          </w:p>
        </w:tc>
        <w:tc>
          <w:tcPr>
            <w:tcW w:w="1608" w:type="dxa"/>
            <w:shd w:val="clear" w:color="auto" w:fill="auto"/>
            <w:noWrap w:val="0"/>
            <w:vAlign w:val="center"/>
          </w:tcPr>
          <w:p w14:paraId="03F3362A">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充电设施不靠近有潜在火灾或爆炸危险的地方</w:t>
            </w:r>
          </w:p>
        </w:tc>
        <w:tc>
          <w:tcPr>
            <w:tcW w:w="629" w:type="dxa"/>
            <w:shd w:val="clear" w:color="auto" w:fill="auto"/>
            <w:noWrap w:val="0"/>
            <w:vAlign w:val="center"/>
          </w:tcPr>
          <w:p w14:paraId="00CA3B03">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符合</w:t>
            </w:r>
          </w:p>
        </w:tc>
      </w:tr>
      <w:tr w14:paraId="323206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53671FF1">
            <w:pPr>
              <w:pStyle w:val="43"/>
              <w:bidi w:val="0"/>
              <w:rPr>
                <w:rFonts w:hint="default"/>
                <w:color w:val="auto"/>
                <w:lang w:val="en-US" w:eastAsia="zh-CN"/>
              </w:rPr>
            </w:pPr>
            <w:r>
              <w:rPr>
                <w:rFonts w:hint="eastAsia"/>
                <w:color w:val="auto"/>
                <w:lang w:val="en-US" w:eastAsia="zh-CN"/>
              </w:rPr>
              <w:t>2</w:t>
            </w:r>
          </w:p>
        </w:tc>
        <w:tc>
          <w:tcPr>
            <w:tcW w:w="4685" w:type="dxa"/>
            <w:noWrap w:val="0"/>
            <w:vAlign w:val="center"/>
          </w:tcPr>
          <w:p w14:paraId="5B637ECF">
            <w:pPr>
              <w:pStyle w:val="43"/>
              <w:bidi w:val="0"/>
              <w:jc w:val="left"/>
              <w:rPr>
                <w:rFonts w:hint="eastAsia"/>
                <w:color w:val="auto"/>
                <w:lang w:val="en-US" w:eastAsia="zh-CN"/>
              </w:rPr>
            </w:pPr>
            <w:r>
              <w:rPr>
                <w:rFonts w:hint="eastAsia"/>
                <w:color w:val="auto"/>
                <w:lang w:val="en-US" w:eastAsia="zh-CN"/>
              </w:rPr>
              <w:t>充电站不宜设在多尘或有腐蚀性气体的场所，当无法远离时，不应设在污染源盛行风向的下风侧。</w:t>
            </w:r>
          </w:p>
        </w:tc>
        <w:tc>
          <w:tcPr>
            <w:tcW w:w="1807" w:type="dxa"/>
            <w:noWrap w:val="0"/>
            <w:vAlign w:val="center"/>
          </w:tcPr>
          <w:p w14:paraId="4C21861C">
            <w:pPr>
              <w:pStyle w:val="43"/>
              <w:bidi w:val="0"/>
              <w:rPr>
                <w:rFonts w:hint="default"/>
                <w:color w:val="auto"/>
                <w:lang w:val="en-US" w:eastAsia="zh-CN"/>
              </w:rPr>
            </w:pPr>
            <w:r>
              <w:rPr>
                <w:rFonts w:hint="default"/>
                <w:color w:val="auto"/>
                <w:lang w:val="en-US" w:eastAsia="zh-CN"/>
              </w:rPr>
              <w:t>《电动汽车充电站设计规范》GB50966-2014</w:t>
            </w:r>
          </w:p>
          <w:p w14:paraId="4D3334BF">
            <w:pPr>
              <w:pStyle w:val="43"/>
              <w:bidi w:val="0"/>
              <w:rPr>
                <w:rFonts w:hint="default"/>
                <w:color w:val="auto"/>
                <w:lang w:val="en-US" w:eastAsia="zh-CN"/>
              </w:rPr>
            </w:pPr>
            <w:r>
              <w:rPr>
                <w:rFonts w:hint="eastAsia"/>
                <w:color w:val="auto"/>
                <w:lang w:val="en-US" w:eastAsia="zh-CN"/>
              </w:rPr>
              <w:t>3.2.5</w:t>
            </w:r>
          </w:p>
        </w:tc>
        <w:tc>
          <w:tcPr>
            <w:tcW w:w="1608" w:type="dxa"/>
            <w:noWrap w:val="0"/>
            <w:vAlign w:val="center"/>
          </w:tcPr>
          <w:p w14:paraId="39038B54">
            <w:pPr>
              <w:pStyle w:val="43"/>
              <w:bidi w:val="0"/>
              <w:rPr>
                <w:rFonts w:hint="default"/>
                <w:color w:val="auto"/>
                <w:lang w:val="en-US" w:eastAsia="zh-CN"/>
              </w:rPr>
            </w:pPr>
            <w:r>
              <w:rPr>
                <w:rFonts w:hint="eastAsia"/>
                <w:color w:val="auto"/>
                <w:lang w:val="en-US" w:eastAsia="zh-CN"/>
              </w:rPr>
              <w:t>未设在多尘或有腐蚀性气体的场所</w:t>
            </w:r>
          </w:p>
        </w:tc>
        <w:tc>
          <w:tcPr>
            <w:tcW w:w="629" w:type="dxa"/>
            <w:noWrap w:val="0"/>
            <w:vAlign w:val="center"/>
          </w:tcPr>
          <w:p w14:paraId="06A3009A">
            <w:pPr>
              <w:pStyle w:val="43"/>
              <w:bidi w:val="0"/>
              <w:rPr>
                <w:rFonts w:hint="default"/>
                <w:color w:val="auto"/>
                <w:lang w:val="en-US" w:eastAsia="zh-CN"/>
              </w:rPr>
            </w:pPr>
            <w:r>
              <w:rPr>
                <w:rFonts w:hint="eastAsia"/>
                <w:color w:val="auto"/>
                <w:lang w:val="en-US" w:eastAsia="zh-CN"/>
              </w:rPr>
              <w:t>符合</w:t>
            </w:r>
          </w:p>
        </w:tc>
      </w:tr>
      <w:tr w14:paraId="7CD0FD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2A79C6BC">
            <w:pPr>
              <w:pStyle w:val="43"/>
              <w:bidi w:val="0"/>
              <w:rPr>
                <w:rFonts w:hint="default"/>
                <w:color w:val="auto"/>
                <w:lang w:val="en-US" w:eastAsia="zh-CN"/>
              </w:rPr>
            </w:pPr>
            <w:r>
              <w:rPr>
                <w:rFonts w:hint="eastAsia"/>
                <w:color w:val="auto"/>
                <w:lang w:val="en-US" w:eastAsia="zh-CN"/>
              </w:rPr>
              <w:t>3</w:t>
            </w:r>
          </w:p>
        </w:tc>
        <w:tc>
          <w:tcPr>
            <w:tcW w:w="4685" w:type="dxa"/>
            <w:noWrap w:val="0"/>
            <w:vAlign w:val="center"/>
          </w:tcPr>
          <w:p w14:paraId="6F9FF5AB">
            <w:pPr>
              <w:pStyle w:val="43"/>
              <w:bidi w:val="0"/>
              <w:jc w:val="left"/>
              <w:rPr>
                <w:rFonts w:hint="eastAsia"/>
                <w:color w:val="auto"/>
                <w:lang w:val="en-US" w:eastAsia="zh-CN"/>
              </w:rPr>
            </w:pPr>
            <w:r>
              <w:rPr>
                <w:rFonts w:hint="eastAsia"/>
                <w:color w:val="auto"/>
                <w:lang w:val="en-US" w:eastAsia="zh-CN"/>
              </w:rPr>
              <w:t>充电站不应设在有剧烈振动的场所。</w:t>
            </w:r>
          </w:p>
        </w:tc>
        <w:tc>
          <w:tcPr>
            <w:tcW w:w="1807" w:type="dxa"/>
            <w:noWrap w:val="0"/>
            <w:vAlign w:val="center"/>
          </w:tcPr>
          <w:p w14:paraId="3C14E2BD">
            <w:pPr>
              <w:pStyle w:val="43"/>
              <w:bidi w:val="0"/>
              <w:rPr>
                <w:rFonts w:hint="default"/>
                <w:color w:val="auto"/>
                <w:lang w:val="en-US" w:eastAsia="zh-CN"/>
              </w:rPr>
            </w:pPr>
            <w:r>
              <w:rPr>
                <w:rFonts w:hint="default"/>
                <w:color w:val="auto"/>
                <w:lang w:val="en-US" w:eastAsia="zh-CN"/>
              </w:rPr>
              <w:t>《电动汽车充电站设计规范》GB50966-2014</w:t>
            </w:r>
          </w:p>
          <w:p w14:paraId="2DA4C129">
            <w:pPr>
              <w:pStyle w:val="43"/>
              <w:bidi w:val="0"/>
              <w:rPr>
                <w:rFonts w:hint="default"/>
                <w:color w:val="auto"/>
                <w:lang w:val="en-US" w:eastAsia="zh-CN"/>
              </w:rPr>
            </w:pPr>
            <w:r>
              <w:rPr>
                <w:rFonts w:hint="eastAsia"/>
                <w:color w:val="auto"/>
                <w:lang w:val="en-US" w:eastAsia="zh-CN"/>
              </w:rPr>
              <w:t>3.2.6</w:t>
            </w:r>
          </w:p>
        </w:tc>
        <w:tc>
          <w:tcPr>
            <w:tcW w:w="1608" w:type="dxa"/>
            <w:noWrap w:val="0"/>
            <w:vAlign w:val="center"/>
          </w:tcPr>
          <w:p w14:paraId="78358D87">
            <w:pPr>
              <w:pStyle w:val="43"/>
              <w:bidi w:val="0"/>
              <w:rPr>
                <w:rFonts w:hint="eastAsia"/>
                <w:color w:val="auto"/>
                <w:lang w:val="en-US" w:eastAsia="zh-CN"/>
              </w:rPr>
            </w:pPr>
            <w:r>
              <w:rPr>
                <w:rFonts w:hint="eastAsia"/>
                <w:color w:val="auto"/>
                <w:lang w:val="en-US" w:eastAsia="zh-CN"/>
              </w:rPr>
              <w:t>未设在有剧烈振动的场所。</w:t>
            </w:r>
          </w:p>
        </w:tc>
        <w:tc>
          <w:tcPr>
            <w:tcW w:w="629" w:type="dxa"/>
            <w:noWrap w:val="0"/>
            <w:vAlign w:val="center"/>
          </w:tcPr>
          <w:p w14:paraId="03730E81">
            <w:pPr>
              <w:pStyle w:val="43"/>
              <w:bidi w:val="0"/>
              <w:rPr>
                <w:rFonts w:hint="default"/>
                <w:color w:val="auto"/>
                <w:lang w:val="en-US" w:eastAsia="zh-CN"/>
              </w:rPr>
            </w:pPr>
            <w:r>
              <w:rPr>
                <w:rFonts w:hint="eastAsia"/>
                <w:color w:val="auto"/>
                <w:lang w:val="en-US" w:eastAsia="zh-CN"/>
              </w:rPr>
              <w:t>符合</w:t>
            </w:r>
          </w:p>
        </w:tc>
      </w:tr>
      <w:tr w14:paraId="775E9A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3F21389D">
            <w:pPr>
              <w:pStyle w:val="43"/>
              <w:bidi w:val="0"/>
              <w:rPr>
                <w:rFonts w:hint="default"/>
                <w:color w:val="auto"/>
                <w:lang w:val="en-US" w:eastAsia="zh-CN"/>
              </w:rPr>
            </w:pPr>
            <w:r>
              <w:rPr>
                <w:rFonts w:hint="eastAsia"/>
                <w:color w:val="auto"/>
                <w:lang w:val="en-US" w:eastAsia="zh-CN"/>
              </w:rPr>
              <w:t>4</w:t>
            </w:r>
          </w:p>
        </w:tc>
        <w:tc>
          <w:tcPr>
            <w:tcW w:w="4685" w:type="dxa"/>
            <w:noWrap w:val="0"/>
            <w:vAlign w:val="center"/>
          </w:tcPr>
          <w:p w14:paraId="67899006">
            <w:pPr>
              <w:pStyle w:val="43"/>
              <w:bidi w:val="0"/>
              <w:jc w:val="left"/>
              <w:rPr>
                <w:rFonts w:hint="eastAsia"/>
                <w:color w:val="auto"/>
                <w:lang w:val="en-US" w:eastAsia="zh-CN"/>
              </w:rPr>
            </w:pPr>
            <w:r>
              <w:rPr>
                <w:rFonts w:hint="eastAsia"/>
                <w:color w:val="auto"/>
                <w:lang w:val="en-US" w:eastAsia="zh-CN"/>
              </w:rPr>
              <w:t>充电设备应靠近充电位布置，以便于充电，设备外廊距充电位边缘的净距不宜小于0.4m。充电设备的布置不应妨碍其他车辆的充电和通行，同时应采取保护充电设备及操作人员安全的措施。</w:t>
            </w:r>
          </w:p>
        </w:tc>
        <w:tc>
          <w:tcPr>
            <w:tcW w:w="1807" w:type="dxa"/>
            <w:noWrap w:val="0"/>
            <w:vAlign w:val="center"/>
          </w:tcPr>
          <w:p w14:paraId="265229E3">
            <w:pPr>
              <w:pStyle w:val="43"/>
              <w:bidi w:val="0"/>
              <w:rPr>
                <w:rFonts w:hint="default"/>
                <w:color w:val="auto"/>
                <w:lang w:val="en-US" w:eastAsia="zh-CN"/>
              </w:rPr>
            </w:pPr>
            <w:r>
              <w:rPr>
                <w:rFonts w:hint="default"/>
                <w:color w:val="auto"/>
                <w:lang w:val="en-US" w:eastAsia="zh-CN"/>
              </w:rPr>
              <w:t>《电动汽车充电站设计规范》GB50966-2014</w:t>
            </w:r>
          </w:p>
          <w:p w14:paraId="2644A119">
            <w:pPr>
              <w:pStyle w:val="43"/>
              <w:bidi w:val="0"/>
              <w:rPr>
                <w:rFonts w:hint="default"/>
                <w:color w:val="auto"/>
                <w:lang w:val="en-US" w:eastAsia="zh-CN"/>
              </w:rPr>
            </w:pPr>
            <w:r>
              <w:rPr>
                <w:rFonts w:hint="eastAsia"/>
                <w:color w:val="auto"/>
                <w:lang w:val="en-US" w:eastAsia="zh-CN"/>
              </w:rPr>
              <w:t>4.2.1</w:t>
            </w:r>
          </w:p>
        </w:tc>
        <w:tc>
          <w:tcPr>
            <w:tcW w:w="1608" w:type="dxa"/>
            <w:noWrap w:val="0"/>
            <w:vAlign w:val="center"/>
          </w:tcPr>
          <w:p w14:paraId="268D2BCA">
            <w:pPr>
              <w:pStyle w:val="43"/>
              <w:bidi w:val="0"/>
              <w:rPr>
                <w:rFonts w:hint="eastAsia"/>
                <w:color w:val="auto"/>
                <w:lang w:val="en-US" w:eastAsia="zh-CN"/>
              </w:rPr>
            </w:pPr>
            <w:r>
              <w:rPr>
                <w:rFonts w:hint="eastAsia"/>
                <w:color w:val="auto"/>
                <w:lang w:val="en-US" w:eastAsia="zh-CN"/>
              </w:rPr>
              <w:t>充电设备靠近充电位布置</w:t>
            </w:r>
          </w:p>
        </w:tc>
        <w:tc>
          <w:tcPr>
            <w:tcW w:w="629" w:type="dxa"/>
            <w:noWrap w:val="0"/>
            <w:vAlign w:val="center"/>
          </w:tcPr>
          <w:p w14:paraId="073B2997">
            <w:pPr>
              <w:pStyle w:val="43"/>
              <w:bidi w:val="0"/>
              <w:rPr>
                <w:rFonts w:hint="default"/>
                <w:color w:val="auto"/>
                <w:lang w:val="en-US" w:eastAsia="zh-CN"/>
              </w:rPr>
            </w:pPr>
            <w:r>
              <w:rPr>
                <w:rFonts w:hint="eastAsia"/>
                <w:color w:val="auto"/>
                <w:lang w:val="en-US" w:eastAsia="zh-CN"/>
              </w:rPr>
              <w:t>符合</w:t>
            </w:r>
          </w:p>
        </w:tc>
      </w:tr>
      <w:tr w14:paraId="34C3C1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6296CCB7">
            <w:pPr>
              <w:pStyle w:val="43"/>
              <w:bidi w:val="0"/>
              <w:rPr>
                <w:rFonts w:hint="default"/>
                <w:color w:val="auto"/>
                <w:lang w:val="en-US" w:eastAsia="zh-CN"/>
              </w:rPr>
            </w:pPr>
            <w:r>
              <w:rPr>
                <w:rFonts w:hint="eastAsia"/>
                <w:color w:val="auto"/>
                <w:lang w:val="en-US" w:eastAsia="zh-CN"/>
              </w:rPr>
              <w:t>5</w:t>
            </w:r>
          </w:p>
        </w:tc>
        <w:tc>
          <w:tcPr>
            <w:tcW w:w="4685" w:type="dxa"/>
            <w:noWrap w:val="0"/>
            <w:vAlign w:val="center"/>
          </w:tcPr>
          <w:p w14:paraId="604F84AB">
            <w:pPr>
              <w:pStyle w:val="43"/>
              <w:bidi w:val="0"/>
              <w:jc w:val="left"/>
              <w:rPr>
                <w:rFonts w:hint="eastAsia"/>
                <w:color w:val="auto"/>
                <w:lang w:val="en-US" w:eastAsia="zh-CN"/>
              </w:rPr>
            </w:pPr>
            <w:r>
              <w:rPr>
                <w:rFonts w:hint="eastAsia"/>
                <w:color w:val="auto"/>
                <w:lang w:val="en-US" w:eastAsia="zh-CN"/>
              </w:rPr>
              <w:t>充电站宜设置临时停车位置。</w:t>
            </w:r>
          </w:p>
        </w:tc>
        <w:tc>
          <w:tcPr>
            <w:tcW w:w="1807" w:type="dxa"/>
            <w:noWrap w:val="0"/>
            <w:vAlign w:val="center"/>
          </w:tcPr>
          <w:p w14:paraId="03C1FF27">
            <w:pPr>
              <w:pStyle w:val="43"/>
              <w:bidi w:val="0"/>
              <w:rPr>
                <w:rFonts w:hint="default"/>
                <w:color w:val="auto"/>
                <w:lang w:val="en-US" w:eastAsia="zh-CN"/>
              </w:rPr>
            </w:pPr>
            <w:r>
              <w:rPr>
                <w:rFonts w:hint="default"/>
                <w:color w:val="auto"/>
                <w:lang w:val="en-US" w:eastAsia="zh-CN"/>
              </w:rPr>
              <w:t>《电动汽车充电站设计规范》GB50966-2014</w:t>
            </w:r>
          </w:p>
          <w:p w14:paraId="118AF62B">
            <w:pPr>
              <w:pStyle w:val="43"/>
              <w:bidi w:val="0"/>
              <w:rPr>
                <w:rFonts w:hint="default"/>
                <w:color w:val="auto"/>
                <w:lang w:val="en-US" w:eastAsia="zh-CN"/>
              </w:rPr>
            </w:pPr>
            <w:r>
              <w:rPr>
                <w:rFonts w:hint="eastAsia"/>
                <w:color w:val="auto"/>
                <w:lang w:val="en-US" w:eastAsia="zh-CN"/>
              </w:rPr>
              <w:t>4.2.5</w:t>
            </w:r>
          </w:p>
        </w:tc>
        <w:tc>
          <w:tcPr>
            <w:tcW w:w="1608" w:type="dxa"/>
            <w:noWrap w:val="0"/>
            <w:vAlign w:val="center"/>
          </w:tcPr>
          <w:p w14:paraId="0B0475C5">
            <w:pPr>
              <w:pStyle w:val="43"/>
              <w:bidi w:val="0"/>
              <w:rPr>
                <w:rFonts w:hint="default"/>
                <w:color w:val="auto"/>
                <w:lang w:val="en-US" w:eastAsia="zh-CN"/>
              </w:rPr>
            </w:pPr>
            <w:r>
              <w:rPr>
                <w:rFonts w:hint="eastAsia"/>
                <w:color w:val="auto"/>
                <w:lang w:val="en-US" w:eastAsia="zh-CN"/>
              </w:rPr>
              <w:t>拟设置临时停车位</w:t>
            </w:r>
          </w:p>
        </w:tc>
        <w:tc>
          <w:tcPr>
            <w:tcW w:w="629" w:type="dxa"/>
            <w:noWrap w:val="0"/>
            <w:vAlign w:val="center"/>
          </w:tcPr>
          <w:p w14:paraId="3C2CCB08">
            <w:pPr>
              <w:pStyle w:val="43"/>
              <w:bidi w:val="0"/>
              <w:rPr>
                <w:rFonts w:hint="default"/>
                <w:color w:val="auto"/>
                <w:lang w:val="en-US" w:eastAsia="zh-CN"/>
              </w:rPr>
            </w:pPr>
            <w:r>
              <w:rPr>
                <w:rFonts w:hint="eastAsia"/>
                <w:color w:val="auto"/>
                <w:lang w:val="en-US" w:eastAsia="zh-CN"/>
              </w:rPr>
              <w:t>符合</w:t>
            </w:r>
          </w:p>
        </w:tc>
      </w:tr>
      <w:tr w14:paraId="35E249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dxa"/>
            <w:noWrap w:val="0"/>
            <w:vAlign w:val="center"/>
          </w:tcPr>
          <w:p w14:paraId="0B8E55B1">
            <w:pPr>
              <w:pStyle w:val="43"/>
              <w:bidi w:val="0"/>
              <w:rPr>
                <w:rFonts w:hint="default"/>
                <w:color w:val="auto"/>
                <w:lang w:val="en-US" w:eastAsia="zh-CN"/>
              </w:rPr>
            </w:pPr>
            <w:r>
              <w:rPr>
                <w:rFonts w:hint="eastAsia"/>
                <w:color w:val="auto"/>
                <w:lang w:val="en-US" w:eastAsia="zh-CN"/>
              </w:rPr>
              <w:t>6</w:t>
            </w:r>
          </w:p>
        </w:tc>
        <w:tc>
          <w:tcPr>
            <w:tcW w:w="4685" w:type="dxa"/>
            <w:noWrap w:val="0"/>
            <w:vAlign w:val="center"/>
          </w:tcPr>
          <w:p w14:paraId="446EBEB7">
            <w:pPr>
              <w:pStyle w:val="43"/>
              <w:bidi w:val="0"/>
              <w:jc w:val="left"/>
              <w:rPr>
                <w:rFonts w:hint="eastAsia"/>
                <w:color w:val="auto"/>
                <w:lang w:val="en-US" w:eastAsia="zh-CN"/>
              </w:rPr>
            </w:pPr>
            <w:r>
              <w:rPr>
                <w:rFonts w:hint="eastAsia"/>
                <w:color w:val="auto"/>
                <w:lang w:val="en-US" w:eastAsia="zh-CN"/>
              </w:rPr>
              <w:t>充电站内道路的设置应满足消防及服务车辆通行的要求。充电站的出入口不宜少于2个，当充电站的车位不超50个时，可设置1个出入口。入口和出口宜分开设置，并应明确指示标识。</w:t>
            </w:r>
          </w:p>
        </w:tc>
        <w:tc>
          <w:tcPr>
            <w:tcW w:w="1807" w:type="dxa"/>
            <w:noWrap w:val="0"/>
            <w:vAlign w:val="center"/>
          </w:tcPr>
          <w:p w14:paraId="0FF8DA78">
            <w:pPr>
              <w:pStyle w:val="43"/>
              <w:bidi w:val="0"/>
              <w:rPr>
                <w:rFonts w:hint="default"/>
                <w:color w:val="auto"/>
                <w:lang w:val="en-US" w:eastAsia="zh-CN"/>
              </w:rPr>
            </w:pPr>
            <w:r>
              <w:rPr>
                <w:rFonts w:hint="default"/>
                <w:color w:val="auto"/>
                <w:lang w:val="en-US" w:eastAsia="zh-CN"/>
              </w:rPr>
              <w:t>《电动汽车充电站设计规范》GB50966-2014</w:t>
            </w:r>
          </w:p>
          <w:p w14:paraId="260F672A">
            <w:pPr>
              <w:pStyle w:val="43"/>
              <w:bidi w:val="0"/>
              <w:rPr>
                <w:rFonts w:hint="default"/>
                <w:color w:val="auto"/>
                <w:lang w:val="en-US" w:eastAsia="zh-CN"/>
              </w:rPr>
            </w:pPr>
            <w:r>
              <w:rPr>
                <w:rFonts w:hint="eastAsia"/>
                <w:color w:val="auto"/>
                <w:lang w:val="en-US" w:eastAsia="zh-CN"/>
              </w:rPr>
              <w:t>4.3.1</w:t>
            </w:r>
          </w:p>
        </w:tc>
        <w:tc>
          <w:tcPr>
            <w:tcW w:w="1608" w:type="dxa"/>
            <w:noWrap w:val="0"/>
            <w:vAlign w:val="center"/>
          </w:tcPr>
          <w:p w14:paraId="441A3B59">
            <w:pPr>
              <w:pStyle w:val="43"/>
              <w:bidi w:val="0"/>
              <w:rPr>
                <w:rFonts w:hint="default"/>
                <w:color w:val="auto"/>
                <w:lang w:val="en-US" w:eastAsia="zh-CN"/>
              </w:rPr>
            </w:pPr>
            <w:r>
              <w:rPr>
                <w:rFonts w:hint="eastAsia"/>
                <w:color w:val="auto"/>
                <w:lang w:val="en-US" w:eastAsia="zh-CN"/>
              </w:rPr>
              <w:t>设计说明中未提及，将在对策措施中提出</w:t>
            </w:r>
          </w:p>
        </w:tc>
        <w:tc>
          <w:tcPr>
            <w:tcW w:w="629" w:type="dxa"/>
            <w:noWrap w:val="0"/>
            <w:vAlign w:val="center"/>
          </w:tcPr>
          <w:p w14:paraId="63C5AAB9">
            <w:pPr>
              <w:pStyle w:val="43"/>
              <w:bidi w:val="0"/>
              <w:rPr>
                <w:rFonts w:hint="default"/>
                <w:color w:val="auto"/>
                <w:lang w:val="en-US" w:eastAsia="zh-CN"/>
              </w:rPr>
            </w:pPr>
            <w:r>
              <w:rPr>
                <w:rFonts w:hint="eastAsia"/>
                <w:color w:val="auto"/>
                <w:lang w:val="en-US" w:eastAsia="zh-CN"/>
              </w:rPr>
              <w:t>-</w:t>
            </w:r>
          </w:p>
        </w:tc>
      </w:tr>
    </w:tbl>
    <w:p w14:paraId="02B35562">
      <w:pPr>
        <w:bidi w:val="0"/>
        <w:rPr>
          <w:rFonts w:hint="eastAsia"/>
          <w:b/>
          <w:bCs/>
          <w:color w:val="auto"/>
          <w:lang w:val="en-US" w:eastAsia="zh-CN"/>
        </w:rPr>
      </w:pPr>
      <w:r>
        <w:rPr>
          <w:rFonts w:hint="eastAsia"/>
          <w:b/>
          <w:bCs/>
          <w:color w:val="auto"/>
          <w:lang w:val="en-US" w:eastAsia="zh-CN"/>
        </w:rPr>
        <w:t>评价小结：</w:t>
      </w:r>
    </w:p>
    <w:p w14:paraId="3ED17F6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color w:val="auto"/>
          <w:sz w:val="28"/>
          <w:lang w:val="en-US"/>
        </w:rPr>
      </w:pPr>
      <w:r>
        <w:rPr>
          <w:rFonts w:hint="eastAsia"/>
          <w:color w:val="auto"/>
          <w:lang w:val="en-US" w:eastAsia="zh-CN"/>
        </w:rPr>
        <w:t>本单元共检查19项，12项符合，7项设计说明中未提及，将在对策措施中提出。该项目功能分区（车辆服务功能区、人员服务区、拓展功能区、后勤服务区）的设计项符合相关要求。</w:t>
      </w:r>
    </w:p>
    <w:p w14:paraId="5AD9131A">
      <w:pPr>
        <w:pStyle w:val="5"/>
        <w:bidi w:val="0"/>
        <w:rPr>
          <w:rFonts w:hint="default"/>
          <w:color w:val="auto"/>
          <w:lang w:val="en-US" w:eastAsia="zh-CN"/>
        </w:rPr>
      </w:pPr>
      <w:bookmarkStart w:id="111" w:name="_Toc11497"/>
      <w:r>
        <w:rPr>
          <w:rFonts w:hint="eastAsia"/>
          <w:color w:val="auto"/>
          <w:lang w:val="en-US" w:eastAsia="zh-CN"/>
        </w:rPr>
        <w:t>6.3公用工程符合性评价</w:t>
      </w:r>
      <w:bookmarkEnd w:id="111"/>
    </w:p>
    <w:p w14:paraId="4BCA77A6">
      <w:pPr>
        <w:ind w:firstLine="560" w:firstLineChars="200"/>
        <w:rPr>
          <w:rFonts w:hint="eastAsia"/>
          <w:color w:val="auto"/>
          <w:sz w:val="28"/>
          <w:szCs w:val="28"/>
          <w:lang w:val="en-US" w:eastAsia="zh-CN"/>
        </w:rPr>
      </w:pPr>
      <w:r>
        <w:rPr>
          <w:rFonts w:hint="eastAsia"/>
          <w:color w:val="auto"/>
          <w:sz w:val="28"/>
          <w:szCs w:val="28"/>
          <w:lang w:val="en-US" w:eastAsia="zh-CN"/>
        </w:rPr>
        <w:t>根据《高速公路服务区设计规范》DB36T698-2017等相关规定，对服务区公用工程设备设施进行符合性评价，见下表：</w:t>
      </w:r>
    </w:p>
    <w:p w14:paraId="7FD25CDD">
      <w:pPr>
        <w:pStyle w:val="48"/>
        <w:bidi w:val="0"/>
        <w:rPr>
          <w:rFonts w:hint="default"/>
          <w:color w:val="auto"/>
          <w:lang w:val="en-US" w:eastAsia="zh-CN"/>
        </w:rPr>
      </w:pPr>
      <w:r>
        <w:rPr>
          <w:rFonts w:hint="eastAsia"/>
          <w:color w:val="auto"/>
          <w:lang w:val="en-US" w:eastAsia="zh-CN"/>
        </w:rPr>
        <w:t>表6.3-1公用工程符合性检查表</w:t>
      </w:r>
    </w:p>
    <w:tbl>
      <w:tblPr>
        <w:tblStyle w:val="33"/>
        <w:tblW w:w="93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72"/>
        <w:gridCol w:w="4685"/>
        <w:gridCol w:w="1807"/>
        <w:gridCol w:w="1377"/>
        <w:gridCol w:w="860"/>
      </w:tblGrid>
      <w:tr w14:paraId="2BE908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16A54705">
            <w:pPr>
              <w:pStyle w:val="43"/>
              <w:bidi w:val="0"/>
              <w:rPr>
                <w:rFonts w:hint="eastAsia"/>
                <w:b/>
                <w:bCs/>
                <w:color w:val="auto"/>
              </w:rPr>
            </w:pPr>
            <w:r>
              <w:rPr>
                <w:rFonts w:hint="eastAsia"/>
                <w:b/>
                <w:bCs/>
                <w:color w:val="auto"/>
              </w:rPr>
              <w:t>序号</w:t>
            </w:r>
          </w:p>
        </w:tc>
        <w:tc>
          <w:tcPr>
            <w:tcW w:w="4685" w:type="dxa"/>
            <w:noWrap w:val="0"/>
            <w:vAlign w:val="center"/>
          </w:tcPr>
          <w:p w14:paraId="70C2BE30">
            <w:pPr>
              <w:pStyle w:val="43"/>
              <w:bidi w:val="0"/>
              <w:rPr>
                <w:rFonts w:hint="eastAsia"/>
                <w:b/>
                <w:bCs/>
                <w:color w:val="auto"/>
              </w:rPr>
            </w:pPr>
            <w:r>
              <w:rPr>
                <w:rFonts w:hint="eastAsia"/>
                <w:b/>
                <w:bCs/>
                <w:color w:val="auto"/>
              </w:rPr>
              <w:t>检查内容</w:t>
            </w:r>
          </w:p>
        </w:tc>
        <w:tc>
          <w:tcPr>
            <w:tcW w:w="1807" w:type="dxa"/>
            <w:noWrap w:val="0"/>
            <w:vAlign w:val="center"/>
          </w:tcPr>
          <w:p w14:paraId="44995B34">
            <w:pPr>
              <w:pStyle w:val="43"/>
              <w:bidi w:val="0"/>
              <w:rPr>
                <w:rFonts w:hint="eastAsia"/>
                <w:b/>
                <w:bCs/>
                <w:color w:val="auto"/>
                <w:lang w:val="en-US" w:eastAsia="zh-CN"/>
              </w:rPr>
            </w:pPr>
            <w:r>
              <w:rPr>
                <w:rFonts w:hint="eastAsia"/>
                <w:b/>
                <w:bCs/>
                <w:color w:val="auto"/>
                <w:lang w:val="en-US" w:eastAsia="zh-CN"/>
              </w:rPr>
              <w:t>依据</w:t>
            </w:r>
          </w:p>
        </w:tc>
        <w:tc>
          <w:tcPr>
            <w:tcW w:w="1377" w:type="dxa"/>
            <w:noWrap w:val="0"/>
            <w:vAlign w:val="center"/>
          </w:tcPr>
          <w:p w14:paraId="47EF69A2">
            <w:pPr>
              <w:pStyle w:val="43"/>
              <w:bidi w:val="0"/>
              <w:rPr>
                <w:rFonts w:hint="eastAsia"/>
                <w:b/>
                <w:bCs/>
                <w:color w:val="auto"/>
              </w:rPr>
            </w:pPr>
            <w:r>
              <w:rPr>
                <w:rFonts w:hint="eastAsia"/>
                <w:b/>
                <w:bCs/>
                <w:color w:val="auto"/>
              </w:rPr>
              <w:t>检查记录</w:t>
            </w:r>
          </w:p>
        </w:tc>
        <w:tc>
          <w:tcPr>
            <w:tcW w:w="860" w:type="dxa"/>
            <w:noWrap w:val="0"/>
            <w:vAlign w:val="center"/>
          </w:tcPr>
          <w:p w14:paraId="1473724D">
            <w:pPr>
              <w:pStyle w:val="43"/>
              <w:bidi w:val="0"/>
              <w:rPr>
                <w:rFonts w:hint="eastAsia"/>
                <w:b/>
                <w:bCs/>
                <w:color w:val="auto"/>
              </w:rPr>
            </w:pPr>
            <w:r>
              <w:rPr>
                <w:rFonts w:hint="eastAsia"/>
                <w:b/>
                <w:bCs/>
                <w:color w:val="auto"/>
              </w:rPr>
              <w:t>结论</w:t>
            </w:r>
          </w:p>
        </w:tc>
      </w:tr>
      <w:tr w14:paraId="6D4EF8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7FF09E3C">
            <w:pPr>
              <w:pStyle w:val="43"/>
              <w:bidi w:val="0"/>
              <w:rPr>
                <w:rFonts w:hint="eastAsia"/>
                <w:color w:val="auto"/>
              </w:rPr>
            </w:pPr>
          </w:p>
        </w:tc>
        <w:tc>
          <w:tcPr>
            <w:tcW w:w="8729" w:type="dxa"/>
            <w:gridSpan w:val="4"/>
            <w:noWrap w:val="0"/>
            <w:vAlign w:val="center"/>
          </w:tcPr>
          <w:p w14:paraId="56EE1BC5">
            <w:pPr>
              <w:pStyle w:val="43"/>
              <w:bidi w:val="0"/>
              <w:rPr>
                <w:rFonts w:hint="eastAsia" w:eastAsia="宋体"/>
                <w:color w:val="auto"/>
                <w:lang w:val="en-US" w:eastAsia="zh-CN"/>
              </w:rPr>
            </w:pPr>
            <w:r>
              <w:rPr>
                <w:rFonts w:hint="eastAsia"/>
                <w:b/>
                <w:bCs/>
                <w:color w:val="auto"/>
                <w:lang w:val="en-US" w:eastAsia="zh-CN"/>
              </w:rPr>
              <w:t>给水排水</w:t>
            </w:r>
          </w:p>
        </w:tc>
      </w:tr>
      <w:tr w14:paraId="3B3D0D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1C8D6509">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rPr>
            </w:pPr>
            <w:r>
              <w:rPr>
                <w:rFonts w:hint="eastAsia"/>
                <w:color w:val="auto"/>
              </w:rPr>
              <w:t>1</w:t>
            </w:r>
          </w:p>
        </w:tc>
        <w:tc>
          <w:tcPr>
            <w:tcW w:w="4685" w:type="dxa"/>
            <w:noWrap w:val="0"/>
            <w:vAlign w:val="center"/>
          </w:tcPr>
          <w:p w14:paraId="3F00B236">
            <w:pPr>
              <w:pStyle w:val="43"/>
              <w:keepNext w:val="0"/>
              <w:keepLines w:val="0"/>
              <w:pageBreakBefore w:val="0"/>
              <w:widowControl w:val="0"/>
              <w:kinsoku/>
              <w:wordWrap/>
              <w:overflowPunct/>
              <w:topLinePunct w:val="0"/>
              <w:autoSpaceDE/>
              <w:autoSpaceDN/>
              <w:bidi w:val="0"/>
              <w:adjustRightInd w:val="0"/>
              <w:snapToGrid w:val="0"/>
              <w:spacing w:line="286" w:lineRule="exact"/>
              <w:jc w:val="left"/>
              <w:textAlignment w:val="auto"/>
              <w:rPr>
                <w:rFonts w:hint="eastAsia"/>
                <w:color w:val="auto"/>
                <w:lang w:val="en-US" w:eastAsia="zh-CN"/>
              </w:rPr>
            </w:pPr>
            <w:r>
              <w:rPr>
                <w:rFonts w:hint="eastAsia"/>
                <w:color w:val="auto"/>
                <w:lang w:val="en-US" w:eastAsia="zh-CN"/>
              </w:rPr>
              <w:t>消防设施、供水设施宜集中设置于高速公路一侧。中心服务区(单侧)的给水量不宜小于300吨/天，普通服务区(单侧)给水量不宜小于200吨/天。</w:t>
            </w:r>
          </w:p>
        </w:tc>
        <w:tc>
          <w:tcPr>
            <w:tcW w:w="1807" w:type="dxa"/>
            <w:noWrap w:val="0"/>
            <w:vAlign w:val="center"/>
          </w:tcPr>
          <w:p w14:paraId="2C60863F">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default"/>
                <w:color w:val="auto"/>
                <w:lang w:val="en-US" w:eastAsia="zh-CN"/>
              </w:rPr>
              <w:t>《高速公路服务区设计规范》DB36T698-2017</w:t>
            </w:r>
          </w:p>
          <w:p w14:paraId="024BD349">
            <w:pPr>
              <w:pStyle w:val="43"/>
              <w:keepNext w:val="0"/>
              <w:keepLines w:val="0"/>
              <w:pageBreakBefore w:val="0"/>
              <w:widowControl w:val="0"/>
              <w:kinsoku/>
              <w:wordWrap/>
              <w:overflowPunct/>
              <w:topLinePunct w:val="0"/>
              <w:autoSpaceDE/>
              <w:autoSpaceDN/>
              <w:bidi w:val="0"/>
              <w:adjustRightInd w:val="0"/>
              <w:snapToGrid w:val="0"/>
              <w:spacing w:line="286" w:lineRule="exact"/>
              <w:ind w:firstLine="0" w:firstLineChars="0"/>
              <w:textAlignment w:val="auto"/>
              <w:rPr>
                <w:rFonts w:hint="default"/>
                <w:color w:val="auto"/>
                <w:lang w:val="en-US" w:eastAsia="zh-CN"/>
              </w:rPr>
            </w:pPr>
            <w:r>
              <w:rPr>
                <w:rFonts w:hint="eastAsia"/>
                <w:color w:val="auto"/>
                <w:lang w:val="en-US" w:eastAsia="zh-CN"/>
              </w:rPr>
              <w:t xml:space="preserve">10.1.1 </w:t>
            </w:r>
          </w:p>
        </w:tc>
        <w:tc>
          <w:tcPr>
            <w:tcW w:w="1377" w:type="dxa"/>
            <w:noWrap w:val="0"/>
            <w:vAlign w:val="center"/>
          </w:tcPr>
          <w:p w14:paraId="4D13D9FE">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rPr>
            </w:pPr>
            <w:r>
              <w:rPr>
                <w:rFonts w:hint="eastAsia"/>
                <w:color w:val="auto"/>
                <w:lang w:val="en-US" w:eastAsia="zh-CN"/>
              </w:rPr>
              <w:t>设计说明中未提及，将在对策措施中提出侧</w:t>
            </w:r>
          </w:p>
        </w:tc>
        <w:tc>
          <w:tcPr>
            <w:tcW w:w="860" w:type="dxa"/>
            <w:noWrap w:val="0"/>
            <w:vAlign w:val="center"/>
          </w:tcPr>
          <w:p w14:paraId="65D6E19A">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lang w:eastAsia="zh-CN"/>
              </w:rPr>
            </w:pPr>
            <w:r>
              <w:rPr>
                <w:rFonts w:hint="eastAsia"/>
                <w:color w:val="auto"/>
                <w:lang w:val="en-US" w:eastAsia="zh-CN"/>
              </w:rPr>
              <w:t>-</w:t>
            </w:r>
          </w:p>
        </w:tc>
      </w:tr>
      <w:tr w14:paraId="3EF789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5D732E9E">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lang w:val="en-US" w:eastAsia="zh-CN"/>
              </w:rPr>
            </w:pPr>
            <w:r>
              <w:rPr>
                <w:rFonts w:hint="eastAsia"/>
                <w:color w:val="auto"/>
                <w:lang w:val="en-US" w:eastAsia="zh-CN"/>
              </w:rPr>
              <w:t>2</w:t>
            </w:r>
          </w:p>
        </w:tc>
        <w:tc>
          <w:tcPr>
            <w:tcW w:w="4685" w:type="dxa"/>
            <w:noWrap w:val="0"/>
            <w:vAlign w:val="center"/>
          </w:tcPr>
          <w:p w14:paraId="0B167E62">
            <w:pPr>
              <w:pStyle w:val="43"/>
              <w:keepNext w:val="0"/>
              <w:keepLines w:val="0"/>
              <w:pageBreakBefore w:val="0"/>
              <w:widowControl w:val="0"/>
              <w:kinsoku/>
              <w:wordWrap/>
              <w:overflowPunct/>
              <w:topLinePunct w:val="0"/>
              <w:autoSpaceDE/>
              <w:autoSpaceDN/>
              <w:bidi w:val="0"/>
              <w:adjustRightInd w:val="0"/>
              <w:snapToGrid w:val="0"/>
              <w:spacing w:line="286" w:lineRule="exact"/>
              <w:jc w:val="left"/>
              <w:textAlignment w:val="auto"/>
              <w:rPr>
                <w:rFonts w:hint="eastAsia"/>
                <w:color w:val="auto"/>
              </w:rPr>
            </w:pPr>
            <w:r>
              <w:rPr>
                <w:rFonts w:hint="eastAsia"/>
                <w:color w:val="auto"/>
                <w:lang w:val="en-US" w:eastAsia="zh-CN"/>
              </w:rPr>
              <w:t>服务区给水水源，宜采用市政供水或自备水源。</w:t>
            </w:r>
          </w:p>
        </w:tc>
        <w:tc>
          <w:tcPr>
            <w:tcW w:w="1807" w:type="dxa"/>
            <w:noWrap w:val="0"/>
            <w:vAlign w:val="center"/>
          </w:tcPr>
          <w:p w14:paraId="2D738CBB">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default"/>
                <w:color w:val="auto"/>
                <w:lang w:val="en-US" w:eastAsia="zh-CN"/>
              </w:rPr>
              <w:t>《高速公路服务区设计规范》DB36T698-2017</w:t>
            </w:r>
          </w:p>
          <w:p w14:paraId="393180F1">
            <w:pPr>
              <w:pStyle w:val="43"/>
              <w:keepNext w:val="0"/>
              <w:keepLines w:val="0"/>
              <w:pageBreakBefore w:val="0"/>
              <w:widowControl w:val="0"/>
              <w:kinsoku/>
              <w:wordWrap/>
              <w:overflowPunct/>
              <w:topLinePunct w:val="0"/>
              <w:autoSpaceDE/>
              <w:autoSpaceDN/>
              <w:bidi w:val="0"/>
              <w:adjustRightInd w:val="0"/>
              <w:snapToGrid w:val="0"/>
              <w:spacing w:line="286" w:lineRule="exact"/>
              <w:ind w:firstLine="0" w:firstLineChars="0"/>
              <w:textAlignment w:val="auto"/>
              <w:rPr>
                <w:rFonts w:hint="default"/>
                <w:color w:val="auto"/>
                <w:lang w:val="en-US" w:eastAsia="zh-CN"/>
              </w:rPr>
            </w:pPr>
            <w:r>
              <w:rPr>
                <w:rFonts w:hint="default"/>
                <w:color w:val="auto"/>
                <w:lang w:val="en-US" w:eastAsia="zh-CN"/>
              </w:rPr>
              <w:t>10.1.2</w:t>
            </w:r>
          </w:p>
        </w:tc>
        <w:tc>
          <w:tcPr>
            <w:tcW w:w="1377" w:type="dxa"/>
            <w:noWrap w:val="0"/>
            <w:vAlign w:val="center"/>
          </w:tcPr>
          <w:p w14:paraId="3D41BE5F">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eastAsia="宋体"/>
                <w:color w:val="auto"/>
                <w:lang w:val="en-US" w:eastAsia="zh-CN"/>
              </w:rPr>
            </w:pPr>
            <w:r>
              <w:rPr>
                <w:rFonts w:hint="eastAsia"/>
                <w:color w:val="auto"/>
                <w:lang w:val="en-US" w:eastAsia="zh-CN"/>
              </w:rPr>
              <w:t>采用当地自来水供水管网</w:t>
            </w:r>
          </w:p>
        </w:tc>
        <w:tc>
          <w:tcPr>
            <w:tcW w:w="860" w:type="dxa"/>
            <w:noWrap w:val="0"/>
            <w:vAlign w:val="center"/>
          </w:tcPr>
          <w:p w14:paraId="58328F71">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lang w:val="en-US" w:eastAsia="zh-CN"/>
              </w:rPr>
            </w:pPr>
            <w:r>
              <w:rPr>
                <w:rFonts w:hint="eastAsia"/>
                <w:color w:val="auto"/>
                <w:lang w:val="en-US" w:eastAsia="zh-CN"/>
              </w:rPr>
              <w:t>符合</w:t>
            </w:r>
          </w:p>
        </w:tc>
      </w:tr>
      <w:tr w14:paraId="08FF9E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7D00DF89">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lang w:val="en-US" w:eastAsia="zh-CN"/>
              </w:rPr>
            </w:pPr>
            <w:r>
              <w:rPr>
                <w:rFonts w:hint="eastAsia"/>
                <w:color w:val="auto"/>
                <w:lang w:val="en-US" w:eastAsia="zh-CN"/>
              </w:rPr>
              <w:t>3</w:t>
            </w:r>
          </w:p>
        </w:tc>
        <w:tc>
          <w:tcPr>
            <w:tcW w:w="4685" w:type="dxa"/>
            <w:noWrap w:val="0"/>
            <w:vAlign w:val="center"/>
          </w:tcPr>
          <w:p w14:paraId="69103754">
            <w:pPr>
              <w:pStyle w:val="43"/>
              <w:keepNext w:val="0"/>
              <w:keepLines w:val="0"/>
              <w:pageBreakBefore w:val="0"/>
              <w:widowControl w:val="0"/>
              <w:kinsoku/>
              <w:wordWrap/>
              <w:overflowPunct/>
              <w:topLinePunct w:val="0"/>
              <w:autoSpaceDE/>
              <w:autoSpaceDN/>
              <w:bidi w:val="0"/>
              <w:adjustRightInd w:val="0"/>
              <w:snapToGrid w:val="0"/>
              <w:spacing w:line="286" w:lineRule="exact"/>
              <w:jc w:val="left"/>
              <w:textAlignment w:val="auto"/>
              <w:rPr>
                <w:rFonts w:hint="eastAsia"/>
                <w:color w:val="auto"/>
              </w:rPr>
            </w:pPr>
            <w:r>
              <w:rPr>
                <w:rFonts w:hint="eastAsia"/>
                <w:color w:val="auto"/>
                <w:lang w:val="en-US" w:eastAsia="zh-CN"/>
              </w:rPr>
              <w:t>采用非饮用水做冲洗和浇洒等用水时，应有明显的标志，非饮用水管道不得与饮用水管道相连。</w:t>
            </w:r>
          </w:p>
        </w:tc>
        <w:tc>
          <w:tcPr>
            <w:tcW w:w="1807" w:type="dxa"/>
            <w:noWrap w:val="0"/>
            <w:vAlign w:val="center"/>
          </w:tcPr>
          <w:p w14:paraId="427BD5FF">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default"/>
                <w:color w:val="auto"/>
                <w:lang w:val="en-US" w:eastAsia="zh-CN"/>
              </w:rPr>
              <w:t>《高速公路服务区设计规范》DB36T698-2017</w:t>
            </w:r>
          </w:p>
          <w:p w14:paraId="48240C46">
            <w:pPr>
              <w:pStyle w:val="43"/>
              <w:keepNext w:val="0"/>
              <w:keepLines w:val="0"/>
              <w:pageBreakBefore w:val="0"/>
              <w:widowControl w:val="0"/>
              <w:kinsoku/>
              <w:wordWrap/>
              <w:overflowPunct/>
              <w:topLinePunct w:val="0"/>
              <w:autoSpaceDE/>
              <w:autoSpaceDN/>
              <w:bidi w:val="0"/>
              <w:adjustRightInd w:val="0"/>
              <w:snapToGrid w:val="0"/>
              <w:spacing w:line="286" w:lineRule="exact"/>
              <w:ind w:firstLine="0" w:firstLineChars="0"/>
              <w:textAlignment w:val="auto"/>
              <w:rPr>
                <w:rFonts w:hint="default"/>
                <w:color w:val="auto"/>
                <w:lang w:val="en-US" w:eastAsia="zh-CN"/>
              </w:rPr>
            </w:pPr>
            <w:r>
              <w:rPr>
                <w:rFonts w:hint="default"/>
                <w:color w:val="auto"/>
                <w:lang w:val="en-US" w:eastAsia="zh-CN"/>
              </w:rPr>
              <w:t>10.1.</w:t>
            </w:r>
            <w:r>
              <w:rPr>
                <w:rFonts w:hint="eastAsia"/>
                <w:color w:val="auto"/>
                <w:lang w:val="en-US" w:eastAsia="zh-CN"/>
              </w:rPr>
              <w:t>4</w:t>
            </w:r>
          </w:p>
        </w:tc>
        <w:tc>
          <w:tcPr>
            <w:tcW w:w="1377" w:type="dxa"/>
            <w:noWrap w:val="0"/>
            <w:vAlign w:val="center"/>
          </w:tcPr>
          <w:p w14:paraId="775DF437">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rPr>
            </w:pPr>
            <w:r>
              <w:rPr>
                <w:rFonts w:hint="eastAsia"/>
                <w:color w:val="auto"/>
                <w:lang w:val="en-US" w:eastAsia="zh-CN"/>
              </w:rPr>
              <w:t>设计说明中未提及，将在对策措施中提出</w:t>
            </w:r>
          </w:p>
        </w:tc>
        <w:tc>
          <w:tcPr>
            <w:tcW w:w="860" w:type="dxa"/>
            <w:noWrap w:val="0"/>
            <w:vAlign w:val="center"/>
          </w:tcPr>
          <w:p w14:paraId="15F379C5">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rPr>
            </w:pPr>
            <w:r>
              <w:rPr>
                <w:rFonts w:hint="eastAsia"/>
                <w:color w:val="auto"/>
                <w:lang w:val="en-US" w:eastAsia="zh-CN"/>
              </w:rPr>
              <w:t>-</w:t>
            </w:r>
          </w:p>
        </w:tc>
      </w:tr>
      <w:tr w14:paraId="6FA0E0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2B98315A">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eastAsia"/>
                <w:color w:val="auto"/>
                <w:lang w:val="en-US" w:eastAsia="zh-CN"/>
              </w:rPr>
              <w:t>4</w:t>
            </w:r>
          </w:p>
        </w:tc>
        <w:tc>
          <w:tcPr>
            <w:tcW w:w="4685" w:type="dxa"/>
            <w:noWrap w:val="0"/>
            <w:vAlign w:val="center"/>
          </w:tcPr>
          <w:p w14:paraId="3E4F71A1">
            <w:pPr>
              <w:pStyle w:val="43"/>
              <w:keepNext w:val="0"/>
              <w:keepLines w:val="0"/>
              <w:pageBreakBefore w:val="0"/>
              <w:widowControl w:val="0"/>
              <w:kinsoku/>
              <w:wordWrap/>
              <w:overflowPunct/>
              <w:topLinePunct w:val="0"/>
              <w:autoSpaceDE/>
              <w:autoSpaceDN/>
              <w:bidi w:val="0"/>
              <w:adjustRightInd w:val="0"/>
              <w:snapToGrid w:val="0"/>
              <w:spacing w:line="286" w:lineRule="exact"/>
              <w:jc w:val="left"/>
              <w:textAlignment w:val="auto"/>
              <w:rPr>
                <w:rFonts w:hint="eastAsia"/>
                <w:color w:val="auto"/>
              </w:rPr>
            </w:pPr>
            <w:r>
              <w:rPr>
                <w:rFonts w:hint="eastAsia"/>
                <w:color w:val="auto"/>
                <w:lang w:val="en-US" w:eastAsia="zh-CN"/>
              </w:rPr>
              <w:t>服务区宜独立设置排水系统、排水处理设施。</w:t>
            </w:r>
          </w:p>
        </w:tc>
        <w:tc>
          <w:tcPr>
            <w:tcW w:w="1807" w:type="dxa"/>
            <w:noWrap w:val="0"/>
            <w:vAlign w:val="center"/>
          </w:tcPr>
          <w:p w14:paraId="73185BCC">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default"/>
                <w:color w:val="auto"/>
                <w:lang w:val="en-US" w:eastAsia="zh-CN"/>
              </w:rPr>
              <w:t>《高速公路服务区设计规范》DB36T698-2017</w:t>
            </w:r>
          </w:p>
          <w:p w14:paraId="239897C7">
            <w:pPr>
              <w:pStyle w:val="43"/>
              <w:keepNext w:val="0"/>
              <w:keepLines w:val="0"/>
              <w:pageBreakBefore w:val="0"/>
              <w:widowControl w:val="0"/>
              <w:kinsoku/>
              <w:wordWrap/>
              <w:overflowPunct/>
              <w:topLinePunct w:val="0"/>
              <w:autoSpaceDE/>
              <w:autoSpaceDN/>
              <w:bidi w:val="0"/>
              <w:adjustRightInd w:val="0"/>
              <w:snapToGrid w:val="0"/>
              <w:spacing w:line="286" w:lineRule="exact"/>
              <w:ind w:firstLine="0" w:firstLineChars="0"/>
              <w:textAlignment w:val="auto"/>
              <w:rPr>
                <w:rFonts w:hint="eastAsia"/>
                <w:color w:val="auto"/>
                <w:lang w:val="en-US" w:eastAsia="zh-CN"/>
              </w:rPr>
            </w:pPr>
            <w:r>
              <w:rPr>
                <w:rFonts w:hint="default"/>
                <w:color w:val="auto"/>
                <w:lang w:val="en-US" w:eastAsia="zh-CN"/>
              </w:rPr>
              <w:t>10.1.</w:t>
            </w:r>
            <w:r>
              <w:rPr>
                <w:rFonts w:hint="eastAsia"/>
                <w:color w:val="auto"/>
                <w:lang w:val="en-US" w:eastAsia="zh-CN"/>
              </w:rPr>
              <w:t>6</w:t>
            </w:r>
          </w:p>
        </w:tc>
        <w:tc>
          <w:tcPr>
            <w:tcW w:w="1377" w:type="dxa"/>
            <w:noWrap w:val="0"/>
            <w:vAlign w:val="center"/>
          </w:tcPr>
          <w:p w14:paraId="75948EEB">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rPr>
            </w:pPr>
            <w:r>
              <w:rPr>
                <w:rFonts w:hint="eastAsia"/>
                <w:color w:val="auto"/>
                <w:lang w:val="en-US" w:eastAsia="zh-CN"/>
              </w:rPr>
              <w:t>独立设置排水系统、排水处理设施</w:t>
            </w:r>
          </w:p>
        </w:tc>
        <w:tc>
          <w:tcPr>
            <w:tcW w:w="860" w:type="dxa"/>
            <w:noWrap w:val="0"/>
            <w:vAlign w:val="center"/>
          </w:tcPr>
          <w:p w14:paraId="0865992E">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eastAsia"/>
                <w:color w:val="auto"/>
                <w:lang w:val="en-US" w:eastAsia="zh-CN"/>
              </w:rPr>
              <w:t>符合</w:t>
            </w:r>
          </w:p>
        </w:tc>
      </w:tr>
      <w:tr w14:paraId="4C7F58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3A4C27F2">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eastAsia"/>
                <w:color w:val="auto"/>
                <w:lang w:val="en-US" w:eastAsia="zh-CN"/>
              </w:rPr>
              <w:t>5</w:t>
            </w:r>
          </w:p>
        </w:tc>
        <w:tc>
          <w:tcPr>
            <w:tcW w:w="4685" w:type="dxa"/>
            <w:noWrap w:val="0"/>
            <w:vAlign w:val="center"/>
          </w:tcPr>
          <w:p w14:paraId="24C08ED0">
            <w:pPr>
              <w:pStyle w:val="43"/>
              <w:keepNext w:val="0"/>
              <w:keepLines w:val="0"/>
              <w:pageBreakBefore w:val="0"/>
              <w:widowControl w:val="0"/>
              <w:kinsoku/>
              <w:wordWrap/>
              <w:overflowPunct/>
              <w:topLinePunct w:val="0"/>
              <w:autoSpaceDE/>
              <w:autoSpaceDN/>
              <w:bidi w:val="0"/>
              <w:adjustRightInd w:val="0"/>
              <w:snapToGrid w:val="0"/>
              <w:spacing w:line="286" w:lineRule="exact"/>
              <w:jc w:val="left"/>
              <w:textAlignment w:val="auto"/>
              <w:rPr>
                <w:rFonts w:hint="eastAsia"/>
                <w:color w:val="auto"/>
              </w:rPr>
            </w:pPr>
            <w:r>
              <w:rPr>
                <w:rFonts w:hint="eastAsia"/>
                <w:color w:val="auto"/>
                <w:lang w:val="en-US" w:eastAsia="zh-CN"/>
              </w:rPr>
              <w:t>污、废水应经处理达标后排放。排水口不应直接对周边村庄或农田进行排放，应与高速公路主线排水口相衔接。</w:t>
            </w:r>
          </w:p>
        </w:tc>
        <w:tc>
          <w:tcPr>
            <w:tcW w:w="1807" w:type="dxa"/>
            <w:noWrap w:val="0"/>
            <w:vAlign w:val="center"/>
          </w:tcPr>
          <w:p w14:paraId="7DF7513D">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default"/>
                <w:color w:val="auto"/>
                <w:lang w:val="en-US" w:eastAsia="zh-CN"/>
              </w:rPr>
              <w:t>《高速公路服务区设计规范》DB36T698-2017</w:t>
            </w:r>
          </w:p>
          <w:p w14:paraId="34DEA57E">
            <w:pPr>
              <w:pStyle w:val="43"/>
              <w:keepNext w:val="0"/>
              <w:keepLines w:val="0"/>
              <w:pageBreakBefore w:val="0"/>
              <w:widowControl w:val="0"/>
              <w:kinsoku/>
              <w:wordWrap/>
              <w:overflowPunct/>
              <w:topLinePunct w:val="0"/>
              <w:autoSpaceDE/>
              <w:autoSpaceDN/>
              <w:bidi w:val="0"/>
              <w:adjustRightInd w:val="0"/>
              <w:snapToGrid w:val="0"/>
              <w:spacing w:line="286" w:lineRule="exact"/>
              <w:ind w:firstLine="0" w:firstLineChars="0"/>
              <w:textAlignment w:val="auto"/>
              <w:rPr>
                <w:rFonts w:hint="eastAsia"/>
                <w:color w:val="auto"/>
                <w:lang w:val="en-US" w:eastAsia="zh-CN"/>
              </w:rPr>
            </w:pPr>
            <w:r>
              <w:rPr>
                <w:rFonts w:hint="eastAsia"/>
                <w:color w:val="auto"/>
                <w:lang w:val="en-US" w:eastAsia="zh-CN"/>
              </w:rPr>
              <w:t>10.1.7</w:t>
            </w:r>
          </w:p>
        </w:tc>
        <w:tc>
          <w:tcPr>
            <w:tcW w:w="1377" w:type="dxa"/>
            <w:noWrap w:val="0"/>
            <w:vAlign w:val="center"/>
          </w:tcPr>
          <w:p w14:paraId="571B9030">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rPr>
            </w:pPr>
            <w:r>
              <w:rPr>
                <w:rFonts w:hint="eastAsia"/>
                <w:color w:val="auto"/>
                <w:lang w:val="en-US" w:eastAsia="zh-CN"/>
              </w:rPr>
              <w:t>污、废水经处理达标后排放</w:t>
            </w:r>
          </w:p>
        </w:tc>
        <w:tc>
          <w:tcPr>
            <w:tcW w:w="860" w:type="dxa"/>
            <w:noWrap w:val="0"/>
            <w:vAlign w:val="center"/>
          </w:tcPr>
          <w:p w14:paraId="0624924D">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eastAsia"/>
                <w:color w:val="auto"/>
                <w:lang w:val="en-US" w:eastAsia="zh-CN"/>
              </w:rPr>
              <w:t>符合</w:t>
            </w:r>
          </w:p>
        </w:tc>
      </w:tr>
      <w:tr w14:paraId="69C685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652C1249">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eastAsia"/>
                <w:color w:val="auto"/>
                <w:lang w:val="en-US" w:eastAsia="zh-CN"/>
              </w:rPr>
              <w:t>6</w:t>
            </w:r>
          </w:p>
        </w:tc>
        <w:tc>
          <w:tcPr>
            <w:tcW w:w="4685" w:type="dxa"/>
            <w:noWrap w:val="0"/>
            <w:vAlign w:val="center"/>
          </w:tcPr>
          <w:p w14:paraId="1B195F0F">
            <w:pPr>
              <w:pStyle w:val="43"/>
              <w:keepNext w:val="0"/>
              <w:keepLines w:val="0"/>
              <w:pageBreakBefore w:val="0"/>
              <w:widowControl w:val="0"/>
              <w:kinsoku/>
              <w:wordWrap/>
              <w:overflowPunct/>
              <w:topLinePunct w:val="0"/>
              <w:autoSpaceDE/>
              <w:autoSpaceDN/>
              <w:bidi w:val="0"/>
              <w:adjustRightInd w:val="0"/>
              <w:snapToGrid w:val="0"/>
              <w:spacing w:line="286" w:lineRule="exact"/>
              <w:jc w:val="left"/>
              <w:textAlignment w:val="auto"/>
              <w:rPr>
                <w:rFonts w:hint="eastAsia"/>
                <w:color w:val="auto"/>
              </w:rPr>
            </w:pPr>
            <w:r>
              <w:rPr>
                <w:rFonts w:hint="eastAsia"/>
                <w:color w:val="auto"/>
                <w:lang w:val="en-US" w:eastAsia="zh-CN"/>
              </w:rPr>
              <w:t>污水、雨水及含油与不含油污水，应采用分流制排放。</w:t>
            </w:r>
          </w:p>
        </w:tc>
        <w:tc>
          <w:tcPr>
            <w:tcW w:w="1807" w:type="dxa"/>
            <w:noWrap w:val="0"/>
            <w:vAlign w:val="center"/>
          </w:tcPr>
          <w:p w14:paraId="2073731F">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default"/>
                <w:color w:val="auto"/>
                <w:lang w:val="en-US" w:eastAsia="zh-CN"/>
              </w:rPr>
              <w:t>《高速公路服务区设计规范》DB36T698-2017</w:t>
            </w:r>
          </w:p>
          <w:p w14:paraId="59368FEE">
            <w:pPr>
              <w:pStyle w:val="43"/>
              <w:keepNext w:val="0"/>
              <w:keepLines w:val="0"/>
              <w:pageBreakBefore w:val="0"/>
              <w:widowControl w:val="0"/>
              <w:kinsoku/>
              <w:wordWrap/>
              <w:overflowPunct/>
              <w:topLinePunct w:val="0"/>
              <w:autoSpaceDE/>
              <w:autoSpaceDN/>
              <w:bidi w:val="0"/>
              <w:adjustRightInd w:val="0"/>
              <w:snapToGrid w:val="0"/>
              <w:spacing w:line="286" w:lineRule="exact"/>
              <w:ind w:firstLine="0" w:firstLineChars="0"/>
              <w:textAlignment w:val="auto"/>
              <w:rPr>
                <w:rFonts w:hint="eastAsia"/>
                <w:color w:val="auto"/>
                <w:lang w:val="en-US" w:eastAsia="zh-CN"/>
              </w:rPr>
            </w:pPr>
            <w:r>
              <w:rPr>
                <w:rFonts w:hint="default"/>
                <w:color w:val="auto"/>
                <w:lang w:val="en-US" w:eastAsia="zh-CN"/>
              </w:rPr>
              <w:t>10.1.</w:t>
            </w:r>
            <w:r>
              <w:rPr>
                <w:rFonts w:hint="eastAsia"/>
                <w:color w:val="auto"/>
                <w:lang w:val="en-US" w:eastAsia="zh-CN"/>
              </w:rPr>
              <w:t>8</w:t>
            </w:r>
          </w:p>
        </w:tc>
        <w:tc>
          <w:tcPr>
            <w:tcW w:w="1377" w:type="dxa"/>
            <w:noWrap w:val="0"/>
            <w:vAlign w:val="center"/>
          </w:tcPr>
          <w:p w14:paraId="4E5B01D1">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eastAsia"/>
                <w:color w:val="auto"/>
              </w:rPr>
            </w:pPr>
            <w:r>
              <w:rPr>
                <w:rFonts w:hint="eastAsia"/>
                <w:color w:val="auto"/>
                <w:lang w:val="en-US" w:eastAsia="zh-CN"/>
              </w:rPr>
              <w:t>采用分流制排放</w:t>
            </w:r>
          </w:p>
        </w:tc>
        <w:tc>
          <w:tcPr>
            <w:tcW w:w="860" w:type="dxa"/>
            <w:noWrap w:val="0"/>
            <w:vAlign w:val="center"/>
          </w:tcPr>
          <w:p w14:paraId="69DD5054">
            <w:pPr>
              <w:pStyle w:val="43"/>
              <w:keepNext w:val="0"/>
              <w:keepLines w:val="0"/>
              <w:pageBreakBefore w:val="0"/>
              <w:widowControl w:val="0"/>
              <w:kinsoku/>
              <w:wordWrap/>
              <w:overflowPunct/>
              <w:topLinePunct w:val="0"/>
              <w:autoSpaceDE/>
              <w:autoSpaceDN/>
              <w:bidi w:val="0"/>
              <w:adjustRightInd w:val="0"/>
              <w:snapToGrid w:val="0"/>
              <w:spacing w:line="286" w:lineRule="exact"/>
              <w:textAlignment w:val="auto"/>
              <w:rPr>
                <w:rFonts w:hint="default"/>
                <w:color w:val="auto"/>
                <w:lang w:val="en-US" w:eastAsia="zh-CN"/>
              </w:rPr>
            </w:pPr>
            <w:r>
              <w:rPr>
                <w:rFonts w:hint="eastAsia"/>
                <w:color w:val="auto"/>
                <w:lang w:val="en-US" w:eastAsia="zh-CN"/>
              </w:rPr>
              <w:t>符合</w:t>
            </w:r>
          </w:p>
        </w:tc>
      </w:tr>
      <w:tr w14:paraId="2428E7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57312AB2">
            <w:pPr>
              <w:pStyle w:val="43"/>
              <w:bidi w:val="0"/>
              <w:rPr>
                <w:rFonts w:hint="default"/>
                <w:color w:val="auto"/>
                <w:lang w:val="en-US" w:eastAsia="zh-CN"/>
              </w:rPr>
            </w:pPr>
            <w:r>
              <w:rPr>
                <w:rFonts w:hint="eastAsia"/>
                <w:color w:val="auto"/>
                <w:lang w:val="en-US" w:eastAsia="zh-CN"/>
              </w:rPr>
              <w:t>7</w:t>
            </w:r>
          </w:p>
        </w:tc>
        <w:tc>
          <w:tcPr>
            <w:tcW w:w="4685" w:type="dxa"/>
            <w:noWrap w:val="0"/>
            <w:vAlign w:val="center"/>
          </w:tcPr>
          <w:p w14:paraId="26EBC2AF">
            <w:pPr>
              <w:pStyle w:val="43"/>
              <w:bidi w:val="0"/>
              <w:jc w:val="left"/>
              <w:rPr>
                <w:rFonts w:hint="eastAsia"/>
                <w:color w:val="auto"/>
                <w:lang w:val="en-US" w:eastAsia="zh-CN"/>
              </w:rPr>
            </w:pPr>
            <w:r>
              <w:rPr>
                <w:rFonts w:hint="eastAsia"/>
                <w:color w:val="auto"/>
                <w:lang w:val="en-US" w:eastAsia="zh-CN"/>
              </w:rPr>
              <w:t>综合楼内超市、商店等经营场所宜配备独立的给、排水系统。</w:t>
            </w:r>
          </w:p>
        </w:tc>
        <w:tc>
          <w:tcPr>
            <w:tcW w:w="1807" w:type="dxa"/>
            <w:noWrap w:val="0"/>
            <w:vAlign w:val="center"/>
          </w:tcPr>
          <w:p w14:paraId="7EF2BA2E">
            <w:pPr>
              <w:pStyle w:val="43"/>
              <w:bidi w:val="0"/>
              <w:rPr>
                <w:rFonts w:hint="default"/>
                <w:color w:val="auto"/>
                <w:lang w:val="en-US" w:eastAsia="zh-CN"/>
              </w:rPr>
            </w:pPr>
            <w:r>
              <w:rPr>
                <w:rFonts w:hint="default"/>
                <w:color w:val="auto"/>
                <w:lang w:val="en-US" w:eastAsia="zh-CN"/>
              </w:rPr>
              <w:t>《高速公路服务区设计规范》DB36T698-2017</w:t>
            </w:r>
          </w:p>
          <w:p w14:paraId="2C28278A">
            <w:pPr>
              <w:pStyle w:val="43"/>
              <w:bidi w:val="0"/>
              <w:ind w:firstLine="0" w:firstLineChars="0"/>
              <w:rPr>
                <w:rFonts w:hint="default"/>
                <w:color w:val="auto"/>
                <w:lang w:val="en-US" w:eastAsia="zh-CN"/>
              </w:rPr>
            </w:pPr>
            <w:r>
              <w:rPr>
                <w:rFonts w:hint="eastAsia"/>
                <w:color w:val="auto"/>
                <w:lang w:val="en-US" w:eastAsia="zh-CN"/>
              </w:rPr>
              <w:t>10.1.12</w:t>
            </w:r>
          </w:p>
        </w:tc>
        <w:tc>
          <w:tcPr>
            <w:tcW w:w="1377" w:type="dxa"/>
            <w:noWrap w:val="0"/>
            <w:vAlign w:val="center"/>
          </w:tcPr>
          <w:p w14:paraId="19549B71">
            <w:pPr>
              <w:pStyle w:val="43"/>
              <w:bidi w:val="0"/>
              <w:rPr>
                <w:rFonts w:hint="eastAsia"/>
                <w:color w:val="auto"/>
              </w:rPr>
            </w:pPr>
            <w:r>
              <w:rPr>
                <w:rFonts w:hint="eastAsia"/>
                <w:color w:val="auto"/>
                <w:lang w:val="en-US" w:eastAsia="zh-CN"/>
              </w:rPr>
              <w:t>超市、商店等经营场所配备独立的给、排水系统</w:t>
            </w:r>
          </w:p>
        </w:tc>
        <w:tc>
          <w:tcPr>
            <w:tcW w:w="860" w:type="dxa"/>
            <w:noWrap w:val="0"/>
            <w:vAlign w:val="center"/>
          </w:tcPr>
          <w:p w14:paraId="0E1FF8EB">
            <w:pPr>
              <w:pStyle w:val="43"/>
              <w:bidi w:val="0"/>
              <w:rPr>
                <w:rFonts w:hint="default"/>
                <w:color w:val="auto"/>
                <w:lang w:val="en-US" w:eastAsia="zh-CN"/>
              </w:rPr>
            </w:pPr>
            <w:r>
              <w:rPr>
                <w:rFonts w:hint="eastAsia"/>
                <w:color w:val="auto"/>
                <w:lang w:val="en-US" w:eastAsia="zh-CN"/>
              </w:rPr>
              <w:t>符合</w:t>
            </w:r>
          </w:p>
        </w:tc>
      </w:tr>
      <w:tr w14:paraId="6C8119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621A50A3">
            <w:pPr>
              <w:pStyle w:val="43"/>
              <w:bidi w:val="0"/>
              <w:rPr>
                <w:rFonts w:hint="eastAsia"/>
                <w:color w:val="auto"/>
                <w:lang w:val="en-US" w:eastAsia="zh-CN"/>
              </w:rPr>
            </w:pPr>
          </w:p>
        </w:tc>
        <w:tc>
          <w:tcPr>
            <w:tcW w:w="8729" w:type="dxa"/>
            <w:gridSpan w:val="4"/>
            <w:noWrap w:val="0"/>
            <w:vAlign w:val="center"/>
          </w:tcPr>
          <w:p w14:paraId="3CCD2CED">
            <w:pPr>
              <w:pStyle w:val="43"/>
              <w:bidi w:val="0"/>
              <w:rPr>
                <w:rFonts w:hint="default"/>
                <w:color w:val="auto"/>
                <w:lang w:val="en-US" w:eastAsia="zh-CN"/>
              </w:rPr>
            </w:pPr>
            <w:r>
              <w:rPr>
                <w:rFonts w:hint="eastAsia"/>
                <w:b/>
                <w:bCs/>
                <w:color w:val="auto"/>
                <w:lang w:val="en-US" w:eastAsia="zh-CN"/>
              </w:rPr>
              <w:t>采暖通风</w:t>
            </w:r>
          </w:p>
        </w:tc>
      </w:tr>
      <w:tr w14:paraId="6680DD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23FE2A4B">
            <w:pPr>
              <w:pStyle w:val="43"/>
              <w:numPr>
                <w:ilvl w:val="0"/>
                <w:numId w:val="7"/>
              </w:numPr>
              <w:bidi w:val="0"/>
              <w:ind w:left="0" w:leftChars="0" w:firstLine="0" w:firstLineChars="0"/>
              <w:rPr>
                <w:rFonts w:hint="default"/>
                <w:color w:val="auto"/>
                <w:lang w:val="en-US" w:eastAsia="zh-CN"/>
              </w:rPr>
            </w:pPr>
          </w:p>
        </w:tc>
        <w:tc>
          <w:tcPr>
            <w:tcW w:w="4685" w:type="dxa"/>
            <w:noWrap w:val="0"/>
            <w:vAlign w:val="center"/>
          </w:tcPr>
          <w:p w14:paraId="194372E3">
            <w:pPr>
              <w:pStyle w:val="43"/>
              <w:bidi w:val="0"/>
              <w:jc w:val="left"/>
              <w:rPr>
                <w:rFonts w:hint="eastAsia"/>
                <w:color w:val="auto"/>
                <w:lang w:val="en-US" w:eastAsia="zh-CN"/>
              </w:rPr>
            </w:pPr>
            <w:r>
              <w:rPr>
                <w:rFonts w:hint="eastAsia"/>
                <w:color w:val="auto"/>
                <w:lang w:val="en-US" w:eastAsia="zh-CN"/>
              </w:rPr>
              <w:t>综合楼内休息场所、餐厅、超市、商店宜设空调。</w:t>
            </w:r>
          </w:p>
        </w:tc>
        <w:tc>
          <w:tcPr>
            <w:tcW w:w="1807" w:type="dxa"/>
            <w:noWrap w:val="0"/>
            <w:vAlign w:val="center"/>
          </w:tcPr>
          <w:p w14:paraId="6CE30EB3">
            <w:pPr>
              <w:pStyle w:val="43"/>
              <w:bidi w:val="0"/>
              <w:rPr>
                <w:rFonts w:hint="default"/>
                <w:color w:val="auto"/>
                <w:lang w:val="en-US" w:eastAsia="zh-CN"/>
              </w:rPr>
            </w:pPr>
            <w:r>
              <w:rPr>
                <w:rFonts w:hint="default"/>
                <w:color w:val="auto"/>
                <w:lang w:val="en-US" w:eastAsia="zh-CN"/>
              </w:rPr>
              <w:t>《高速公路服务区设计规范》DB36T698-2017</w:t>
            </w:r>
          </w:p>
          <w:p w14:paraId="0317A416">
            <w:pPr>
              <w:pStyle w:val="43"/>
              <w:bidi w:val="0"/>
              <w:ind w:firstLine="0" w:firstLineChars="0"/>
              <w:rPr>
                <w:rFonts w:hint="default"/>
                <w:color w:val="auto"/>
                <w:lang w:val="en-US" w:eastAsia="zh-CN"/>
              </w:rPr>
            </w:pPr>
            <w:r>
              <w:rPr>
                <w:rFonts w:hint="eastAsia"/>
                <w:color w:val="auto"/>
                <w:lang w:val="en-US" w:eastAsia="zh-CN"/>
              </w:rPr>
              <w:t>10.2.1</w:t>
            </w:r>
          </w:p>
        </w:tc>
        <w:tc>
          <w:tcPr>
            <w:tcW w:w="1377" w:type="dxa"/>
            <w:noWrap w:val="0"/>
            <w:vAlign w:val="center"/>
          </w:tcPr>
          <w:p w14:paraId="11F19D8F">
            <w:pPr>
              <w:pStyle w:val="43"/>
              <w:bidi w:val="0"/>
              <w:rPr>
                <w:rFonts w:hint="eastAsia"/>
                <w:color w:val="auto"/>
              </w:rPr>
            </w:pPr>
            <w:r>
              <w:rPr>
                <w:rFonts w:hint="eastAsia"/>
                <w:color w:val="auto"/>
                <w:lang w:val="en-US" w:eastAsia="zh-CN"/>
              </w:rPr>
              <w:t>拟设空调</w:t>
            </w:r>
          </w:p>
        </w:tc>
        <w:tc>
          <w:tcPr>
            <w:tcW w:w="860" w:type="dxa"/>
            <w:noWrap w:val="0"/>
            <w:vAlign w:val="center"/>
          </w:tcPr>
          <w:p w14:paraId="79E1B631">
            <w:pPr>
              <w:pStyle w:val="43"/>
              <w:bidi w:val="0"/>
              <w:rPr>
                <w:rFonts w:hint="default"/>
                <w:color w:val="auto"/>
                <w:lang w:val="en-US" w:eastAsia="zh-CN"/>
              </w:rPr>
            </w:pPr>
            <w:r>
              <w:rPr>
                <w:rFonts w:hint="eastAsia"/>
                <w:color w:val="auto"/>
                <w:lang w:val="en-US" w:eastAsia="zh-CN"/>
              </w:rPr>
              <w:t>符合</w:t>
            </w:r>
          </w:p>
        </w:tc>
      </w:tr>
      <w:tr w14:paraId="05E817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32CEFF3A">
            <w:pPr>
              <w:pStyle w:val="43"/>
              <w:numPr>
                <w:ilvl w:val="0"/>
                <w:numId w:val="7"/>
              </w:numPr>
              <w:bidi w:val="0"/>
              <w:ind w:left="0" w:leftChars="0" w:firstLine="0" w:firstLineChars="0"/>
              <w:rPr>
                <w:rFonts w:hint="default"/>
                <w:color w:val="auto"/>
                <w:lang w:val="en-US" w:eastAsia="zh-CN"/>
              </w:rPr>
            </w:pPr>
          </w:p>
        </w:tc>
        <w:tc>
          <w:tcPr>
            <w:tcW w:w="4685" w:type="dxa"/>
            <w:noWrap w:val="0"/>
            <w:vAlign w:val="center"/>
          </w:tcPr>
          <w:p w14:paraId="5941C5C9">
            <w:pPr>
              <w:pStyle w:val="43"/>
              <w:bidi w:val="0"/>
              <w:jc w:val="left"/>
              <w:rPr>
                <w:rFonts w:hint="eastAsia"/>
                <w:color w:val="auto"/>
                <w:lang w:val="en-US" w:eastAsia="zh-CN"/>
              </w:rPr>
            </w:pPr>
            <w:r>
              <w:rPr>
                <w:rFonts w:hint="eastAsia"/>
                <w:color w:val="auto"/>
                <w:lang w:val="en-US" w:eastAsia="zh-CN"/>
              </w:rPr>
              <w:t>空调系统的设置应符合下列要求:</w:t>
            </w:r>
          </w:p>
          <w:p w14:paraId="4851B453">
            <w:pPr>
              <w:pStyle w:val="43"/>
              <w:bidi w:val="0"/>
              <w:jc w:val="left"/>
              <w:rPr>
                <w:rFonts w:hint="eastAsia"/>
                <w:color w:val="auto"/>
                <w:lang w:val="en-US" w:eastAsia="zh-CN"/>
              </w:rPr>
            </w:pPr>
            <w:r>
              <w:rPr>
                <w:rFonts w:hint="eastAsia"/>
                <w:color w:val="auto"/>
                <w:lang w:val="en-US" w:eastAsia="zh-CN"/>
              </w:rPr>
              <w:t>a）综合楼门厅出入口宜采用冷、热风空气幕；</w:t>
            </w:r>
          </w:p>
          <w:p w14:paraId="7058FD79">
            <w:pPr>
              <w:pStyle w:val="43"/>
              <w:bidi w:val="0"/>
              <w:jc w:val="left"/>
              <w:rPr>
                <w:rFonts w:hint="eastAsia"/>
                <w:color w:val="auto"/>
                <w:lang w:val="en-US" w:eastAsia="zh-CN"/>
              </w:rPr>
            </w:pPr>
            <w:r>
              <w:rPr>
                <w:rFonts w:hint="eastAsia"/>
                <w:color w:val="auto"/>
                <w:lang w:val="en-US" w:eastAsia="zh-CN"/>
              </w:rPr>
              <w:t>b）餐厅、超市、商店等宜采用节能型空调系统；</w:t>
            </w:r>
          </w:p>
          <w:p w14:paraId="460A9502">
            <w:pPr>
              <w:pStyle w:val="43"/>
              <w:bidi w:val="0"/>
              <w:jc w:val="left"/>
              <w:rPr>
                <w:rFonts w:hint="eastAsia"/>
                <w:color w:val="auto"/>
                <w:lang w:val="en-US" w:eastAsia="zh-CN"/>
              </w:rPr>
            </w:pPr>
            <w:r>
              <w:rPr>
                <w:rFonts w:hint="eastAsia"/>
                <w:color w:val="auto"/>
                <w:lang w:val="en-US" w:eastAsia="zh-CN"/>
              </w:rPr>
              <w:t>c）厨房应保持负压，用餐场所应保持正压；餐厅宜采用新风系统通风；</w:t>
            </w:r>
          </w:p>
          <w:p w14:paraId="2FA00BF0">
            <w:pPr>
              <w:pStyle w:val="43"/>
              <w:bidi w:val="0"/>
              <w:jc w:val="left"/>
              <w:rPr>
                <w:rFonts w:hint="eastAsia"/>
                <w:color w:val="auto"/>
                <w:lang w:val="en-US" w:eastAsia="zh-CN"/>
              </w:rPr>
            </w:pPr>
            <w:r>
              <w:rPr>
                <w:rFonts w:hint="eastAsia"/>
                <w:color w:val="auto"/>
                <w:lang w:val="en-US" w:eastAsia="zh-CN"/>
              </w:rPr>
              <w:t>d）客房的新风量宜按30m</w:t>
            </w:r>
            <w:r>
              <w:rPr>
                <w:rFonts w:hint="eastAsia"/>
                <w:color w:val="auto"/>
                <w:vertAlign w:val="superscript"/>
                <w:lang w:val="en-US" w:eastAsia="zh-CN"/>
              </w:rPr>
              <w:t>3</w:t>
            </w:r>
            <w:r>
              <w:rPr>
                <w:rFonts w:hint="eastAsia"/>
                <w:color w:val="auto"/>
                <w:lang w:val="en-US" w:eastAsia="zh-CN"/>
              </w:rPr>
              <w:t>/人计算，并应保持负压。</w:t>
            </w:r>
          </w:p>
        </w:tc>
        <w:tc>
          <w:tcPr>
            <w:tcW w:w="1807" w:type="dxa"/>
            <w:noWrap w:val="0"/>
            <w:vAlign w:val="center"/>
          </w:tcPr>
          <w:p w14:paraId="064EEF05">
            <w:pPr>
              <w:pStyle w:val="43"/>
              <w:bidi w:val="0"/>
              <w:rPr>
                <w:rFonts w:hint="default"/>
                <w:color w:val="auto"/>
                <w:lang w:val="en-US" w:eastAsia="zh-CN"/>
              </w:rPr>
            </w:pPr>
            <w:r>
              <w:rPr>
                <w:rFonts w:hint="default"/>
                <w:color w:val="auto"/>
                <w:lang w:val="en-US" w:eastAsia="zh-CN"/>
              </w:rPr>
              <w:t>《高速公路服务区设计规范》DB36T698-2017</w:t>
            </w:r>
          </w:p>
          <w:p w14:paraId="0D234610">
            <w:pPr>
              <w:pStyle w:val="43"/>
              <w:bidi w:val="0"/>
              <w:ind w:firstLine="0" w:firstLineChars="0"/>
              <w:rPr>
                <w:rFonts w:hint="eastAsia"/>
                <w:color w:val="auto"/>
                <w:lang w:val="en-US" w:eastAsia="zh-CN"/>
              </w:rPr>
            </w:pPr>
            <w:r>
              <w:rPr>
                <w:rFonts w:hint="eastAsia"/>
                <w:color w:val="auto"/>
                <w:lang w:val="en-US" w:eastAsia="zh-CN"/>
              </w:rPr>
              <w:t>10.2.2</w:t>
            </w:r>
          </w:p>
        </w:tc>
        <w:tc>
          <w:tcPr>
            <w:tcW w:w="1377" w:type="dxa"/>
            <w:noWrap w:val="0"/>
            <w:vAlign w:val="center"/>
          </w:tcPr>
          <w:p w14:paraId="69ED0625">
            <w:pPr>
              <w:pStyle w:val="43"/>
              <w:bidi w:val="0"/>
              <w:rPr>
                <w:rFonts w:hint="default" w:eastAsia="宋体"/>
                <w:color w:val="auto"/>
                <w:lang w:val="en-US" w:eastAsia="zh-CN"/>
              </w:rPr>
            </w:pPr>
            <w:r>
              <w:rPr>
                <w:rFonts w:hint="eastAsia"/>
                <w:color w:val="auto"/>
                <w:lang w:val="en-US" w:eastAsia="zh-CN"/>
              </w:rPr>
              <w:t>拟按要求设置空调系统</w:t>
            </w:r>
          </w:p>
        </w:tc>
        <w:tc>
          <w:tcPr>
            <w:tcW w:w="860" w:type="dxa"/>
            <w:noWrap w:val="0"/>
            <w:vAlign w:val="center"/>
          </w:tcPr>
          <w:p w14:paraId="3BA62FE0">
            <w:pPr>
              <w:pStyle w:val="43"/>
              <w:bidi w:val="0"/>
              <w:ind w:firstLine="0" w:firstLineChars="0"/>
              <w:rPr>
                <w:rFonts w:hint="eastAsia"/>
                <w:color w:val="auto"/>
                <w:lang w:val="en-US" w:eastAsia="zh-CN"/>
              </w:rPr>
            </w:pPr>
            <w:r>
              <w:rPr>
                <w:rFonts w:hint="eastAsia"/>
                <w:color w:val="auto"/>
                <w:lang w:val="en-US" w:eastAsia="zh-CN"/>
              </w:rPr>
              <w:t>符合</w:t>
            </w:r>
          </w:p>
        </w:tc>
      </w:tr>
      <w:tr w14:paraId="18210F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1BCC9017">
            <w:pPr>
              <w:pStyle w:val="43"/>
              <w:numPr>
                <w:ilvl w:val="0"/>
                <w:numId w:val="7"/>
              </w:numPr>
              <w:bidi w:val="0"/>
              <w:ind w:left="0" w:leftChars="0" w:firstLine="0" w:firstLineChars="0"/>
              <w:rPr>
                <w:rFonts w:hint="default"/>
                <w:color w:val="auto"/>
                <w:lang w:val="en-US" w:eastAsia="zh-CN"/>
              </w:rPr>
            </w:pPr>
          </w:p>
        </w:tc>
        <w:tc>
          <w:tcPr>
            <w:tcW w:w="4685" w:type="dxa"/>
            <w:noWrap w:val="0"/>
            <w:vAlign w:val="center"/>
          </w:tcPr>
          <w:p w14:paraId="0AD4CF0A">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 xml:space="preserve"> 建筑通风应符合下列要求:</w:t>
            </w:r>
          </w:p>
          <w:p w14:paraId="03A9B8B1">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a）客房、员工宿舍、办公等用房的通风开口有效面积不应小于该房间地板面积的1/20:厨房的通风开口有效面积应不小于该房间地板面积的1/10，并不得小于0.6㎡；厨房的炉灶上方应安装排除油烟设备，并设排烟道；</w:t>
            </w:r>
          </w:p>
          <w:p w14:paraId="5B594216">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b）无外窗的浴室和厕所应设机械通风换气设施，并设通风道；</w:t>
            </w:r>
          </w:p>
          <w:p w14:paraId="5CD10D59">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c）厨房、卫生间的门的下方宜设进风固定百叶，或留有进风缝隙；</w:t>
            </w:r>
          </w:p>
          <w:p w14:paraId="7A419AFB">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d）机械新风系统的进风口应设置在室外空气清新、洁净的位置；</w:t>
            </w:r>
          </w:p>
          <w:p w14:paraId="71994F96">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e）废气排放不应设置在有人停留或通行的地带；</w:t>
            </w:r>
          </w:p>
          <w:p w14:paraId="03FBF959">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f）机械新风系统的管道应选用不燃材料。</w:t>
            </w:r>
          </w:p>
        </w:tc>
        <w:tc>
          <w:tcPr>
            <w:tcW w:w="1807" w:type="dxa"/>
            <w:noWrap w:val="0"/>
            <w:vAlign w:val="center"/>
          </w:tcPr>
          <w:p w14:paraId="10ED4FE2">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color w:val="auto"/>
                <w:lang w:val="en-US" w:eastAsia="zh-CN"/>
              </w:rPr>
            </w:pPr>
            <w:r>
              <w:rPr>
                <w:rFonts w:hint="default"/>
                <w:color w:val="auto"/>
                <w:lang w:val="en-US" w:eastAsia="zh-CN"/>
              </w:rPr>
              <w:t>《高速公路服务区设计规范》DB36T698-2017</w:t>
            </w:r>
          </w:p>
          <w:p w14:paraId="7B09AA7E">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color w:val="auto"/>
                <w:lang w:val="en-US" w:eastAsia="zh-CN"/>
              </w:rPr>
            </w:pPr>
            <w:r>
              <w:rPr>
                <w:rFonts w:hint="eastAsia"/>
                <w:color w:val="auto"/>
                <w:lang w:val="en-US" w:eastAsia="zh-CN"/>
              </w:rPr>
              <w:t>10.2.4</w:t>
            </w:r>
          </w:p>
        </w:tc>
        <w:tc>
          <w:tcPr>
            <w:tcW w:w="1377" w:type="dxa"/>
            <w:shd w:val="clear" w:color="auto" w:fill="auto"/>
            <w:noWrap w:val="0"/>
            <w:vAlign w:val="center"/>
          </w:tcPr>
          <w:p w14:paraId="6C97DAEC">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设计说明中未提及，将在对策措施中提出</w:t>
            </w:r>
          </w:p>
        </w:tc>
        <w:tc>
          <w:tcPr>
            <w:tcW w:w="860" w:type="dxa"/>
            <w:shd w:val="clear" w:color="auto" w:fill="auto"/>
            <w:noWrap w:val="0"/>
            <w:vAlign w:val="center"/>
          </w:tcPr>
          <w:p w14:paraId="46D8F99D">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w:t>
            </w:r>
          </w:p>
        </w:tc>
      </w:tr>
      <w:tr w14:paraId="38EE4E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14375FE5">
            <w:pPr>
              <w:pStyle w:val="43"/>
              <w:numPr>
                <w:ilvl w:val="0"/>
                <w:numId w:val="7"/>
              </w:numPr>
              <w:bidi w:val="0"/>
              <w:ind w:left="0" w:leftChars="0" w:firstLine="0" w:firstLineChars="0"/>
              <w:rPr>
                <w:rFonts w:hint="default"/>
                <w:color w:val="auto"/>
                <w:lang w:val="en-US" w:eastAsia="zh-CN"/>
              </w:rPr>
            </w:pPr>
          </w:p>
        </w:tc>
        <w:tc>
          <w:tcPr>
            <w:tcW w:w="4685" w:type="dxa"/>
            <w:noWrap w:val="0"/>
            <w:vAlign w:val="center"/>
          </w:tcPr>
          <w:p w14:paraId="1A7A83E7">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综合楼内休息场所、餐厅、超市、商店自然通风达不到要求时，可采用机械通风或自然与机械通风相结合的通风方式，其通风量人均不应小于8m</w:t>
            </w:r>
            <w:r>
              <w:rPr>
                <w:rFonts w:hint="eastAsia"/>
                <w:color w:val="auto"/>
                <w:vertAlign w:val="superscript"/>
                <w:lang w:val="en-US" w:eastAsia="zh-CN"/>
              </w:rPr>
              <w:t>3</w:t>
            </w:r>
            <w:r>
              <w:rPr>
                <w:rFonts w:hint="eastAsia"/>
                <w:color w:val="auto"/>
                <w:lang w:val="en-US" w:eastAsia="zh-CN"/>
              </w:rPr>
              <w:t>/h。</w:t>
            </w:r>
          </w:p>
        </w:tc>
        <w:tc>
          <w:tcPr>
            <w:tcW w:w="1807" w:type="dxa"/>
            <w:noWrap w:val="0"/>
            <w:vAlign w:val="center"/>
          </w:tcPr>
          <w:p w14:paraId="5F2EA9B6">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color w:val="auto"/>
                <w:lang w:val="en-US" w:eastAsia="zh-CN"/>
              </w:rPr>
            </w:pPr>
            <w:r>
              <w:rPr>
                <w:rFonts w:hint="default"/>
                <w:color w:val="auto"/>
                <w:lang w:val="en-US" w:eastAsia="zh-CN"/>
              </w:rPr>
              <w:t>《高速公路服务区设计规范》DB36T698-2017</w:t>
            </w:r>
          </w:p>
          <w:p w14:paraId="575DD31C">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color w:val="auto"/>
                <w:lang w:val="en-US" w:eastAsia="zh-CN"/>
              </w:rPr>
            </w:pPr>
            <w:r>
              <w:rPr>
                <w:rFonts w:hint="eastAsia"/>
                <w:color w:val="auto"/>
                <w:lang w:val="en-US" w:eastAsia="zh-CN"/>
              </w:rPr>
              <w:t>10.2.5</w:t>
            </w:r>
          </w:p>
        </w:tc>
        <w:tc>
          <w:tcPr>
            <w:tcW w:w="1377" w:type="dxa"/>
            <w:shd w:val="clear" w:color="auto" w:fill="auto"/>
            <w:noWrap w:val="0"/>
            <w:vAlign w:val="center"/>
          </w:tcPr>
          <w:p w14:paraId="4EEA5091">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设计说明中未提及，将在对策措施中提出</w:t>
            </w:r>
          </w:p>
        </w:tc>
        <w:tc>
          <w:tcPr>
            <w:tcW w:w="860" w:type="dxa"/>
            <w:shd w:val="clear" w:color="auto" w:fill="auto"/>
            <w:noWrap w:val="0"/>
            <w:vAlign w:val="center"/>
          </w:tcPr>
          <w:p w14:paraId="0B89DF46">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w:t>
            </w:r>
          </w:p>
        </w:tc>
      </w:tr>
      <w:tr w14:paraId="1EBEF7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5F776092">
            <w:pPr>
              <w:pStyle w:val="43"/>
              <w:numPr>
                <w:ilvl w:val="0"/>
                <w:numId w:val="7"/>
              </w:numPr>
              <w:bidi w:val="0"/>
              <w:ind w:left="0" w:leftChars="0" w:firstLine="0" w:firstLineChars="0"/>
              <w:rPr>
                <w:rFonts w:hint="default"/>
                <w:color w:val="auto"/>
                <w:lang w:val="en-US" w:eastAsia="zh-CN"/>
              </w:rPr>
            </w:pPr>
          </w:p>
        </w:tc>
        <w:tc>
          <w:tcPr>
            <w:tcW w:w="4685" w:type="dxa"/>
            <w:noWrap w:val="0"/>
            <w:vAlign w:val="center"/>
          </w:tcPr>
          <w:p w14:paraId="7E480039">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公共厕所应优先采用自然通风，当自然通风不能满足要求时应增设机械通风，并应满足相关规定。</w:t>
            </w:r>
          </w:p>
        </w:tc>
        <w:tc>
          <w:tcPr>
            <w:tcW w:w="1807" w:type="dxa"/>
            <w:noWrap w:val="0"/>
            <w:vAlign w:val="center"/>
          </w:tcPr>
          <w:p w14:paraId="548EE69B">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color w:val="auto"/>
                <w:lang w:val="en-US" w:eastAsia="zh-CN"/>
              </w:rPr>
            </w:pPr>
            <w:r>
              <w:rPr>
                <w:rFonts w:hint="default"/>
                <w:color w:val="auto"/>
                <w:lang w:val="en-US" w:eastAsia="zh-CN"/>
              </w:rPr>
              <w:t>《高速公路服务区设计规范》DB36T698-2017</w:t>
            </w:r>
          </w:p>
          <w:p w14:paraId="18B7A4A3">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color w:val="auto"/>
                <w:lang w:val="en-US" w:eastAsia="zh-CN"/>
              </w:rPr>
            </w:pPr>
            <w:r>
              <w:rPr>
                <w:rFonts w:hint="eastAsia"/>
                <w:color w:val="auto"/>
                <w:lang w:val="en-US" w:eastAsia="zh-CN"/>
              </w:rPr>
              <w:t>10.2.6</w:t>
            </w:r>
          </w:p>
        </w:tc>
        <w:tc>
          <w:tcPr>
            <w:tcW w:w="1377" w:type="dxa"/>
            <w:noWrap w:val="0"/>
            <w:vAlign w:val="center"/>
          </w:tcPr>
          <w:p w14:paraId="48AA4B7A">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eastAsia"/>
                <w:color w:val="auto"/>
              </w:rPr>
            </w:pPr>
            <w:r>
              <w:rPr>
                <w:rFonts w:hint="eastAsia"/>
                <w:color w:val="auto"/>
                <w:lang w:val="en-US" w:eastAsia="zh-CN"/>
              </w:rPr>
              <w:t>优先采用自然通风</w:t>
            </w:r>
          </w:p>
        </w:tc>
        <w:tc>
          <w:tcPr>
            <w:tcW w:w="860" w:type="dxa"/>
            <w:noWrap w:val="0"/>
            <w:vAlign w:val="center"/>
          </w:tcPr>
          <w:p w14:paraId="0ACC5476">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color w:val="auto"/>
                <w:lang w:val="en-US" w:eastAsia="zh-CN"/>
              </w:rPr>
            </w:pPr>
            <w:r>
              <w:rPr>
                <w:rFonts w:hint="eastAsia"/>
                <w:color w:val="auto"/>
                <w:lang w:val="en-US" w:eastAsia="zh-CN"/>
              </w:rPr>
              <w:t>符合</w:t>
            </w:r>
          </w:p>
        </w:tc>
      </w:tr>
      <w:tr w14:paraId="43BEF3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1B4B6113">
            <w:pPr>
              <w:pStyle w:val="43"/>
              <w:bidi w:val="0"/>
              <w:rPr>
                <w:rFonts w:hint="eastAsia"/>
                <w:color w:val="auto"/>
                <w:lang w:val="en-US" w:eastAsia="zh-CN"/>
              </w:rPr>
            </w:pPr>
          </w:p>
        </w:tc>
        <w:tc>
          <w:tcPr>
            <w:tcW w:w="8729" w:type="dxa"/>
            <w:gridSpan w:val="4"/>
            <w:noWrap w:val="0"/>
            <w:vAlign w:val="center"/>
          </w:tcPr>
          <w:p w14:paraId="24849B7D">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color w:val="auto"/>
                <w:lang w:val="en-US" w:eastAsia="zh-CN"/>
              </w:rPr>
            </w:pPr>
            <w:r>
              <w:rPr>
                <w:rFonts w:hint="eastAsia"/>
                <w:b/>
                <w:bCs/>
                <w:color w:val="auto"/>
                <w:lang w:val="en-US" w:eastAsia="zh-CN"/>
              </w:rPr>
              <w:t>电气</w:t>
            </w:r>
          </w:p>
        </w:tc>
      </w:tr>
      <w:tr w14:paraId="70479A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52DF8CC5">
            <w:pPr>
              <w:pStyle w:val="43"/>
              <w:numPr>
                <w:ilvl w:val="0"/>
                <w:numId w:val="8"/>
              </w:numPr>
              <w:bidi w:val="0"/>
              <w:ind w:left="0" w:leftChars="0" w:firstLine="0" w:firstLineChars="0"/>
              <w:rPr>
                <w:rFonts w:hint="default"/>
                <w:color w:val="auto"/>
                <w:lang w:val="en-US" w:eastAsia="zh-CN"/>
              </w:rPr>
            </w:pPr>
          </w:p>
        </w:tc>
        <w:tc>
          <w:tcPr>
            <w:tcW w:w="4685" w:type="dxa"/>
            <w:noWrap w:val="0"/>
            <w:vAlign w:val="center"/>
          </w:tcPr>
          <w:p w14:paraId="1F7A8128">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 xml:space="preserve"> 用电负荷等级应符合下列要求:</w:t>
            </w:r>
          </w:p>
          <w:p w14:paraId="72BFC63B">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a)综合楼内的餐厅和厨房用电按二级负荷供电；</w:t>
            </w:r>
          </w:p>
          <w:p w14:paraId="7E5FDD05">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b)汽修站、加油站和设备房按二级负荷供电；</w:t>
            </w:r>
          </w:p>
          <w:p w14:paraId="07E817D4">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c)消防设备、监控设备、设备房用电、充电桩设备、广场照明(包括高杆灯和进出口匝道路灯)和污水处理器按二级负荷供电。</w:t>
            </w:r>
          </w:p>
        </w:tc>
        <w:tc>
          <w:tcPr>
            <w:tcW w:w="1807" w:type="dxa"/>
            <w:noWrap w:val="0"/>
            <w:vAlign w:val="center"/>
          </w:tcPr>
          <w:p w14:paraId="12E1ACB2">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color w:val="auto"/>
                <w:lang w:val="en-US" w:eastAsia="zh-CN"/>
              </w:rPr>
            </w:pPr>
            <w:r>
              <w:rPr>
                <w:rFonts w:hint="default"/>
                <w:color w:val="auto"/>
                <w:lang w:val="en-US" w:eastAsia="zh-CN"/>
              </w:rPr>
              <w:t>《高速公路服务区设计规范》DB36T698-2017</w:t>
            </w:r>
          </w:p>
          <w:p w14:paraId="38F8D67C">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default"/>
                <w:color w:val="auto"/>
                <w:lang w:val="en-US" w:eastAsia="zh-CN"/>
              </w:rPr>
            </w:pPr>
            <w:r>
              <w:rPr>
                <w:rFonts w:hint="eastAsia"/>
                <w:color w:val="auto"/>
                <w:lang w:val="en-US" w:eastAsia="zh-CN"/>
              </w:rPr>
              <w:t>10.3.1</w:t>
            </w:r>
          </w:p>
        </w:tc>
        <w:tc>
          <w:tcPr>
            <w:tcW w:w="1377" w:type="dxa"/>
            <w:noWrap w:val="0"/>
            <w:vAlign w:val="center"/>
          </w:tcPr>
          <w:p w14:paraId="205BBC8A">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eastAsia="宋体"/>
                <w:color w:val="auto"/>
                <w:lang w:val="en-US" w:eastAsia="zh-CN"/>
              </w:rPr>
            </w:pPr>
            <w:r>
              <w:rPr>
                <w:rFonts w:hint="eastAsia"/>
                <w:color w:val="auto"/>
                <w:lang w:val="en-US" w:eastAsia="zh-CN"/>
              </w:rPr>
              <w:t>用电负荷等级符合要求</w:t>
            </w:r>
          </w:p>
        </w:tc>
        <w:tc>
          <w:tcPr>
            <w:tcW w:w="860" w:type="dxa"/>
            <w:noWrap w:val="0"/>
            <w:vAlign w:val="center"/>
          </w:tcPr>
          <w:p w14:paraId="629EF9BE">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color w:val="auto"/>
                <w:lang w:val="en-US" w:eastAsia="zh-CN"/>
              </w:rPr>
            </w:pPr>
            <w:r>
              <w:rPr>
                <w:rFonts w:hint="eastAsia"/>
                <w:color w:val="auto"/>
                <w:lang w:val="en-US" w:eastAsia="zh-CN"/>
              </w:rPr>
              <w:t>符合</w:t>
            </w:r>
          </w:p>
        </w:tc>
      </w:tr>
      <w:tr w14:paraId="0AC634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5E5611F4">
            <w:pPr>
              <w:pStyle w:val="43"/>
              <w:numPr>
                <w:ilvl w:val="0"/>
                <w:numId w:val="8"/>
              </w:numPr>
              <w:bidi w:val="0"/>
              <w:ind w:left="0" w:leftChars="0" w:firstLine="0" w:firstLineChars="0"/>
              <w:rPr>
                <w:rFonts w:hint="default"/>
                <w:color w:val="auto"/>
                <w:lang w:val="en-US" w:eastAsia="zh-CN"/>
              </w:rPr>
            </w:pPr>
          </w:p>
        </w:tc>
        <w:tc>
          <w:tcPr>
            <w:tcW w:w="4685" w:type="dxa"/>
            <w:noWrap w:val="0"/>
            <w:vAlign w:val="center"/>
          </w:tcPr>
          <w:p w14:paraId="0169FC4A">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变电设备设计及选用应符合JGJ/T229的有关规定。</w:t>
            </w:r>
          </w:p>
        </w:tc>
        <w:tc>
          <w:tcPr>
            <w:tcW w:w="1807" w:type="dxa"/>
            <w:noWrap w:val="0"/>
            <w:vAlign w:val="center"/>
          </w:tcPr>
          <w:p w14:paraId="63B37FD3">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color w:val="auto"/>
                <w:lang w:val="en-US" w:eastAsia="zh-CN"/>
              </w:rPr>
            </w:pPr>
            <w:r>
              <w:rPr>
                <w:rFonts w:hint="default"/>
                <w:color w:val="auto"/>
                <w:lang w:val="en-US" w:eastAsia="zh-CN"/>
              </w:rPr>
              <w:t>《高速公路服务区设计规范》DB36T698-2017</w:t>
            </w:r>
          </w:p>
          <w:p w14:paraId="74E73CBE">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color w:val="auto"/>
                <w:lang w:val="en-US" w:eastAsia="zh-CN"/>
              </w:rPr>
            </w:pPr>
            <w:r>
              <w:rPr>
                <w:rFonts w:hint="eastAsia"/>
                <w:color w:val="auto"/>
                <w:lang w:val="en-US" w:eastAsia="zh-CN"/>
              </w:rPr>
              <w:t>10.3.2</w:t>
            </w:r>
          </w:p>
        </w:tc>
        <w:tc>
          <w:tcPr>
            <w:tcW w:w="1377" w:type="dxa"/>
            <w:noWrap w:val="0"/>
            <w:vAlign w:val="center"/>
          </w:tcPr>
          <w:p w14:paraId="66B93E4B">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eastAsia="宋体"/>
                <w:color w:val="auto"/>
                <w:lang w:val="en-US" w:eastAsia="zh-CN"/>
              </w:rPr>
            </w:pPr>
            <w:r>
              <w:rPr>
                <w:rFonts w:hint="eastAsia"/>
                <w:color w:val="auto"/>
                <w:lang w:val="en-US" w:eastAsia="zh-CN"/>
              </w:rPr>
              <w:t>变配电设备符合有关规定</w:t>
            </w:r>
          </w:p>
        </w:tc>
        <w:tc>
          <w:tcPr>
            <w:tcW w:w="860" w:type="dxa"/>
            <w:noWrap w:val="0"/>
            <w:vAlign w:val="center"/>
          </w:tcPr>
          <w:p w14:paraId="3127BEFA">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color w:val="auto"/>
                <w:lang w:val="en-US" w:eastAsia="zh-CN"/>
              </w:rPr>
            </w:pPr>
            <w:r>
              <w:rPr>
                <w:rFonts w:hint="eastAsia"/>
                <w:color w:val="auto"/>
                <w:lang w:val="en-US" w:eastAsia="zh-CN"/>
              </w:rPr>
              <w:t>符合</w:t>
            </w:r>
          </w:p>
        </w:tc>
      </w:tr>
      <w:tr w14:paraId="10D2D5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72AFB8EE">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3ACA83A0">
            <w:pPr>
              <w:pStyle w:val="43"/>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eastAsia"/>
                <w:color w:val="auto"/>
                <w:lang w:val="en-US" w:eastAsia="zh-CN"/>
              </w:rPr>
            </w:pPr>
            <w:r>
              <w:rPr>
                <w:rFonts w:hint="eastAsia"/>
                <w:color w:val="auto"/>
                <w:lang w:val="en-US" w:eastAsia="zh-CN"/>
              </w:rPr>
              <w:t>电气一般配电线路应暗装敷设，导线管及配线槽应采用非燃烧材料。</w:t>
            </w:r>
          </w:p>
        </w:tc>
        <w:tc>
          <w:tcPr>
            <w:tcW w:w="1807" w:type="dxa"/>
            <w:noWrap w:val="0"/>
            <w:vAlign w:val="center"/>
          </w:tcPr>
          <w:p w14:paraId="27B6F00C">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color w:val="auto"/>
                <w:lang w:val="en-US" w:eastAsia="zh-CN"/>
              </w:rPr>
            </w:pPr>
            <w:r>
              <w:rPr>
                <w:rFonts w:hint="default"/>
                <w:color w:val="auto"/>
                <w:lang w:val="en-US" w:eastAsia="zh-CN"/>
              </w:rPr>
              <w:t>《高速公路服务区设计规范》DB36T698-2017</w:t>
            </w:r>
          </w:p>
          <w:p w14:paraId="43E86F63">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color w:val="auto"/>
                <w:lang w:val="en-US" w:eastAsia="zh-CN"/>
              </w:rPr>
            </w:pPr>
            <w:r>
              <w:rPr>
                <w:rFonts w:hint="eastAsia"/>
                <w:color w:val="auto"/>
                <w:lang w:val="en-US" w:eastAsia="zh-CN"/>
              </w:rPr>
              <w:t>10.3.4</w:t>
            </w:r>
          </w:p>
        </w:tc>
        <w:tc>
          <w:tcPr>
            <w:tcW w:w="1377" w:type="dxa"/>
            <w:noWrap w:val="0"/>
            <w:vAlign w:val="center"/>
          </w:tcPr>
          <w:p w14:paraId="5BB8945B">
            <w:pPr>
              <w:pStyle w:val="43"/>
              <w:keepNext w:val="0"/>
              <w:keepLines w:val="0"/>
              <w:pageBreakBefore w:val="0"/>
              <w:widowControl w:val="0"/>
              <w:kinsoku/>
              <w:wordWrap/>
              <w:overflowPunct/>
              <w:topLinePunct w:val="0"/>
              <w:autoSpaceDE/>
              <w:autoSpaceDN/>
              <w:bidi w:val="0"/>
              <w:adjustRightInd w:val="0"/>
              <w:snapToGrid w:val="0"/>
              <w:spacing w:line="260" w:lineRule="exact"/>
              <w:textAlignment w:val="auto"/>
              <w:rPr>
                <w:rFonts w:hint="default" w:eastAsia="宋体"/>
                <w:color w:val="auto"/>
                <w:lang w:val="en-US" w:eastAsia="zh-CN"/>
              </w:rPr>
            </w:pPr>
            <w:r>
              <w:rPr>
                <w:rFonts w:hint="eastAsia"/>
                <w:color w:val="auto"/>
                <w:lang w:val="en-US" w:eastAsia="zh-CN"/>
              </w:rPr>
              <w:t>配电线路拟暗装敷设</w:t>
            </w:r>
          </w:p>
        </w:tc>
        <w:tc>
          <w:tcPr>
            <w:tcW w:w="860" w:type="dxa"/>
            <w:noWrap w:val="0"/>
            <w:vAlign w:val="center"/>
          </w:tcPr>
          <w:p w14:paraId="68084DDE">
            <w:pPr>
              <w:pStyle w:val="43"/>
              <w:keepNext w:val="0"/>
              <w:keepLines w:val="0"/>
              <w:pageBreakBefore w:val="0"/>
              <w:widowControl w:val="0"/>
              <w:kinsoku/>
              <w:wordWrap/>
              <w:overflowPunct/>
              <w:topLinePunct w:val="0"/>
              <w:autoSpaceDE/>
              <w:autoSpaceDN/>
              <w:bidi w:val="0"/>
              <w:adjustRightInd w:val="0"/>
              <w:snapToGrid w:val="0"/>
              <w:spacing w:line="260" w:lineRule="exact"/>
              <w:ind w:firstLine="0" w:firstLineChars="0"/>
              <w:textAlignment w:val="auto"/>
              <w:rPr>
                <w:rFonts w:hint="eastAsia"/>
                <w:color w:val="auto"/>
                <w:lang w:val="en-US" w:eastAsia="zh-CN"/>
              </w:rPr>
            </w:pPr>
            <w:r>
              <w:rPr>
                <w:rFonts w:hint="eastAsia"/>
                <w:color w:val="auto"/>
                <w:lang w:val="en-US" w:eastAsia="zh-CN"/>
              </w:rPr>
              <w:t>符合</w:t>
            </w:r>
          </w:p>
        </w:tc>
      </w:tr>
      <w:tr w14:paraId="7CCE84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37B04C96">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07C97B4E">
            <w:pPr>
              <w:pStyle w:val="43"/>
              <w:bidi w:val="0"/>
              <w:jc w:val="left"/>
              <w:rPr>
                <w:rFonts w:hint="eastAsia"/>
                <w:color w:val="auto"/>
                <w:lang w:val="en-US" w:eastAsia="zh-CN"/>
              </w:rPr>
            </w:pPr>
            <w:r>
              <w:rPr>
                <w:rFonts w:hint="eastAsia"/>
                <w:color w:val="auto"/>
                <w:lang w:val="en-US" w:eastAsia="zh-CN"/>
              </w:rPr>
              <w:t>消防配电线路应满足火灾时连续供电的要求，其暗装敷设应符合下列要求:</w:t>
            </w:r>
          </w:p>
          <w:p w14:paraId="0FB0F1A1">
            <w:pPr>
              <w:pStyle w:val="43"/>
              <w:bidi w:val="0"/>
              <w:jc w:val="left"/>
              <w:rPr>
                <w:rFonts w:hint="eastAsia"/>
                <w:color w:val="auto"/>
                <w:lang w:val="en-US" w:eastAsia="zh-CN"/>
              </w:rPr>
            </w:pPr>
            <w:r>
              <w:rPr>
                <w:rFonts w:hint="eastAsia"/>
                <w:color w:val="auto"/>
                <w:lang w:val="en-US" w:eastAsia="zh-CN"/>
              </w:rPr>
              <w:t>a）暗装敷设时，应穿管并应敷设在不燃烧体结构内且保护层厚度不应小于30m。明敷时(包括敷设在吊顶内)，应金属管或封闭式金属线槽，并应采取防火保护措施。</w:t>
            </w:r>
          </w:p>
          <w:p w14:paraId="57CA9934">
            <w:pPr>
              <w:pStyle w:val="43"/>
              <w:bidi w:val="0"/>
              <w:jc w:val="left"/>
              <w:rPr>
                <w:rFonts w:hint="eastAsia"/>
                <w:color w:val="auto"/>
                <w:lang w:val="en-US" w:eastAsia="zh-CN"/>
              </w:rPr>
            </w:pPr>
            <w:r>
              <w:rPr>
                <w:rFonts w:hint="eastAsia"/>
                <w:color w:val="auto"/>
                <w:lang w:val="en-US" w:eastAsia="zh-CN"/>
              </w:rPr>
              <w:t>b）当采用阻燃或耐火电缆时，敷设在电缆井，电缆沟内可不采取防火保护措施。</w:t>
            </w:r>
          </w:p>
          <w:p w14:paraId="00B6F0CD">
            <w:pPr>
              <w:pStyle w:val="43"/>
              <w:bidi w:val="0"/>
              <w:jc w:val="left"/>
              <w:rPr>
                <w:rFonts w:hint="eastAsia"/>
                <w:color w:val="auto"/>
                <w:lang w:val="en-US" w:eastAsia="zh-CN"/>
              </w:rPr>
            </w:pPr>
            <w:r>
              <w:rPr>
                <w:rFonts w:hint="eastAsia"/>
                <w:color w:val="auto"/>
                <w:lang w:val="en-US" w:eastAsia="zh-CN"/>
              </w:rPr>
              <w:t>c）当采用矿物质绝缘类不燃性电缆时，可直接明敷。</w:t>
            </w:r>
          </w:p>
        </w:tc>
        <w:tc>
          <w:tcPr>
            <w:tcW w:w="1807" w:type="dxa"/>
            <w:noWrap w:val="0"/>
            <w:vAlign w:val="center"/>
          </w:tcPr>
          <w:p w14:paraId="15D68DB7">
            <w:pPr>
              <w:pStyle w:val="43"/>
              <w:bidi w:val="0"/>
              <w:rPr>
                <w:rFonts w:hint="default"/>
                <w:color w:val="auto"/>
                <w:lang w:val="en-US" w:eastAsia="zh-CN"/>
              </w:rPr>
            </w:pPr>
            <w:r>
              <w:rPr>
                <w:rFonts w:hint="default"/>
                <w:color w:val="auto"/>
                <w:lang w:val="en-US" w:eastAsia="zh-CN"/>
              </w:rPr>
              <w:t>《高速公路服务区设计规范》DB36T698-2017</w:t>
            </w:r>
          </w:p>
          <w:p w14:paraId="562A2BBB">
            <w:pPr>
              <w:pStyle w:val="43"/>
              <w:bidi w:val="0"/>
              <w:ind w:firstLine="0" w:firstLineChars="0"/>
              <w:rPr>
                <w:rFonts w:hint="eastAsia"/>
                <w:color w:val="auto"/>
                <w:lang w:val="en-US" w:eastAsia="zh-CN"/>
              </w:rPr>
            </w:pPr>
            <w:r>
              <w:rPr>
                <w:rFonts w:hint="eastAsia"/>
                <w:color w:val="auto"/>
                <w:lang w:val="en-US" w:eastAsia="zh-CN"/>
              </w:rPr>
              <w:t>10.3.5</w:t>
            </w:r>
          </w:p>
        </w:tc>
        <w:tc>
          <w:tcPr>
            <w:tcW w:w="1377" w:type="dxa"/>
            <w:noWrap w:val="0"/>
            <w:vAlign w:val="center"/>
          </w:tcPr>
          <w:p w14:paraId="1DFB1AB6">
            <w:pPr>
              <w:pStyle w:val="43"/>
              <w:bidi w:val="0"/>
              <w:rPr>
                <w:rFonts w:hint="default" w:eastAsia="宋体"/>
                <w:color w:val="auto"/>
                <w:lang w:val="en-US" w:eastAsia="zh-CN"/>
              </w:rPr>
            </w:pPr>
            <w:r>
              <w:rPr>
                <w:rFonts w:hint="eastAsia"/>
                <w:color w:val="auto"/>
                <w:lang w:val="en-US" w:eastAsia="zh-CN"/>
              </w:rPr>
              <w:t>设计说明中未提及，将在对策措施中提出</w:t>
            </w:r>
          </w:p>
        </w:tc>
        <w:tc>
          <w:tcPr>
            <w:tcW w:w="860" w:type="dxa"/>
            <w:noWrap w:val="0"/>
            <w:vAlign w:val="center"/>
          </w:tcPr>
          <w:p w14:paraId="148AD685">
            <w:pPr>
              <w:pStyle w:val="43"/>
              <w:bidi w:val="0"/>
              <w:ind w:firstLine="0" w:firstLineChars="0"/>
              <w:rPr>
                <w:rFonts w:hint="eastAsia"/>
                <w:color w:val="auto"/>
                <w:lang w:val="en-US" w:eastAsia="zh-CN"/>
              </w:rPr>
            </w:pPr>
            <w:r>
              <w:rPr>
                <w:rFonts w:hint="eastAsia"/>
                <w:color w:val="auto"/>
                <w:lang w:val="en-US" w:eastAsia="zh-CN"/>
              </w:rPr>
              <w:t>-</w:t>
            </w:r>
          </w:p>
        </w:tc>
      </w:tr>
      <w:tr w14:paraId="7A4824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2D79F5A6">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0D4E60C1">
            <w:pPr>
              <w:pStyle w:val="43"/>
              <w:bidi w:val="0"/>
              <w:jc w:val="left"/>
              <w:rPr>
                <w:rFonts w:hint="eastAsia"/>
                <w:color w:val="auto"/>
                <w:lang w:val="en-US" w:eastAsia="zh-CN"/>
              </w:rPr>
            </w:pPr>
            <w:r>
              <w:rPr>
                <w:rFonts w:hint="eastAsia"/>
                <w:color w:val="auto"/>
                <w:lang w:val="en-US" w:eastAsia="zh-CN"/>
              </w:rPr>
              <w:t>照度标准应符合现行国家标准GB50034的规定。</w:t>
            </w:r>
          </w:p>
        </w:tc>
        <w:tc>
          <w:tcPr>
            <w:tcW w:w="1807" w:type="dxa"/>
            <w:noWrap w:val="0"/>
            <w:vAlign w:val="center"/>
          </w:tcPr>
          <w:p w14:paraId="6F7D4F0D">
            <w:pPr>
              <w:pStyle w:val="43"/>
              <w:bidi w:val="0"/>
              <w:rPr>
                <w:rFonts w:hint="default"/>
                <w:color w:val="auto"/>
                <w:lang w:val="en-US" w:eastAsia="zh-CN"/>
              </w:rPr>
            </w:pPr>
            <w:r>
              <w:rPr>
                <w:rFonts w:hint="default"/>
                <w:color w:val="auto"/>
                <w:lang w:val="en-US" w:eastAsia="zh-CN"/>
              </w:rPr>
              <w:t>《高速公路服务区设计规范》DB36T698-2017</w:t>
            </w:r>
          </w:p>
          <w:p w14:paraId="47D777DF">
            <w:pPr>
              <w:pStyle w:val="43"/>
              <w:bidi w:val="0"/>
              <w:ind w:firstLine="0" w:firstLineChars="0"/>
              <w:rPr>
                <w:rFonts w:hint="eastAsia"/>
                <w:color w:val="auto"/>
                <w:lang w:val="en-US" w:eastAsia="zh-CN"/>
              </w:rPr>
            </w:pPr>
            <w:r>
              <w:rPr>
                <w:rFonts w:hint="eastAsia"/>
                <w:color w:val="auto"/>
                <w:lang w:val="en-US" w:eastAsia="zh-CN"/>
              </w:rPr>
              <w:t>10.3.6</w:t>
            </w:r>
          </w:p>
        </w:tc>
        <w:tc>
          <w:tcPr>
            <w:tcW w:w="1377" w:type="dxa"/>
            <w:noWrap w:val="0"/>
            <w:vAlign w:val="center"/>
          </w:tcPr>
          <w:p w14:paraId="314E5785">
            <w:pPr>
              <w:pStyle w:val="43"/>
              <w:bidi w:val="0"/>
              <w:rPr>
                <w:rFonts w:hint="eastAsia"/>
                <w:color w:val="auto"/>
              </w:rPr>
            </w:pPr>
            <w:r>
              <w:rPr>
                <w:rFonts w:hint="eastAsia"/>
                <w:color w:val="auto"/>
                <w:lang w:val="en-US" w:eastAsia="zh-CN"/>
              </w:rPr>
              <w:t>设计说明中未提及，将在对策措施中提出</w:t>
            </w:r>
          </w:p>
        </w:tc>
        <w:tc>
          <w:tcPr>
            <w:tcW w:w="860" w:type="dxa"/>
            <w:noWrap w:val="0"/>
            <w:vAlign w:val="center"/>
          </w:tcPr>
          <w:p w14:paraId="616BCC32">
            <w:pPr>
              <w:pStyle w:val="43"/>
              <w:bidi w:val="0"/>
              <w:ind w:firstLine="0" w:firstLineChars="0"/>
              <w:rPr>
                <w:rFonts w:hint="eastAsia"/>
                <w:color w:val="auto"/>
                <w:lang w:val="en-US" w:eastAsia="zh-CN"/>
              </w:rPr>
            </w:pPr>
            <w:r>
              <w:rPr>
                <w:rFonts w:hint="eastAsia"/>
                <w:color w:val="auto"/>
                <w:lang w:val="en-US" w:eastAsia="zh-CN"/>
              </w:rPr>
              <w:t>-</w:t>
            </w:r>
          </w:p>
        </w:tc>
      </w:tr>
      <w:tr w14:paraId="7DEFDE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746EC486">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6CDDB306">
            <w:pPr>
              <w:pStyle w:val="43"/>
              <w:bidi w:val="0"/>
              <w:jc w:val="left"/>
              <w:rPr>
                <w:rFonts w:hint="eastAsia"/>
                <w:color w:val="auto"/>
                <w:lang w:val="en-US" w:eastAsia="zh-CN"/>
              </w:rPr>
            </w:pPr>
            <w:r>
              <w:rPr>
                <w:rFonts w:hint="eastAsia"/>
                <w:color w:val="auto"/>
                <w:lang w:val="en-US" w:eastAsia="zh-CN"/>
              </w:rPr>
              <w:t>综合主楼内宜设置智能照明控制系统，并应具有随室外自然光的变化自动控制或调节人工照明照度的功能。</w:t>
            </w:r>
          </w:p>
        </w:tc>
        <w:tc>
          <w:tcPr>
            <w:tcW w:w="1807" w:type="dxa"/>
            <w:noWrap w:val="0"/>
            <w:vAlign w:val="center"/>
          </w:tcPr>
          <w:p w14:paraId="7D24BFC0">
            <w:pPr>
              <w:pStyle w:val="43"/>
              <w:bidi w:val="0"/>
              <w:rPr>
                <w:rFonts w:hint="default"/>
                <w:color w:val="auto"/>
                <w:lang w:val="en-US" w:eastAsia="zh-CN"/>
              </w:rPr>
            </w:pPr>
            <w:r>
              <w:rPr>
                <w:rFonts w:hint="default"/>
                <w:color w:val="auto"/>
                <w:lang w:val="en-US" w:eastAsia="zh-CN"/>
              </w:rPr>
              <w:t>《高速公路服务区设计规范》DB36T698-2017</w:t>
            </w:r>
          </w:p>
          <w:p w14:paraId="450A04DD">
            <w:pPr>
              <w:pStyle w:val="43"/>
              <w:bidi w:val="0"/>
              <w:ind w:firstLine="0" w:firstLineChars="0"/>
              <w:rPr>
                <w:rFonts w:hint="eastAsia"/>
                <w:color w:val="auto"/>
                <w:lang w:val="en-US" w:eastAsia="zh-CN"/>
              </w:rPr>
            </w:pPr>
            <w:r>
              <w:rPr>
                <w:rFonts w:hint="eastAsia"/>
                <w:color w:val="auto"/>
                <w:lang w:val="en-US" w:eastAsia="zh-CN"/>
              </w:rPr>
              <w:t>10.3.7</w:t>
            </w:r>
          </w:p>
        </w:tc>
        <w:tc>
          <w:tcPr>
            <w:tcW w:w="1377" w:type="dxa"/>
            <w:noWrap w:val="0"/>
            <w:vAlign w:val="center"/>
          </w:tcPr>
          <w:p w14:paraId="31C29813">
            <w:pPr>
              <w:pStyle w:val="43"/>
              <w:bidi w:val="0"/>
              <w:rPr>
                <w:rFonts w:hint="eastAsia"/>
                <w:color w:val="auto"/>
              </w:rPr>
            </w:pPr>
            <w:r>
              <w:rPr>
                <w:rFonts w:hint="eastAsia"/>
                <w:color w:val="auto"/>
                <w:lang w:val="en-US" w:eastAsia="zh-CN"/>
              </w:rPr>
              <w:t>设计说明中未提及，将在对策措施中提出</w:t>
            </w:r>
          </w:p>
        </w:tc>
        <w:tc>
          <w:tcPr>
            <w:tcW w:w="860" w:type="dxa"/>
            <w:noWrap w:val="0"/>
            <w:vAlign w:val="center"/>
          </w:tcPr>
          <w:p w14:paraId="75ACF6F1">
            <w:pPr>
              <w:pStyle w:val="43"/>
              <w:bidi w:val="0"/>
              <w:ind w:firstLine="0" w:firstLineChars="0"/>
              <w:rPr>
                <w:rFonts w:hint="eastAsia"/>
                <w:color w:val="auto"/>
                <w:lang w:val="en-US" w:eastAsia="zh-CN"/>
              </w:rPr>
            </w:pPr>
            <w:r>
              <w:rPr>
                <w:rFonts w:hint="eastAsia"/>
                <w:color w:val="auto"/>
                <w:lang w:val="en-US" w:eastAsia="zh-CN"/>
              </w:rPr>
              <w:t>-</w:t>
            </w:r>
          </w:p>
        </w:tc>
      </w:tr>
      <w:tr w14:paraId="5283A0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5C279960">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4D454B44">
            <w:pPr>
              <w:pStyle w:val="43"/>
              <w:bidi w:val="0"/>
              <w:jc w:val="left"/>
              <w:rPr>
                <w:rFonts w:hint="eastAsia"/>
                <w:color w:val="auto"/>
                <w:lang w:val="en-US" w:eastAsia="zh-CN"/>
              </w:rPr>
            </w:pPr>
            <w:r>
              <w:rPr>
                <w:rFonts w:hint="eastAsia"/>
                <w:color w:val="auto"/>
                <w:lang w:val="en-US" w:eastAsia="zh-CN"/>
              </w:rPr>
              <w:t>照明光源应优先选择节能灯具，并符合下列要求:</w:t>
            </w:r>
          </w:p>
          <w:p w14:paraId="3BF3116E">
            <w:pPr>
              <w:pStyle w:val="43"/>
              <w:bidi w:val="0"/>
              <w:jc w:val="left"/>
              <w:rPr>
                <w:rFonts w:hint="eastAsia"/>
                <w:color w:val="auto"/>
                <w:lang w:val="en-US" w:eastAsia="zh-CN"/>
              </w:rPr>
            </w:pPr>
            <w:r>
              <w:rPr>
                <w:rFonts w:hint="eastAsia"/>
                <w:color w:val="auto"/>
                <w:lang w:val="en-US" w:eastAsia="zh-CN"/>
              </w:rPr>
              <w:t>a)室内照明宜采用直管型节能灯具和紧凑型节能灯具，灯具应无眩光;</w:t>
            </w:r>
          </w:p>
          <w:p w14:paraId="0AF8BD74">
            <w:pPr>
              <w:pStyle w:val="43"/>
              <w:bidi w:val="0"/>
              <w:jc w:val="left"/>
              <w:rPr>
                <w:rFonts w:hint="eastAsia"/>
                <w:color w:val="auto"/>
                <w:lang w:val="en-US" w:eastAsia="zh-CN"/>
              </w:rPr>
            </w:pPr>
            <w:r>
              <w:rPr>
                <w:rFonts w:hint="eastAsia"/>
                <w:color w:val="auto"/>
                <w:lang w:val="en-US" w:eastAsia="zh-CN"/>
              </w:rPr>
              <w:t>b)服务区的每侧广场的高杆灯宜不少于1座，高度不宜超过30m，宜使用LED光源；</w:t>
            </w:r>
          </w:p>
          <w:p w14:paraId="5743DEBE">
            <w:pPr>
              <w:pStyle w:val="43"/>
              <w:bidi w:val="0"/>
              <w:jc w:val="left"/>
              <w:rPr>
                <w:rFonts w:hint="eastAsia"/>
                <w:color w:val="auto"/>
                <w:lang w:val="en-US" w:eastAsia="zh-CN"/>
              </w:rPr>
            </w:pPr>
            <w:r>
              <w:rPr>
                <w:rFonts w:hint="eastAsia"/>
                <w:color w:val="auto"/>
                <w:lang w:val="en-US" w:eastAsia="zh-CN"/>
              </w:rPr>
              <w:t>c)进出口匝道两边宜设置LED光源或独立太阳能的中杆灯，高度不宜超过8m;</w:t>
            </w:r>
          </w:p>
          <w:p w14:paraId="0C39C7B8">
            <w:pPr>
              <w:pStyle w:val="43"/>
              <w:bidi w:val="0"/>
              <w:jc w:val="left"/>
              <w:rPr>
                <w:rFonts w:hint="eastAsia"/>
                <w:color w:val="auto"/>
                <w:lang w:val="en-US" w:eastAsia="zh-CN"/>
              </w:rPr>
            </w:pPr>
            <w:r>
              <w:rPr>
                <w:rFonts w:hint="eastAsia"/>
                <w:color w:val="auto"/>
                <w:lang w:val="en-US" w:eastAsia="zh-CN"/>
              </w:rPr>
              <w:t>d)综合楼宜设置外轮廓灯带，采用节能灯。</w:t>
            </w:r>
          </w:p>
        </w:tc>
        <w:tc>
          <w:tcPr>
            <w:tcW w:w="1807" w:type="dxa"/>
            <w:noWrap w:val="0"/>
            <w:vAlign w:val="center"/>
          </w:tcPr>
          <w:p w14:paraId="38013A26">
            <w:pPr>
              <w:pStyle w:val="43"/>
              <w:bidi w:val="0"/>
              <w:rPr>
                <w:rFonts w:hint="default"/>
                <w:color w:val="auto"/>
                <w:lang w:val="en-US" w:eastAsia="zh-CN"/>
              </w:rPr>
            </w:pPr>
            <w:r>
              <w:rPr>
                <w:rFonts w:hint="default"/>
                <w:color w:val="auto"/>
                <w:lang w:val="en-US" w:eastAsia="zh-CN"/>
              </w:rPr>
              <w:t>《高速公路服务区设计规范》DB36T698-2017</w:t>
            </w:r>
          </w:p>
          <w:p w14:paraId="396C2D77">
            <w:pPr>
              <w:pStyle w:val="43"/>
              <w:bidi w:val="0"/>
              <w:ind w:firstLine="0" w:firstLineChars="0"/>
              <w:rPr>
                <w:rFonts w:hint="eastAsia"/>
                <w:color w:val="auto"/>
                <w:lang w:val="en-US" w:eastAsia="zh-CN"/>
              </w:rPr>
            </w:pPr>
            <w:r>
              <w:rPr>
                <w:rFonts w:hint="eastAsia"/>
                <w:color w:val="auto"/>
                <w:lang w:val="en-US" w:eastAsia="zh-CN"/>
              </w:rPr>
              <w:t>10.3.8</w:t>
            </w:r>
          </w:p>
        </w:tc>
        <w:tc>
          <w:tcPr>
            <w:tcW w:w="1377" w:type="dxa"/>
            <w:shd w:val="clear" w:color="auto" w:fill="auto"/>
            <w:noWrap w:val="0"/>
            <w:vAlign w:val="center"/>
          </w:tcPr>
          <w:p w14:paraId="6D165E2E">
            <w:pPr>
              <w:pStyle w:val="43"/>
              <w:bidi w:val="0"/>
              <w:ind w:firstLine="0" w:firstLineChars="0"/>
              <w:rPr>
                <w:rFonts w:hint="default" w:ascii="Times New Roman" w:hAnsi="Times New Roman" w:eastAsia="宋体" w:cs="Times New Roman"/>
                <w:color w:val="auto"/>
                <w:kern w:val="18"/>
                <w:sz w:val="21"/>
                <w:szCs w:val="21"/>
                <w:lang w:val="en-US" w:eastAsia="zh-CN" w:bidi="ar-SA"/>
              </w:rPr>
            </w:pPr>
            <w:r>
              <w:rPr>
                <w:rFonts w:hint="eastAsia"/>
                <w:color w:val="auto"/>
                <w:lang w:val="en-US" w:eastAsia="zh-CN"/>
              </w:rPr>
              <w:t>设计说明中未提及，将在对策措施中提出</w:t>
            </w:r>
          </w:p>
        </w:tc>
        <w:tc>
          <w:tcPr>
            <w:tcW w:w="860" w:type="dxa"/>
            <w:shd w:val="clear" w:color="auto" w:fill="auto"/>
            <w:noWrap w:val="0"/>
            <w:vAlign w:val="center"/>
          </w:tcPr>
          <w:p w14:paraId="2911FC52">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w:t>
            </w:r>
          </w:p>
        </w:tc>
      </w:tr>
      <w:tr w14:paraId="3D4A58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0E664FB5">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259B96A5">
            <w:pPr>
              <w:pStyle w:val="43"/>
              <w:bidi w:val="0"/>
              <w:jc w:val="left"/>
              <w:rPr>
                <w:rFonts w:hint="eastAsia"/>
                <w:color w:val="auto"/>
                <w:lang w:val="en-US" w:eastAsia="zh-CN"/>
              </w:rPr>
            </w:pPr>
            <w:r>
              <w:rPr>
                <w:rFonts w:hint="eastAsia"/>
                <w:color w:val="auto"/>
                <w:lang w:val="en-US" w:eastAsia="zh-CN"/>
              </w:rPr>
              <w:t>综合楼内的疏散走道、楼梯间应设置消防应急照明灯具，疏散门正上方应设置灯光疏散指示标志，均应符合GB13495的有关规定，并符合下列要求:</w:t>
            </w:r>
          </w:p>
          <w:p w14:paraId="3980A003">
            <w:pPr>
              <w:pStyle w:val="43"/>
              <w:bidi w:val="0"/>
              <w:jc w:val="left"/>
              <w:rPr>
                <w:rFonts w:hint="eastAsia"/>
                <w:color w:val="auto"/>
                <w:lang w:val="en-US" w:eastAsia="zh-CN"/>
              </w:rPr>
            </w:pPr>
            <w:r>
              <w:rPr>
                <w:rFonts w:hint="eastAsia"/>
                <w:color w:val="auto"/>
                <w:lang w:val="en-US" w:eastAsia="zh-CN"/>
              </w:rPr>
              <w:t>a)安全出口和疏散门的正上方应设置“安全出口”指示标志:</w:t>
            </w:r>
          </w:p>
          <w:p w14:paraId="39396B4A">
            <w:pPr>
              <w:pStyle w:val="43"/>
              <w:bidi w:val="0"/>
              <w:jc w:val="left"/>
              <w:rPr>
                <w:rFonts w:hint="eastAsia"/>
                <w:color w:val="auto"/>
                <w:lang w:val="en-US" w:eastAsia="zh-CN"/>
              </w:rPr>
            </w:pPr>
            <w:r>
              <w:rPr>
                <w:rFonts w:hint="eastAsia"/>
                <w:color w:val="auto"/>
                <w:lang w:val="en-US" w:eastAsia="zh-CN"/>
              </w:rPr>
              <w:t>b)疏散走道灯光疏散指示标志，应设置在转角处、距地面高度1.0m以下的墙面上，灯光疏散指示标志间距不应大于 20m:对于袋形走道，不应大于10m:在转角区，不应大于1.0m;</w:t>
            </w:r>
          </w:p>
          <w:p w14:paraId="1D763280">
            <w:pPr>
              <w:pStyle w:val="43"/>
              <w:bidi w:val="0"/>
              <w:jc w:val="left"/>
              <w:rPr>
                <w:rFonts w:hint="eastAsia"/>
                <w:color w:val="auto"/>
                <w:lang w:val="en-US" w:eastAsia="zh-CN"/>
              </w:rPr>
            </w:pPr>
            <w:r>
              <w:rPr>
                <w:rFonts w:hint="eastAsia"/>
                <w:color w:val="auto"/>
                <w:lang w:val="en-US" w:eastAsia="zh-CN"/>
              </w:rPr>
              <w:t>c)消防应急照明灯具和灯光疏散指示标志的备用电源的连续供电时间不应少于30min。</w:t>
            </w:r>
          </w:p>
        </w:tc>
        <w:tc>
          <w:tcPr>
            <w:tcW w:w="1807" w:type="dxa"/>
            <w:noWrap w:val="0"/>
            <w:vAlign w:val="center"/>
          </w:tcPr>
          <w:p w14:paraId="46365551">
            <w:pPr>
              <w:pStyle w:val="43"/>
              <w:bidi w:val="0"/>
              <w:rPr>
                <w:rFonts w:hint="default"/>
                <w:color w:val="auto"/>
                <w:lang w:val="en-US" w:eastAsia="zh-CN"/>
              </w:rPr>
            </w:pPr>
            <w:r>
              <w:rPr>
                <w:rFonts w:hint="default"/>
                <w:color w:val="auto"/>
                <w:lang w:val="en-US" w:eastAsia="zh-CN"/>
              </w:rPr>
              <w:t>《高速公路服务区设计规范》DB36T698-2017</w:t>
            </w:r>
          </w:p>
          <w:p w14:paraId="722760B5">
            <w:pPr>
              <w:pStyle w:val="43"/>
              <w:bidi w:val="0"/>
              <w:ind w:firstLine="0" w:firstLineChars="0"/>
              <w:rPr>
                <w:rFonts w:hint="eastAsia"/>
                <w:color w:val="auto"/>
                <w:lang w:val="en-US" w:eastAsia="zh-CN"/>
              </w:rPr>
            </w:pPr>
            <w:r>
              <w:rPr>
                <w:rFonts w:hint="eastAsia"/>
                <w:color w:val="auto"/>
                <w:lang w:val="en-US" w:eastAsia="zh-CN"/>
              </w:rPr>
              <w:t>10.3.9</w:t>
            </w:r>
          </w:p>
        </w:tc>
        <w:tc>
          <w:tcPr>
            <w:tcW w:w="1377" w:type="dxa"/>
            <w:noWrap w:val="0"/>
            <w:vAlign w:val="center"/>
          </w:tcPr>
          <w:p w14:paraId="7CAD90D5">
            <w:pPr>
              <w:pStyle w:val="43"/>
              <w:bidi w:val="0"/>
              <w:rPr>
                <w:rFonts w:hint="default" w:eastAsia="宋体"/>
                <w:color w:val="auto"/>
                <w:lang w:val="en-US" w:eastAsia="zh-CN"/>
              </w:rPr>
            </w:pPr>
            <w:r>
              <w:rPr>
                <w:rFonts w:hint="eastAsia"/>
                <w:color w:val="auto"/>
                <w:lang w:val="en-US" w:eastAsia="zh-CN"/>
              </w:rPr>
              <w:t>设计说明中未提及，将在对策措施中提出</w:t>
            </w:r>
          </w:p>
        </w:tc>
        <w:tc>
          <w:tcPr>
            <w:tcW w:w="860" w:type="dxa"/>
            <w:noWrap w:val="0"/>
            <w:vAlign w:val="center"/>
          </w:tcPr>
          <w:p w14:paraId="632C4440">
            <w:pPr>
              <w:pStyle w:val="43"/>
              <w:bidi w:val="0"/>
              <w:ind w:firstLine="0" w:firstLineChars="0"/>
              <w:rPr>
                <w:rFonts w:hint="eastAsia"/>
                <w:color w:val="auto"/>
                <w:lang w:val="en-US" w:eastAsia="zh-CN"/>
              </w:rPr>
            </w:pPr>
            <w:r>
              <w:rPr>
                <w:rFonts w:hint="eastAsia"/>
                <w:color w:val="auto"/>
                <w:lang w:val="en-US" w:eastAsia="zh-CN"/>
              </w:rPr>
              <w:t>-</w:t>
            </w:r>
          </w:p>
        </w:tc>
      </w:tr>
      <w:tr w14:paraId="5F223F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24CC0774">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51CDD474">
            <w:pPr>
              <w:pStyle w:val="43"/>
              <w:bidi w:val="0"/>
              <w:jc w:val="left"/>
              <w:rPr>
                <w:rFonts w:hint="eastAsia"/>
                <w:color w:val="auto"/>
                <w:lang w:val="en-US" w:eastAsia="zh-CN"/>
              </w:rPr>
            </w:pPr>
            <w:r>
              <w:rPr>
                <w:rFonts w:hint="eastAsia"/>
                <w:color w:val="auto"/>
                <w:lang w:val="en-US" w:eastAsia="zh-CN"/>
              </w:rPr>
              <w:t>汽修站、加油站、宿舍楼以及综合楼的厨房、门厅、餐厅、超市、客房、办公室、会议室等用电应按使用功能要求，从配电柜或配电箱分开回路引出。经营区域应设置用电分系统，设备应环保节能。</w:t>
            </w:r>
          </w:p>
        </w:tc>
        <w:tc>
          <w:tcPr>
            <w:tcW w:w="1807" w:type="dxa"/>
            <w:noWrap w:val="0"/>
            <w:vAlign w:val="center"/>
          </w:tcPr>
          <w:p w14:paraId="3E999074">
            <w:pPr>
              <w:pStyle w:val="43"/>
              <w:bidi w:val="0"/>
              <w:rPr>
                <w:rFonts w:hint="default"/>
                <w:color w:val="auto"/>
                <w:lang w:val="en-US" w:eastAsia="zh-CN"/>
              </w:rPr>
            </w:pPr>
            <w:r>
              <w:rPr>
                <w:rFonts w:hint="default"/>
                <w:color w:val="auto"/>
                <w:lang w:val="en-US" w:eastAsia="zh-CN"/>
              </w:rPr>
              <w:t>《高速公路服务区设计规范》DB36T698-2017</w:t>
            </w:r>
          </w:p>
          <w:p w14:paraId="52646695">
            <w:pPr>
              <w:pStyle w:val="43"/>
              <w:bidi w:val="0"/>
              <w:ind w:firstLine="0" w:firstLineChars="0"/>
              <w:rPr>
                <w:rFonts w:hint="default"/>
                <w:color w:val="auto"/>
                <w:lang w:val="en-US" w:eastAsia="zh-CN"/>
              </w:rPr>
            </w:pPr>
            <w:r>
              <w:rPr>
                <w:rFonts w:hint="eastAsia"/>
                <w:color w:val="auto"/>
                <w:lang w:val="en-US" w:eastAsia="zh-CN"/>
              </w:rPr>
              <w:t>10.3.10</w:t>
            </w:r>
          </w:p>
        </w:tc>
        <w:tc>
          <w:tcPr>
            <w:tcW w:w="1377" w:type="dxa"/>
            <w:noWrap w:val="0"/>
            <w:vAlign w:val="center"/>
          </w:tcPr>
          <w:p w14:paraId="5ECF07AC">
            <w:pPr>
              <w:pStyle w:val="43"/>
              <w:bidi w:val="0"/>
              <w:rPr>
                <w:rFonts w:hint="default" w:eastAsia="宋体"/>
                <w:color w:val="auto"/>
                <w:lang w:val="en-US" w:eastAsia="zh-CN"/>
              </w:rPr>
            </w:pPr>
            <w:r>
              <w:rPr>
                <w:rFonts w:hint="eastAsia"/>
                <w:color w:val="auto"/>
                <w:lang w:val="en-US" w:eastAsia="zh-CN"/>
              </w:rPr>
              <w:t>拟按要求设置用电系统</w:t>
            </w:r>
          </w:p>
        </w:tc>
        <w:tc>
          <w:tcPr>
            <w:tcW w:w="860" w:type="dxa"/>
            <w:noWrap w:val="0"/>
            <w:vAlign w:val="center"/>
          </w:tcPr>
          <w:p w14:paraId="683F4C53">
            <w:pPr>
              <w:pStyle w:val="43"/>
              <w:bidi w:val="0"/>
              <w:ind w:firstLine="0" w:firstLineChars="0"/>
              <w:rPr>
                <w:rFonts w:hint="eastAsia"/>
                <w:color w:val="auto"/>
                <w:lang w:val="en-US" w:eastAsia="zh-CN"/>
              </w:rPr>
            </w:pPr>
            <w:r>
              <w:rPr>
                <w:rFonts w:hint="eastAsia"/>
                <w:color w:val="auto"/>
                <w:lang w:val="en-US" w:eastAsia="zh-CN"/>
              </w:rPr>
              <w:t>符合</w:t>
            </w:r>
          </w:p>
        </w:tc>
      </w:tr>
      <w:tr w14:paraId="64621E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07D56C0F">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55CC9DAF">
            <w:pPr>
              <w:pStyle w:val="43"/>
              <w:bidi w:val="0"/>
              <w:jc w:val="left"/>
              <w:rPr>
                <w:rFonts w:hint="eastAsia"/>
                <w:color w:val="auto"/>
                <w:lang w:val="en-US" w:eastAsia="zh-CN"/>
              </w:rPr>
            </w:pPr>
            <w:r>
              <w:rPr>
                <w:rFonts w:hint="eastAsia"/>
                <w:color w:val="auto"/>
                <w:lang w:val="en-US" w:eastAsia="zh-CN"/>
              </w:rPr>
              <w:t xml:space="preserve"> 24小时开水房应设置三相电源插座</w:t>
            </w:r>
          </w:p>
        </w:tc>
        <w:tc>
          <w:tcPr>
            <w:tcW w:w="1807" w:type="dxa"/>
            <w:noWrap w:val="0"/>
            <w:vAlign w:val="center"/>
          </w:tcPr>
          <w:p w14:paraId="3DE50998">
            <w:pPr>
              <w:pStyle w:val="43"/>
              <w:bidi w:val="0"/>
              <w:rPr>
                <w:rFonts w:hint="default"/>
                <w:color w:val="auto"/>
                <w:lang w:val="en-US" w:eastAsia="zh-CN"/>
              </w:rPr>
            </w:pPr>
            <w:r>
              <w:rPr>
                <w:rFonts w:hint="default"/>
                <w:color w:val="auto"/>
                <w:lang w:val="en-US" w:eastAsia="zh-CN"/>
              </w:rPr>
              <w:t>《高速公路服务区设计规范》DB36T698-2017</w:t>
            </w:r>
          </w:p>
          <w:p w14:paraId="63E07E0D">
            <w:pPr>
              <w:pStyle w:val="43"/>
              <w:bidi w:val="0"/>
              <w:ind w:firstLine="0" w:firstLineChars="0"/>
              <w:rPr>
                <w:rFonts w:hint="default"/>
                <w:color w:val="auto"/>
                <w:lang w:val="en-US" w:eastAsia="zh-CN"/>
              </w:rPr>
            </w:pPr>
            <w:r>
              <w:rPr>
                <w:rFonts w:hint="eastAsia"/>
                <w:color w:val="auto"/>
                <w:lang w:val="en-US" w:eastAsia="zh-CN"/>
              </w:rPr>
              <w:t>10.3.11</w:t>
            </w:r>
          </w:p>
        </w:tc>
        <w:tc>
          <w:tcPr>
            <w:tcW w:w="1377" w:type="dxa"/>
            <w:shd w:val="clear" w:color="auto" w:fill="auto"/>
            <w:noWrap w:val="0"/>
            <w:vAlign w:val="center"/>
          </w:tcPr>
          <w:p w14:paraId="72979ED8">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设计说明中未提及，将在对策措施中提出</w:t>
            </w:r>
          </w:p>
        </w:tc>
        <w:tc>
          <w:tcPr>
            <w:tcW w:w="860" w:type="dxa"/>
            <w:shd w:val="clear" w:color="auto" w:fill="auto"/>
            <w:noWrap w:val="0"/>
            <w:vAlign w:val="center"/>
          </w:tcPr>
          <w:p w14:paraId="0CF53D83">
            <w:pPr>
              <w:pStyle w:val="43"/>
              <w:bidi w:val="0"/>
              <w:ind w:firstLine="0" w:firstLineChars="0"/>
              <w:rPr>
                <w:rFonts w:hint="eastAsia" w:ascii="Times New Roman" w:hAnsi="Times New Roman" w:eastAsia="宋体" w:cs="Times New Roman"/>
                <w:color w:val="auto"/>
                <w:kern w:val="18"/>
                <w:sz w:val="21"/>
                <w:szCs w:val="21"/>
                <w:lang w:val="en-US" w:eastAsia="zh-CN" w:bidi="ar-SA"/>
              </w:rPr>
            </w:pPr>
            <w:r>
              <w:rPr>
                <w:rFonts w:hint="eastAsia"/>
                <w:color w:val="auto"/>
                <w:lang w:val="en-US" w:eastAsia="zh-CN"/>
              </w:rPr>
              <w:t>-</w:t>
            </w:r>
          </w:p>
        </w:tc>
      </w:tr>
      <w:tr w14:paraId="71C9F8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42B16B07">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3C04ED3E">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监控系统应符合下列要求:</w:t>
            </w:r>
          </w:p>
          <w:p w14:paraId="131CBF42">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a)在服务区入口匝道处设置摄像头，对驶进服务区车辆进行监控。</w:t>
            </w:r>
          </w:p>
          <w:p w14:paraId="1F0BE9A9">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b)在服务区广场设置摄像头，对服务区停放车辆进行监控，根据选用摄像头的监控距离调整安装位置，保证无盲区。</w:t>
            </w:r>
          </w:p>
          <w:p w14:paraId="0800B41A">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c）在服务区出口匝道处设置摄像头，对驶出服务区车辆进行监控。</w:t>
            </w:r>
          </w:p>
          <w:p w14:paraId="7B6B628E">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d）在综合楼、公共厕所进出口处设置摄像头，对进出人员进行监控。</w:t>
            </w:r>
          </w:p>
          <w:p w14:paraId="14FAD9C8">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e）在客房楼梯口、走廊设置摄像头，对进出人员进行监控。</w:t>
            </w:r>
          </w:p>
          <w:p w14:paraId="53C6EC67">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f)服务区重要位置的摄像头宜具备红外及夜视功能。</w:t>
            </w:r>
          </w:p>
          <w:p w14:paraId="01704245">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p>
        </w:tc>
        <w:tc>
          <w:tcPr>
            <w:tcW w:w="1807" w:type="dxa"/>
            <w:noWrap w:val="0"/>
            <w:vAlign w:val="center"/>
          </w:tcPr>
          <w:p w14:paraId="3D25ADF8">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4E594B0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10.3.12</w:t>
            </w:r>
          </w:p>
        </w:tc>
        <w:tc>
          <w:tcPr>
            <w:tcW w:w="1377" w:type="dxa"/>
            <w:noWrap w:val="0"/>
            <w:vAlign w:val="center"/>
          </w:tcPr>
          <w:p w14:paraId="6C7ED3A1">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eastAsia="宋体"/>
                <w:color w:val="auto"/>
                <w:lang w:val="en-US" w:eastAsia="zh-CN"/>
              </w:rPr>
            </w:pPr>
            <w:r>
              <w:rPr>
                <w:rFonts w:hint="eastAsia"/>
                <w:color w:val="auto"/>
                <w:lang w:val="en-US" w:eastAsia="zh-CN"/>
              </w:rPr>
              <w:t>设计说明中未提及，将在对策措施中提出</w:t>
            </w:r>
          </w:p>
        </w:tc>
        <w:tc>
          <w:tcPr>
            <w:tcW w:w="860" w:type="dxa"/>
            <w:noWrap w:val="0"/>
            <w:vAlign w:val="center"/>
          </w:tcPr>
          <w:p w14:paraId="2380751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color w:val="auto"/>
                <w:lang w:val="en-US" w:eastAsia="zh-CN"/>
              </w:rPr>
            </w:pPr>
            <w:r>
              <w:rPr>
                <w:rFonts w:hint="eastAsia"/>
                <w:color w:val="auto"/>
                <w:lang w:val="en-US" w:eastAsia="zh-CN"/>
              </w:rPr>
              <w:t>-</w:t>
            </w:r>
          </w:p>
        </w:tc>
      </w:tr>
      <w:tr w14:paraId="5C9CDC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0536F057">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75435C46">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匝道进出口宜设置同步声光信号装置。</w:t>
            </w:r>
          </w:p>
        </w:tc>
        <w:tc>
          <w:tcPr>
            <w:tcW w:w="1807" w:type="dxa"/>
            <w:noWrap w:val="0"/>
            <w:vAlign w:val="center"/>
          </w:tcPr>
          <w:p w14:paraId="61251CB7">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710E5696">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10.3.13</w:t>
            </w:r>
          </w:p>
        </w:tc>
        <w:tc>
          <w:tcPr>
            <w:tcW w:w="1377" w:type="dxa"/>
            <w:noWrap w:val="0"/>
            <w:vAlign w:val="center"/>
          </w:tcPr>
          <w:p w14:paraId="34AE2957">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color w:val="auto"/>
              </w:rPr>
            </w:pPr>
            <w:r>
              <w:rPr>
                <w:rFonts w:hint="eastAsia"/>
                <w:color w:val="auto"/>
                <w:lang w:val="en-US" w:eastAsia="zh-CN"/>
              </w:rPr>
              <w:t>设计说明中未提及，将在对策措施中提出</w:t>
            </w:r>
          </w:p>
        </w:tc>
        <w:tc>
          <w:tcPr>
            <w:tcW w:w="860" w:type="dxa"/>
            <w:noWrap w:val="0"/>
            <w:vAlign w:val="center"/>
          </w:tcPr>
          <w:p w14:paraId="30CB569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color w:val="auto"/>
                <w:lang w:val="en-US" w:eastAsia="zh-CN"/>
              </w:rPr>
            </w:pPr>
            <w:r>
              <w:rPr>
                <w:rFonts w:hint="eastAsia"/>
                <w:color w:val="auto"/>
                <w:lang w:val="en-US" w:eastAsia="zh-CN"/>
              </w:rPr>
              <w:t>-</w:t>
            </w:r>
          </w:p>
        </w:tc>
      </w:tr>
      <w:tr w14:paraId="4D5903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4963ED97">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5E1A6634">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防雷与接地设计应符合GB50057和GB50343的规定，并应符合下列要求:</w:t>
            </w:r>
          </w:p>
          <w:p w14:paraId="3842A053">
            <w:pPr>
              <w:pStyle w:val="43"/>
              <w:keepNext w:val="0"/>
              <w:keepLines w:val="0"/>
              <w:pageBreakBefore w:val="0"/>
              <w:widowControl w:val="0"/>
              <w:numPr>
                <w:ilvl w:val="0"/>
                <w:numId w:val="9"/>
              </w:numPr>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监控室配电箱进线处设置浪涌保护器以防电磁脉冲侵入;</w:t>
            </w:r>
          </w:p>
          <w:p w14:paraId="67E4BD97">
            <w:pPr>
              <w:pStyle w:val="43"/>
              <w:keepNext w:val="0"/>
              <w:keepLines w:val="0"/>
              <w:pageBreakBefore w:val="0"/>
              <w:widowControl w:val="0"/>
              <w:numPr>
                <w:ilvl w:val="0"/>
                <w:numId w:val="9"/>
              </w:numPr>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监控室静电地板要求与整栋建筑的防雷接地系统联通，且搭接处不小于4点；</w:t>
            </w:r>
          </w:p>
          <w:p w14:paraId="6C83A256">
            <w:pPr>
              <w:pStyle w:val="43"/>
              <w:keepNext w:val="0"/>
              <w:keepLines w:val="0"/>
              <w:pageBreakBefore w:val="0"/>
              <w:widowControl w:val="0"/>
              <w:numPr>
                <w:ilvl w:val="0"/>
                <w:numId w:val="9"/>
              </w:numPr>
              <w:kinsoku/>
              <w:wordWrap/>
              <w:overflowPunct/>
              <w:topLinePunct w:val="0"/>
              <w:autoSpaceDE/>
              <w:autoSpaceDN/>
              <w:bidi w:val="0"/>
              <w:adjustRightInd w:val="0"/>
              <w:snapToGrid w:val="0"/>
              <w:spacing w:line="300" w:lineRule="exact"/>
              <w:jc w:val="left"/>
              <w:textAlignment w:val="auto"/>
              <w:rPr>
                <w:rFonts w:hint="eastAsia"/>
                <w:color w:val="auto"/>
                <w:spacing w:val="-6"/>
                <w:sz w:val="21"/>
                <w:lang w:val="en-US" w:eastAsia="zh-CN"/>
              </w:rPr>
            </w:pPr>
            <w:r>
              <w:rPr>
                <w:rFonts w:hint="eastAsia"/>
                <w:color w:val="auto"/>
                <w:spacing w:val="-6"/>
                <w:sz w:val="21"/>
                <w:lang w:val="en-US" w:eastAsia="zh-CN"/>
              </w:rPr>
              <w:t>接地电阻实测达不到1欧姆的建筑物应与其他建筑物可靠联通，确保联合接地体接地电阻小于1欧姆；</w:t>
            </w:r>
          </w:p>
          <w:p w14:paraId="23AECE25">
            <w:pPr>
              <w:pStyle w:val="43"/>
              <w:keepNext w:val="0"/>
              <w:keepLines w:val="0"/>
              <w:pageBreakBefore w:val="0"/>
              <w:widowControl w:val="0"/>
              <w:numPr>
                <w:ilvl w:val="0"/>
                <w:numId w:val="9"/>
              </w:numPr>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充电桩的接地系统应采用 TN-S。</w:t>
            </w:r>
          </w:p>
          <w:p w14:paraId="5691782F">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p>
        </w:tc>
        <w:tc>
          <w:tcPr>
            <w:tcW w:w="1807" w:type="dxa"/>
            <w:noWrap w:val="0"/>
            <w:vAlign w:val="center"/>
          </w:tcPr>
          <w:p w14:paraId="244AB0F4">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27C36E0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10.3.14</w:t>
            </w:r>
          </w:p>
        </w:tc>
        <w:tc>
          <w:tcPr>
            <w:tcW w:w="1377" w:type="dxa"/>
            <w:noWrap w:val="0"/>
            <w:vAlign w:val="center"/>
          </w:tcPr>
          <w:p w14:paraId="3C4C4570">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rPr>
            </w:pPr>
            <w:r>
              <w:rPr>
                <w:rFonts w:hint="eastAsia"/>
                <w:color w:val="auto"/>
                <w:lang w:val="en-US" w:eastAsia="zh-CN"/>
              </w:rPr>
              <w:t>防雷与接地按规定设置</w:t>
            </w:r>
          </w:p>
        </w:tc>
        <w:tc>
          <w:tcPr>
            <w:tcW w:w="860" w:type="dxa"/>
            <w:noWrap w:val="0"/>
            <w:vAlign w:val="center"/>
          </w:tcPr>
          <w:p w14:paraId="0602A6E8">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color w:val="auto"/>
                <w:lang w:val="en-US" w:eastAsia="zh-CN"/>
              </w:rPr>
            </w:pPr>
            <w:r>
              <w:rPr>
                <w:rFonts w:hint="eastAsia"/>
                <w:color w:val="auto"/>
                <w:lang w:val="en-US" w:eastAsia="zh-CN"/>
              </w:rPr>
              <w:t>符合</w:t>
            </w:r>
          </w:p>
        </w:tc>
      </w:tr>
      <w:tr w14:paraId="175431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065676EF">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65C94C14">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电气设计宜包括:高低压配电系统、室内外照明系统、防雷接地系统、网络电视，综合布线系统、监控系统、智能化系统、不间断电源系统、汽车充电系统。</w:t>
            </w:r>
          </w:p>
        </w:tc>
        <w:tc>
          <w:tcPr>
            <w:tcW w:w="1807" w:type="dxa"/>
            <w:noWrap w:val="0"/>
            <w:vAlign w:val="center"/>
          </w:tcPr>
          <w:p w14:paraId="49215317">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2113F3D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10.3.15</w:t>
            </w:r>
          </w:p>
        </w:tc>
        <w:tc>
          <w:tcPr>
            <w:tcW w:w="1377" w:type="dxa"/>
            <w:noWrap w:val="0"/>
            <w:vAlign w:val="center"/>
          </w:tcPr>
          <w:p w14:paraId="10F8DFA0">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eastAsia="宋体"/>
                <w:color w:val="auto"/>
                <w:lang w:val="en-US" w:eastAsia="zh-CN"/>
              </w:rPr>
            </w:pPr>
            <w:r>
              <w:rPr>
                <w:rFonts w:hint="eastAsia"/>
                <w:color w:val="auto"/>
                <w:lang w:val="en-US" w:eastAsia="zh-CN"/>
              </w:rPr>
              <w:t>电气系统按要求设计</w:t>
            </w:r>
          </w:p>
        </w:tc>
        <w:tc>
          <w:tcPr>
            <w:tcW w:w="860" w:type="dxa"/>
            <w:noWrap w:val="0"/>
            <w:vAlign w:val="center"/>
          </w:tcPr>
          <w:p w14:paraId="119531D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color w:val="auto"/>
                <w:lang w:val="en-US" w:eastAsia="zh-CN"/>
              </w:rPr>
            </w:pPr>
            <w:r>
              <w:rPr>
                <w:rFonts w:hint="eastAsia"/>
                <w:color w:val="auto"/>
                <w:lang w:val="en-US" w:eastAsia="zh-CN"/>
              </w:rPr>
              <w:t>符合</w:t>
            </w:r>
          </w:p>
        </w:tc>
      </w:tr>
      <w:tr w14:paraId="06D854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15623D94">
            <w:pPr>
              <w:pStyle w:val="43"/>
              <w:numPr>
                <w:ilvl w:val="0"/>
                <w:numId w:val="8"/>
              </w:numPr>
              <w:bidi w:val="0"/>
              <w:ind w:left="0" w:leftChars="0" w:firstLine="0" w:firstLineChars="0"/>
              <w:rPr>
                <w:rFonts w:hint="eastAsia"/>
                <w:color w:val="auto"/>
                <w:lang w:val="en-US" w:eastAsia="zh-CN"/>
              </w:rPr>
            </w:pPr>
          </w:p>
        </w:tc>
        <w:tc>
          <w:tcPr>
            <w:tcW w:w="4685" w:type="dxa"/>
            <w:noWrap w:val="0"/>
            <w:vAlign w:val="center"/>
          </w:tcPr>
          <w:p w14:paraId="665D9A5E">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综合楼宜设置建筑设备能源管理系统，并宜具有对主要设备进行能耗监测，统计，分析和管理的功能。</w:t>
            </w:r>
          </w:p>
        </w:tc>
        <w:tc>
          <w:tcPr>
            <w:tcW w:w="1807" w:type="dxa"/>
            <w:noWrap w:val="0"/>
            <w:vAlign w:val="center"/>
          </w:tcPr>
          <w:p w14:paraId="21A25BCC">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66B8F05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10.3.16</w:t>
            </w:r>
          </w:p>
        </w:tc>
        <w:tc>
          <w:tcPr>
            <w:tcW w:w="1377" w:type="dxa"/>
            <w:noWrap w:val="0"/>
            <w:vAlign w:val="center"/>
          </w:tcPr>
          <w:p w14:paraId="0570462D">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color w:val="auto"/>
              </w:rPr>
            </w:pPr>
            <w:r>
              <w:rPr>
                <w:rFonts w:hint="eastAsia"/>
                <w:color w:val="auto"/>
                <w:lang w:val="en-US" w:eastAsia="zh-CN"/>
              </w:rPr>
              <w:t>设计说明中未提及，将在对策措施中提出</w:t>
            </w:r>
          </w:p>
        </w:tc>
        <w:tc>
          <w:tcPr>
            <w:tcW w:w="860" w:type="dxa"/>
            <w:noWrap w:val="0"/>
            <w:vAlign w:val="center"/>
          </w:tcPr>
          <w:p w14:paraId="12135D1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color w:val="auto"/>
                <w:lang w:val="en-US" w:eastAsia="zh-CN"/>
              </w:rPr>
            </w:pPr>
            <w:r>
              <w:rPr>
                <w:rFonts w:hint="eastAsia"/>
                <w:color w:val="auto"/>
                <w:lang w:val="en-US" w:eastAsia="zh-CN"/>
              </w:rPr>
              <w:t>-</w:t>
            </w:r>
          </w:p>
        </w:tc>
      </w:tr>
      <w:tr w14:paraId="7DFD1C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3B477EF6">
            <w:pPr>
              <w:pStyle w:val="43"/>
              <w:bidi w:val="0"/>
              <w:rPr>
                <w:rFonts w:hint="eastAsia"/>
                <w:color w:val="auto"/>
                <w:lang w:val="en-US" w:eastAsia="zh-CN"/>
              </w:rPr>
            </w:pPr>
          </w:p>
        </w:tc>
        <w:tc>
          <w:tcPr>
            <w:tcW w:w="8729" w:type="dxa"/>
            <w:gridSpan w:val="4"/>
            <w:noWrap w:val="0"/>
            <w:vAlign w:val="center"/>
          </w:tcPr>
          <w:p w14:paraId="77647B56">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eastAsia"/>
                <w:b/>
                <w:bCs/>
                <w:color w:val="auto"/>
                <w:lang w:val="en-US" w:eastAsia="zh-CN"/>
              </w:rPr>
              <w:t>消防疏散</w:t>
            </w:r>
          </w:p>
        </w:tc>
      </w:tr>
      <w:tr w14:paraId="367681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63657C7A">
            <w:pPr>
              <w:pStyle w:val="43"/>
              <w:numPr>
                <w:ilvl w:val="0"/>
                <w:numId w:val="10"/>
              </w:numPr>
              <w:bidi w:val="0"/>
              <w:ind w:left="0" w:leftChars="0" w:firstLine="0" w:firstLineChars="0"/>
              <w:rPr>
                <w:rFonts w:hint="eastAsia"/>
                <w:color w:val="auto"/>
                <w:lang w:val="en-US" w:eastAsia="zh-CN"/>
              </w:rPr>
            </w:pPr>
          </w:p>
        </w:tc>
        <w:tc>
          <w:tcPr>
            <w:tcW w:w="4685" w:type="dxa"/>
            <w:noWrap w:val="0"/>
            <w:vAlign w:val="center"/>
          </w:tcPr>
          <w:p w14:paraId="310C2406">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建筑防火及疏散设计应符合GB50016的有关规定。</w:t>
            </w:r>
          </w:p>
        </w:tc>
        <w:tc>
          <w:tcPr>
            <w:tcW w:w="1807" w:type="dxa"/>
            <w:noWrap w:val="0"/>
            <w:vAlign w:val="center"/>
          </w:tcPr>
          <w:p w14:paraId="5EF0A99D">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38EA843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11.1.1</w:t>
            </w:r>
          </w:p>
        </w:tc>
        <w:tc>
          <w:tcPr>
            <w:tcW w:w="1377" w:type="dxa"/>
            <w:noWrap w:val="0"/>
            <w:vAlign w:val="center"/>
          </w:tcPr>
          <w:p w14:paraId="1D168AC3">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color w:val="auto"/>
              </w:rPr>
            </w:pPr>
            <w:r>
              <w:rPr>
                <w:rFonts w:hint="eastAsia"/>
                <w:color w:val="auto"/>
                <w:lang w:val="en-US" w:eastAsia="zh-CN"/>
              </w:rPr>
              <w:t>建筑防火及疏散设计拟采用GB50016的有关规定。</w:t>
            </w:r>
          </w:p>
        </w:tc>
        <w:tc>
          <w:tcPr>
            <w:tcW w:w="860" w:type="dxa"/>
            <w:noWrap w:val="0"/>
            <w:vAlign w:val="center"/>
          </w:tcPr>
          <w:p w14:paraId="0213D70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color w:val="auto"/>
                <w:lang w:val="en-US" w:eastAsia="zh-CN"/>
              </w:rPr>
            </w:pPr>
            <w:r>
              <w:rPr>
                <w:rFonts w:hint="eastAsia"/>
                <w:color w:val="auto"/>
                <w:lang w:val="en-US" w:eastAsia="zh-CN"/>
              </w:rPr>
              <w:t>符合</w:t>
            </w:r>
          </w:p>
        </w:tc>
      </w:tr>
      <w:tr w14:paraId="386618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4E0EB08C">
            <w:pPr>
              <w:pStyle w:val="43"/>
              <w:numPr>
                <w:ilvl w:val="0"/>
                <w:numId w:val="10"/>
              </w:numPr>
              <w:bidi w:val="0"/>
              <w:ind w:left="0" w:leftChars="0" w:firstLine="0" w:firstLineChars="0"/>
              <w:rPr>
                <w:rFonts w:hint="eastAsia"/>
                <w:color w:val="auto"/>
                <w:lang w:val="en-US" w:eastAsia="zh-CN"/>
              </w:rPr>
            </w:pPr>
          </w:p>
        </w:tc>
        <w:tc>
          <w:tcPr>
            <w:tcW w:w="4685" w:type="dxa"/>
            <w:noWrap w:val="0"/>
            <w:vAlign w:val="center"/>
          </w:tcPr>
          <w:p w14:paraId="189A519A">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综合楼的耐火等级应不低于二级。</w:t>
            </w:r>
          </w:p>
        </w:tc>
        <w:tc>
          <w:tcPr>
            <w:tcW w:w="1807" w:type="dxa"/>
            <w:noWrap w:val="0"/>
            <w:vAlign w:val="center"/>
          </w:tcPr>
          <w:p w14:paraId="688B1C72">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29E33F2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11.1.2</w:t>
            </w:r>
          </w:p>
        </w:tc>
        <w:tc>
          <w:tcPr>
            <w:tcW w:w="1377" w:type="dxa"/>
            <w:noWrap w:val="0"/>
            <w:vAlign w:val="center"/>
          </w:tcPr>
          <w:p w14:paraId="47812046">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color w:val="auto"/>
              </w:rPr>
            </w:pPr>
            <w:r>
              <w:rPr>
                <w:rFonts w:hint="eastAsia"/>
                <w:color w:val="auto"/>
                <w:lang w:val="en-US" w:eastAsia="zh-CN"/>
              </w:rPr>
              <w:t>综合楼的耐火等级二级</w:t>
            </w:r>
          </w:p>
        </w:tc>
        <w:tc>
          <w:tcPr>
            <w:tcW w:w="860" w:type="dxa"/>
            <w:noWrap w:val="0"/>
            <w:vAlign w:val="center"/>
          </w:tcPr>
          <w:p w14:paraId="3B08782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color w:val="auto"/>
                <w:lang w:val="en-US" w:eastAsia="zh-CN"/>
              </w:rPr>
            </w:pPr>
            <w:r>
              <w:rPr>
                <w:rFonts w:hint="eastAsia"/>
                <w:color w:val="auto"/>
                <w:lang w:val="en-US" w:eastAsia="zh-CN"/>
              </w:rPr>
              <w:t>符合</w:t>
            </w:r>
          </w:p>
        </w:tc>
      </w:tr>
      <w:tr w14:paraId="227334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728F720B">
            <w:pPr>
              <w:pStyle w:val="43"/>
              <w:numPr>
                <w:ilvl w:val="0"/>
                <w:numId w:val="10"/>
              </w:numPr>
              <w:bidi w:val="0"/>
              <w:ind w:left="0" w:leftChars="0" w:firstLine="0" w:firstLineChars="0"/>
              <w:rPr>
                <w:rFonts w:hint="eastAsia"/>
                <w:color w:val="auto"/>
                <w:lang w:val="en-US" w:eastAsia="zh-CN"/>
              </w:rPr>
            </w:pPr>
          </w:p>
        </w:tc>
        <w:tc>
          <w:tcPr>
            <w:tcW w:w="4685" w:type="dxa"/>
            <w:noWrap w:val="0"/>
            <w:vAlign w:val="center"/>
          </w:tcPr>
          <w:p w14:paraId="28F35E9C">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餐厅、超市和商店的安全出口应不少于两个，安全出口净宽不得小于1.40m，应向疏散方向开启，严禁设锁，不得设门槛。</w:t>
            </w:r>
          </w:p>
        </w:tc>
        <w:tc>
          <w:tcPr>
            <w:tcW w:w="1807" w:type="dxa"/>
            <w:noWrap w:val="0"/>
            <w:vAlign w:val="center"/>
          </w:tcPr>
          <w:p w14:paraId="5E7CBCCB">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09BF169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11.1.3</w:t>
            </w:r>
          </w:p>
        </w:tc>
        <w:tc>
          <w:tcPr>
            <w:tcW w:w="1377" w:type="dxa"/>
            <w:noWrap w:val="0"/>
            <w:vAlign w:val="center"/>
          </w:tcPr>
          <w:p w14:paraId="0C266B12">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color w:val="auto"/>
              </w:rPr>
            </w:pPr>
            <w:r>
              <w:rPr>
                <w:rFonts w:hint="eastAsia"/>
                <w:color w:val="auto"/>
                <w:lang w:val="en-US" w:eastAsia="zh-CN"/>
              </w:rPr>
              <w:t>设计说明中未提及，将在对策措施中提出</w:t>
            </w:r>
          </w:p>
        </w:tc>
        <w:tc>
          <w:tcPr>
            <w:tcW w:w="860" w:type="dxa"/>
            <w:noWrap w:val="0"/>
            <w:vAlign w:val="center"/>
          </w:tcPr>
          <w:p w14:paraId="20C0FB3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w:t>
            </w:r>
          </w:p>
        </w:tc>
      </w:tr>
      <w:tr w14:paraId="56DBFF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4AFF7CD3">
            <w:pPr>
              <w:pStyle w:val="43"/>
              <w:numPr>
                <w:ilvl w:val="0"/>
                <w:numId w:val="10"/>
              </w:numPr>
              <w:bidi w:val="0"/>
              <w:ind w:left="0" w:leftChars="0" w:firstLine="0" w:firstLineChars="0"/>
              <w:rPr>
                <w:rFonts w:hint="eastAsia"/>
                <w:color w:val="auto"/>
                <w:lang w:val="en-US" w:eastAsia="zh-CN"/>
              </w:rPr>
            </w:pPr>
          </w:p>
        </w:tc>
        <w:tc>
          <w:tcPr>
            <w:tcW w:w="4685" w:type="dxa"/>
            <w:noWrap w:val="0"/>
            <w:vAlign w:val="center"/>
          </w:tcPr>
          <w:p w14:paraId="1071823D">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消防安全标志和综合楼内的装修材料应符合GB15630和GB50222的有关规定。</w:t>
            </w:r>
          </w:p>
        </w:tc>
        <w:tc>
          <w:tcPr>
            <w:tcW w:w="1807" w:type="dxa"/>
            <w:noWrap w:val="0"/>
            <w:vAlign w:val="center"/>
          </w:tcPr>
          <w:p w14:paraId="7D56D152">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526C06FB">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11.1.4</w:t>
            </w:r>
          </w:p>
        </w:tc>
        <w:tc>
          <w:tcPr>
            <w:tcW w:w="1377" w:type="dxa"/>
            <w:noWrap w:val="0"/>
            <w:vAlign w:val="center"/>
          </w:tcPr>
          <w:p w14:paraId="4C481B16">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eastAsia="宋体"/>
                <w:color w:val="auto"/>
                <w:lang w:val="en-US" w:eastAsia="zh-CN"/>
              </w:rPr>
            </w:pPr>
            <w:r>
              <w:rPr>
                <w:rFonts w:hint="eastAsia"/>
                <w:color w:val="auto"/>
                <w:lang w:val="en-US" w:eastAsia="zh-CN"/>
              </w:rPr>
              <w:t>设计说明中未提及，将在对策措施中提出</w:t>
            </w:r>
          </w:p>
        </w:tc>
        <w:tc>
          <w:tcPr>
            <w:tcW w:w="860" w:type="dxa"/>
            <w:noWrap w:val="0"/>
            <w:vAlign w:val="center"/>
          </w:tcPr>
          <w:p w14:paraId="476DF07B">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color w:val="auto"/>
                <w:lang w:val="en-US" w:eastAsia="zh-CN"/>
              </w:rPr>
            </w:pPr>
            <w:r>
              <w:rPr>
                <w:rFonts w:hint="eastAsia"/>
                <w:color w:val="auto"/>
                <w:lang w:val="en-US" w:eastAsia="zh-CN"/>
              </w:rPr>
              <w:t>-</w:t>
            </w:r>
          </w:p>
        </w:tc>
      </w:tr>
      <w:tr w14:paraId="68211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3D10EC3D">
            <w:pPr>
              <w:pStyle w:val="43"/>
              <w:numPr>
                <w:ilvl w:val="0"/>
                <w:numId w:val="10"/>
              </w:numPr>
              <w:bidi w:val="0"/>
              <w:ind w:left="0" w:leftChars="0" w:firstLine="0" w:firstLineChars="0"/>
              <w:rPr>
                <w:rFonts w:hint="eastAsia"/>
                <w:color w:val="auto"/>
                <w:lang w:val="en-US" w:eastAsia="zh-CN"/>
              </w:rPr>
            </w:pPr>
          </w:p>
        </w:tc>
        <w:tc>
          <w:tcPr>
            <w:tcW w:w="4685" w:type="dxa"/>
            <w:noWrap w:val="0"/>
            <w:vAlign w:val="center"/>
          </w:tcPr>
          <w:p w14:paraId="3E76777B">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eastAsia"/>
                <w:color w:val="auto"/>
                <w:lang w:val="en-US" w:eastAsia="zh-CN"/>
              </w:rPr>
            </w:pPr>
            <w:r>
              <w:rPr>
                <w:rFonts w:hint="eastAsia"/>
                <w:color w:val="auto"/>
                <w:lang w:val="en-US" w:eastAsia="zh-CN"/>
              </w:rPr>
              <w:t>停车场应设置室外消火栓，并设置适用于扑灭汽油、柴油、燃气等易燃物质燃烧的消防设施。体积超过 5000m</w:t>
            </w:r>
            <w:r>
              <w:rPr>
                <w:rFonts w:hint="eastAsia"/>
                <w:color w:val="auto"/>
                <w:vertAlign w:val="superscript"/>
                <w:lang w:val="en-US" w:eastAsia="zh-CN"/>
              </w:rPr>
              <w:t>3</w:t>
            </w:r>
            <w:r>
              <w:rPr>
                <w:rFonts w:hint="eastAsia"/>
                <w:color w:val="auto"/>
                <w:lang w:val="en-US" w:eastAsia="zh-CN"/>
              </w:rPr>
              <w:t>的综合楼应设室内消防给水，设计应符合GB50974。</w:t>
            </w:r>
          </w:p>
        </w:tc>
        <w:tc>
          <w:tcPr>
            <w:tcW w:w="1807" w:type="dxa"/>
            <w:noWrap w:val="0"/>
            <w:vAlign w:val="center"/>
          </w:tcPr>
          <w:p w14:paraId="7D562703">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color w:val="auto"/>
                <w:lang w:val="en-US" w:eastAsia="zh-CN"/>
              </w:rPr>
            </w:pPr>
            <w:r>
              <w:rPr>
                <w:rFonts w:hint="default"/>
                <w:color w:val="auto"/>
                <w:lang w:val="en-US" w:eastAsia="zh-CN"/>
              </w:rPr>
              <w:t>《高速公路服务区设计规范》DB36T698-2017</w:t>
            </w:r>
          </w:p>
          <w:p w14:paraId="2080904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color w:val="auto"/>
                <w:lang w:val="en-US" w:eastAsia="zh-CN"/>
              </w:rPr>
            </w:pPr>
            <w:r>
              <w:rPr>
                <w:rFonts w:hint="eastAsia"/>
                <w:color w:val="auto"/>
                <w:lang w:val="en-US" w:eastAsia="zh-CN"/>
              </w:rPr>
              <w:t>11.2.1</w:t>
            </w:r>
          </w:p>
        </w:tc>
        <w:tc>
          <w:tcPr>
            <w:tcW w:w="1377" w:type="dxa"/>
            <w:noWrap w:val="0"/>
            <w:vAlign w:val="center"/>
          </w:tcPr>
          <w:p w14:paraId="35381166">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eastAsia="宋体"/>
                <w:color w:val="auto"/>
                <w:lang w:val="en-US" w:eastAsia="zh-CN"/>
              </w:rPr>
            </w:pPr>
            <w:r>
              <w:rPr>
                <w:rFonts w:hint="eastAsia"/>
                <w:color w:val="auto"/>
                <w:lang w:val="en-US" w:eastAsia="zh-CN"/>
              </w:rPr>
              <w:t>设计说明中未提及，将在对策措施中提出</w:t>
            </w:r>
          </w:p>
        </w:tc>
        <w:tc>
          <w:tcPr>
            <w:tcW w:w="860" w:type="dxa"/>
            <w:noWrap w:val="0"/>
            <w:vAlign w:val="center"/>
          </w:tcPr>
          <w:p w14:paraId="4BB887A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color w:val="auto"/>
                <w:lang w:val="en-US" w:eastAsia="zh-CN"/>
              </w:rPr>
            </w:pPr>
            <w:r>
              <w:rPr>
                <w:rFonts w:hint="eastAsia"/>
                <w:color w:val="auto"/>
                <w:lang w:val="en-US" w:eastAsia="zh-CN"/>
              </w:rPr>
              <w:t>-</w:t>
            </w:r>
          </w:p>
        </w:tc>
      </w:tr>
      <w:tr w14:paraId="618F01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72" w:type="dxa"/>
            <w:noWrap w:val="0"/>
            <w:vAlign w:val="center"/>
          </w:tcPr>
          <w:p w14:paraId="3262E90B">
            <w:pPr>
              <w:pStyle w:val="43"/>
              <w:numPr>
                <w:ilvl w:val="0"/>
                <w:numId w:val="10"/>
              </w:numPr>
              <w:bidi w:val="0"/>
              <w:ind w:left="0" w:leftChars="0" w:firstLine="0" w:firstLineChars="0"/>
              <w:rPr>
                <w:rFonts w:hint="eastAsia"/>
                <w:color w:val="auto"/>
                <w:lang w:val="en-US" w:eastAsia="zh-CN"/>
              </w:rPr>
            </w:pPr>
          </w:p>
        </w:tc>
        <w:tc>
          <w:tcPr>
            <w:tcW w:w="4685" w:type="dxa"/>
            <w:noWrap w:val="0"/>
            <w:vAlign w:val="center"/>
          </w:tcPr>
          <w:p w14:paraId="3596A54D">
            <w:pPr>
              <w:pStyle w:val="43"/>
              <w:bidi w:val="0"/>
              <w:jc w:val="left"/>
              <w:rPr>
                <w:rFonts w:hint="eastAsia"/>
                <w:color w:val="auto"/>
                <w:lang w:val="en-US" w:eastAsia="zh-CN"/>
              </w:rPr>
            </w:pPr>
            <w:r>
              <w:rPr>
                <w:rFonts w:hint="eastAsia"/>
                <w:color w:val="auto"/>
                <w:lang w:val="en-US" w:eastAsia="zh-CN"/>
              </w:rPr>
              <w:t>采用中央空调系统或单层面积超过2000㎡的休息室、餐厅、超市和易发生火灾的用房等，应设置火灾自动报警系统。设有火灾自动报警系统的综合楼应设置消防控制室。</w:t>
            </w:r>
          </w:p>
        </w:tc>
        <w:tc>
          <w:tcPr>
            <w:tcW w:w="1807" w:type="dxa"/>
            <w:noWrap w:val="0"/>
            <w:vAlign w:val="center"/>
          </w:tcPr>
          <w:p w14:paraId="627936CD">
            <w:pPr>
              <w:pStyle w:val="43"/>
              <w:bidi w:val="0"/>
              <w:rPr>
                <w:rFonts w:hint="default"/>
                <w:color w:val="auto"/>
                <w:lang w:val="en-US" w:eastAsia="zh-CN"/>
              </w:rPr>
            </w:pPr>
            <w:r>
              <w:rPr>
                <w:rFonts w:hint="default"/>
                <w:color w:val="auto"/>
                <w:lang w:val="en-US" w:eastAsia="zh-CN"/>
              </w:rPr>
              <w:t>《高速公路服务区设计规范》DB36T698-2017</w:t>
            </w:r>
          </w:p>
          <w:p w14:paraId="412DA6ED">
            <w:pPr>
              <w:pStyle w:val="43"/>
              <w:bidi w:val="0"/>
              <w:ind w:firstLine="0" w:firstLineChars="0"/>
              <w:rPr>
                <w:rFonts w:hint="default"/>
                <w:color w:val="auto"/>
                <w:lang w:val="en-US" w:eastAsia="zh-CN"/>
              </w:rPr>
            </w:pPr>
            <w:r>
              <w:rPr>
                <w:rFonts w:hint="eastAsia"/>
                <w:color w:val="auto"/>
                <w:lang w:val="en-US" w:eastAsia="zh-CN"/>
              </w:rPr>
              <w:t>11.2.2</w:t>
            </w:r>
          </w:p>
        </w:tc>
        <w:tc>
          <w:tcPr>
            <w:tcW w:w="1377" w:type="dxa"/>
            <w:noWrap w:val="0"/>
            <w:vAlign w:val="center"/>
          </w:tcPr>
          <w:p w14:paraId="2EB455DB">
            <w:pPr>
              <w:pStyle w:val="43"/>
              <w:bidi w:val="0"/>
              <w:rPr>
                <w:rFonts w:hint="eastAsia"/>
                <w:color w:val="auto"/>
              </w:rPr>
            </w:pPr>
            <w:r>
              <w:rPr>
                <w:rFonts w:hint="eastAsia"/>
                <w:color w:val="auto"/>
                <w:lang w:val="en-US" w:eastAsia="zh-CN"/>
              </w:rPr>
              <w:t>综合楼拟设置消防控制室</w:t>
            </w:r>
          </w:p>
        </w:tc>
        <w:tc>
          <w:tcPr>
            <w:tcW w:w="860" w:type="dxa"/>
            <w:noWrap w:val="0"/>
            <w:vAlign w:val="center"/>
          </w:tcPr>
          <w:p w14:paraId="1524F894">
            <w:pPr>
              <w:pStyle w:val="43"/>
              <w:bidi w:val="0"/>
              <w:ind w:firstLine="0" w:firstLineChars="0"/>
              <w:rPr>
                <w:rFonts w:hint="eastAsia"/>
                <w:color w:val="auto"/>
                <w:lang w:val="en-US" w:eastAsia="zh-CN"/>
              </w:rPr>
            </w:pPr>
            <w:r>
              <w:rPr>
                <w:rFonts w:hint="eastAsia"/>
                <w:color w:val="auto"/>
                <w:lang w:val="en-US" w:eastAsia="zh-CN"/>
              </w:rPr>
              <w:t>符合</w:t>
            </w:r>
          </w:p>
        </w:tc>
      </w:tr>
    </w:tbl>
    <w:p w14:paraId="752C211F">
      <w:pPr>
        <w:bidi w:val="0"/>
        <w:rPr>
          <w:rFonts w:hint="eastAsia"/>
          <w:b/>
          <w:bCs/>
          <w:color w:val="auto"/>
          <w:lang w:val="en-US" w:eastAsia="zh-CN"/>
        </w:rPr>
      </w:pPr>
      <w:r>
        <w:rPr>
          <w:rFonts w:hint="eastAsia"/>
          <w:b/>
          <w:bCs/>
          <w:color w:val="auto"/>
          <w:lang w:val="en-US" w:eastAsia="zh-CN"/>
        </w:rPr>
        <w:t>评价小结：</w:t>
      </w:r>
    </w:p>
    <w:p w14:paraId="3E66F5E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color w:val="auto"/>
          <w:sz w:val="28"/>
          <w:lang w:val="en-US"/>
        </w:rPr>
      </w:pPr>
      <w:r>
        <w:rPr>
          <w:rFonts w:hint="eastAsia"/>
          <w:color w:val="auto"/>
          <w:lang w:val="en-US" w:eastAsia="zh-CN"/>
        </w:rPr>
        <w:t>本单元共检查33项，17项符合，16项设计说明中未提及，将在对策措施中提出。</w:t>
      </w:r>
    </w:p>
    <w:p w14:paraId="2E138A3F">
      <w:pPr>
        <w:pStyle w:val="5"/>
        <w:bidi w:val="0"/>
        <w:rPr>
          <w:rFonts w:hint="eastAsia"/>
          <w:color w:val="auto"/>
          <w:lang w:val="en-US" w:eastAsia="zh-CN"/>
        </w:rPr>
      </w:pPr>
      <w:bookmarkStart w:id="112" w:name="_Toc2552"/>
      <w:r>
        <w:rPr>
          <w:rFonts w:hint="eastAsia"/>
          <w:color w:val="auto"/>
          <w:lang w:val="en-US" w:eastAsia="zh-CN"/>
        </w:rPr>
        <w:t>6.4安全管理符合性评价</w:t>
      </w:r>
      <w:bookmarkEnd w:id="112"/>
    </w:p>
    <w:p w14:paraId="08AF8AAC">
      <w:pPr>
        <w:rPr>
          <w:rFonts w:hint="default"/>
          <w:color w:val="auto"/>
          <w:lang w:val="en-US" w:eastAsia="zh-CN"/>
        </w:rPr>
      </w:pPr>
      <w:r>
        <w:rPr>
          <w:rFonts w:hint="eastAsia"/>
          <w:color w:val="auto"/>
          <w:lang w:val="en-US" w:eastAsia="zh-CN"/>
        </w:rPr>
        <w:t>该项目依托服务区现有安全管理工作领导小组及人员，全面贯彻落实“党政同责、一岗双责”和“五落实五到位”规定，逐级落实安全责任，服务区制定了较为完善的安全生产规章制度和岗位操作规程。现有的安全管理能满足该项目的安全管理要求。</w:t>
      </w:r>
    </w:p>
    <w:p w14:paraId="6919E8DD">
      <w:pPr>
        <w:bidi w:val="0"/>
        <w:rPr>
          <w:rFonts w:hint="eastAsia"/>
          <w:color w:val="auto"/>
          <w:lang w:val="en-US" w:eastAsia="zh-CN"/>
        </w:rPr>
      </w:pPr>
    </w:p>
    <w:p w14:paraId="6FA1F69C">
      <w:pPr>
        <w:bidi w:val="0"/>
        <w:rPr>
          <w:rFonts w:hint="eastAsia"/>
          <w:color w:val="auto"/>
          <w:lang w:val="en-US" w:eastAsia="zh-CN"/>
        </w:rPr>
      </w:pPr>
    </w:p>
    <w:bookmarkEnd w:id="109"/>
    <w:p w14:paraId="49448FFB">
      <w:pPr>
        <w:pStyle w:val="4"/>
        <w:bidi w:val="0"/>
        <w:rPr>
          <w:rFonts w:hint="eastAsia"/>
          <w:color w:val="auto"/>
          <w:lang w:eastAsia="zh-CN"/>
        </w:rPr>
      </w:pPr>
      <w:bookmarkStart w:id="113" w:name="_Toc31997"/>
      <w:bookmarkStart w:id="114" w:name="_Toc483"/>
      <w:bookmarkStart w:id="115" w:name="_Toc10892"/>
      <w:bookmarkStart w:id="116" w:name="_Toc8053"/>
      <w:bookmarkStart w:id="117" w:name="_Toc350517391"/>
      <w:r>
        <w:rPr>
          <w:rFonts w:hint="eastAsia"/>
          <w:color w:val="auto"/>
          <w:lang w:eastAsia="zh-CN"/>
        </w:rPr>
        <w:t xml:space="preserve">7 </w:t>
      </w:r>
      <w:r>
        <w:rPr>
          <w:color w:val="auto"/>
          <w:lang w:eastAsia="zh-CN"/>
        </w:rPr>
        <w:t>安全对策措施</w:t>
      </w:r>
      <w:r>
        <w:rPr>
          <w:rFonts w:hint="eastAsia"/>
          <w:color w:val="auto"/>
          <w:lang w:eastAsia="zh-CN"/>
        </w:rPr>
        <w:t>建议</w:t>
      </w:r>
      <w:bookmarkEnd w:id="113"/>
      <w:bookmarkEnd w:id="114"/>
      <w:bookmarkEnd w:id="115"/>
    </w:p>
    <w:p w14:paraId="16A04365">
      <w:pPr>
        <w:pStyle w:val="5"/>
        <w:bidi w:val="0"/>
        <w:rPr>
          <w:color w:val="auto"/>
        </w:rPr>
      </w:pPr>
      <w:bookmarkStart w:id="118" w:name="_Toc2956"/>
      <w:bookmarkStart w:id="119" w:name="_Toc21662"/>
      <w:r>
        <w:rPr>
          <w:rFonts w:hint="eastAsia"/>
          <w:color w:val="auto"/>
        </w:rPr>
        <w:t>7.</w:t>
      </w:r>
      <w:r>
        <w:rPr>
          <w:color w:val="auto"/>
        </w:rPr>
        <w:t>1总平面布置安全对策措施建议</w:t>
      </w:r>
      <w:bookmarkEnd w:id="118"/>
      <w:bookmarkEnd w:id="119"/>
    </w:p>
    <w:p w14:paraId="77C2F8AF">
      <w:pPr>
        <w:numPr>
          <w:ilvl w:val="0"/>
          <w:numId w:val="11"/>
        </w:numPr>
        <w:ind w:left="0" w:leftChars="0" w:firstLine="560" w:firstLineChars="200"/>
        <w:rPr>
          <w:rFonts w:hint="eastAsia"/>
          <w:color w:val="auto"/>
          <w:lang w:val="en-US" w:eastAsia="zh-CN"/>
        </w:rPr>
      </w:pPr>
      <w:r>
        <w:rPr>
          <w:rFonts w:hint="eastAsia"/>
          <w:color w:val="auto"/>
          <w:lang w:val="en-US" w:eastAsia="zh-CN"/>
        </w:rPr>
        <w:t>总图布置应流程合理、服务便捷。</w:t>
      </w:r>
    </w:p>
    <w:p w14:paraId="28E9984B">
      <w:pPr>
        <w:numPr>
          <w:ilvl w:val="0"/>
          <w:numId w:val="11"/>
        </w:numPr>
        <w:ind w:left="0" w:leftChars="0" w:firstLine="560" w:firstLineChars="200"/>
        <w:rPr>
          <w:rFonts w:hint="eastAsia"/>
          <w:color w:val="auto"/>
          <w:lang w:val="en-US" w:eastAsia="zh-CN"/>
        </w:rPr>
      </w:pPr>
      <w:r>
        <w:rPr>
          <w:rFonts w:hint="eastAsia"/>
          <w:color w:val="auto"/>
          <w:lang w:val="en-US" w:eastAsia="zh-CN"/>
        </w:rPr>
        <w:t>总平面布置应进行无障碍设计，并符合GB50763、GB55019的规定。</w:t>
      </w:r>
    </w:p>
    <w:p w14:paraId="0050191E">
      <w:pPr>
        <w:numPr>
          <w:ilvl w:val="0"/>
          <w:numId w:val="11"/>
        </w:numPr>
        <w:ind w:left="0" w:leftChars="0" w:firstLine="560" w:firstLineChars="200"/>
        <w:rPr>
          <w:rFonts w:hint="eastAsia"/>
          <w:color w:val="auto"/>
          <w:lang w:val="en-US" w:eastAsia="zh-CN"/>
        </w:rPr>
      </w:pPr>
      <w:r>
        <w:rPr>
          <w:rFonts w:hint="eastAsia"/>
          <w:color w:val="auto"/>
          <w:lang w:val="en-US" w:eastAsia="zh-CN"/>
        </w:rPr>
        <w:t>给水排水、供配电、垃圾分类收集等设施设备宜综合考虑风向、地形、管线布置、景观效果等因素，设置在隐蔽位置。</w:t>
      </w:r>
    </w:p>
    <w:p w14:paraId="5CFC7D94">
      <w:pPr>
        <w:numPr>
          <w:ilvl w:val="0"/>
          <w:numId w:val="11"/>
        </w:numPr>
        <w:ind w:left="0" w:leftChars="0" w:firstLine="560" w:firstLineChars="200"/>
        <w:rPr>
          <w:rFonts w:hint="eastAsia"/>
          <w:color w:val="auto"/>
          <w:lang w:val="en-US" w:eastAsia="zh-CN"/>
        </w:rPr>
      </w:pPr>
      <w:r>
        <w:rPr>
          <w:rFonts w:hint="eastAsia"/>
          <w:color w:val="auto"/>
          <w:lang w:val="en-US" w:eastAsia="zh-CN"/>
        </w:rPr>
        <w:t>场地坡度不宜小于0.5%，不应小于0.3%；自然地面坡度大于5.0%时宜分成台地，台地连接处应设置挡土墙或护坡。</w:t>
      </w:r>
    </w:p>
    <w:p w14:paraId="3245B426">
      <w:pPr>
        <w:bidi w:val="0"/>
        <w:rPr>
          <w:rFonts w:hint="eastAsia"/>
          <w:color w:val="auto"/>
          <w:lang w:val="en-US" w:eastAsia="zh-CN"/>
        </w:rPr>
      </w:pPr>
      <w:r>
        <w:rPr>
          <w:rFonts w:hint="eastAsia"/>
          <w:color w:val="auto"/>
          <w:lang w:val="en-US" w:eastAsia="zh-CN"/>
        </w:rPr>
        <w:t>5、一般规定</w:t>
      </w:r>
    </w:p>
    <w:p w14:paraId="46BB833C">
      <w:pPr>
        <w:bidi w:val="0"/>
        <w:rPr>
          <w:rFonts w:hint="eastAsia"/>
          <w:color w:val="auto"/>
          <w:lang w:val="en-US" w:eastAsia="zh-CN"/>
        </w:rPr>
      </w:pPr>
      <w:r>
        <w:rPr>
          <w:rFonts w:hint="eastAsia"/>
          <w:color w:val="auto"/>
          <w:lang w:val="en-US" w:eastAsia="zh-CN"/>
        </w:rPr>
        <w:t>a)总图布置范围沿高速公路方向从主线入口匝道至出口匝道。以综合楼、加油站、充电站、道路交通为纽带进行场所和建筑设施的综合布置。</w:t>
      </w:r>
    </w:p>
    <w:p w14:paraId="0E353666">
      <w:pPr>
        <w:bidi w:val="0"/>
        <w:rPr>
          <w:rFonts w:hint="eastAsia"/>
          <w:color w:val="auto"/>
          <w:lang w:val="en-US" w:eastAsia="zh-CN"/>
        </w:rPr>
      </w:pPr>
      <w:r>
        <w:rPr>
          <w:rFonts w:hint="eastAsia"/>
          <w:color w:val="auto"/>
          <w:lang w:val="en-US" w:eastAsia="zh-CN"/>
        </w:rPr>
        <w:t>b)功能分区可分为综合服务区、车辆停放区、车辆加油区、车辆充电区、车辆加水维修区、后勤服务区和休闲绿化区，并应做到布局合理，使用方便，流线简捷。</w:t>
      </w:r>
    </w:p>
    <w:p w14:paraId="69E3B630">
      <w:pPr>
        <w:bidi w:val="0"/>
        <w:rPr>
          <w:rFonts w:hint="eastAsia"/>
          <w:color w:val="auto"/>
          <w:lang w:val="en-US" w:eastAsia="zh-CN"/>
        </w:rPr>
      </w:pPr>
      <w:r>
        <w:rPr>
          <w:rFonts w:hint="eastAsia"/>
          <w:color w:val="auto"/>
          <w:lang w:val="en-US" w:eastAsia="zh-CN"/>
        </w:rPr>
        <w:t>c)综合楼与高速公路主线的安全距离宜大于50m。</w:t>
      </w:r>
    </w:p>
    <w:p w14:paraId="18D5A01F">
      <w:pPr>
        <w:bidi w:val="0"/>
        <w:rPr>
          <w:rFonts w:hint="eastAsia"/>
          <w:color w:val="auto"/>
          <w:lang w:val="en-US" w:eastAsia="zh-CN"/>
        </w:rPr>
      </w:pPr>
      <w:r>
        <w:rPr>
          <w:rFonts w:hint="eastAsia"/>
          <w:color w:val="auto"/>
          <w:lang w:val="en-US" w:eastAsia="zh-CN"/>
        </w:rPr>
        <w:t>d)总平面布置应设置独立的员工宿舍楼，并配置供职工活动、晾晒场地等场所。</w:t>
      </w:r>
    </w:p>
    <w:p w14:paraId="7308ED71">
      <w:pPr>
        <w:pStyle w:val="5"/>
        <w:bidi w:val="0"/>
        <w:rPr>
          <w:color w:val="auto"/>
        </w:rPr>
      </w:pPr>
      <w:bookmarkStart w:id="120" w:name="_Toc12976"/>
      <w:bookmarkStart w:id="121" w:name="_Toc32328"/>
      <w:bookmarkStart w:id="122" w:name="_Toc6939"/>
      <w:bookmarkStart w:id="123" w:name="_Toc25148"/>
      <w:r>
        <w:rPr>
          <w:rFonts w:hint="eastAsia"/>
          <w:color w:val="auto"/>
        </w:rPr>
        <w:t>7.2</w:t>
      </w:r>
      <w:r>
        <w:rPr>
          <w:rFonts w:hint="eastAsia"/>
          <w:color w:val="auto"/>
          <w:lang w:val="en-US" w:eastAsia="zh-CN"/>
        </w:rPr>
        <w:t>建筑布置</w:t>
      </w:r>
      <w:r>
        <w:rPr>
          <w:color w:val="auto"/>
        </w:rPr>
        <w:t>及设</w:t>
      </w:r>
      <w:r>
        <w:rPr>
          <w:rFonts w:hint="eastAsia"/>
          <w:color w:val="auto"/>
        </w:rPr>
        <w:t>备</w:t>
      </w:r>
      <w:r>
        <w:rPr>
          <w:rFonts w:hint="eastAsia"/>
          <w:color w:val="auto"/>
          <w:lang w:val="en-US" w:eastAsia="zh-CN"/>
        </w:rPr>
        <w:t>设施</w:t>
      </w:r>
      <w:r>
        <w:rPr>
          <w:color w:val="auto"/>
        </w:rPr>
        <w:t>安全对策措施建议</w:t>
      </w:r>
      <w:bookmarkEnd w:id="120"/>
      <w:bookmarkEnd w:id="121"/>
      <w:bookmarkEnd w:id="122"/>
      <w:bookmarkEnd w:id="123"/>
    </w:p>
    <w:p w14:paraId="63588A87">
      <w:pPr>
        <w:pStyle w:val="6"/>
        <w:bidi w:val="0"/>
        <w:rPr>
          <w:rFonts w:hint="default"/>
          <w:color w:val="auto"/>
          <w:lang w:val="en-US" w:eastAsia="zh-CN"/>
        </w:rPr>
      </w:pPr>
      <w:bookmarkStart w:id="124" w:name="_Toc2846"/>
      <w:bookmarkStart w:id="125" w:name="_Toc17285"/>
      <w:bookmarkStart w:id="126" w:name="_Toc31477"/>
      <w:r>
        <w:rPr>
          <w:rFonts w:hint="eastAsia"/>
          <w:color w:val="auto"/>
          <w:lang w:val="en-US" w:eastAsia="zh-CN"/>
        </w:rPr>
        <w:t>7.2.1建筑布置</w:t>
      </w:r>
      <w:bookmarkEnd w:id="124"/>
    </w:p>
    <w:p w14:paraId="3A58F80E">
      <w:pPr>
        <w:numPr>
          <w:ilvl w:val="0"/>
          <w:numId w:val="12"/>
        </w:numPr>
        <w:rPr>
          <w:rFonts w:hint="eastAsia"/>
          <w:color w:val="auto"/>
          <w:lang w:val="en-US" w:eastAsia="zh-CN"/>
        </w:rPr>
      </w:pPr>
      <w:r>
        <w:rPr>
          <w:rFonts w:hint="eastAsia"/>
          <w:color w:val="auto"/>
          <w:lang w:val="en-US" w:eastAsia="zh-CN"/>
        </w:rPr>
        <w:t>综合楼由门厅、餐厅、超市、商店、厕所、客房、办公、监控、外廊和内廊等组成。</w:t>
      </w:r>
    </w:p>
    <w:p w14:paraId="741FDBD0">
      <w:pPr>
        <w:numPr>
          <w:ilvl w:val="0"/>
          <w:numId w:val="12"/>
        </w:numPr>
        <w:rPr>
          <w:rFonts w:hint="default"/>
          <w:color w:val="auto"/>
          <w:lang w:val="en-US" w:eastAsia="zh-CN"/>
        </w:rPr>
      </w:pPr>
      <w:r>
        <w:rPr>
          <w:rFonts w:hint="default"/>
          <w:color w:val="auto"/>
          <w:spacing w:val="-6"/>
          <w:sz w:val="28"/>
          <w:lang w:val="en-US" w:eastAsia="zh-CN"/>
        </w:rPr>
        <w:t>综合楼功能应分区合理、联系方便、动静分离、采光良好、通风对</w:t>
      </w:r>
      <w:r>
        <w:rPr>
          <w:rFonts w:hint="default"/>
          <w:color w:val="auto"/>
          <w:lang w:val="en-US" w:eastAsia="zh-CN"/>
        </w:rPr>
        <w:t>流。</w:t>
      </w:r>
    </w:p>
    <w:p w14:paraId="09E266D6">
      <w:pPr>
        <w:numPr>
          <w:ilvl w:val="0"/>
          <w:numId w:val="12"/>
        </w:numPr>
        <w:rPr>
          <w:rFonts w:hint="default"/>
          <w:color w:val="auto"/>
          <w:lang w:val="en-US" w:eastAsia="zh-CN"/>
        </w:rPr>
      </w:pPr>
      <w:r>
        <w:rPr>
          <w:rFonts w:hint="default"/>
          <w:color w:val="auto"/>
          <w:lang w:val="en-US" w:eastAsia="zh-CN"/>
        </w:rPr>
        <w:t>问询处、信息查询、电话、传真、信息发布屏、休息等宜设在门厅</w:t>
      </w:r>
      <w:r>
        <w:rPr>
          <w:rFonts w:hint="eastAsia"/>
          <w:color w:val="auto"/>
          <w:lang w:val="en-US" w:eastAsia="zh-CN"/>
        </w:rPr>
        <w:t>。</w:t>
      </w:r>
    </w:p>
    <w:p w14:paraId="25A60EF9">
      <w:pPr>
        <w:numPr>
          <w:ilvl w:val="0"/>
          <w:numId w:val="12"/>
        </w:numPr>
        <w:rPr>
          <w:rFonts w:hint="default"/>
          <w:color w:val="auto"/>
          <w:lang w:val="en-US" w:eastAsia="zh-CN"/>
        </w:rPr>
      </w:pPr>
      <w:r>
        <w:rPr>
          <w:rFonts w:hint="default"/>
          <w:color w:val="auto"/>
          <w:lang w:val="en-US" w:eastAsia="zh-CN"/>
        </w:rPr>
        <w:t>应设置 24小时便利店，宜设置24小时开水房</w:t>
      </w:r>
      <w:r>
        <w:rPr>
          <w:rFonts w:hint="eastAsia"/>
          <w:color w:val="auto"/>
          <w:lang w:val="en-US" w:eastAsia="zh-CN"/>
        </w:rPr>
        <w:t>；</w:t>
      </w:r>
      <w:r>
        <w:rPr>
          <w:rFonts w:hint="default"/>
          <w:color w:val="auto"/>
          <w:lang w:val="en-US" w:eastAsia="zh-CN"/>
        </w:rPr>
        <w:t>超市、商店宜设仓库。</w:t>
      </w:r>
    </w:p>
    <w:p w14:paraId="0C6904C4">
      <w:pPr>
        <w:numPr>
          <w:ilvl w:val="0"/>
          <w:numId w:val="12"/>
        </w:numPr>
        <w:rPr>
          <w:rFonts w:hint="default"/>
          <w:color w:val="auto"/>
          <w:lang w:val="en-US" w:eastAsia="zh-CN"/>
        </w:rPr>
      </w:pPr>
      <w:r>
        <w:rPr>
          <w:rFonts w:hint="default"/>
          <w:color w:val="auto"/>
          <w:lang w:val="en-US" w:eastAsia="zh-CN"/>
        </w:rPr>
        <w:t>综合楼设计必须符合无障碍设计要求。中心服务区的综合楼设计必须有方便残疾人、老年人使用的设施。</w:t>
      </w:r>
    </w:p>
    <w:p w14:paraId="53AA10AB">
      <w:pPr>
        <w:numPr>
          <w:ilvl w:val="0"/>
          <w:numId w:val="12"/>
        </w:numPr>
        <w:rPr>
          <w:rFonts w:hint="default"/>
          <w:color w:val="auto"/>
          <w:lang w:val="en-US" w:eastAsia="zh-CN"/>
        </w:rPr>
      </w:pPr>
      <w:r>
        <w:rPr>
          <w:rFonts w:hint="eastAsia"/>
          <w:color w:val="auto"/>
          <w:lang w:val="en-US" w:eastAsia="zh-CN"/>
        </w:rPr>
        <w:t>综合楼平面布置应符合下列要求：</w:t>
      </w:r>
    </w:p>
    <w:p w14:paraId="4EB36CDC">
      <w:pPr>
        <w:numPr>
          <w:ilvl w:val="0"/>
          <w:numId w:val="0"/>
        </w:numPr>
        <w:ind w:firstLine="560" w:firstLineChars="200"/>
        <w:rPr>
          <w:rFonts w:hint="default"/>
          <w:color w:val="auto"/>
          <w:lang w:val="en-US" w:eastAsia="zh-CN"/>
        </w:rPr>
      </w:pPr>
      <w:r>
        <w:rPr>
          <w:rFonts w:hint="default"/>
          <w:color w:val="auto"/>
          <w:lang w:val="en-US" w:eastAsia="zh-CN"/>
        </w:rPr>
        <w:t>a)应考虑改扩建的需要</w:t>
      </w:r>
      <w:r>
        <w:rPr>
          <w:rFonts w:hint="eastAsia"/>
          <w:color w:val="auto"/>
          <w:lang w:val="en-US" w:eastAsia="zh-CN"/>
        </w:rPr>
        <w:t>；</w:t>
      </w:r>
    </w:p>
    <w:p w14:paraId="020163B5">
      <w:pPr>
        <w:numPr>
          <w:ilvl w:val="0"/>
          <w:numId w:val="0"/>
        </w:numPr>
        <w:ind w:firstLine="560" w:firstLineChars="200"/>
        <w:rPr>
          <w:rFonts w:hint="default"/>
          <w:color w:val="auto"/>
          <w:lang w:val="en-US" w:eastAsia="zh-CN"/>
        </w:rPr>
      </w:pPr>
      <w:r>
        <w:rPr>
          <w:rFonts w:hint="default"/>
          <w:color w:val="auto"/>
          <w:lang w:val="en-US" w:eastAsia="zh-CN"/>
        </w:rPr>
        <w:t>b)应根据场地现状，因地制宜，争取南北朝向</w:t>
      </w:r>
      <w:r>
        <w:rPr>
          <w:rFonts w:hint="eastAsia"/>
          <w:color w:val="auto"/>
          <w:lang w:val="en-US" w:eastAsia="zh-CN"/>
        </w:rPr>
        <w:t>；</w:t>
      </w:r>
    </w:p>
    <w:p w14:paraId="4534BEE9">
      <w:pPr>
        <w:numPr>
          <w:ilvl w:val="0"/>
          <w:numId w:val="0"/>
        </w:numPr>
        <w:ind w:firstLine="560" w:firstLineChars="200"/>
        <w:rPr>
          <w:rFonts w:hint="default"/>
          <w:color w:val="auto"/>
          <w:lang w:val="en-US" w:eastAsia="zh-CN"/>
        </w:rPr>
      </w:pPr>
      <w:r>
        <w:rPr>
          <w:rFonts w:hint="default"/>
          <w:color w:val="auto"/>
          <w:lang w:val="en-US" w:eastAsia="zh-CN"/>
        </w:rPr>
        <w:t>c)应利于夏季自然通风、冬季日照并避开冬季主导风向</w:t>
      </w:r>
      <w:r>
        <w:rPr>
          <w:rFonts w:hint="eastAsia"/>
          <w:color w:val="auto"/>
          <w:lang w:val="en-US" w:eastAsia="zh-CN"/>
        </w:rPr>
        <w:t>；</w:t>
      </w:r>
    </w:p>
    <w:p w14:paraId="1EB2B46F">
      <w:pPr>
        <w:numPr>
          <w:ilvl w:val="0"/>
          <w:numId w:val="0"/>
        </w:numPr>
        <w:ind w:firstLine="560" w:firstLineChars="200"/>
        <w:rPr>
          <w:rFonts w:hint="default"/>
          <w:color w:val="auto"/>
          <w:lang w:val="en-US" w:eastAsia="zh-CN"/>
        </w:rPr>
      </w:pPr>
      <w:r>
        <w:rPr>
          <w:rFonts w:hint="default"/>
          <w:color w:val="auto"/>
          <w:lang w:val="en-US" w:eastAsia="zh-CN"/>
        </w:rPr>
        <w:t>d)充分利用公共厕所的前场空间，布置活动商业零售点</w:t>
      </w:r>
      <w:r>
        <w:rPr>
          <w:rFonts w:hint="eastAsia"/>
          <w:color w:val="auto"/>
          <w:lang w:val="en-US" w:eastAsia="zh-CN"/>
        </w:rPr>
        <w:t>；</w:t>
      </w:r>
    </w:p>
    <w:p w14:paraId="3638AC60">
      <w:pPr>
        <w:numPr>
          <w:ilvl w:val="0"/>
          <w:numId w:val="0"/>
        </w:numPr>
        <w:ind w:firstLine="560" w:firstLineChars="200"/>
        <w:rPr>
          <w:rFonts w:hint="default"/>
          <w:color w:val="auto"/>
          <w:lang w:val="en-US" w:eastAsia="zh-CN"/>
        </w:rPr>
      </w:pPr>
      <w:r>
        <w:rPr>
          <w:rFonts w:hint="eastAsia"/>
          <w:color w:val="auto"/>
          <w:lang w:val="en-US" w:eastAsia="zh-CN"/>
        </w:rPr>
        <w:t>e）</w:t>
      </w:r>
      <w:r>
        <w:rPr>
          <w:rFonts w:hint="default"/>
          <w:color w:val="auto"/>
          <w:lang w:val="en-US" w:eastAsia="zh-CN"/>
        </w:rPr>
        <w:t>办公区宜包括管理办公室、商务办公室、会议室、监控室、贵宾接待室、活动室及职工书屋等。</w:t>
      </w:r>
    </w:p>
    <w:p w14:paraId="77A284DC">
      <w:pPr>
        <w:numPr>
          <w:ilvl w:val="0"/>
          <w:numId w:val="0"/>
        </w:numPr>
        <w:ind w:firstLine="560" w:firstLineChars="200"/>
        <w:rPr>
          <w:rFonts w:hint="eastAsia"/>
          <w:color w:val="auto"/>
          <w:lang w:val="en-US" w:eastAsia="zh-CN"/>
        </w:rPr>
      </w:pPr>
      <w:r>
        <w:rPr>
          <w:rFonts w:hint="eastAsia"/>
          <w:color w:val="auto"/>
          <w:lang w:val="en-US" w:eastAsia="zh-CN"/>
        </w:rPr>
        <w:t>7、综合楼造型设计应符合下列要求：</w:t>
      </w:r>
    </w:p>
    <w:p w14:paraId="24F3AF15">
      <w:pPr>
        <w:numPr>
          <w:ilvl w:val="0"/>
          <w:numId w:val="0"/>
        </w:numPr>
        <w:ind w:firstLine="560" w:firstLineChars="200"/>
        <w:rPr>
          <w:rFonts w:hint="default"/>
          <w:color w:val="auto"/>
          <w:lang w:val="en-US" w:eastAsia="zh-CN"/>
        </w:rPr>
      </w:pPr>
      <w:r>
        <w:rPr>
          <w:rFonts w:hint="eastAsia"/>
          <w:color w:val="auto"/>
          <w:lang w:val="en-US" w:eastAsia="zh-CN"/>
        </w:rPr>
        <w:t>a）</w:t>
      </w:r>
      <w:r>
        <w:rPr>
          <w:rFonts w:hint="default"/>
          <w:color w:val="auto"/>
          <w:lang w:val="en-US" w:eastAsia="zh-CN"/>
        </w:rPr>
        <w:t>结合周围环境及规划的特征，体现地域特色、人文特色及建筑自身个性</w:t>
      </w:r>
      <w:r>
        <w:rPr>
          <w:rFonts w:hint="eastAsia"/>
          <w:color w:val="auto"/>
          <w:lang w:val="en-US" w:eastAsia="zh-CN"/>
        </w:rPr>
        <w:t>；</w:t>
      </w:r>
    </w:p>
    <w:p w14:paraId="7A7B05C4">
      <w:pPr>
        <w:numPr>
          <w:ilvl w:val="0"/>
          <w:numId w:val="0"/>
        </w:numPr>
        <w:ind w:firstLine="560" w:firstLineChars="200"/>
        <w:rPr>
          <w:rFonts w:hint="default"/>
          <w:color w:val="auto"/>
          <w:lang w:val="en-US" w:eastAsia="zh-CN"/>
        </w:rPr>
      </w:pPr>
      <w:r>
        <w:rPr>
          <w:rFonts w:hint="eastAsia"/>
          <w:color w:val="auto"/>
          <w:lang w:val="en-US" w:eastAsia="zh-CN"/>
        </w:rPr>
        <w:t>b）</w:t>
      </w:r>
      <w:r>
        <w:rPr>
          <w:rFonts w:hint="default"/>
          <w:color w:val="auto"/>
          <w:lang w:val="en-US" w:eastAsia="zh-CN"/>
        </w:rPr>
        <w:t>简洁大方，突出高速公路交通建筑的识别性</w:t>
      </w:r>
      <w:r>
        <w:rPr>
          <w:rFonts w:hint="eastAsia"/>
          <w:color w:val="auto"/>
          <w:lang w:val="en-US" w:eastAsia="zh-CN"/>
        </w:rPr>
        <w:t>；</w:t>
      </w:r>
    </w:p>
    <w:p w14:paraId="4FF7BEC9">
      <w:pPr>
        <w:numPr>
          <w:ilvl w:val="0"/>
          <w:numId w:val="0"/>
        </w:numPr>
        <w:ind w:firstLine="560" w:firstLineChars="200"/>
        <w:rPr>
          <w:rFonts w:hint="default"/>
          <w:color w:val="auto"/>
          <w:lang w:val="en-US" w:eastAsia="zh-CN"/>
        </w:rPr>
      </w:pPr>
      <w:r>
        <w:rPr>
          <w:rFonts w:hint="eastAsia"/>
          <w:color w:val="auto"/>
          <w:lang w:val="en-US" w:eastAsia="zh-CN"/>
        </w:rPr>
        <w:t>c）</w:t>
      </w:r>
      <w:r>
        <w:rPr>
          <w:rFonts w:hint="default"/>
          <w:color w:val="auto"/>
          <w:lang w:val="en-US" w:eastAsia="zh-CN"/>
        </w:rPr>
        <w:t>建筑外观造型与色彩的处理应与周围环境协调。</w:t>
      </w:r>
    </w:p>
    <w:p w14:paraId="7391B8D8">
      <w:pPr>
        <w:numPr>
          <w:ilvl w:val="0"/>
          <w:numId w:val="0"/>
        </w:numPr>
        <w:ind w:firstLine="560" w:firstLineChars="200"/>
        <w:rPr>
          <w:rFonts w:hint="eastAsia"/>
          <w:color w:val="auto"/>
          <w:lang w:val="en-US" w:eastAsia="zh-CN"/>
        </w:rPr>
      </w:pPr>
      <w:r>
        <w:rPr>
          <w:rFonts w:hint="eastAsia"/>
          <w:color w:val="auto"/>
          <w:lang w:val="en-US" w:eastAsia="zh-CN"/>
        </w:rPr>
        <w:t>8、餐厅的设计应符合JGJ64的有关规定。</w:t>
      </w:r>
    </w:p>
    <w:p w14:paraId="0A62F1F9">
      <w:pPr>
        <w:numPr>
          <w:ilvl w:val="0"/>
          <w:numId w:val="0"/>
        </w:numPr>
        <w:ind w:firstLine="560" w:firstLineChars="200"/>
        <w:rPr>
          <w:rFonts w:hint="eastAsia"/>
          <w:color w:val="auto"/>
          <w:lang w:val="en-US" w:eastAsia="zh-CN"/>
        </w:rPr>
      </w:pPr>
      <w:r>
        <w:rPr>
          <w:rFonts w:hint="eastAsia"/>
          <w:color w:val="auto"/>
          <w:lang w:val="en-US" w:eastAsia="zh-CN"/>
        </w:rPr>
        <w:t>9、餐厅内墙面、顶棚宜色彩明亮，选用的材料和构造处理应不易积灰，便于清洁;地面宜选用耐磨、耐腐蚀、防滑、易清洁的小型块状吸水砖地面。</w:t>
      </w:r>
    </w:p>
    <w:p w14:paraId="2FDE577E">
      <w:pPr>
        <w:numPr>
          <w:ilvl w:val="0"/>
          <w:numId w:val="0"/>
        </w:numPr>
        <w:ind w:firstLine="560" w:firstLineChars="200"/>
        <w:rPr>
          <w:rFonts w:hint="eastAsia"/>
          <w:color w:val="auto"/>
          <w:lang w:val="en-US" w:eastAsia="zh-CN"/>
        </w:rPr>
      </w:pPr>
      <w:r>
        <w:rPr>
          <w:rFonts w:hint="eastAsia"/>
          <w:color w:val="auto"/>
          <w:lang w:val="en-US" w:eastAsia="zh-CN"/>
        </w:rPr>
        <w:t>10、餐厅在平面设计和设施上应方便残疾人的使用。</w:t>
      </w:r>
    </w:p>
    <w:p w14:paraId="61BB5C9F">
      <w:pPr>
        <w:numPr>
          <w:ilvl w:val="0"/>
          <w:numId w:val="0"/>
        </w:numPr>
        <w:ind w:firstLine="560" w:firstLineChars="200"/>
        <w:rPr>
          <w:rFonts w:hint="eastAsia"/>
          <w:color w:val="auto"/>
          <w:lang w:val="en-US" w:eastAsia="zh-CN"/>
        </w:rPr>
      </w:pPr>
      <w:r>
        <w:rPr>
          <w:rFonts w:hint="eastAsia"/>
          <w:color w:val="auto"/>
          <w:lang w:val="en-US" w:eastAsia="zh-CN"/>
        </w:rPr>
        <w:t>11、服务区客房的设计应符合JGJ62-90的有关规定。</w:t>
      </w:r>
    </w:p>
    <w:p w14:paraId="6E143590">
      <w:pPr>
        <w:numPr>
          <w:ilvl w:val="0"/>
          <w:numId w:val="0"/>
        </w:numPr>
        <w:ind w:firstLine="560" w:firstLineChars="200"/>
        <w:rPr>
          <w:rFonts w:hint="eastAsia"/>
          <w:color w:val="auto"/>
          <w:lang w:val="en-US" w:eastAsia="zh-CN"/>
        </w:rPr>
      </w:pPr>
      <w:r>
        <w:rPr>
          <w:rFonts w:hint="eastAsia"/>
          <w:color w:val="auto"/>
          <w:lang w:val="en-US" w:eastAsia="zh-CN"/>
        </w:rPr>
        <w:t>12、客房沿停车场布置时，应采取防噪措施，宜利用阳台或外廊进行隔声、减噪处理。</w:t>
      </w:r>
    </w:p>
    <w:p w14:paraId="56249C8F">
      <w:pPr>
        <w:numPr>
          <w:ilvl w:val="0"/>
          <w:numId w:val="0"/>
        </w:numPr>
        <w:ind w:firstLine="560" w:firstLineChars="200"/>
        <w:rPr>
          <w:rFonts w:hint="eastAsia"/>
          <w:color w:val="auto"/>
          <w:lang w:val="en-US" w:eastAsia="zh-CN"/>
        </w:rPr>
      </w:pPr>
      <w:r>
        <w:rPr>
          <w:rFonts w:hint="eastAsia"/>
          <w:color w:val="auto"/>
          <w:lang w:val="en-US" w:eastAsia="zh-CN"/>
        </w:rPr>
        <w:t>13、监控室建筑面积不小于20 m</w:t>
      </w:r>
      <w:r>
        <w:rPr>
          <w:rFonts w:hint="eastAsia"/>
          <w:color w:val="auto"/>
          <w:vertAlign w:val="superscript"/>
          <w:lang w:val="en-US" w:eastAsia="zh-CN"/>
        </w:rPr>
        <w:t>2</w:t>
      </w:r>
      <w:r>
        <w:rPr>
          <w:rFonts w:hint="eastAsia"/>
          <w:color w:val="auto"/>
          <w:lang w:val="en-US" w:eastAsia="zh-CN"/>
        </w:rPr>
        <w:t>，不宜设置在底层。</w:t>
      </w:r>
    </w:p>
    <w:p w14:paraId="00C8C3C0">
      <w:pPr>
        <w:numPr>
          <w:ilvl w:val="0"/>
          <w:numId w:val="0"/>
        </w:numPr>
        <w:ind w:firstLine="560" w:firstLineChars="200"/>
        <w:rPr>
          <w:rFonts w:hint="eastAsia"/>
          <w:color w:val="auto"/>
          <w:lang w:val="en-US" w:eastAsia="zh-CN"/>
        </w:rPr>
      </w:pPr>
      <w:r>
        <w:rPr>
          <w:rFonts w:hint="eastAsia"/>
          <w:color w:val="auto"/>
          <w:lang w:val="en-US" w:eastAsia="zh-CN"/>
        </w:rPr>
        <w:t>14、监控室应符合JTG D80的有关规定。</w:t>
      </w:r>
    </w:p>
    <w:p w14:paraId="667BE1A1">
      <w:pPr>
        <w:numPr>
          <w:ilvl w:val="0"/>
          <w:numId w:val="0"/>
        </w:numPr>
        <w:ind w:firstLine="560" w:firstLineChars="200"/>
        <w:rPr>
          <w:rFonts w:hint="eastAsia"/>
          <w:color w:val="auto"/>
          <w:lang w:val="en-US" w:eastAsia="zh-CN"/>
        </w:rPr>
      </w:pPr>
      <w:r>
        <w:rPr>
          <w:rFonts w:hint="eastAsia"/>
          <w:color w:val="auto"/>
          <w:lang w:val="en-US" w:eastAsia="zh-CN"/>
        </w:rPr>
        <w:t>15、汽修站设计应符合GB 50067和JGJ60的有关规定。</w:t>
      </w:r>
    </w:p>
    <w:p w14:paraId="3E8249F8">
      <w:pPr>
        <w:bidi w:val="0"/>
        <w:rPr>
          <w:rFonts w:hint="eastAsia"/>
          <w:color w:val="auto"/>
          <w:lang w:val="en-US" w:eastAsia="zh-CN"/>
        </w:rPr>
      </w:pPr>
      <w:r>
        <w:rPr>
          <w:rFonts w:hint="eastAsia"/>
          <w:color w:val="auto"/>
          <w:lang w:val="en-US" w:eastAsia="zh-CN"/>
        </w:rPr>
        <w:t>16、一、二级单、多层民用建筑防火分区的最大允许建筑面积为2500m</w:t>
      </w:r>
      <w:r>
        <w:rPr>
          <w:rFonts w:hint="eastAsia"/>
          <w:color w:val="auto"/>
          <w:vertAlign w:val="superscript"/>
          <w:lang w:val="en-US" w:eastAsia="zh-CN"/>
        </w:rPr>
        <w:t>2</w:t>
      </w:r>
      <w:r>
        <w:rPr>
          <w:rFonts w:hint="eastAsia"/>
          <w:color w:val="auto"/>
          <w:lang w:val="en-US" w:eastAsia="zh-CN"/>
        </w:rPr>
        <w:t>。</w:t>
      </w:r>
    </w:p>
    <w:p w14:paraId="01F8AD0B">
      <w:pPr>
        <w:bidi w:val="0"/>
        <w:rPr>
          <w:rFonts w:hint="eastAsia"/>
          <w:color w:val="auto"/>
          <w:lang w:val="en-US" w:eastAsia="zh-CN"/>
        </w:rPr>
      </w:pPr>
      <w:r>
        <w:rPr>
          <w:rFonts w:hint="eastAsia"/>
          <w:color w:val="auto"/>
          <w:lang w:val="en-US" w:eastAsia="zh-CN"/>
        </w:rPr>
        <w:t>17、 建筑内设置自动扶梯、敞开楼梯等上、下层相连通的开口时,其防火分区的建筑面积应按上、下层相连通的建筑面积叠加计算；当叠加计算后的建筑面积大于GB50016第5.3.1条的规定时，应划分防火分区。</w:t>
      </w:r>
    </w:p>
    <w:p w14:paraId="1266E06B">
      <w:pPr>
        <w:bidi w:val="0"/>
        <w:rPr>
          <w:rFonts w:hint="eastAsia"/>
          <w:color w:val="auto"/>
          <w:lang w:val="en-US" w:eastAsia="zh-CN"/>
        </w:rPr>
      </w:pPr>
      <w:r>
        <w:rPr>
          <w:rFonts w:hint="eastAsia"/>
          <w:color w:val="auto"/>
          <w:lang w:val="en-US" w:eastAsia="zh-CN"/>
        </w:rPr>
        <w:t>18、防火分区之间应采用防火墙分隔,确有困难时,可采用防火卷帘等防火分隔设施分隔。采用防火卷帘分隔时，应符合GB50016第6.5.3条的规定。</w:t>
      </w:r>
    </w:p>
    <w:p w14:paraId="45E65ECE">
      <w:pPr>
        <w:bidi w:val="0"/>
        <w:rPr>
          <w:rFonts w:hint="eastAsia"/>
          <w:color w:val="auto"/>
          <w:lang w:val="en-US" w:eastAsia="zh-CN"/>
        </w:rPr>
      </w:pPr>
      <w:r>
        <w:rPr>
          <w:rFonts w:hint="eastAsia"/>
          <w:color w:val="auto"/>
          <w:lang w:val="en-US" w:eastAsia="zh-CN"/>
        </w:rPr>
        <w:t>19、综合楼内的安全出口全部直通室外确有困难的防火分区，可利用通向相邻防火分区的甲级防火门作为安全出口，但应符合下列要求：</w:t>
      </w:r>
    </w:p>
    <w:p w14:paraId="781B790F">
      <w:pPr>
        <w:bidi w:val="0"/>
        <w:rPr>
          <w:rFonts w:hint="eastAsia"/>
          <w:color w:val="auto"/>
          <w:lang w:val="en-US" w:eastAsia="zh-CN"/>
        </w:rPr>
      </w:pPr>
      <w:r>
        <w:rPr>
          <w:rFonts w:hint="eastAsia"/>
          <w:color w:val="auto"/>
          <w:lang w:val="en-US" w:eastAsia="zh-CN"/>
        </w:rPr>
        <w:t>1）利用通向相邻防火分区的甲级防火门作为安全出口时，应采用防火墙与相邻防火分区进行分隔；</w:t>
      </w:r>
    </w:p>
    <w:p w14:paraId="6E9D3B83">
      <w:pPr>
        <w:bidi w:val="0"/>
        <w:rPr>
          <w:rFonts w:hint="eastAsia"/>
          <w:color w:val="auto"/>
          <w:lang w:val="en-US" w:eastAsia="zh-CN"/>
        </w:rPr>
      </w:pPr>
      <w:r>
        <w:rPr>
          <w:rFonts w:hint="eastAsia"/>
          <w:color w:val="auto"/>
          <w:lang w:val="en-US" w:eastAsia="zh-CN"/>
        </w:rPr>
        <w:t>2）建筑面积大于1000m</w:t>
      </w:r>
      <w:r>
        <w:rPr>
          <w:rFonts w:hint="eastAsia"/>
          <w:color w:val="auto"/>
          <w:vertAlign w:val="superscript"/>
          <w:lang w:val="en-US" w:eastAsia="zh-CN"/>
        </w:rPr>
        <w:t>2</w:t>
      </w:r>
      <w:r>
        <w:rPr>
          <w:rFonts w:hint="eastAsia"/>
          <w:color w:val="auto"/>
          <w:lang w:val="en-US" w:eastAsia="zh-CN"/>
        </w:rPr>
        <w:t>的防火分区，直通室外的安全出口不应少于2个；建筑面积不大于1000m</w:t>
      </w:r>
      <w:r>
        <w:rPr>
          <w:rFonts w:hint="eastAsia"/>
          <w:color w:val="auto"/>
          <w:vertAlign w:val="superscript"/>
          <w:lang w:val="en-US" w:eastAsia="zh-CN"/>
        </w:rPr>
        <w:t>2</w:t>
      </w:r>
      <w:r>
        <w:rPr>
          <w:rFonts w:hint="eastAsia"/>
          <w:color w:val="auto"/>
          <w:lang w:val="en-US" w:eastAsia="zh-CN"/>
        </w:rPr>
        <w:t>的防火分区，直通室外的安全出口不应少于1个；</w:t>
      </w:r>
    </w:p>
    <w:p w14:paraId="686D7846">
      <w:pPr>
        <w:bidi w:val="0"/>
        <w:rPr>
          <w:rFonts w:hint="eastAsia"/>
          <w:color w:val="auto"/>
          <w:lang w:val="en-US" w:eastAsia="zh-CN"/>
        </w:rPr>
      </w:pPr>
      <w:r>
        <w:rPr>
          <w:rFonts w:hint="default"/>
          <w:color w:val="auto"/>
          <w:lang w:val="en-US" w:eastAsia="zh-CN"/>
        </w:rPr>
        <w:t>3</w:t>
      </w:r>
      <w:r>
        <w:rPr>
          <w:rFonts w:hint="eastAsia"/>
          <w:color w:val="auto"/>
          <w:lang w:val="en-US" w:eastAsia="zh-CN"/>
        </w:rPr>
        <w:t>）</w:t>
      </w:r>
      <w:r>
        <w:rPr>
          <w:rFonts w:hint="default"/>
          <w:color w:val="auto"/>
          <w:lang w:val="en-US" w:eastAsia="zh-CN"/>
        </w:rPr>
        <w:t>该防火分区通向相邻防火分区的疏散净宽度不应大于其按</w:t>
      </w:r>
      <w:r>
        <w:rPr>
          <w:rFonts w:hint="eastAsia"/>
          <w:color w:val="auto"/>
          <w:lang w:val="en-US" w:eastAsia="zh-CN"/>
        </w:rPr>
        <w:t>GB50016</w:t>
      </w:r>
      <w:r>
        <w:rPr>
          <w:rFonts w:hint="default"/>
          <w:color w:val="auto"/>
          <w:lang w:val="en-US" w:eastAsia="zh-CN"/>
        </w:rPr>
        <w:t>第5.5.21条规定计算所需疏散总净宽度的30%，建筑各层直通室外的安全出口总净宽度不应小于按照</w:t>
      </w:r>
      <w:r>
        <w:rPr>
          <w:rFonts w:hint="eastAsia"/>
          <w:color w:val="auto"/>
          <w:lang w:val="en-US" w:eastAsia="zh-CN"/>
        </w:rPr>
        <w:t>GB50016</w:t>
      </w:r>
      <w:r>
        <w:rPr>
          <w:rFonts w:hint="default"/>
          <w:color w:val="auto"/>
          <w:lang w:val="en-US" w:eastAsia="zh-CN"/>
        </w:rPr>
        <w:t>第5.5.21条规定计算所需疏散总净宽度</w:t>
      </w:r>
      <w:r>
        <w:rPr>
          <w:rFonts w:hint="eastAsia"/>
          <w:color w:val="auto"/>
          <w:lang w:val="en-US" w:eastAsia="zh-CN"/>
        </w:rPr>
        <w:t>。</w:t>
      </w:r>
    </w:p>
    <w:p w14:paraId="656D92E6">
      <w:pPr>
        <w:bidi w:val="0"/>
        <w:rPr>
          <w:rFonts w:hint="eastAsia"/>
          <w:color w:val="auto"/>
          <w:lang w:val="en-US" w:eastAsia="zh-CN"/>
        </w:rPr>
      </w:pPr>
      <w:r>
        <w:rPr>
          <w:rFonts w:hint="eastAsia"/>
          <w:color w:val="auto"/>
          <w:lang w:val="en-US" w:eastAsia="zh-CN"/>
        </w:rPr>
        <w:t>20、综合楼的疏散门不应设置门槛，其净宽度不应小于1.4m，且紧靠门口内外各1.4m范围内不应设置踏步。室外疏散通道的净宽度不应小于3.0m，并应直接通向宽敞地带。</w:t>
      </w:r>
    </w:p>
    <w:p w14:paraId="4E15FF68">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21、附设在综合楼内的消防控制室、灭火设备室和通风空气调节机房、变配电室等，应采用耐火极限不低于2.00h的防火隔墙和1.50h的楼板与其他部位分隔。</w:t>
      </w:r>
    </w:p>
    <w:p w14:paraId="53E6AA24">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通风、空气调节机房和变配电室开向建筑内的门应采用甲级防火门，消防控制室和其他设备房开向建筑内的门应采用乙级防火门。</w:t>
      </w:r>
    </w:p>
    <w:p w14:paraId="54164E2E">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22、防烟、排烟、供暖、通风和空气调节系统中的管道及建筑内的其他管道，在穿越防火隔墙、楼板和防火墙处的孔隙应采用防火封堵材料封堵。</w:t>
      </w:r>
    </w:p>
    <w:p w14:paraId="12EDA601">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风管穿过防火隔墙、楼板和防火墙时，穿越处风管上的防火阀、排烟防火阀两侧各2.0m范围内的风管应采用耐火风管或风管外壁应采取防火保护措施，且耐火极限不应低于该防火分隔体的耐火极限。</w:t>
      </w:r>
    </w:p>
    <w:p w14:paraId="28F32EA7">
      <w:pPr>
        <w:pStyle w:val="51"/>
        <w:pageBreakBefore w:val="0"/>
        <w:widowControl w:val="0"/>
        <w:numPr>
          <w:ilvl w:val="0"/>
          <w:numId w:val="13"/>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疏散走道在防火分区处应设置常开甲级防火门。</w:t>
      </w:r>
    </w:p>
    <w:p w14:paraId="1381B0DD">
      <w:pPr>
        <w:pStyle w:val="51"/>
        <w:pageBreakBefore w:val="0"/>
        <w:widowControl w:val="0"/>
        <w:numPr>
          <w:ilvl w:val="0"/>
          <w:numId w:val="13"/>
        </w:numPr>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lang w:val="en-US" w:eastAsia="zh-CN"/>
        </w:rPr>
      </w:pPr>
      <w:r>
        <w:rPr>
          <w:rFonts w:hint="default"/>
          <w:color w:val="auto"/>
          <w:sz w:val="28"/>
          <w:szCs w:val="28"/>
          <w:lang w:val="en-US" w:eastAsia="zh-CN"/>
        </w:rPr>
        <w:t>建筑内的疏散门应符合下列规定</w:t>
      </w:r>
      <w:r>
        <w:rPr>
          <w:rFonts w:hint="eastAsia"/>
          <w:color w:val="auto"/>
          <w:sz w:val="28"/>
          <w:szCs w:val="28"/>
          <w:lang w:val="en-US" w:eastAsia="zh-CN"/>
        </w:rPr>
        <w:t>：</w:t>
      </w:r>
    </w:p>
    <w:p w14:paraId="67E895E3">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lang w:val="en-US" w:eastAsia="zh-CN"/>
        </w:rPr>
      </w:pPr>
      <w:r>
        <w:rPr>
          <w:rFonts w:hint="eastAsia"/>
          <w:color w:val="auto"/>
          <w:sz w:val="28"/>
          <w:szCs w:val="28"/>
          <w:lang w:val="en-US" w:eastAsia="zh-CN"/>
        </w:rPr>
        <w:t>1）服务区各</w:t>
      </w:r>
      <w:r>
        <w:rPr>
          <w:rFonts w:hint="default"/>
          <w:color w:val="auto"/>
          <w:sz w:val="28"/>
          <w:szCs w:val="28"/>
          <w:lang w:val="en-US" w:eastAsia="zh-CN"/>
        </w:rPr>
        <w:t>建筑的疏散门，应采用向疏散方向开启的平开门</w:t>
      </w:r>
      <w:r>
        <w:rPr>
          <w:rFonts w:hint="eastAsia"/>
          <w:color w:val="auto"/>
          <w:sz w:val="28"/>
          <w:szCs w:val="28"/>
          <w:lang w:val="en-US" w:eastAsia="zh-CN"/>
        </w:rPr>
        <w:t>，</w:t>
      </w:r>
      <w:r>
        <w:rPr>
          <w:rFonts w:hint="default"/>
          <w:color w:val="auto"/>
          <w:sz w:val="28"/>
          <w:szCs w:val="28"/>
          <w:lang w:val="en-US" w:eastAsia="zh-CN"/>
        </w:rPr>
        <w:t>不应采用推拉门、卷帘门、吊门、转门和折叠门。人数不超过60人且每樘门的平均疏散人数不超过30人的房间</w:t>
      </w:r>
      <w:r>
        <w:rPr>
          <w:rFonts w:hint="eastAsia"/>
          <w:color w:val="auto"/>
          <w:sz w:val="28"/>
          <w:szCs w:val="28"/>
          <w:lang w:val="en-US" w:eastAsia="zh-CN"/>
        </w:rPr>
        <w:t>，</w:t>
      </w:r>
      <w:r>
        <w:rPr>
          <w:rFonts w:hint="default"/>
          <w:color w:val="auto"/>
          <w:sz w:val="28"/>
          <w:szCs w:val="28"/>
          <w:lang w:val="en-US" w:eastAsia="zh-CN"/>
        </w:rPr>
        <w:t>其疏散门的开启方向不限。</w:t>
      </w:r>
    </w:p>
    <w:p w14:paraId="0CF6D8CC">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lang w:val="en-US" w:eastAsia="zh-CN"/>
        </w:rPr>
      </w:pPr>
      <w:r>
        <w:rPr>
          <w:rFonts w:hint="eastAsia"/>
          <w:color w:val="auto"/>
          <w:sz w:val="28"/>
          <w:szCs w:val="28"/>
          <w:lang w:val="en-US" w:eastAsia="zh-CN"/>
        </w:rPr>
        <w:t>2）</w:t>
      </w:r>
      <w:r>
        <w:rPr>
          <w:rFonts w:hint="default"/>
          <w:color w:val="auto"/>
          <w:sz w:val="28"/>
          <w:szCs w:val="28"/>
          <w:lang w:val="en-US" w:eastAsia="zh-CN"/>
        </w:rPr>
        <w:t>开向疏散楼梯或疏散楼梯间的门，当其完全开启时，不应减少楼梯平台的有效宽度。</w:t>
      </w:r>
    </w:p>
    <w:p w14:paraId="1ED93CB2">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lang w:val="en-US" w:eastAsia="zh-CN"/>
        </w:rPr>
      </w:pPr>
      <w:r>
        <w:rPr>
          <w:rFonts w:hint="eastAsia"/>
          <w:color w:val="auto"/>
          <w:sz w:val="28"/>
          <w:szCs w:val="28"/>
          <w:lang w:val="en-US" w:eastAsia="zh-CN"/>
        </w:rPr>
        <w:t>3）</w:t>
      </w:r>
      <w:r>
        <w:rPr>
          <w:rFonts w:hint="default"/>
          <w:color w:val="auto"/>
          <w:sz w:val="28"/>
          <w:szCs w:val="28"/>
          <w:lang w:val="en-US" w:eastAsia="zh-CN"/>
        </w:rPr>
        <w:t>平时需要控制人员随意出入的疏散门和设置门禁系统的</w:t>
      </w:r>
      <w:r>
        <w:rPr>
          <w:rFonts w:hint="eastAsia"/>
          <w:color w:val="auto"/>
          <w:sz w:val="28"/>
          <w:szCs w:val="28"/>
          <w:lang w:val="en-US" w:eastAsia="zh-CN"/>
        </w:rPr>
        <w:t>员工</w:t>
      </w:r>
      <w:r>
        <w:rPr>
          <w:rFonts w:hint="default"/>
          <w:color w:val="auto"/>
          <w:sz w:val="28"/>
          <w:szCs w:val="28"/>
          <w:lang w:val="en-US" w:eastAsia="zh-CN"/>
        </w:rPr>
        <w:t>宿舍外门</w:t>
      </w:r>
      <w:r>
        <w:rPr>
          <w:rFonts w:hint="eastAsia"/>
          <w:color w:val="auto"/>
          <w:sz w:val="28"/>
          <w:szCs w:val="28"/>
          <w:lang w:val="en-US" w:eastAsia="zh-CN"/>
        </w:rPr>
        <w:t>，</w:t>
      </w:r>
      <w:r>
        <w:rPr>
          <w:rFonts w:hint="default"/>
          <w:color w:val="auto"/>
          <w:sz w:val="28"/>
          <w:szCs w:val="28"/>
          <w:lang w:val="en-US" w:eastAsia="zh-CN"/>
        </w:rPr>
        <w:t>应保证火灾时不需使用钥匙等任何工具即能从内部易于打开</w:t>
      </w:r>
      <w:r>
        <w:rPr>
          <w:rFonts w:hint="eastAsia"/>
          <w:color w:val="auto"/>
          <w:sz w:val="28"/>
          <w:szCs w:val="28"/>
          <w:lang w:val="en-US" w:eastAsia="zh-CN"/>
        </w:rPr>
        <w:t>，</w:t>
      </w:r>
      <w:r>
        <w:rPr>
          <w:rFonts w:hint="default"/>
          <w:color w:val="auto"/>
          <w:sz w:val="28"/>
          <w:szCs w:val="28"/>
          <w:lang w:val="en-US" w:eastAsia="zh-CN"/>
        </w:rPr>
        <w:t>并应在显著位置设置具有使用提示的标识。</w:t>
      </w:r>
    </w:p>
    <w:p w14:paraId="623F8232">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25、设置人员密集场所的综合楼建筑，其外墙外保温材料的燃烧性能应为A级。</w:t>
      </w:r>
    </w:p>
    <w:p w14:paraId="4576362F">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26、消防水泵房的设置应符合下列规定:</w:t>
      </w:r>
    </w:p>
    <w:p w14:paraId="33279DEB">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1）、附设在设备房内的消防水泵房，不应设置在室内地面与室外出入口地坪高差大于10m的地下楼层；</w:t>
      </w:r>
    </w:p>
    <w:p w14:paraId="376F72E6">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2）、疏散门应直通室外或安全出口。</w:t>
      </w:r>
    </w:p>
    <w:p w14:paraId="575FA2AC">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27、消防控制室的设置应符合下列规定:</w:t>
      </w:r>
    </w:p>
    <w:p w14:paraId="2053E6BA">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1）、附设在建筑内的消防控制室，宜设置在建筑内首层或地下一层，并宜布置在靠外墙部位；</w:t>
      </w:r>
    </w:p>
    <w:p w14:paraId="07DADEDF">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2）、不应设置在电磁场干扰较强及其他可能影响消防控制设备正常工作的房间附近；</w:t>
      </w:r>
    </w:p>
    <w:p w14:paraId="26763000">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3）、疏散门应直通室外或安全出口；</w:t>
      </w:r>
    </w:p>
    <w:p w14:paraId="30917BFC">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4）、消防控制室内的设备构成及其对建筑消防设施的控制与显示功能以及向远程监控系统传输相关信息的功能，应符合现行国家标准《火灾自动报警系统设计规范》GB50116和《消防控制室通用技术要求》GB25506的规定。</w:t>
      </w:r>
    </w:p>
    <w:p w14:paraId="092EB92B">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28、消防水泵房和消防控制室应采取防水淹的技术措施。</w:t>
      </w:r>
    </w:p>
    <w:p w14:paraId="1DBB0A99">
      <w:pPr>
        <w:pStyle w:val="51"/>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29、设置在建筑内的防排烟风机应设置在不同的专用机房内，有关防火分隔措施应符合GB50016第6.2.7条的规定。</w:t>
      </w:r>
    </w:p>
    <w:p w14:paraId="0FC0B625">
      <w:pPr>
        <w:bidi w:val="0"/>
        <w:rPr>
          <w:rFonts w:hint="eastAsia"/>
          <w:color w:val="auto"/>
          <w:lang w:val="en-US" w:eastAsia="zh-CN"/>
        </w:rPr>
      </w:pPr>
      <w:r>
        <w:rPr>
          <w:rFonts w:hint="eastAsia"/>
          <w:color w:val="auto"/>
          <w:lang w:val="en-US" w:eastAsia="zh-CN"/>
        </w:rPr>
        <w:t>30、服务区内各防雷建筑物应设内部防雷装置，并应符合下列规定：</w:t>
      </w:r>
    </w:p>
    <w:p w14:paraId="2954891D">
      <w:pPr>
        <w:bidi w:val="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color w:val="auto"/>
        </w:rPr>
        <w:t>在建筑物的地下室或地面层处，以下物体应与防雷装</w:t>
      </w:r>
      <w:r>
        <w:rPr>
          <w:rFonts w:hint="eastAsia"/>
          <w:color w:val="auto"/>
          <w:lang w:val="en-US" w:eastAsia="zh-CN"/>
        </w:rPr>
        <w:t>置做</w:t>
      </w:r>
      <w:r>
        <w:rPr>
          <w:color w:val="auto"/>
        </w:rPr>
        <w:t>防雷等电位连接：</w:t>
      </w:r>
    </w:p>
    <w:p w14:paraId="1BC7A2E3">
      <w:pPr>
        <w:bidi w:val="0"/>
        <w:rPr>
          <w:color w:val="auto"/>
        </w:rPr>
      </w:pPr>
      <w:r>
        <w:rPr>
          <w:color w:val="auto"/>
        </w:rPr>
        <w:t xml:space="preserve"> 1） 建筑物金属体。</w:t>
      </w:r>
    </w:p>
    <w:p w14:paraId="306860D1">
      <w:pPr>
        <w:bidi w:val="0"/>
        <w:rPr>
          <w:color w:val="auto"/>
        </w:rPr>
      </w:pPr>
      <w:r>
        <w:rPr>
          <w:color w:val="auto"/>
        </w:rPr>
        <w:t xml:space="preserve"> 2） 金属装</w:t>
      </w:r>
      <w:r>
        <w:rPr>
          <w:rFonts w:hint="eastAsia"/>
          <w:color w:val="auto"/>
          <w:lang w:val="en-US" w:eastAsia="zh-CN"/>
        </w:rPr>
        <w:t>置</w:t>
      </w:r>
      <w:r>
        <w:rPr>
          <w:color w:val="auto"/>
        </w:rPr>
        <w:t xml:space="preserve">。 </w:t>
      </w:r>
    </w:p>
    <w:p w14:paraId="09DDEE96">
      <w:pPr>
        <w:bidi w:val="0"/>
        <w:ind w:firstLine="840" w:firstLineChars="300"/>
        <w:rPr>
          <w:color w:val="auto"/>
        </w:rPr>
      </w:pPr>
      <w:r>
        <w:rPr>
          <w:color w:val="auto"/>
        </w:rPr>
        <w:t>3） 建筑物内系统。</w:t>
      </w:r>
    </w:p>
    <w:p w14:paraId="073D3EB9">
      <w:pPr>
        <w:bidi w:val="0"/>
        <w:rPr>
          <w:color w:val="auto"/>
        </w:rPr>
      </w:pPr>
      <w:r>
        <w:rPr>
          <w:color w:val="auto"/>
        </w:rPr>
        <w:t xml:space="preserve"> 4） 进出建筑物的金属管线。</w:t>
      </w:r>
    </w:p>
    <w:p w14:paraId="0E6B8842">
      <w:pPr>
        <w:bidi w:val="0"/>
        <w:rPr>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color w:val="auto"/>
        </w:rPr>
        <w:t>外部防雷装</w:t>
      </w:r>
      <w:r>
        <w:rPr>
          <w:rFonts w:hint="eastAsia"/>
          <w:color w:val="auto"/>
          <w:lang w:val="en-US" w:eastAsia="zh-CN"/>
        </w:rPr>
        <w:t>置</w:t>
      </w:r>
      <w:r>
        <w:rPr>
          <w:color w:val="auto"/>
        </w:rPr>
        <w:t>与建筑物金属体、金属装</w:t>
      </w:r>
      <w:r>
        <w:rPr>
          <w:rFonts w:hint="eastAsia"/>
          <w:color w:val="auto"/>
          <w:lang w:val="en-US" w:eastAsia="zh-CN"/>
        </w:rPr>
        <w:t>置</w:t>
      </w:r>
      <w:r>
        <w:rPr>
          <w:color w:val="auto"/>
        </w:rPr>
        <w:t>、 建筑物内系统之间，尚应满足间隔距离的要求</w:t>
      </w:r>
    </w:p>
    <w:p w14:paraId="1AD846CA">
      <w:pPr>
        <w:bidi w:val="0"/>
        <w:rPr>
          <w:color w:val="auto"/>
        </w:rPr>
      </w:pPr>
      <w:r>
        <w:rPr>
          <w:rFonts w:hint="eastAsia"/>
          <w:color w:val="auto"/>
          <w:lang w:val="en-US" w:eastAsia="zh-CN"/>
        </w:rPr>
        <w:t>31、</w:t>
      </w:r>
      <w:r>
        <w:rPr>
          <w:color w:val="auto"/>
        </w:rPr>
        <w:t>突出屋面的物体的保护措施应符合</w:t>
      </w:r>
      <w:r>
        <w:rPr>
          <w:rFonts w:hint="eastAsia"/>
          <w:color w:val="auto"/>
          <w:lang w:val="en-US" w:eastAsia="zh-CN"/>
        </w:rPr>
        <w:t>GB50057</w:t>
      </w:r>
      <w:r>
        <w:rPr>
          <w:color w:val="auto"/>
        </w:rPr>
        <w:t>第4.3.2条的规定。</w:t>
      </w:r>
    </w:p>
    <w:p w14:paraId="2E543852">
      <w:pPr>
        <w:bidi w:val="0"/>
        <w:rPr>
          <w:color w:val="auto"/>
        </w:rPr>
      </w:pPr>
      <w:r>
        <w:rPr>
          <w:rFonts w:hint="eastAsia"/>
          <w:color w:val="auto"/>
          <w:lang w:val="en-US" w:eastAsia="zh-CN"/>
        </w:rPr>
        <w:t>32、</w:t>
      </w:r>
      <w:r>
        <w:rPr>
          <w:color w:val="auto"/>
        </w:rPr>
        <w:t>专设引下线不应少于2根，并应沿建筑物四周和内庭院四周均匀对称布</w:t>
      </w:r>
      <w:r>
        <w:rPr>
          <w:rFonts w:hint="eastAsia"/>
          <w:color w:val="auto"/>
          <w:lang w:val="en-US" w:eastAsia="zh-CN"/>
        </w:rPr>
        <w:t>置</w:t>
      </w:r>
      <w:r>
        <w:rPr>
          <w:color w:val="auto"/>
        </w:rPr>
        <w:t>，其间距沿周长计算不宜大于25m。当建筑物的跨度较大，无法在跨距中间设引下线时，应在跨距两端设引下线并减小其他引下线的间距，专设引下线的平均间距不应大于25m。</w:t>
      </w:r>
    </w:p>
    <w:p w14:paraId="4A5FD542">
      <w:pPr>
        <w:bidi w:val="0"/>
        <w:rPr>
          <w:rFonts w:hint="default"/>
          <w:color w:val="auto"/>
          <w:lang w:val="en-US" w:eastAsia="zh-CN"/>
        </w:rPr>
      </w:pPr>
      <w:r>
        <w:rPr>
          <w:rFonts w:hint="eastAsia"/>
          <w:color w:val="auto"/>
          <w:lang w:val="en-US" w:eastAsia="zh-CN"/>
        </w:rPr>
        <w:t>33、</w:t>
      </w:r>
      <w:r>
        <w:rPr>
          <w:color w:val="auto"/>
        </w:rPr>
        <w:t>防雷装</w:t>
      </w:r>
      <w:r>
        <w:rPr>
          <w:rFonts w:hint="eastAsia"/>
          <w:color w:val="auto"/>
          <w:lang w:val="en-US" w:eastAsia="zh-CN"/>
        </w:rPr>
        <w:t>置</w:t>
      </w:r>
      <w:r>
        <w:rPr>
          <w:color w:val="auto"/>
        </w:rPr>
        <w:t>的接地应与电气和电子系统等接地共用接地装</w:t>
      </w:r>
      <w:r>
        <w:rPr>
          <w:rFonts w:hint="eastAsia"/>
          <w:color w:val="auto"/>
          <w:lang w:val="en-US" w:eastAsia="zh-CN"/>
        </w:rPr>
        <w:t>置</w:t>
      </w:r>
      <w:r>
        <w:rPr>
          <w:color w:val="auto"/>
        </w:rPr>
        <w:t>，并应与引入的金属管线做等电位连接。外部防雷装臵的专设接地装</w:t>
      </w:r>
      <w:r>
        <w:rPr>
          <w:rFonts w:hint="eastAsia"/>
          <w:color w:val="auto"/>
          <w:lang w:val="en-US" w:eastAsia="zh-CN"/>
        </w:rPr>
        <w:t>置</w:t>
      </w:r>
      <w:r>
        <w:rPr>
          <w:color w:val="auto"/>
        </w:rPr>
        <w:t>宜围绕建筑物敷设成环形接地体。</w:t>
      </w:r>
    </w:p>
    <w:p w14:paraId="05512909">
      <w:pPr>
        <w:pStyle w:val="6"/>
        <w:bidi w:val="0"/>
        <w:rPr>
          <w:rFonts w:hint="eastAsia"/>
          <w:color w:val="auto"/>
          <w:lang w:val="en-US" w:eastAsia="zh-CN"/>
        </w:rPr>
      </w:pPr>
      <w:bookmarkStart w:id="127" w:name="_Toc14574"/>
      <w:r>
        <w:rPr>
          <w:rFonts w:hint="eastAsia"/>
          <w:color w:val="auto"/>
          <w:lang w:val="en-US" w:eastAsia="zh-CN"/>
        </w:rPr>
        <w:t>7.2.2道路交通</w:t>
      </w:r>
      <w:bookmarkEnd w:id="127"/>
    </w:p>
    <w:p w14:paraId="6E5AE473">
      <w:pPr>
        <w:numPr>
          <w:ilvl w:val="0"/>
          <w:numId w:val="14"/>
        </w:numPr>
        <w:rPr>
          <w:rFonts w:hint="eastAsia"/>
          <w:color w:val="auto"/>
          <w:lang w:val="en-US" w:eastAsia="zh-CN"/>
        </w:rPr>
      </w:pPr>
      <w:r>
        <w:rPr>
          <w:rFonts w:hint="eastAsia"/>
          <w:color w:val="auto"/>
          <w:lang w:val="en-US" w:eastAsia="zh-CN"/>
        </w:rPr>
        <w:t>服务区内的道路交通由贯穿车道、场区主干线等组成，交通组织应方便、快捷、安全、畅通。</w:t>
      </w:r>
    </w:p>
    <w:p w14:paraId="0ED045B8">
      <w:pPr>
        <w:numPr>
          <w:ilvl w:val="0"/>
          <w:numId w:val="14"/>
        </w:numPr>
        <w:rPr>
          <w:rFonts w:hint="default"/>
          <w:color w:val="auto"/>
          <w:lang w:val="en-US" w:eastAsia="zh-CN"/>
        </w:rPr>
      </w:pPr>
      <w:r>
        <w:rPr>
          <w:rFonts w:hint="default"/>
          <w:color w:val="auto"/>
          <w:lang w:val="en-US" w:eastAsia="zh-CN"/>
        </w:rPr>
        <w:t>加油站内的交通流线应考虑车辆休息前加油、休息后加油、直接加油三种情况的行驶路线，避免不同车辆流线的相互影响</w:t>
      </w:r>
      <w:r>
        <w:rPr>
          <w:rFonts w:hint="eastAsia"/>
          <w:color w:val="auto"/>
          <w:lang w:val="en-US" w:eastAsia="zh-CN"/>
        </w:rPr>
        <w:t>。</w:t>
      </w:r>
    </w:p>
    <w:p w14:paraId="0B98D9F8">
      <w:pPr>
        <w:numPr>
          <w:ilvl w:val="0"/>
          <w:numId w:val="14"/>
        </w:numPr>
        <w:rPr>
          <w:rFonts w:hint="default"/>
          <w:color w:val="auto"/>
          <w:lang w:val="en-US" w:eastAsia="zh-CN"/>
        </w:rPr>
      </w:pPr>
      <w:r>
        <w:rPr>
          <w:rFonts w:hint="default"/>
          <w:color w:val="auto"/>
          <w:lang w:val="en-US" w:eastAsia="zh-CN"/>
        </w:rPr>
        <w:t>应设置交通导向标志，避免不同车型行车路线的相互干扰与冲突，并避免停车、加油及维修车流之间的交叉。</w:t>
      </w:r>
    </w:p>
    <w:p w14:paraId="4834EE10">
      <w:pPr>
        <w:numPr>
          <w:ilvl w:val="0"/>
          <w:numId w:val="14"/>
        </w:numPr>
        <w:rPr>
          <w:rFonts w:hint="default"/>
          <w:color w:val="auto"/>
          <w:lang w:val="en-US" w:eastAsia="zh-CN"/>
        </w:rPr>
      </w:pPr>
      <w:r>
        <w:rPr>
          <w:rFonts w:hint="default"/>
          <w:color w:val="auto"/>
          <w:lang w:val="en-US" w:eastAsia="zh-CN"/>
        </w:rPr>
        <w:t>应避免车流和人流的交叉，处理好为车服务的设施与为人服务的设施之间的关系。</w:t>
      </w:r>
    </w:p>
    <w:p w14:paraId="385C32CE">
      <w:pPr>
        <w:numPr>
          <w:ilvl w:val="0"/>
          <w:numId w:val="14"/>
        </w:numPr>
        <w:rPr>
          <w:rFonts w:hint="default"/>
          <w:color w:val="auto"/>
          <w:lang w:val="en-US" w:eastAsia="zh-CN"/>
        </w:rPr>
      </w:pPr>
      <w:r>
        <w:rPr>
          <w:rFonts w:hint="default"/>
          <w:color w:val="auto"/>
          <w:lang w:val="en-US" w:eastAsia="zh-CN"/>
        </w:rPr>
        <w:t>应避免后勤服务性交通对主要功能区的干扰</w:t>
      </w:r>
      <w:r>
        <w:rPr>
          <w:rFonts w:hint="eastAsia"/>
          <w:color w:val="auto"/>
          <w:lang w:val="en-US" w:eastAsia="zh-CN"/>
        </w:rPr>
        <w:t>。</w:t>
      </w:r>
    </w:p>
    <w:p w14:paraId="06F80346">
      <w:pPr>
        <w:numPr>
          <w:ilvl w:val="0"/>
          <w:numId w:val="14"/>
        </w:numPr>
        <w:rPr>
          <w:rFonts w:hint="default"/>
          <w:color w:val="auto"/>
          <w:lang w:val="en-US" w:eastAsia="zh-CN"/>
        </w:rPr>
      </w:pPr>
      <w:r>
        <w:rPr>
          <w:rFonts w:hint="default"/>
          <w:color w:val="auto"/>
          <w:lang w:val="en-US" w:eastAsia="zh-CN"/>
        </w:rPr>
        <w:t>车辆行驶及停放宜采用顺进顺出的方式</w:t>
      </w:r>
      <w:r>
        <w:rPr>
          <w:rFonts w:hint="eastAsia"/>
          <w:color w:val="auto"/>
          <w:lang w:val="en-US" w:eastAsia="zh-CN"/>
        </w:rPr>
        <w:t>。</w:t>
      </w:r>
    </w:p>
    <w:p w14:paraId="507360BC">
      <w:pPr>
        <w:numPr>
          <w:ilvl w:val="0"/>
          <w:numId w:val="14"/>
        </w:numPr>
        <w:rPr>
          <w:rFonts w:hint="default"/>
          <w:color w:val="auto"/>
          <w:lang w:val="en-US" w:eastAsia="zh-CN"/>
        </w:rPr>
      </w:pPr>
      <w:r>
        <w:rPr>
          <w:rFonts w:hint="default"/>
          <w:color w:val="auto"/>
          <w:lang w:val="en-US" w:eastAsia="zh-CN"/>
        </w:rPr>
        <w:t>服务区场地出口宽度应不少于两条车道</w:t>
      </w:r>
      <w:r>
        <w:rPr>
          <w:rFonts w:hint="eastAsia"/>
          <w:color w:val="auto"/>
          <w:lang w:val="en-US" w:eastAsia="zh-CN"/>
        </w:rPr>
        <w:t>。</w:t>
      </w:r>
    </w:p>
    <w:p w14:paraId="72550B45">
      <w:pPr>
        <w:numPr>
          <w:ilvl w:val="0"/>
          <w:numId w:val="14"/>
        </w:numPr>
        <w:rPr>
          <w:rFonts w:hint="default"/>
          <w:color w:val="auto"/>
          <w:lang w:val="en-US" w:eastAsia="zh-CN"/>
        </w:rPr>
      </w:pPr>
      <w:r>
        <w:rPr>
          <w:rFonts w:hint="default"/>
          <w:color w:val="auto"/>
          <w:lang w:val="en-US" w:eastAsia="zh-CN"/>
        </w:rPr>
        <w:t>服务区场地与高速公路主线相连接的匝道应符合JTGD20-2006有关规定。</w:t>
      </w:r>
    </w:p>
    <w:p w14:paraId="5FFFE44C">
      <w:pPr>
        <w:numPr>
          <w:ilvl w:val="0"/>
          <w:numId w:val="14"/>
        </w:numPr>
        <w:rPr>
          <w:rFonts w:hint="default"/>
          <w:color w:val="auto"/>
          <w:lang w:val="en-US" w:eastAsia="zh-CN"/>
        </w:rPr>
      </w:pPr>
      <w:r>
        <w:rPr>
          <w:rFonts w:hint="default"/>
          <w:color w:val="auto"/>
          <w:lang w:val="en-US" w:eastAsia="zh-CN"/>
        </w:rPr>
        <w:t>道路平面设计应符合下列要求</w:t>
      </w:r>
      <w:r>
        <w:rPr>
          <w:rFonts w:hint="eastAsia"/>
          <w:color w:val="auto"/>
          <w:lang w:val="en-US" w:eastAsia="zh-CN"/>
        </w:rPr>
        <w:t>：</w:t>
      </w:r>
    </w:p>
    <w:p w14:paraId="20CEB8AB">
      <w:pPr>
        <w:numPr>
          <w:ilvl w:val="0"/>
          <w:numId w:val="0"/>
        </w:numPr>
        <w:ind w:firstLine="560" w:firstLineChars="200"/>
        <w:rPr>
          <w:rFonts w:hint="default"/>
          <w:color w:val="auto"/>
          <w:lang w:val="en-US" w:eastAsia="zh-CN"/>
        </w:rPr>
      </w:pPr>
      <w:r>
        <w:rPr>
          <w:rFonts w:hint="eastAsia"/>
          <w:color w:val="auto"/>
          <w:lang w:val="en-US" w:eastAsia="zh-CN"/>
        </w:rPr>
        <w:t>a）</w:t>
      </w:r>
      <w:r>
        <w:rPr>
          <w:rFonts w:hint="default"/>
          <w:color w:val="auto"/>
          <w:lang w:val="en-US" w:eastAsia="zh-CN"/>
        </w:rPr>
        <w:t>在满足车行条件下，应结合自然条件及建筑物的布局，因地制宜地确定路线具体方向及位置。</w:t>
      </w:r>
    </w:p>
    <w:p w14:paraId="42DA9009">
      <w:pPr>
        <w:numPr>
          <w:ilvl w:val="0"/>
          <w:numId w:val="0"/>
        </w:numPr>
        <w:ind w:firstLine="560" w:firstLineChars="200"/>
        <w:rPr>
          <w:rFonts w:hint="default"/>
          <w:color w:val="auto"/>
          <w:lang w:val="en-US" w:eastAsia="zh-CN"/>
        </w:rPr>
      </w:pPr>
      <w:r>
        <w:rPr>
          <w:rFonts w:hint="eastAsia"/>
          <w:color w:val="auto"/>
          <w:lang w:val="en-US" w:eastAsia="zh-CN"/>
        </w:rPr>
        <w:t>b）</w:t>
      </w:r>
      <w:r>
        <w:rPr>
          <w:rFonts w:hint="default"/>
          <w:color w:val="auto"/>
          <w:lang w:val="en-US" w:eastAsia="zh-CN"/>
        </w:rPr>
        <w:t>应选择合理的曲线半径。半拖挂车转弯半径不应小于24m，大型车转弯半径不应小于18m，小型车转弯半径不应小于6m。对于各种车辆混合的车道，应以最大型车辆的转弯半径为准。</w:t>
      </w:r>
    </w:p>
    <w:p w14:paraId="05ACCCDB">
      <w:pPr>
        <w:numPr>
          <w:ilvl w:val="0"/>
          <w:numId w:val="0"/>
        </w:numPr>
        <w:ind w:firstLine="560" w:firstLineChars="200"/>
        <w:rPr>
          <w:rFonts w:hint="default"/>
          <w:color w:val="auto"/>
          <w:lang w:val="en-US" w:eastAsia="zh-CN"/>
        </w:rPr>
      </w:pPr>
      <w:r>
        <w:rPr>
          <w:rFonts w:hint="eastAsia"/>
          <w:color w:val="auto"/>
          <w:lang w:val="en-US" w:eastAsia="zh-CN"/>
        </w:rPr>
        <w:t>c）</w:t>
      </w:r>
      <w:r>
        <w:rPr>
          <w:rFonts w:hint="default"/>
          <w:color w:val="auto"/>
          <w:lang w:val="en-US" w:eastAsia="zh-CN"/>
        </w:rPr>
        <w:t>在道路转折处线形应采用圆曲线，应保持一定的行车视距。</w:t>
      </w:r>
    </w:p>
    <w:p w14:paraId="591A7774">
      <w:pPr>
        <w:numPr>
          <w:ilvl w:val="0"/>
          <w:numId w:val="14"/>
        </w:numPr>
        <w:rPr>
          <w:rFonts w:hint="default"/>
          <w:color w:val="auto"/>
          <w:lang w:val="en-US" w:eastAsia="zh-CN"/>
        </w:rPr>
      </w:pPr>
      <w:r>
        <w:rPr>
          <w:rFonts w:hint="default"/>
          <w:color w:val="auto"/>
          <w:lang w:val="en-US" w:eastAsia="zh-CN"/>
        </w:rPr>
        <w:t>道路纵断面设计应符合下列要求</w:t>
      </w:r>
      <w:r>
        <w:rPr>
          <w:rFonts w:hint="eastAsia"/>
          <w:color w:val="auto"/>
          <w:lang w:val="en-US" w:eastAsia="zh-CN"/>
        </w:rPr>
        <w:t>：</w:t>
      </w:r>
    </w:p>
    <w:p w14:paraId="18BD72FB">
      <w:pPr>
        <w:numPr>
          <w:ilvl w:val="0"/>
          <w:numId w:val="0"/>
        </w:numPr>
        <w:ind w:firstLine="560" w:firstLineChars="200"/>
        <w:rPr>
          <w:rFonts w:hint="default"/>
          <w:color w:val="auto"/>
          <w:lang w:val="en-US" w:eastAsia="zh-CN"/>
        </w:rPr>
      </w:pPr>
      <w:r>
        <w:rPr>
          <w:rFonts w:hint="eastAsia"/>
          <w:color w:val="auto"/>
          <w:lang w:val="en-US" w:eastAsia="zh-CN"/>
        </w:rPr>
        <w:t>a）</w:t>
      </w:r>
      <w:r>
        <w:rPr>
          <w:rFonts w:hint="default"/>
          <w:color w:val="auto"/>
          <w:lang w:val="en-US" w:eastAsia="zh-CN"/>
        </w:rPr>
        <w:t>纵断面设计要求线型平顺，尽量减小土方工程量，并保证道路及两侧建筑用地的排水要求和满足地下管线的敷设要求。</w:t>
      </w:r>
    </w:p>
    <w:p w14:paraId="72F6D0A9">
      <w:pPr>
        <w:numPr>
          <w:ilvl w:val="0"/>
          <w:numId w:val="0"/>
        </w:numPr>
        <w:ind w:firstLine="560" w:firstLineChars="200"/>
        <w:rPr>
          <w:rFonts w:hint="default"/>
          <w:color w:val="auto"/>
          <w:lang w:val="en-US" w:eastAsia="zh-CN"/>
        </w:rPr>
      </w:pPr>
      <w:r>
        <w:rPr>
          <w:rFonts w:hint="eastAsia"/>
          <w:color w:val="auto"/>
          <w:lang w:val="en-US" w:eastAsia="zh-CN"/>
        </w:rPr>
        <w:t>b）</w:t>
      </w:r>
      <w:r>
        <w:rPr>
          <w:rFonts w:hint="default"/>
          <w:color w:val="auto"/>
          <w:lang w:val="en-US" w:eastAsia="zh-CN"/>
        </w:rPr>
        <w:t>道路的纵坡应能适应路面上自然排水，纵坡值应根据当地雨季降水量大小、降水强度、路面类型以及排水管直径大小而定，一般介于0.3%~0.5%之间。</w:t>
      </w:r>
    </w:p>
    <w:p w14:paraId="47953E38">
      <w:pPr>
        <w:bidi w:val="0"/>
        <w:rPr>
          <w:rFonts w:hint="default"/>
          <w:color w:val="auto"/>
          <w:lang w:val="en-US" w:eastAsia="zh-CN"/>
        </w:rPr>
      </w:pPr>
      <w:r>
        <w:rPr>
          <w:rFonts w:hint="eastAsia"/>
          <w:color w:val="auto"/>
          <w:lang w:val="en-US" w:eastAsia="zh-CN"/>
        </w:rPr>
        <w:t>11、</w:t>
      </w:r>
      <w:bookmarkStart w:id="128" w:name="_Toc366511233"/>
      <w:bookmarkStart w:id="129" w:name="_Toc26431"/>
      <w:bookmarkStart w:id="130" w:name="_Toc13170"/>
      <w:r>
        <w:rPr>
          <w:rFonts w:hint="default"/>
          <w:color w:val="auto"/>
          <w:lang w:val="en-US" w:eastAsia="zh-CN"/>
        </w:rPr>
        <w:t>服务区、停车区匝道的设计速度宜采用40km/h，条件受限时不应小于30km/h。</w:t>
      </w:r>
    </w:p>
    <w:p w14:paraId="78319D68">
      <w:pPr>
        <w:bidi w:val="0"/>
        <w:rPr>
          <w:rFonts w:hint="eastAsia"/>
          <w:color w:val="auto"/>
          <w:lang w:val="en-US" w:eastAsia="zh-CN"/>
        </w:rPr>
      </w:pPr>
      <w:r>
        <w:rPr>
          <w:color w:val="C00000"/>
        </w:rPr>
        <w:drawing>
          <wp:anchor distT="0" distB="0" distL="114300" distR="114300" simplePos="0" relativeHeight="251663360" behindDoc="0" locked="0" layoutInCell="1" allowOverlap="1">
            <wp:simplePos x="0" y="0"/>
            <wp:positionH relativeFrom="column">
              <wp:posOffset>117475</wp:posOffset>
            </wp:positionH>
            <wp:positionV relativeFrom="paragraph">
              <wp:posOffset>591185</wp:posOffset>
            </wp:positionV>
            <wp:extent cx="5381625" cy="1209675"/>
            <wp:effectExtent l="0" t="0" r="9525" b="9525"/>
            <wp:wrapSquare wrapText="bothSides"/>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5"/>
                    <a:stretch>
                      <a:fillRect/>
                    </a:stretch>
                  </pic:blipFill>
                  <pic:spPr>
                    <a:xfrm>
                      <a:off x="0" y="0"/>
                      <a:ext cx="5381625" cy="1209675"/>
                    </a:xfrm>
                    <a:prstGeom prst="rect">
                      <a:avLst/>
                    </a:prstGeom>
                    <a:noFill/>
                    <a:ln>
                      <a:noFill/>
                    </a:ln>
                  </pic:spPr>
                </pic:pic>
              </a:graphicData>
            </a:graphic>
          </wp:anchor>
        </w:drawing>
      </w:r>
      <w:r>
        <w:rPr>
          <w:rFonts w:hint="eastAsia"/>
          <w:color w:val="auto"/>
          <w:lang w:val="en-US" w:eastAsia="zh-CN"/>
        </w:rPr>
        <w:t>12、匝道的最小长度应符合表13.3.3的规定。</w:t>
      </w:r>
    </w:p>
    <w:p w14:paraId="6B004E91">
      <w:pPr>
        <w:bidi w:val="0"/>
        <w:rPr>
          <w:rFonts w:hint="eastAsia"/>
          <w:color w:val="auto"/>
          <w:lang w:val="en-US" w:eastAsia="zh-CN"/>
        </w:rPr>
      </w:pPr>
      <w:r>
        <w:rPr>
          <w:rFonts w:hint="eastAsia"/>
          <w:color w:val="auto"/>
          <w:lang w:val="en-US" w:eastAsia="zh-CN"/>
        </w:rPr>
        <w:t>13、匝道及加、减速车道几何设计应符合互通式立体交叉的相关规定。</w:t>
      </w:r>
    </w:p>
    <w:p w14:paraId="46A5389C">
      <w:pPr>
        <w:bidi w:val="0"/>
        <w:rPr>
          <w:rFonts w:hint="eastAsia"/>
          <w:color w:val="auto"/>
          <w:lang w:val="en-US" w:eastAsia="zh-CN"/>
        </w:rPr>
      </w:pPr>
      <w:r>
        <w:rPr>
          <w:rFonts w:hint="eastAsia"/>
          <w:color w:val="auto"/>
          <w:lang w:val="en-US" w:eastAsia="zh-CN"/>
        </w:rPr>
        <w:t>14、贯穿车道几何设计应符合下列规定:</w:t>
      </w:r>
    </w:p>
    <w:p w14:paraId="5661A66C">
      <w:pPr>
        <w:bidi w:val="0"/>
        <w:rPr>
          <w:rFonts w:hint="eastAsia"/>
          <w:color w:val="auto"/>
          <w:lang w:val="en-US" w:eastAsia="zh-CN"/>
        </w:rPr>
      </w:pPr>
      <w:r>
        <w:rPr>
          <w:rFonts w:hint="eastAsia"/>
          <w:color w:val="auto"/>
          <w:lang w:val="en-US" w:eastAsia="zh-CN"/>
        </w:rPr>
        <w:t>1)贯穿车道的设计速度宜采用30km/h。</w:t>
      </w:r>
    </w:p>
    <w:p w14:paraId="1E0EC1C8">
      <w:pPr>
        <w:bidi w:val="0"/>
        <w:rPr>
          <w:rFonts w:hint="eastAsia"/>
          <w:color w:val="auto"/>
          <w:lang w:val="en-US" w:eastAsia="zh-CN"/>
        </w:rPr>
      </w:pPr>
      <w:r>
        <w:rPr>
          <w:rFonts w:hint="eastAsia"/>
          <w:color w:val="auto"/>
          <w:lang w:val="en-US" w:eastAsia="zh-CN"/>
        </w:rPr>
        <w:t>2)贯穿车道应采用单向单车道，行车道3.50m，左右侧路缘带各宽0.50m。</w:t>
      </w:r>
    </w:p>
    <w:p w14:paraId="1AA2B337">
      <w:pPr>
        <w:bidi w:val="0"/>
        <w:rPr>
          <w:rFonts w:hint="eastAsia"/>
          <w:color w:val="auto"/>
          <w:lang w:val="en-US" w:eastAsia="zh-CN"/>
        </w:rPr>
      </w:pPr>
      <w:r>
        <w:rPr>
          <w:rFonts w:hint="eastAsia"/>
          <w:color w:val="auto"/>
          <w:lang w:val="en-US" w:eastAsia="zh-CN"/>
        </w:rPr>
        <w:t>3)贯穿车道纵面设计应综合考虑停车场高程及排水需要。</w:t>
      </w:r>
    </w:p>
    <w:p w14:paraId="62225886">
      <w:pPr>
        <w:bidi w:val="0"/>
        <w:rPr>
          <w:rFonts w:hint="default"/>
          <w:lang w:val="en-US" w:eastAsia="zh-CN"/>
        </w:rPr>
      </w:pPr>
      <w:r>
        <w:rPr>
          <w:rFonts w:hint="eastAsia"/>
          <w:lang w:val="en-US" w:eastAsia="zh-CN"/>
        </w:rPr>
        <w:t>15、服务区范围内的主线线形指标应符合互通式立体交叉范围内的</w:t>
      </w:r>
      <w:r>
        <w:drawing>
          <wp:anchor distT="0" distB="0" distL="114300" distR="114300" simplePos="0" relativeHeight="251664384" behindDoc="0" locked="0" layoutInCell="1" allowOverlap="1">
            <wp:simplePos x="0" y="0"/>
            <wp:positionH relativeFrom="column">
              <wp:posOffset>95250</wp:posOffset>
            </wp:positionH>
            <wp:positionV relativeFrom="paragraph">
              <wp:posOffset>956945</wp:posOffset>
            </wp:positionV>
            <wp:extent cx="5343525" cy="2162175"/>
            <wp:effectExtent l="0" t="0" r="9525" b="9525"/>
            <wp:wrapTopAndBottom/>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6"/>
                    <a:stretch>
                      <a:fillRect/>
                    </a:stretch>
                  </pic:blipFill>
                  <pic:spPr>
                    <a:xfrm>
                      <a:off x="0" y="0"/>
                      <a:ext cx="5343525" cy="2162175"/>
                    </a:xfrm>
                    <a:prstGeom prst="rect">
                      <a:avLst/>
                    </a:prstGeom>
                    <a:noFill/>
                    <a:ln>
                      <a:noFill/>
                    </a:ln>
                  </pic:spPr>
                </pic:pic>
              </a:graphicData>
            </a:graphic>
          </wp:anchor>
        </w:drawing>
      </w:r>
      <w:r>
        <w:rPr>
          <w:rFonts w:hint="eastAsia"/>
          <w:lang w:val="en-US" w:eastAsia="zh-CN"/>
        </w:rPr>
        <w:t>主线线形指标的要求。停车区范围内的主线线形指标应符合下表的规定。</w:t>
      </w:r>
    </w:p>
    <w:p w14:paraId="16A34C2F">
      <w:pPr>
        <w:pStyle w:val="6"/>
        <w:bidi w:val="0"/>
      </w:pPr>
      <w:bookmarkStart w:id="131" w:name="_Toc26679"/>
      <w:r>
        <w:rPr>
          <w:rFonts w:hint="eastAsia"/>
        </w:rPr>
        <w:t>7.</w:t>
      </w:r>
      <w:r>
        <w:rPr>
          <w:rFonts w:hint="eastAsia"/>
          <w:lang w:val="en-US" w:eastAsia="zh-CN"/>
        </w:rPr>
        <w:t>2</w:t>
      </w:r>
      <w:r>
        <w:t>.</w:t>
      </w:r>
      <w:r>
        <w:rPr>
          <w:rFonts w:hint="eastAsia"/>
          <w:lang w:val="en-US" w:eastAsia="zh-CN"/>
        </w:rPr>
        <w:t>3充电设施</w:t>
      </w:r>
      <w:bookmarkEnd w:id="128"/>
      <w:bookmarkEnd w:id="129"/>
      <w:bookmarkEnd w:id="130"/>
      <w:bookmarkEnd w:id="131"/>
    </w:p>
    <w:p w14:paraId="28AB0CB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shd w:val="clear" w:color="auto" w:fill="FFFFFF"/>
        </w:rPr>
      </w:pPr>
      <w:r>
        <w:rPr>
          <w:rFonts w:hint="eastAsia"/>
          <w:color w:val="auto"/>
          <w:sz w:val="28"/>
          <w:szCs w:val="28"/>
          <w:shd w:val="clear" w:color="auto" w:fill="FFFFFF"/>
          <w:lang w:val="en-US" w:eastAsia="zh-CN"/>
        </w:rPr>
        <w:t>1、</w:t>
      </w:r>
      <w:r>
        <w:rPr>
          <w:rFonts w:hint="eastAsia"/>
          <w:color w:val="auto"/>
          <w:sz w:val="28"/>
          <w:szCs w:val="28"/>
          <w:shd w:val="clear" w:color="auto" w:fill="FFFFFF"/>
        </w:rPr>
        <w:t>供配电装置的布置应符合现行国家标准《20kV及以下变电所设计规范》GB 50053的有关规定，遵循安全、可靠、适用的原则，便于安装、操作、搬运、检修和调试。</w:t>
      </w:r>
    </w:p>
    <w:p w14:paraId="515ADCC2">
      <w:pPr>
        <w:keepNext w:val="0"/>
        <w:keepLines w:val="0"/>
        <w:pageBreakBefore w:val="0"/>
        <w:widowControl w:val="0"/>
        <w:kinsoku/>
        <w:wordWrap/>
        <w:overflowPunct/>
        <w:topLinePunct w:val="0"/>
        <w:autoSpaceDE/>
        <w:autoSpaceDN/>
        <w:bidi w:val="0"/>
        <w:adjustRightInd/>
        <w:snapToGrid/>
        <w:spacing w:line="600" w:lineRule="exact"/>
        <w:ind w:left="372" w:leftChars="133" w:firstLine="280" w:firstLineChars="100"/>
        <w:textAlignment w:val="auto"/>
        <w:rPr>
          <w:rFonts w:hint="eastAsia"/>
          <w:color w:val="auto"/>
          <w:sz w:val="28"/>
          <w:szCs w:val="28"/>
          <w:shd w:val="clear" w:color="auto" w:fill="FFFFFF"/>
        </w:rPr>
      </w:pPr>
      <w:r>
        <w:rPr>
          <w:rFonts w:hint="eastAsia"/>
          <w:color w:val="auto"/>
          <w:sz w:val="28"/>
          <w:szCs w:val="28"/>
          <w:shd w:val="clear" w:color="auto" w:fill="FFFFFF"/>
          <w:lang w:val="en-US" w:eastAsia="zh-CN"/>
        </w:rPr>
        <w:t>2、</w:t>
      </w:r>
      <w:r>
        <w:rPr>
          <w:rFonts w:hint="eastAsia"/>
          <w:color w:val="auto"/>
          <w:sz w:val="28"/>
          <w:szCs w:val="28"/>
          <w:shd w:val="clear" w:color="auto" w:fill="FFFFFF"/>
        </w:rPr>
        <w:t>配电系统应符合下列要求：</w:t>
      </w:r>
    </w:p>
    <w:p w14:paraId="5668C4DC">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shd w:val="clear" w:color="auto" w:fill="FFFFFF"/>
        </w:rPr>
      </w:pPr>
      <w:r>
        <w:rPr>
          <w:rFonts w:hint="eastAsia"/>
          <w:color w:val="auto"/>
          <w:sz w:val="28"/>
          <w:szCs w:val="28"/>
          <w:shd w:val="clear" w:color="auto" w:fill="FFFFFF"/>
          <w:lang w:eastAsia="zh-CN"/>
        </w:rPr>
        <w:t>（</w:t>
      </w:r>
      <w:r>
        <w:rPr>
          <w:rFonts w:hint="eastAsia"/>
          <w:color w:val="auto"/>
          <w:sz w:val="28"/>
          <w:szCs w:val="28"/>
          <w:shd w:val="clear" w:color="auto" w:fill="FFFFFF"/>
          <w:lang w:val="en-US" w:eastAsia="zh-CN"/>
        </w:rPr>
        <w:t>1</w:t>
      </w:r>
      <w:r>
        <w:rPr>
          <w:rFonts w:hint="eastAsia"/>
          <w:color w:val="auto"/>
          <w:sz w:val="28"/>
          <w:szCs w:val="28"/>
          <w:shd w:val="clear" w:color="auto" w:fill="FFFFFF"/>
          <w:lang w:eastAsia="zh-CN"/>
        </w:rPr>
        <w:t>）</w:t>
      </w:r>
      <w:r>
        <w:rPr>
          <w:rFonts w:hint="eastAsia"/>
          <w:color w:val="auto"/>
          <w:sz w:val="28"/>
          <w:szCs w:val="28"/>
          <w:shd w:val="clear" w:color="auto" w:fill="FFFFFF"/>
        </w:rPr>
        <w:t>中低压配电系统宜采用单母线或单母线分段接线，低压接地系统宜采用TN-S系统。</w:t>
      </w:r>
    </w:p>
    <w:p w14:paraId="3B7C7FF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shd w:val="clear" w:color="auto" w:fill="FFFFFF"/>
        </w:rPr>
      </w:pPr>
      <w:r>
        <w:rPr>
          <w:rFonts w:hint="eastAsia"/>
          <w:color w:val="auto"/>
          <w:sz w:val="28"/>
          <w:szCs w:val="28"/>
          <w:shd w:val="clear" w:color="auto" w:fill="FFFFFF"/>
          <w:lang w:eastAsia="zh-CN"/>
        </w:rPr>
        <w:t>（</w:t>
      </w:r>
      <w:r>
        <w:rPr>
          <w:rFonts w:hint="eastAsia"/>
          <w:color w:val="auto"/>
          <w:sz w:val="28"/>
          <w:szCs w:val="28"/>
          <w:shd w:val="clear" w:color="auto" w:fill="FFFFFF"/>
          <w:lang w:val="en-US" w:eastAsia="zh-CN"/>
        </w:rPr>
        <w:t>2</w:t>
      </w:r>
      <w:r>
        <w:rPr>
          <w:rFonts w:hint="eastAsia"/>
          <w:color w:val="auto"/>
          <w:sz w:val="28"/>
          <w:szCs w:val="28"/>
          <w:shd w:val="clear" w:color="auto" w:fill="FFFFFF"/>
          <w:lang w:eastAsia="zh-CN"/>
        </w:rPr>
        <w:t>）</w:t>
      </w:r>
      <w:r>
        <w:rPr>
          <w:rFonts w:hint="eastAsia"/>
          <w:color w:val="auto"/>
          <w:sz w:val="28"/>
          <w:szCs w:val="28"/>
          <w:shd w:val="clear" w:color="auto" w:fill="FFFFFF"/>
        </w:rPr>
        <w:t>低压进出线开关、分段开关宜采用断路器。来自不同电源的低压进线断路器和低压分段断路器之间应设机械闭锁和电气联锁装置，防止不同电源并联运行。</w:t>
      </w:r>
    </w:p>
    <w:p w14:paraId="74BA6D3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shd w:val="clear" w:color="auto" w:fill="FFFFFF"/>
        </w:rPr>
      </w:pPr>
      <w:r>
        <w:rPr>
          <w:rFonts w:hint="eastAsia"/>
          <w:color w:val="auto"/>
          <w:sz w:val="28"/>
          <w:szCs w:val="28"/>
          <w:shd w:val="clear" w:color="auto" w:fill="FFFFFF"/>
          <w:lang w:eastAsia="zh-CN"/>
        </w:rPr>
        <w:t>（</w:t>
      </w:r>
      <w:r>
        <w:rPr>
          <w:rFonts w:hint="eastAsia"/>
          <w:color w:val="auto"/>
          <w:sz w:val="28"/>
          <w:szCs w:val="28"/>
          <w:shd w:val="clear" w:color="auto" w:fill="FFFFFF"/>
          <w:lang w:val="en-US" w:eastAsia="zh-CN"/>
        </w:rPr>
        <w:t>3</w:t>
      </w:r>
      <w:r>
        <w:rPr>
          <w:rFonts w:hint="eastAsia"/>
          <w:color w:val="auto"/>
          <w:sz w:val="28"/>
          <w:szCs w:val="28"/>
          <w:shd w:val="clear" w:color="auto" w:fill="FFFFFF"/>
          <w:lang w:eastAsia="zh-CN"/>
        </w:rPr>
        <w:t>）</w:t>
      </w:r>
      <w:r>
        <w:rPr>
          <w:rFonts w:hint="eastAsia"/>
          <w:color w:val="auto"/>
          <w:sz w:val="28"/>
          <w:szCs w:val="28"/>
          <w:shd w:val="clear" w:color="auto" w:fill="FFFFFF"/>
        </w:rPr>
        <w:t>低压进线断路器宜具有短路瞬时、短路短延时、短路长延时和接地保护功能，宜设置分励脱扣装置，不宜设置失压脱扣装置或低压脱扣装置。</w:t>
      </w:r>
    </w:p>
    <w:p w14:paraId="7528C37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shd w:val="clear" w:color="auto" w:fill="FFFFFF"/>
          <w:lang w:eastAsia="zh-CN"/>
        </w:rPr>
      </w:pPr>
      <w:r>
        <w:rPr>
          <w:rFonts w:hint="eastAsia"/>
          <w:color w:val="auto"/>
          <w:sz w:val="28"/>
          <w:szCs w:val="28"/>
          <w:shd w:val="clear" w:color="auto" w:fill="FFFFFF"/>
          <w:lang w:eastAsia="zh-CN"/>
        </w:rPr>
        <w:t>（</w:t>
      </w:r>
      <w:r>
        <w:rPr>
          <w:rFonts w:hint="eastAsia"/>
          <w:color w:val="auto"/>
          <w:sz w:val="28"/>
          <w:szCs w:val="28"/>
          <w:shd w:val="clear" w:color="auto" w:fill="FFFFFF"/>
          <w:lang w:val="en-US" w:eastAsia="zh-CN"/>
        </w:rPr>
        <w:t>4</w:t>
      </w:r>
      <w:r>
        <w:rPr>
          <w:rFonts w:hint="eastAsia"/>
          <w:color w:val="auto"/>
          <w:sz w:val="28"/>
          <w:szCs w:val="28"/>
          <w:shd w:val="clear" w:color="auto" w:fill="FFFFFF"/>
          <w:lang w:eastAsia="zh-CN"/>
        </w:rPr>
        <w:t>）</w:t>
      </w:r>
      <w:r>
        <w:rPr>
          <w:rFonts w:hint="eastAsia"/>
          <w:color w:val="auto"/>
          <w:sz w:val="28"/>
          <w:szCs w:val="28"/>
          <w:shd w:val="clear" w:color="auto" w:fill="FFFFFF"/>
        </w:rPr>
        <w:t>非车载充电机、监控装置以及重要的用电设备宜采用放射式供电。</w:t>
      </w:r>
    </w:p>
    <w:p w14:paraId="404DA2E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shd w:val="clear" w:color="auto" w:fill="FFFFFF"/>
          <w:lang w:eastAsia="zh-CN"/>
        </w:rPr>
      </w:pPr>
      <w:r>
        <w:rPr>
          <w:rFonts w:hint="eastAsia"/>
          <w:color w:val="auto"/>
          <w:sz w:val="28"/>
          <w:szCs w:val="28"/>
          <w:shd w:val="clear" w:color="auto" w:fill="FFFFFF"/>
          <w:lang w:val="en-US" w:eastAsia="zh-CN"/>
        </w:rPr>
        <w:t>3、</w:t>
      </w:r>
      <w:r>
        <w:rPr>
          <w:rFonts w:hint="eastAsia"/>
          <w:color w:val="auto"/>
          <w:sz w:val="28"/>
          <w:szCs w:val="28"/>
          <w:shd w:val="clear" w:color="auto" w:fill="FFFFFF"/>
        </w:rPr>
        <w:t>开关柜宜选用小型化、无油化、免维修或少维护的产品。</w:t>
      </w:r>
    </w:p>
    <w:p w14:paraId="03B9FE4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4、充电机应具备自动充电控制功能，可具备手动充电控制功能。充电机采用手动充电控制时，应具有明显的操作提示信息，仅限于专业人员在特殊情况下对充电机设备进行调试或维护时使用。</w:t>
      </w:r>
    </w:p>
    <w:p w14:paraId="2357E58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shd w:val="clear" w:color="auto" w:fill="FFFFFF"/>
          <w:lang w:val="en-US" w:eastAsia="zh-CN"/>
        </w:rPr>
      </w:pPr>
      <w:r>
        <w:rPr>
          <w:rStyle w:val="37"/>
          <w:rFonts w:hint="eastAsia" w:ascii="宋体" w:hAnsi="宋体"/>
          <w:b w:val="0"/>
          <w:bCs w:val="0"/>
          <w:color w:val="auto"/>
          <w:sz w:val="28"/>
          <w:szCs w:val="28"/>
          <w:shd w:val="clear" w:color="auto" w:fill="FFFFFF"/>
          <w:lang w:val="en-US" w:eastAsia="zh-CN"/>
        </w:rPr>
        <w:t>5</w:t>
      </w:r>
      <w:r>
        <w:rPr>
          <w:rStyle w:val="37"/>
          <w:rFonts w:hint="eastAsia" w:ascii="宋体" w:hAnsi="宋体"/>
          <w:b w:val="0"/>
          <w:bCs w:val="0"/>
          <w:color w:val="auto"/>
          <w:sz w:val="28"/>
          <w:szCs w:val="28"/>
          <w:shd w:val="clear" w:color="auto" w:fill="FFFFFF"/>
          <w:lang w:eastAsia="zh-CN"/>
        </w:rPr>
        <w:t>、</w:t>
      </w:r>
      <w:r>
        <w:rPr>
          <w:rFonts w:hint="eastAsia"/>
          <w:color w:val="auto"/>
          <w:sz w:val="28"/>
          <w:szCs w:val="28"/>
          <w:shd w:val="clear" w:color="auto" w:fill="FFFFFF"/>
          <w:lang w:val="en-US" w:eastAsia="zh-CN"/>
        </w:rPr>
        <w:t>充电机应具有与电动汽车BMS或车辆控制器通信的功能，判断充电机是否与电动汽车动力蓄电池系统正确连接；获得电动汽车BMS或车辆控制器充电参数和充电实时数据。充电机与BMS或车辆控制器之间的通信协议应符合GB/T27930的规定。</w:t>
      </w:r>
    </w:p>
    <w:p w14:paraId="2A823F2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充电机宜具有与上级监控系统或运营管理系统通信的功能。</w:t>
      </w:r>
    </w:p>
    <w:p w14:paraId="639DC2BD">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充电机应具备对直流输出回路进行绝缘监测的功能，并且充电机的绝缘检测功能应与车辆绝缘检测功能相配合。充电机的绝缘检测功能应符合GB/T18487.1-2015中B.4.1和B.4.2的规定。充电机在进行绝缘检测前应检测直流输出接触器（K1、K2）的外侧电压，当此电压超过±10V时应停止绝缘检测流程并发出告警信息。</w:t>
      </w:r>
    </w:p>
    <w:p w14:paraId="24EAD2C6">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充电机应具备对直流</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出回路进行短路检测的功能，充电机的短路检</w:t>
      </w:r>
      <w:r>
        <w:rPr>
          <w:rFonts w:hint="eastAsia"/>
          <w:color w:val="auto"/>
          <w:sz w:val="28"/>
          <w:szCs w:val="28"/>
          <w:shd w:val="clear" w:color="auto" w:fill="FFFFFF"/>
          <w:lang w:val="en-US" w:eastAsia="zh-CN"/>
        </w:rPr>
        <w:t>测</w:t>
      </w:r>
      <w:r>
        <w:rPr>
          <w:rFonts w:hint="default"/>
          <w:color w:val="auto"/>
          <w:sz w:val="28"/>
          <w:szCs w:val="28"/>
          <w:shd w:val="clear" w:color="auto" w:fill="FFFFFF"/>
          <w:lang w:val="en-US" w:eastAsia="zh-CN"/>
        </w:rPr>
        <w:t>在绝缘检</w:t>
      </w:r>
      <w:r>
        <w:rPr>
          <w:rFonts w:hint="eastAsia"/>
          <w:color w:val="auto"/>
          <w:sz w:val="28"/>
          <w:szCs w:val="28"/>
          <w:shd w:val="clear" w:color="auto" w:fill="FFFFFF"/>
          <w:lang w:val="en-US" w:eastAsia="zh-CN"/>
        </w:rPr>
        <w:t>测</w:t>
      </w:r>
      <w:r>
        <w:rPr>
          <w:rFonts w:hint="default"/>
          <w:color w:val="auto"/>
          <w:sz w:val="28"/>
          <w:szCs w:val="28"/>
          <w:shd w:val="clear" w:color="auto" w:fill="FFFFFF"/>
          <w:lang w:val="en-US" w:eastAsia="zh-CN"/>
        </w:rPr>
        <w:t>阶段进行，当</w:t>
      </w:r>
      <w:r>
        <w:rPr>
          <w:rFonts w:hint="eastAsia"/>
          <w:color w:val="auto"/>
          <w:sz w:val="28"/>
          <w:szCs w:val="28"/>
          <w:shd w:val="clear" w:color="auto" w:fill="FFFFFF"/>
          <w:lang w:val="en-US" w:eastAsia="zh-CN"/>
        </w:rPr>
        <w:t>直</w:t>
      </w:r>
      <w:r>
        <w:rPr>
          <w:rFonts w:hint="default"/>
          <w:color w:val="auto"/>
          <w:sz w:val="28"/>
          <w:szCs w:val="28"/>
          <w:shd w:val="clear" w:color="auto" w:fill="FFFFFF"/>
          <w:lang w:val="en-US" w:eastAsia="zh-CN"/>
        </w:rPr>
        <w:t>流输出回路出现短路故障时</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应停止充电过程并发出告警信息</w:t>
      </w:r>
      <w:r>
        <w:rPr>
          <w:rFonts w:hint="eastAsia"/>
          <w:color w:val="auto"/>
          <w:sz w:val="28"/>
          <w:szCs w:val="28"/>
          <w:shd w:val="clear" w:color="auto" w:fill="FFFFFF"/>
          <w:lang w:val="en-US" w:eastAsia="zh-CN"/>
        </w:rPr>
        <w:t>。</w:t>
      </w:r>
    </w:p>
    <w:p w14:paraId="46E3B51E">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充电机车辆插头应具</w:t>
      </w:r>
      <w:r>
        <w:rPr>
          <w:rFonts w:hint="eastAsia"/>
          <w:color w:val="auto"/>
          <w:sz w:val="28"/>
          <w:szCs w:val="28"/>
          <w:shd w:val="clear" w:color="auto" w:fill="FFFFFF"/>
          <w:lang w:val="en-US" w:eastAsia="zh-CN"/>
        </w:rPr>
        <w:t>有锁</w:t>
      </w:r>
      <w:r>
        <w:rPr>
          <w:rFonts w:hint="default"/>
          <w:color w:val="auto"/>
          <w:sz w:val="28"/>
          <w:szCs w:val="28"/>
          <w:shd w:val="clear" w:color="auto" w:fill="FFFFFF"/>
          <w:lang w:val="en-US" w:eastAsia="zh-CN"/>
        </w:rPr>
        <w:t xml:space="preserve">止装置，其功能应符合： </w:t>
      </w:r>
    </w:p>
    <w:p w14:paraId="0853C21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a） G</w:t>
      </w:r>
      <w:r>
        <w:rPr>
          <w:rFonts w:hint="eastAsia"/>
          <w:color w:val="auto"/>
          <w:sz w:val="28"/>
          <w:szCs w:val="28"/>
          <w:shd w:val="clear" w:color="auto" w:fill="FFFFFF"/>
          <w:lang w:val="en-US" w:eastAsia="zh-CN"/>
        </w:rPr>
        <w:t>B/</w:t>
      </w:r>
      <w:r>
        <w:rPr>
          <w:rFonts w:hint="default"/>
          <w:color w:val="auto"/>
          <w:sz w:val="28"/>
          <w:szCs w:val="28"/>
          <w:shd w:val="clear" w:color="auto" w:fill="FFFFFF"/>
          <w:lang w:val="en-US" w:eastAsia="zh-CN"/>
        </w:rPr>
        <w:t>T 18487.1—</w:t>
      </w:r>
      <w:r>
        <w:rPr>
          <w:rFonts w:hint="eastAsia"/>
          <w:color w:val="auto"/>
          <w:sz w:val="28"/>
          <w:szCs w:val="28"/>
          <w:shd w:val="clear" w:color="auto" w:fill="FFFFFF"/>
          <w:lang w:val="en-US" w:eastAsia="zh-CN"/>
        </w:rPr>
        <w:t>2023</w:t>
      </w:r>
      <w:r>
        <w:rPr>
          <w:rFonts w:hint="default"/>
          <w:color w:val="auto"/>
          <w:sz w:val="28"/>
          <w:szCs w:val="28"/>
          <w:shd w:val="clear" w:color="auto" w:fill="FFFFFF"/>
          <w:lang w:val="en-US" w:eastAsia="zh-CN"/>
        </w:rPr>
        <w:t xml:space="preserve"> 中 </w:t>
      </w:r>
      <w:r>
        <w:rPr>
          <w:rFonts w:hint="eastAsia"/>
          <w:color w:val="auto"/>
          <w:sz w:val="28"/>
          <w:szCs w:val="28"/>
          <w:shd w:val="clear" w:color="auto" w:fill="FFFFFF"/>
          <w:lang w:val="en-US" w:eastAsia="zh-CN"/>
        </w:rPr>
        <w:t>10</w:t>
      </w:r>
      <w:r>
        <w:rPr>
          <w:rFonts w:hint="default"/>
          <w:color w:val="auto"/>
          <w:sz w:val="28"/>
          <w:szCs w:val="28"/>
          <w:shd w:val="clear" w:color="auto" w:fill="FFFFFF"/>
          <w:lang w:val="en-US" w:eastAsia="zh-CN"/>
        </w:rPr>
        <w:t>.6 的要求</w:t>
      </w:r>
      <w:r>
        <w:rPr>
          <w:rFonts w:hint="eastAsia"/>
          <w:color w:val="auto"/>
          <w:sz w:val="28"/>
          <w:szCs w:val="28"/>
          <w:shd w:val="clear" w:color="auto" w:fill="FFFFFF"/>
          <w:lang w:val="en-US" w:eastAsia="zh-CN"/>
        </w:rPr>
        <w:t>；</w:t>
      </w:r>
    </w:p>
    <w:p w14:paraId="76548F2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b） GB/T 20234.1—</w:t>
      </w:r>
      <w:r>
        <w:rPr>
          <w:rFonts w:hint="eastAsia"/>
          <w:color w:val="auto"/>
          <w:sz w:val="28"/>
          <w:szCs w:val="28"/>
          <w:shd w:val="clear" w:color="auto" w:fill="FFFFFF"/>
          <w:lang w:val="en-US" w:eastAsia="zh-CN"/>
        </w:rPr>
        <w:t>2023</w:t>
      </w:r>
      <w:r>
        <w:rPr>
          <w:rFonts w:hint="default"/>
          <w:color w:val="auto"/>
          <w:sz w:val="28"/>
          <w:szCs w:val="28"/>
          <w:shd w:val="clear" w:color="auto" w:fill="FFFFFF"/>
          <w:lang w:val="en-US" w:eastAsia="zh-CN"/>
        </w:rPr>
        <w:t>中</w:t>
      </w:r>
      <w:r>
        <w:rPr>
          <w:rFonts w:hint="eastAsia"/>
          <w:color w:val="auto"/>
          <w:sz w:val="28"/>
          <w:szCs w:val="28"/>
          <w:shd w:val="clear" w:color="auto" w:fill="FFFFFF"/>
          <w:lang w:val="en-US" w:eastAsia="zh-CN"/>
        </w:rPr>
        <w:t>7.15</w:t>
      </w:r>
      <w:r>
        <w:rPr>
          <w:rFonts w:hint="default"/>
          <w:color w:val="auto"/>
          <w:sz w:val="28"/>
          <w:szCs w:val="28"/>
          <w:shd w:val="clear" w:color="auto" w:fill="FFFFFF"/>
          <w:lang w:val="en-US" w:eastAsia="zh-CN"/>
        </w:rPr>
        <w:t>的要求</w:t>
      </w:r>
      <w:r>
        <w:rPr>
          <w:rFonts w:hint="eastAsia"/>
          <w:color w:val="auto"/>
          <w:sz w:val="28"/>
          <w:szCs w:val="28"/>
          <w:shd w:val="clear" w:color="auto" w:fill="FFFFFF"/>
          <w:lang w:val="en-US" w:eastAsia="zh-CN"/>
        </w:rPr>
        <w:t>；</w:t>
      </w:r>
    </w:p>
    <w:p w14:paraId="60D9043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c</w:t>
      </w:r>
      <w:r>
        <w:rPr>
          <w:rFonts w:hint="default"/>
          <w:color w:val="auto"/>
          <w:sz w:val="28"/>
          <w:szCs w:val="28"/>
          <w:shd w:val="clear" w:color="auto" w:fill="FFFFFF"/>
          <w:lang w:val="en-US" w:eastAsia="zh-CN"/>
        </w:rPr>
        <w:t>） GB/T 20234.3—</w:t>
      </w:r>
      <w:r>
        <w:rPr>
          <w:rFonts w:hint="eastAsia"/>
          <w:color w:val="auto"/>
          <w:sz w:val="28"/>
          <w:szCs w:val="28"/>
          <w:shd w:val="clear" w:color="auto" w:fill="FFFFFF"/>
          <w:lang w:val="en-US" w:eastAsia="zh-CN"/>
        </w:rPr>
        <w:t>2023</w:t>
      </w:r>
      <w:r>
        <w:rPr>
          <w:rFonts w:hint="default"/>
          <w:color w:val="auto"/>
          <w:sz w:val="28"/>
          <w:szCs w:val="28"/>
          <w:shd w:val="clear" w:color="auto" w:fill="FFFFFF"/>
          <w:lang w:val="en-US" w:eastAsia="zh-CN"/>
        </w:rPr>
        <w:t>中附录</w:t>
      </w:r>
      <w:r>
        <w:rPr>
          <w:rFonts w:hint="eastAsia"/>
          <w:color w:val="auto"/>
          <w:sz w:val="28"/>
          <w:szCs w:val="28"/>
          <w:shd w:val="clear" w:color="auto" w:fill="FFFFFF"/>
          <w:lang w:val="en-US" w:eastAsia="zh-CN"/>
        </w:rPr>
        <w:t>6.4</w:t>
      </w:r>
      <w:r>
        <w:rPr>
          <w:rFonts w:hint="default"/>
          <w:color w:val="auto"/>
          <w:sz w:val="28"/>
          <w:szCs w:val="28"/>
          <w:shd w:val="clear" w:color="auto" w:fill="FFFFFF"/>
          <w:lang w:val="en-US" w:eastAsia="zh-CN"/>
        </w:rPr>
        <w:t>的要求</w:t>
      </w:r>
      <w:r>
        <w:rPr>
          <w:rFonts w:hint="eastAsia"/>
          <w:color w:val="auto"/>
          <w:sz w:val="28"/>
          <w:szCs w:val="28"/>
          <w:shd w:val="clear" w:color="auto" w:fill="FFFFFF"/>
          <w:lang w:val="en-US" w:eastAsia="zh-CN"/>
        </w:rPr>
        <w:t>。</w:t>
      </w:r>
    </w:p>
    <w:p w14:paraId="0AC8EA3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在出现下列情况时，</w:t>
      </w:r>
      <w:r>
        <w:rPr>
          <w:rFonts w:hint="eastAsia"/>
          <w:color w:val="auto"/>
          <w:sz w:val="28"/>
          <w:szCs w:val="28"/>
          <w:shd w:val="clear" w:color="auto" w:fill="FFFFFF"/>
          <w:lang w:val="en-US" w:eastAsia="zh-CN"/>
        </w:rPr>
        <w:t>锁</w:t>
      </w:r>
      <w:r>
        <w:rPr>
          <w:rFonts w:hint="default"/>
          <w:color w:val="auto"/>
          <w:sz w:val="28"/>
          <w:szCs w:val="28"/>
          <w:shd w:val="clear" w:color="auto" w:fill="FFFFFF"/>
          <w:lang w:val="en-US" w:eastAsia="zh-CN"/>
        </w:rPr>
        <w:t>止装置应能解</w:t>
      </w:r>
      <w:r>
        <w:rPr>
          <w:rFonts w:hint="eastAsia"/>
          <w:color w:val="auto"/>
          <w:sz w:val="28"/>
          <w:szCs w:val="28"/>
          <w:shd w:val="clear" w:color="auto" w:fill="FFFFFF"/>
          <w:lang w:val="en-US" w:eastAsia="zh-CN"/>
        </w:rPr>
        <w:t>锁</w:t>
      </w:r>
      <w:r>
        <w:rPr>
          <w:rFonts w:hint="default"/>
          <w:color w:val="auto"/>
          <w:sz w:val="28"/>
          <w:szCs w:val="28"/>
          <w:shd w:val="clear" w:color="auto" w:fill="FFFFFF"/>
          <w:lang w:val="en-US" w:eastAsia="zh-CN"/>
        </w:rPr>
        <w:t>且解</w:t>
      </w:r>
      <w:r>
        <w:rPr>
          <w:rFonts w:hint="eastAsia"/>
          <w:color w:val="auto"/>
          <w:sz w:val="28"/>
          <w:szCs w:val="28"/>
          <w:shd w:val="clear" w:color="auto" w:fill="FFFFFF"/>
          <w:lang w:val="en-US" w:eastAsia="zh-CN"/>
        </w:rPr>
        <w:t>锁</w:t>
      </w:r>
      <w:r>
        <w:rPr>
          <w:rFonts w:hint="default"/>
          <w:color w:val="auto"/>
          <w:sz w:val="28"/>
          <w:szCs w:val="28"/>
          <w:shd w:val="clear" w:color="auto" w:fill="FFFFFF"/>
          <w:lang w:val="en-US" w:eastAsia="zh-CN"/>
        </w:rPr>
        <w:t>前车辆插头</w:t>
      </w:r>
      <w:r>
        <w:rPr>
          <w:rFonts w:hint="eastAsia"/>
          <w:color w:val="auto"/>
          <w:sz w:val="28"/>
          <w:szCs w:val="28"/>
          <w:shd w:val="clear" w:color="auto" w:fill="FFFFFF"/>
          <w:lang w:val="en-US" w:eastAsia="zh-CN"/>
        </w:rPr>
        <w:t>端</w:t>
      </w:r>
      <w:r>
        <w:rPr>
          <w:rFonts w:hint="default"/>
          <w:color w:val="auto"/>
          <w:sz w:val="28"/>
          <w:szCs w:val="28"/>
          <w:shd w:val="clear" w:color="auto" w:fill="FFFFFF"/>
          <w:lang w:val="en-US" w:eastAsia="zh-CN"/>
        </w:rPr>
        <w:t xml:space="preserve">口电压不应超过60V： </w:t>
      </w:r>
    </w:p>
    <w:p w14:paraId="38B8D41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a） 故障不能继续充电</w:t>
      </w:r>
      <w:r>
        <w:rPr>
          <w:rFonts w:hint="eastAsia"/>
          <w:color w:val="auto"/>
          <w:sz w:val="28"/>
          <w:szCs w:val="28"/>
          <w:shd w:val="clear" w:color="auto" w:fill="FFFFFF"/>
          <w:lang w:val="en-US" w:eastAsia="zh-CN"/>
        </w:rPr>
        <w:t>；</w:t>
      </w:r>
    </w:p>
    <w:p w14:paraId="1E4DCA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b） 充电完成</w:t>
      </w:r>
      <w:r>
        <w:rPr>
          <w:rFonts w:hint="eastAsia"/>
          <w:color w:val="auto"/>
          <w:sz w:val="28"/>
          <w:szCs w:val="28"/>
          <w:shd w:val="clear" w:color="auto" w:fill="FFFFFF"/>
          <w:lang w:val="en-US" w:eastAsia="zh-CN"/>
        </w:rPr>
        <w:t>。</w:t>
      </w:r>
    </w:p>
    <w:p w14:paraId="1891A07D">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充电机</w:t>
      </w:r>
      <w:r>
        <w:rPr>
          <w:rFonts w:hint="eastAsia"/>
          <w:color w:val="auto"/>
          <w:sz w:val="28"/>
          <w:szCs w:val="28"/>
          <w:shd w:val="clear" w:color="auto" w:fill="FFFFFF"/>
          <w:lang w:val="en-US" w:eastAsia="zh-CN"/>
        </w:rPr>
        <w:t>应具备预</w:t>
      </w:r>
      <w:r>
        <w:rPr>
          <w:rFonts w:hint="default"/>
          <w:color w:val="auto"/>
          <w:sz w:val="28"/>
          <w:szCs w:val="28"/>
          <w:shd w:val="clear" w:color="auto" w:fill="FFFFFF"/>
          <w:lang w:val="en-US" w:eastAsia="zh-CN"/>
        </w:rPr>
        <w:t>充电功能</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启动充电阶段，电动汽车闭合车</w:t>
      </w:r>
      <w:r>
        <w:rPr>
          <w:rFonts w:hint="eastAsia"/>
          <w:color w:val="auto"/>
          <w:sz w:val="28"/>
          <w:szCs w:val="28"/>
          <w:shd w:val="clear" w:color="auto" w:fill="FFFFFF"/>
          <w:lang w:val="en-US" w:eastAsia="zh-CN"/>
        </w:rPr>
        <w:t>辆侧</w:t>
      </w:r>
      <w:r>
        <w:rPr>
          <w:rFonts w:hint="default"/>
          <w:color w:val="auto"/>
          <w:sz w:val="28"/>
          <w:szCs w:val="28"/>
          <w:shd w:val="clear" w:color="auto" w:fill="FFFFFF"/>
          <w:lang w:val="en-US" w:eastAsia="zh-CN"/>
        </w:rPr>
        <w:t>直流接触器后，充电机应检测电</w:t>
      </w:r>
      <w:r>
        <w:rPr>
          <w:rFonts w:hint="eastAsia"/>
          <w:color w:val="auto"/>
          <w:sz w:val="28"/>
          <w:szCs w:val="28"/>
          <w:shd w:val="clear" w:color="auto" w:fill="FFFFFF"/>
          <w:lang w:val="en-US" w:eastAsia="zh-CN"/>
        </w:rPr>
        <w:t>池</w:t>
      </w:r>
      <w:r>
        <w:rPr>
          <w:rFonts w:hint="default"/>
          <w:color w:val="auto"/>
          <w:sz w:val="28"/>
          <w:szCs w:val="28"/>
          <w:shd w:val="clear" w:color="auto" w:fill="FFFFFF"/>
          <w:lang w:val="en-US" w:eastAsia="zh-CN"/>
        </w:rPr>
        <w:t>电压并判断此电</w:t>
      </w:r>
      <w:r>
        <w:rPr>
          <w:rFonts w:hint="eastAsia"/>
          <w:color w:val="auto"/>
          <w:sz w:val="28"/>
          <w:szCs w:val="28"/>
          <w:shd w:val="clear" w:color="auto" w:fill="FFFFFF"/>
          <w:lang w:val="en-US" w:eastAsia="zh-CN"/>
        </w:rPr>
        <w:t>压</w:t>
      </w:r>
      <w:r>
        <w:rPr>
          <w:rFonts w:hint="default"/>
          <w:color w:val="auto"/>
          <w:sz w:val="28"/>
          <w:szCs w:val="28"/>
          <w:shd w:val="clear" w:color="auto" w:fill="FFFFFF"/>
          <w:lang w:val="en-US" w:eastAsia="zh-CN"/>
        </w:rPr>
        <w:t>是否正常</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当充电机检测到电池电压正常后，将</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出电压</w:t>
      </w:r>
      <w:r>
        <w:rPr>
          <w:rFonts w:hint="eastAsia"/>
          <w:color w:val="auto"/>
          <w:sz w:val="28"/>
          <w:szCs w:val="28"/>
          <w:shd w:val="clear" w:color="auto" w:fill="FFFFFF"/>
          <w:lang w:val="en-US" w:eastAsia="zh-CN"/>
        </w:rPr>
        <w:t>调</w:t>
      </w:r>
      <w:r>
        <w:rPr>
          <w:rFonts w:hint="default"/>
          <w:color w:val="auto"/>
          <w:sz w:val="28"/>
          <w:szCs w:val="28"/>
          <w:shd w:val="clear" w:color="auto" w:fill="FFFFFF"/>
          <w:lang w:val="en-US" w:eastAsia="zh-CN"/>
        </w:rPr>
        <w:t>整到当前电池端电压减</w:t>
      </w:r>
      <w:r>
        <w:rPr>
          <w:rFonts w:hint="eastAsia"/>
          <w:color w:val="auto"/>
          <w:sz w:val="28"/>
          <w:szCs w:val="28"/>
          <w:shd w:val="clear" w:color="auto" w:fill="FFFFFF"/>
          <w:lang w:val="en-US" w:eastAsia="zh-CN"/>
        </w:rPr>
        <w:t>去1</w:t>
      </w:r>
      <w:r>
        <w:rPr>
          <w:rFonts w:hint="default"/>
          <w:color w:val="auto"/>
          <w:sz w:val="28"/>
          <w:szCs w:val="28"/>
          <w:shd w:val="clear" w:color="auto" w:fill="FFFFFF"/>
          <w:lang w:val="en-US" w:eastAsia="zh-CN"/>
        </w:rPr>
        <w:t>V-10V</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再闭合充电机</w:t>
      </w:r>
      <w:r>
        <w:rPr>
          <w:rFonts w:hint="eastAsia"/>
          <w:color w:val="auto"/>
          <w:sz w:val="28"/>
          <w:szCs w:val="28"/>
          <w:shd w:val="clear" w:color="auto" w:fill="FFFFFF"/>
          <w:lang w:val="en-US" w:eastAsia="zh-CN"/>
        </w:rPr>
        <w:t>侧</w:t>
      </w:r>
      <w:r>
        <w:rPr>
          <w:rFonts w:hint="default"/>
          <w:color w:val="auto"/>
          <w:sz w:val="28"/>
          <w:szCs w:val="28"/>
          <w:shd w:val="clear" w:color="auto" w:fill="FFFFFF"/>
          <w:lang w:val="en-US" w:eastAsia="zh-CN"/>
        </w:rPr>
        <w:t>的直流</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出接触器</w:t>
      </w:r>
      <w:r>
        <w:rPr>
          <w:rFonts w:hint="eastAsia"/>
          <w:color w:val="auto"/>
          <w:sz w:val="28"/>
          <w:szCs w:val="28"/>
          <w:shd w:val="clear" w:color="auto" w:fill="FFFFFF"/>
          <w:lang w:val="en-US" w:eastAsia="zh-CN"/>
        </w:rPr>
        <w:t>。</w:t>
      </w:r>
    </w:p>
    <w:p w14:paraId="1A8A4E78">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 xml:space="preserve">充电机应显示下列状态信息： </w:t>
      </w:r>
    </w:p>
    <w:p w14:paraId="7D2DF89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 xml:space="preserve">a） 充电机的运行状态指示：待机、充电、告警： </w:t>
      </w:r>
    </w:p>
    <w:p w14:paraId="73E242F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 xml:space="preserve">b） 具有手动充电控制功能的充电机应显示人工看入信息. </w:t>
      </w:r>
    </w:p>
    <w:p w14:paraId="366FCC4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 xml:space="preserve">充电机宜显示下列信息： </w:t>
      </w:r>
    </w:p>
    <w:p w14:paraId="770E84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a） 电池当前荷电状态（ s</w:t>
      </w:r>
      <w:r>
        <w:rPr>
          <w:rFonts w:hint="eastAsia"/>
          <w:color w:val="auto"/>
          <w:sz w:val="28"/>
          <w:szCs w:val="28"/>
          <w:shd w:val="clear" w:color="auto" w:fill="FFFFFF"/>
          <w:lang w:val="en-US" w:eastAsia="zh-CN"/>
        </w:rPr>
        <w:t>ta</w:t>
      </w:r>
      <w:r>
        <w:rPr>
          <w:rFonts w:hint="default"/>
          <w:color w:val="auto"/>
          <w:sz w:val="28"/>
          <w:szCs w:val="28"/>
          <w:shd w:val="clear" w:color="auto" w:fill="FFFFFF"/>
          <w:lang w:val="en-US" w:eastAsia="zh-CN"/>
        </w:rPr>
        <w:t>te of charge</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SOC</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充电电压、充电电流、充电功率</w:t>
      </w:r>
      <w:r>
        <w:rPr>
          <w:rFonts w:hint="eastAsia"/>
          <w:color w:val="auto"/>
          <w:sz w:val="28"/>
          <w:szCs w:val="28"/>
          <w:shd w:val="clear" w:color="auto" w:fill="FFFFFF"/>
          <w:lang w:val="en-US" w:eastAsia="zh-CN"/>
        </w:rPr>
        <w:t>；</w:t>
      </w:r>
    </w:p>
    <w:p w14:paraId="0342443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b） 已充电时间、己充电电量、已充电金</w:t>
      </w:r>
      <w:r>
        <w:rPr>
          <w:rFonts w:hint="eastAsia"/>
          <w:color w:val="auto"/>
          <w:sz w:val="28"/>
          <w:szCs w:val="28"/>
          <w:shd w:val="clear" w:color="auto" w:fill="FFFFFF"/>
          <w:lang w:val="en-US" w:eastAsia="zh-CN"/>
        </w:rPr>
        <w:t>额。</w:t>
      </w:r>
      <w:r>
        <w:rPr>
          <w:rFonts w:hint="default"/>
          <w:color w:val="auto"/>
          <w:sz w:val="28"/>
          <w:szCs w:val="28"/>
          <w:shd w:val="clear" w:color="auto" w:fill="FFFFFF"/>
          <w:lang w:val="en-US" w:eastAsia="zh-CN"/>
        </w:rPr>
        <w:t xml:space="preserve"> </w:t>
      </w:r>
    </w:p>
    <w:p w14:paraId="33C367E4">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充电机宜具有手动</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入和控制的功能</w:t>
      </w:r>
      <w:r>
        <w:rPr>
          <w:rFonts w:hint="eastAsia"/>
          <w:color w:val="auto"/>
          <w:sz w:val="28"/>
          <w:szCs w:val="28"/>
          <w:shd w:val="clear" w:color="auto" w:fill="FFFFFF"/>
          <w:lang w:val="en-US" w:eastAsia="zh-CN"/>
        </w:rPr>
        <w:t>。</w:t>
      </w:r>
    </w:p>
    <w:p w14:paraId="1F17C025">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公用型充电机应具有对充电电能量进行计量的功能</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计量功能应符合GB/T29318的</w:t>
      </w:r>
      <w:r>
        <w:rPr>
          <w:rFonts w:hint="eastAsia"/>
          <w:color w:val="auto"/>
          <w:sz w:val="28"/>
          <w:szCs w:val="28"/>
          <w:shd w:val="clear" w:color="auto" w:fill="FFFFFF"/>
          <w:lang w:val="en-US" w:eastAsia="zh-CN"/>
        </w:rPr>
        <w:t>规</w:t>
      </w:r>
      <w:r>
        <w:rPr>
          <w:rFonts w:hint="default"/>
          <w:color w:val="auto"/>
          <w:sz w:val="28"/>
          <w:szCs w:val="28"/>
          <w:shd w:val="clear" w:color="auto" w:fill="FFFFFF"/>
          <w:lang w:val="en-US" w:eastAsia="zh-CN"/>
        </w:rPr>
        <w:t>定</w:t>
      </w:r>
      <w:r>
        <w:rPr>
          <w:rFonts w:hint="eastAsia"/>
          <w:color w:val="auto"/>
          <w:sz w:val="28"/>
          <w:szCs w:val="28"/>
          <w:shd w:val="clear" w:color="auto" w:fill="FFFFFF"/>
          <w:lang w:val="en-US" w:eastAsia="zh-CN"/>
        </w:rPr>
        <w:t>。</w:t>
      </w:r>
    </w:p>
    <w:p w14:paraId="3C998905">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充电机应安装急停装置</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当启动急停装置时</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一体式充电机应同时切断动力电源输入和直流输出</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分体式充电机应切断相应充电终端的</w:t>
      </w:r>
      <w:r>
        <w:rPr>
          <w:rFonts w:hint="eastAsia"/>
          <w:color w:val="auto"/>
          <w:sz w:val="28"/>
          <w:szCs w:val="28"/>
          <w:shd w:val="clear" w:color="auto" w:fill="FFFFFF"/>
          <w:lang w:val="en-US" w:eastAsia="zh-CN"/>
        </w:rPr>
        <w:t>直</w:t>
      </w:r>
      <w:r>
        <w:rPr>
          <w:rFonts w:hint="default"/>
          <w:color w:val="auto"/>
          <w:sz w:val="28"/>
          <w:szCs w:val="28"/>
          <w:shd w:val="clear" w:color="auto" w:fill="FFFFFF"/>
          <w:lang w:val="en-US" w:eastAsia="zh-CN"/>
        </w:rPr>
        <w:t>流</w:t>
      </w:r>
      <w:r>
        <w:rPr>
          <w:rFonts w:hint="eastAsia"/>
          <w:color w:val="auto"/>
          <w:sz w:val="28"/>
          <w:szCs w:val="28"/>
          <w:shd w:val="clear" w:color="auto" w:fill="FFFFFF"/>
          <w:lang w:val="en-US" w:eastAsia="zh-CN"/>
        </w:rPr>
        <w:t>输出</w:t>
      </w:r>
      <w:r>
        <w:rPr>
          <w:rFonts w:hint="default"/>
          <w:color w:val="auto"/>
          <w:sz w:val="28"/>
          <w:szCs w:val="28"/>
          <w:shd w:val="clear" w:color="auto" w:fill="FFFFFF"/>
          <w:lang w:val="en-US" w:eastAsia="zh-CN"/>
        </w:rPr>
        <w:t>，也可同时切断充电机的动力电源输入</w:t>
      </w:r>
      <w:r>
        <w:rPr>
          <w:rFonts w:hint="eastAsia"/>
          <w:color w:val="auto"/>
          <w:sz w:val="28"/>
          <w:szCs w:val="28"/>
          <w:shd w:val="clear" w:color="auto" w:fill="FFFFFF"/>
          <w:lang w:val="en-US" w:eastAsia="zh-CN"/>
        </w:rPr>
        <w:t>。</w:t>
      </w:r>
    </w:p>
    <w:p w14:paraId="4D2C42FB">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保护功能</w:t>
      </w:r>
    </w:p>
    <w:p w14:paraId="4CF7773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（1）</w:t>
      </w:r>
      <w:r>
        <w:rPr>
          <w:rFonts w:hint="default"/>
          <w:color w:val="auto"/>
          <w:sz w:val="28"/>
          <w:szCs w:val="28"/>
          <w:shd w:val="clear" w:color="auto" w:fill="FFFFFF"/>
          <w:lang w:val="en-US" w:eastAsia="zh-CN"/>
        </w:rPr>
        <w:t>充电机应具</w:t>
      </w:r>
      <w:r>
        <w:rPr>
          <w:rFonts w:hint="eastAsia"/>
          <w:color w:val="auto"/>
          <w:sz w:val="28"/>
          <w:szCs w:val="28"/>
          <w:shd w:val="clear" w:color="auto" w:fill="FFFFFF"/>
          <w:lang w:val="en-US" w:eastAsia="zh-CN"/>
        </w:rPr>
        <w:t>备</w:t>
      </w:r>
      <w:r>
        <w:rPr>
          <w:rFonts w:hint="default"/>
          <w:color w:val="auto"/>
          <w:sz w:val="28"/>
          <w:szCs w:val="28"/>
          <w:shd w:val="clear" w:color="auto" w:fill="FFFFFF"/>
          <w:lang w:val="en-US" w:eastAsia="zh-CN"/>
        </w:rPr>
        <w:t>电源</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入</w:t>
      </w:r>
      <w:r>
        <w:rPr>
          <w:rFonts w:hint="eastAsia"/>
          <w:color w:val="auto"/>
          <w:sz w:val="28"/>
          <w:szCs w:val="28"/>
          <w:shd w:val="clear" w:color="auto" w:fill="FFFFFF"/>
          <w:lang w:val="en-US" w:eastAsia="zh-CN"/>
        </w:rPr>
        <w:t>侧</w:t>
      </w:r>
      <w:r>
        <w:rPr>
          <w:rFonts w:hint="default"/>
          <w:color w:val="auto"/>
          <w:sz w:val="28"/>
          <w:szCs w:val="28"/>
          <w:shd w:val="clear" w:color="auto" w:fill="FFFFFF"/>
          <w:lang w:val="en-US" w:eastAsia="zh-CN"/>
        </w:rPr>
        <w:t>的过电</w:t>
      </w:r>
      <w:r>
        <w:rPr>
          <w:rFonts w:hint="eastAsia"/>
          <w:color w:val="auto"/>
          <w:sz w:val="28"/>
          <w:szCs w:val="28"/>
          <w:shd w:val="clear" w:color="auto" w:fill="FFFFFF"/>
          <w:lang w:val="en-US" w:eastAsia="zh-CN"/>
        </w:rPr>
        <w:t>压</w:t>
      </w:r>
      <w:r>
        <w:rPr>
          <w:rFonts w:hint="default"/>
          <w:color w:val="auto"/>
          <w:sz w:val="28"/>
          <w:szCs w:val="28"/>
          <w:shd w:val="clear" w:color="auto" w:fill="FFFFFF"/>
          <w:lang w:val="en-US" w:eastAsia="zh-CN"/>
        </w:rPr>
        <w:t>保护、欠电压保护</w:t>
      </w:r>
      <w:r>
        <w:rPr>
          <w:rFonts w:hint="eastAsia"/>
          <w:color w:val="auto"/>
          <w:sz w:val="28"/>
          <w:szCs w:val="28"/>
          <w:shd w:val="clear" w:color="auto" w:fill="FFFFFF"/>
          <w:lang w:val="en-US" w:eastAsia="zh-CN"/>
        </w:rPr>
        <w:t>。</w:t>
      </w:r>
    </w:p>
    <w:p w14:paraId="67A7A1D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（2）</w:t>
      </w:r>
      <w:r>
        <w:rPr>
          <w:rFonts w:hint="default"/>
          <w:color w:val="auto"/>
          <w:sz w:val="28"/>
          <w:szCs w:val="28"/>
          <w:shd w:val="clear" w:color="auto" w:fill="FFFFFF"/>
          <w:lang w:val="en-US" w:eastAsia="zh-CN"/>
        </w:rPr>
        <w:t>充电机应</w:t>
      </w:r>
      <w:r>
        <w:rPr>
          <w:rFonts w:hint="eastAsia"/>
          <w:color w:val="auto"/>
          <w:sz w:val="28"/>
          <w:szCs w:val="28"/>
          <w:shd w:val="clear" w:color="auto" w:fill="FFFFFF"/>
          <w:lang w:val="en-US" w:eastAsia="zh-CN"/>
        </w:rPr>
        <w:t>具备输</w:t>
      </w:r>
      <w:r>
        <w:rPr>
          <w:rFonts w:hint="default"/>
          <w:color w:val="auto"/>
          <w:sz w:val="28"/>
          <w:szCs w:val="28"/>
          <w:shd w:val="clear" w:color="auto" w:fill="FFFFFF"/>
          <w:lang w:val="en-US" w:eastAsia="zh-CN"/>
        </w:rPr>
        <w:t>出过电压保护</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 xml:space="preserve"> </w:t>
      </w:r>
    </w:p>
    <w:p w14:paraId="7DC18AD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（3）</w:t>
      </w:r>
      <w:r>
        <w:rPr>
          <w:rFonts w:hint="default"/>
          <w:color w:val="auto"/>
          <w:sz w:val="28"/>
          <w:szCs w:val="28"/>
          <w:shd w:val="clear" w:color="auto" w:fill="FFFFFF"/>
          <w:lang w:val="en-US" w:eastAsia="zh-CN"/>
        </w:rPr>
        <w:t>充电机应能</w:t>
      </w:r>
      <w:r>
        <w:rPr>
          <w:rFonts w:hint="eastAsia"/>
          <w:color w:val="auto"/>
          <w:sz w:val="28"/>
          <w:szCs w:val="28"/>
          <w:shd w:val="clear" w:color="auto" w:fill="FFFFFF"/>
          <w:lang w:val="en-US" w:eastAsia="zh-CN"/>
        </w:rPr>
        <w:t>够</w:t>
      </w:r>
      <w:r>
        <w:rPr>
          <w:rFonts w:hint="default"/>
          <w:color w:val="auto"/>
          <w:sz w:val="28"/>
          <w:szCs w:val="28"/>
          <w:shd w:val="clear" w:color="auto" w:fill="FFFFFF"/>
          <w:lang w:val="en-US" w:eastAsia="zh-CN"/>
        </w:rPr>
        <w:t>提供车辆</w:t>
      </w:r>
      <w:r>
        <w:rPr>
          <w:rFonts w:hint="eastAsia"/>
          <w:color w:val="auto"/>
          <w:sz w:val="28"/>
          <w:szCs w:val="28"/>
          <w:shd w:val="clear" w:color="auto" w:fill="FFFFFF"/>
          <w:lang w:val="en-US" w:eastAsia="zh-CN"/>
        </w:rPr>
        <w:t>侧</w:t>
      </w:r>
      <w:r>
        <w:rPr>
          <w:rFonts w:hint="default"/>
          <w:color w:val="auto"/>
          <w:sz w:val="28"/>
          <w:szCs w:val="28"/>
          <w:shd w:val="clear" w:color="auto" w:fill="FFFFFF"/>
          <w:lang w:val="en-US" w:eastAsia="zh-CN"/>
        </w:rPr>
        <w:t>供电</w:t>
      </w:r>
      <w:r>
        <w:rPr>
          <w:rFonts w:hint="eastAsia"/>
          <w:color w:val="auto"/>
          <w:sz w:val="28"/>
          <w:szCs w:val="28"/>
          <w:shd w:val="clear" w:color="auto" w:fill="FFFFFF"/>
          <w:lang w:val="en-US" w:eastAsia="zh-CN"/>
        </w:rPr>
        <w:t>回</w:t>
      </w:r>
      <w:r>
        <w:rPr>
          <w:rFonts w:hint="default"/>
          <w:color w:val="auto"/>
          <w:sz w:val="28"/>
          <w:szCs w:val="28"/>
          <w:shd w:val="clear" w:color="auto" w:fill="FFFFFF"/>
          <w:lang w:val="en-US" w:eastAsia="zh-CN"/>
        </w:rPr>
        <w:t>路及电</w:t>
      </w:r>
      <w:r>
        <w:rPr>
          <w:rFonts w:hint="eastAsia"/>
          <w:color w:val="auto"/>
          <w:sz w:val="28"/>
          <w:szCs w:val="28"/>
          <w:shd w:val="clear" w:color="auto" w:fill="FFFFFF"/>
          <w:lang w:val="en-US" w:eastAsia="zh-CN"/>
        </w:rPr>
        <w:t>缆</w:t>
      </w:r>
      <w:r>
        <w:rPr>
          <w:rFonts w:hint="default"/>
          <w:color w:val="auto"/>
          <w:sz w:val="28"/>
          <w:szCs w:val="28"/>
          <w:shd w:val="clear" w:color="auto" w:fill="FFFFFF"/>
          <w:lang w:val="en-US" w:eastAsia="zh-CN"/>
        </w:rPr>
        <w:t>的</w:t>
      </w:r>
      <w:r>
        <w:rPr>
          <w:rFonts w:hint="eastAsia"/>
          <w:color w:val="auto"/>
          <w:sz w:val="28"/>
          <w:szCs w:val="28"/>
          <w:shd w:val="clear" w:color="auto" w:fill="FFFFFF"/>
          <w:lang w:val="en-US" w:eastAsia="zh-CN"/>
        </w:rPr>
        <w:t>短路</w:t>
      </w:r>
      <w:r>
        <w:rPr>
          <w:rFonts w:hint="default"/>
          <w:color w:val="auto"/>
          <w:sz w:val="28"/>
          <w:szCs w:val="28"/>
          <w:shd w:val="clear" w:color="auto" w:fill="FFFFFF"/>
          <w:lang w:val="en-US" w:eastAsia="zh-CN"/>
        </w:rPr>
        <w:t>电流保护</w:t>
      </w:r>
      <w:r>
        <w:rPr>
          <w:rFonts w:hint="eastAsia"/>
          <w:color w:val="auto"/>
          <w:sz w:val="28"/>
          <w:szCs w:val="28"/>
          <w:shd w:val="clear" w:color="auto" w:fill="FFFFFF"/>
          <w:lang w:val="en-US" w:eastAsia="zh-CN"/>
        </w:rPr>
        <w:t>，短路</w:t>
      </w:r>
      <w:r>
        <w:rPr>
          <w:rFonts w:hint="default"/>
          <w:color w:val="auto"/>
          <w:sz w:val="28"/>
          <w:szCs w:val="28"/>
          <w:shd w:val="clear" w:color="auto" w:fill="FFFFFF"/>
          <w:lang w:val="en-US" w:eastAsia="zh-CN"/>
        </w:rPr>
        <w:t>保护</w:t>
      </w:r>
      <w:r>
        <w:rPr>
          <w:rFonts w:hint="eastAsia"/>
          <w:color w:val="auto"/>
          <w:sz w:val="28"/>
          <w:szCs w:val="28"/>
          <w:shd w:val="clear" w:color="auto" w:fill="FFFFFF"/>
          <w:lang w:val="en-US" w:eastAsia="zh-CN"/>
        </w:rPr>
        <w:t>设备</w:t>
      </w:r>
      <w:r>
        <w:rPr>
          <w:rFonts w:hint="default"/>
          <w:color w:val="auto"/>
          <w:sz w:val="28"/>
          <w:szCs w:val="28"/>
          <w:shd w:val="clear" w:color="auto" w:fill="FFFFFF"/>
          <w:lang w:val="en-US" w:eastAsia="zh-CN"/>
        </w:rPr>
        <w:t>的</w:t>
      </w:r>
      <w:r>
        <w:rPr>
          <w:rFonts w:hint="eastAsia"/>
          <w:color w:val="auto"/>
          <w:sz w:val="28"/>
          <w:szCs w:val="28"/>
          <w:shd w:val="clear" w:color="auto" w:fill="FFFFFF"/>
          <w:lang w:val="en-US" w:eastAsia="zh-CN"/>
        </w:rPr>
        <w:t>I</w:t>
      </w:r>
      <w:r>
        <w:rPr>
          <w:rFonts w:hint="eastAsia"/>
          <w:color w:val="auto"/>
          <w:sz w:val="28"/>
          <w:szCs w:val="28"/>
          <w:shd w:val="clear" w:color="auto" w:fill="FFFFFF"/>
          <w:vertAlign w:val="superscript"/>
          <w:lang w:val="en-US" w:eastAsia="zh-CN"/>
        </w:rPr>
        <w:t>2</w:t>
      </w:r>
      <w:r>
        <w:rPr>
          <w:rFonts w:hint="eastAsia"/>
          <w:color w:val="auto"/>
          <w:sz w:val="28"/>
          <w:szCs w:val="28"/>
          <w:shd w:val="clear" w:color="auto" w:fill="FFFFFF"/>
          <w:lang w:val="en-US" w:eastAsia="zh-CN"/>
        </w:rPr>
        <w:t>t</w:t>
      </w:r>
      <w:r>
        <w:rPr>
          <w:rFonts w:hint="default"/>
          <w:color w:val="auto"/>
          <w:sz w:val="28"/>
          <w:szCs w:val="28"/>
          <w:shd w:val="clear" w:color="auto" w:fill="FFFFFF"/>
          <w:lang w:val="en-US" w:eastAsia="zh-CN"/>
        </w:rPr>
        <w:t xml:space="preserve">值不应超过 </w:t>
      </w:r>
      <w:r>
        <w:rPr>
          <w:rFonts w:hint="eastAsia"/>
          <w:color w:val="auto"/>
          <w:sz w:val="28"/>
          <w:szCs w:val="28"/>
          <w:shd w:val="clear" w:color="auto" w:fill="FFFFFF"/>
          <w:lang w:val="en-US" w:eastAsia="zh-CN"/>
        </w:rPr>
        <w:t>500000A</w:t>
      </w:r>
      <w:r>
        <w:rPr>
          <w:rFonts w:hint="eastAsia"/>
          <w:color w:val="auto"/>
          <w:sz w:val="28"/>
          <w:szCs w:val="28"/>
          <w:shd w:val="clear" w:color="auto" w:fill="FFFFFF"/>
          <w:vertAlign w:val="superscript"/>
          <w:lang w:val="en-US" w:eastAsia="zh-CN"/>
        </w:rPr>
        <w:t>2</w:t>
      </w:r>
      <w:r>
        <w:rPr>
          <w:rFonts w:hint="eastAsia"/>
          <w:color w:val="auto"/>
          <w:sz w:val="28"/>
          <w:szCs w:val="28"/>
          <w:shd w:val="clear" w:color="auto" w:fill="FFFFFF"/>
          <w:lang w:val="en-US" w:eastAsia="zh-CN"/>
        </w:rPr>
        <w:t>s。</w:t>
      </w:r>
    </w:p>
    <w:p w14:paraId="3BFDB3B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（4）</w:t>
      </w:r>
      <w:r>
        <w:rPr>
          <w:rFonts w:hint="default"/>
          <w:color w:val="auto"/>
          <w:sz w:val="28"/>
          <w:szCs w:val="28"/>
          <w:shd w:val="clear" w:color="auto" w:fill="FFFFFF"/>
          <w:lang w:val="en-US" w:eastAsia="zh-CN"/>
        </w:rPr>
        <w:t>充电机</w:t>
      </w:r>
      <w:r>
        <w:rPr>
          <w:rFonts w:hint="eastAsia"/>
          <w:color w:val="auto"/>
          <w:sz w:val="28"/>
          <w:szCs w:val="28"/>
          <w:shd w:val="clear" w:color="auto" w:fill="FFFFFF"/>
          <w:lang w:val="en-US" w:eastAsia="zh-CN"/>
        </w:rPr>
        <w:t>应</w:t>
      </w:r>
      <w:r>
        <w:rPr>
          <w:rFonts w:hint="default"/>
          <w:color w:val="auto"/>
          <w:sz w:val="28"/>
          <w:szCs w:val="28"/>
          <w:shd w:val="clear" w:color="auto" w:fill="FFFFFF"/>
          <w:lang w:val="en-US" w:eastAsia="zh-CN"/>
        </w:rPr>
        <w:t>具备过</w:t>
      </w:r>
      <w:r>
        <w:rPr>
          <w:rFonts w:hint="eastAsia"/>
          <w:color w:val="auto"/>
          <w:sz w:val="28"/>
          <w:szCs w:val="28"/>
          <w:shd w:val="clear" w:color="auto" w:fill="FFFFFF"/>
          <w:lang w:val="en-US" w:eastAsia="zh-CN"/>
        </w:rPr>
        <w:t>温</w:t>
      </w:r>
      <w:r>
        <w:rPr>
          <w:rFonts w:hint="default"/>
          <w:color w:val="auto"/>
          <w:sz w:val="28"/>
          <w:szCs w:val="28"/>
          <w:shd w:val="clear" w:color="auto" w:fill="FFFFFF"/>
          <w:lang w:val="en-US" w:eastAsia="zh-CN"/>
        </w:rPr>
        <w:t>保护，</w:t>
      </w:r>
      <w:r>
        <w:rPr>
          <w:rFonts w:hint="eastAsia"/>
          <w:color w:val="auto"/>
          <w:sz w:val="28"/>
          <w:szCs w:val="28"/>
          <w:shd w:val="clear" w:color="auto" w:fill="FFFFFF"/>
          <w:lang w:val="en-US" w:eastAsia="zh-CN"/>
        </w:rPr>
        <w:t>当</w:t>
      </w:r>
      <w:r>
        <w:rPr>
          <w:rFonts w:hint="default"/>
          <w:color w:val="auto"/>
          <w:sz w:val="28"/>
          <w:szCs w:val="28"/>
          <w:shd w:val="clear" w:color="auto" w:fill="FFFFFF"/>
          <w:lang w:val="en-US" w:eastAsia="zh-CN"/>
        </w:rPr>
        <w:t>内部温度达到保护</w:t>
      </w:r>
      <w:r>
        <w:rPr>
          <w:rFonts w:hint="eastAsia"/>
          <w:color w:val="auto"/>
          <w:sz w:val="28"/>
          <w:szCs w:val="28"/>
          <w:shd w:val="clear" w:color="auto" w:fill="FFFFFF"/>
          <w:lang w:val="en-US" w:eastAsia="zh-CN"/>
        </w:rPr>
        <w:t>阈</w:t>
      </w:r>
      <w:r>
        <w:rPr>
          <w:rFonts w:hint="default"/>
          <w:color w:val="auto"/>
          <w:sz w:val="28"/>
          <w:szCs w:val="28"/>
          <w:shd w:val="clear" w:color="auto" w:fill="FFFFFF"/>
          <w:lang w:val="en-US" w:eastAsia="zh-CN"/>
        </w:rPr>
        <w:t>值时，采取降功率或停止输出</w:t>
      </w:r>
      <w:r>
        <w:rPr>
          <w:rFonts w:hint="eastAsia"/>
          <w:color w:val="auto"/>
          <w:sz w:val="28"/>
          <w:szCs w:val="28"/>
          <w:shd w:val="clear" w:color="auto" w:fill="FFFFFF"/>
          <w:lang w:val="en-US" w:eastAsia="zh-CN"/>
        </w:rPr>
        <w:t>。</w:t>
      </w:r>
    </w:p>
    <w:p w14:paraId="1729459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（5）</w:t>
      </w:r>
      <w:r>
        <w:rPr>
          <w:rFonts w:hint="default"/>
          <w:color w:val="auto"/>
          <w:sz w:val="28"/>
          <w:szCs w:val="28"/>
          <w:shd w:val="clear" w:color="auto" w:fill="FFFFFF"/>
          <w:lang w:val="en-US" w:eastAsia="zh-CN"/>
        </w:rPr>
        <w:t xml:space="preserve"> 充电机应</w:t>
      </w:r>
      <w:r>
        <w:rPr>
          <w:rFonts w:hint="eastAsia"/>
          <w:color w:val="auto"/>
          <w:sz w:val="28"/>
          <w:szCs w:val="28"/>
          <w:shd w:val="clear" w:color="auto" w:fill="FFFFFF"/>
          <w:lang w:val="en-US" w:eastAsia="zh-CN"/>
        </w:rPr>
        <w:t>具备</w:t>
      </w:r>
      <w:r>
        <w:rPr>
          <w:rFonts w:hint="default"/>
          <w:color w:val="auto"/>
          <w:sz w:val="28"/>
          <w:szCs w:val="28"/>
          <w:shd w:val="clear" w:color="auto" w:fill="FFFFFF"/>
          <w:lang w:val="en-US" w:eastAsia="zh-CN"/>
        </w:rPr>
        <w:t>开门保护</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当充电机门打开造成带电</w:t>
      </w:r>
      <w:r>
        <w:rPr>
          <w:rFonts w:hint="eastAsia"/>
          <w:color w:val="auto"/>
          <w:sz w:val="28"/>
          <w:szCs w:val="28"/>
          <w:shd w:val="clear" w:color="auto" w:fill="FFFFFF"/>
          <w:lang w:val="en-US" w:eastAsia="zh-CN"/>
        </w:rPr>
        <w:t>部</w:t>
      </w:r>
      <w:r>
        <w:rPr>
          <w:rFonts w:hint="default"/>
          <w:color w:val="auto"/>
          <w:sz w:val="28"/>
          <w:szCs w:val="28"/>
          <w:shd w:val="clear" w:color="auto" w:fill="FFFFFF"/>
          <w:lang w:val="en-US" w:eastAsia="zh-CN"/>
        </w:rPr>
        <w:t>分</w:t>
      </w:r>
      <w:r>
        <w:rPr>
          <w:rFonts w:hint="eastAsia"/>
          <w:color w:val="auto"/>
          <w:sz w:val="28"/>
          <w:szCs w:val="28"/>
          <w:shd w:val="clear" w:color="auto" w:fill="FFFFFF"/>
          <w:lang w:val="en-US" w:eastAsia="zh-CN"/>
        </w:rPr>
        <w:t>露</w:t>
      </w:r>
      <w:r>
        <w:rPr>
          <w:rFonts w:hint="default"/>
          <w:color w:val="auto"/>
          <w:sz w:val="28"/>
          <w:szCs w:val="28"/>
          <w:shd w:val="clear" w:color="auto" w:fill="FFFFFF"/>
          <w:lang w:val="en-US" w:eastAsia="zh-CN"/>
        </w:rPr>
        <w:t>出时，一体式充电机应同时切断动力电源</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入和</w:t>
      </w:r>
      <w:r>
        <w:rPr>
          <w:rFonts w:hint="eastAsia"/>
          <w:color w:val="auto"/>
          <w:sz w:val="28"/>
          <w:szCs w:val="28"/>
          <w:shd w:val="clear" w:color="auto" w:fill="FFFFFF"/>
          <w:lang w:val="en-US" w:eastAsia="zh-CN"/>
        </w:rPr>
        <w:t>直</w:t>
      </w:r>
      <w:r>
        <w:rPr>
          <w:rFonts w:hint="default"/>
          <w:color w:val="auto"/>
          <w:sz w:val="28"/>
          <w:szCs w:val="28"/>
          <w:shd w:val="clear" w:color="auto" w:fill="FFFFFF"/>
          <w:lang w:val="en-US" w:eastAsia="zh-CN"/>
        </w:rPr>
        <w:t>流输出，分体式充电机应切断相应</w:t>
      </w:r>
      <w:r>
        <w:rPr>
          <w:rFonts w:hint="eastAsia"/>
          <w:color w:val="auto"/>
          <w:sz w:val="28"/>
          <w:szCs w:val="28"/>
          <w:shd w:val="clear" w:color="auto" w:fill="FFFFFF"/>
          <w:lang w:val="en-US" w:eastAsia="zh-CN"/>
        </w:rPr>
        <w:t>部</w:t>
      </w:r>
      <w:r>
        <w:rPr>
          <w:rFonts w:hint="default"/>
          <w:color w:val="auto"/>
          <w:sz w:val="28"/>
          <w:szCs w:val="28"/>
          <w:shd w:val="clear" w:color="auto" w:fill="FFFFFF"/>
          <w:lang w:val="en-US" w:eastAsia="zh-CN"/>
        </w:rPr>
        <w:t>分的电源</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入或</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出</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 xml:space="preserve"> </w:t>
      </w:r>
    </w:p>
    <w:p w14:paraId="517CE39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（6）</w:t>
      </w:r>
      <w:r>
        <w:rPr>
          <w:rFonts w:hint="default"/>
          <w:color w:val="auto"/>
          <w:sz w:val="28"/>
          <w:szCs w:val="28"/>
          <w:shd w:val="clear" w:color="auto" w:fill="FFFFFF"/>
          <w:lang w:val="en-US" w:eastAsia="zh-CN"/>
        </w:rPr>
        <w:t>充电过程中当发生下列情况时，充电机应能在100</w:t>
      </w:r>
      <w:r>
        <w:rPr>
          <w:rFonts w:hint="eastAsia"/>
          <w:color w:val="auto"/>
          <w:sz w:val="28"/>
          <w:szCs w:val="28"/>
          <w:shd w:val="clear" w:color="auto" w:fill="FFFFFF"/>
          <w:lang w:val="en-US" w:eastAsia="zh-CN"/>
        </w:rPr>
        <w:t>ms</w:t>
      </w:r>
      <w:r>
        <w:rPr>
          <w:rFonts w:hint="default"/>
          <w:color w:val="auto"/>
          <w:sz w:val="28"/>
          <w:szCs w:val="28"/>
          <w:shd w:val="clear" w:color="auto" w:fill="FFFFFF"/>
          <w:lang w:val="en-US" w:eastAsia="zh-CN"/>
        </w:rPr>
        <w:t>内断开</w:t>
      </w:r>
      <w:r>
        <w:rPr>
          <w:rFonts w:hint="eastAsia"/>
          <w:color w:val="auto"/>
          <w:sz w:val="28"/>
          <w:szCs w:val="28"/>
          <w:shd w:val="clear" w:color="auto" w:fill="FFFFFF"/>
          <w:lang w:val="en-US" w:eastAsia="zh-CN"/>
        </w:rPr>
        <w:t>直</w:t>
      </w:r>
      <w:r>
        <w:rPr>
          <w:rFonts w:hint="default"/>
          <w:color w:val="auto"/>
          <w:sz w:val="28"/>
          <w:szCs w:val="28"/>
          <w:shd w:val="clear" w:color="auto" w:fill="FFFFFF"/>
          <w:lang w:val="en-US" w:eastAsia="zh-CN"/>
        </w:rPr>
        <w:t>流</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出</w:t>
      </w:r>
      <w:r>
        <w:rPr>
          <w:rFonts w:hint="eastAsia"/>
          <w:color w:val="auto"/>
          <w:sz w:val="28"/>
          <w:szCs w:val="28"/>
          <w:shd w:val="clear" w:color="auto" w:fill="FFFFFF"/>
          <w:lang w:val="en-US" w:eastAsia="zh-CN"/>
        </w:rPr>
        <w:t>：</w:t>
      </w:r>
    </w:p>
    <w:p w14:paraId="4669AF4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a</w:t>
      </w:r>
      <w:r>
        <w:rPr>
          <w:rFonts w:hint="default"/>
          <w:color w:val="auto"/>
          <w:sz w:val="28"/>
          <w:szCs w:val="28"/>
          <w:shd w:val="clear" w:color="auto" w:fill="FFFFFF"/>
          <w:lang w:val="en-US" w:eastAsia="zh-CN"/>
        </w:rPr>
        <w:t>）充电机启动</w:t>
      </w:r>
      <w:r>
        <w:rPr>
          <w:rFonts w:hint="eastAsia"/>
          <w:color w:val="auto"/>
          <w:sz w:val="28"/>
          <w:szCs w:val="28"/>
          <w:shd w:val="clear" w:color="auto" w:fill="FFFFFF"/>
          <w:lang w:val="en-US" w:eastAsia="zh-CN"/>
        </w:rPr>
        <w:t>急</w:t>
      </w:r>
      <w:r>
        <w:rPr>
          <w:rFonts w:hint="default"/>
          <w:color w:val="auto"/>
          <w:sz w:val="28"/>
          <w:szCs w:val="28"/>
          <w:shd w:val="clear" w:color="auto" w:fill="FFFFFF"/>
          <w:lang w:val="en-US" w:eastAsia="zh-CN"/>
        </w:rPr>
        <w:t>停装置</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 xml:space="preserve"> </w:t>
      </w:r>
    </w:p>
    <w:p w14:paraId="44AE782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b） 充电机与电动汽车间的保护接地线</w:t>
      </w:r>
      <w:r>
        <w:rPr>
          <w:rFonts w:hint="eastAsia"/>
          <w:color w:val="auto"/>
          <w:sz w:val="28"/>
          <w:szCs w:val="28"/>
          <w:shd w:val="clear" w:color="auto" w:fill="FFFFFF"/>
          <w:lang w:val="en-US" w:eastAsia="zh-CN"/>
        </w:rPr>
        <w:t>断</w:t>
      </w:r>
      <w:r>
        <w:rPr>
          <w:rFonts w:hint="default"/>
          <w:color w:val="auto"/>
          <w:sz w:val="28"/>
          <w:szCs w:val="28"/>
          <w:shd w:val="clear" w:color="auto" w:fill="FFFFFF"/>
          <w:lang w:val="en-US" w:eastAsia="zh-CN"/>
        </w:rPr>
        <w:t>开</w:t>
      </w:r>
      <w:r>
        <w:rPr>
          <w:rFonts w:hint="eastAsia"/>
          <w:color w:val="auto"/>
          <w:sz w:val="28"/>
          <w:szCs w:val="28"/>
          <w:shd w:val="clear" w:color="auto" w:fill="FFFFFF"/>
          <w:lang w:val="en-US" w:eastAsia="zh-CN"/>
        </w:rPr>
        <w:t>；</w:t>
      </w:r>
    </w:p>
    <w:p w14:paraId="64F5EE5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c） 充电机与电动汽车</w:t>
      </w:r>
      <w:r>
        <w:rPr>
          <w:rFonts w:hint="eastAsia"/>
          <w:color w:val="auto"/>
          <w:sz w:val="28"/>
          <w:szCs w:val="28"/>
          <w:shd w:val="clear" w:color="auto" w:fill="FFFFFF"/>
          <w:lang w:val="en-US" w:eastAsia="zh-CN"/>
        </w:rPr>
        <w:t>间</w:t>
      </w:r>
      <w:r>
        <w:rPr>
          <w:rFonts w:hint="default"/>
          <w:color w:val="auto"/>
          <w:sz w:val="28"/>
          <w:szCs w:val="28"/>
          <w:shd w:val="clear" w:color="auto" w:fill="FFFFFF"/>
          <w:lang w:val="en-US" w:eastAsia="zh-CN"/>
        </w:rPr>
        <w:t>的连接</w:t>
      </w:r>
      <w:r>
        <w:rPr>
          <w:rFonts w:hint="eastAsia"/>
          <w:color w:val="auto"/>
          <w:sz w:val="28"/>
          <w:szCs w:val="28"/>
          <w:shd w:val="clear" w:color="auto" w:fill="FFFFFF"/>
          <w:lang w:val="en-US" w:eastAsia="zh-CN"/>
        </w:rPr>
        <w:t>检测</w:t>
      </w:r>
      <w:r>
        <w:rPr>
          <w:rFonts w:hint="default"/>
          <w:color w:val="auto"/>
          <w:sz w:val="28"/>
          <w:szCs w:val="28"/>
          <w:shd w:val="clear" w:color="auto" w:fill="FFFFFF"/>
          <w:lang w:val="en-US" w:eastAsia="zh-CN"/>
        </w:rPr>
        <w:t>信号线断开</w:t>
      </w:r>
      <w:r>
        <w:rPr>
          <w:rFonts w:hint="eastAsia"/>
          <w:color w:val="auto"/>
          <w:sz w:val="28"/>
          <w:szCs w:val="28"/>
          <w:shd w:val="clear" w:color="auto" w:fill="FFFFFF"/>
          <w:lang w:val="en-US" w:eastAsia="zh-CN"/>
        </w:rPr>
        <w:t>。</w:t>
      </w:r>
    </w:p>
    <w:p w14:paraId="38D9C77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（7）</w:t>
      </w:r>
      <w:r>
        <w:rPr>
          <w:rFonts w:hint="default"/>
          <w:color w:val="auto"/>
          <w:sz w:val="28"/>
          <w:szCs w:val="28"/>
          <w:shd w:val="clear" w:color="auto" w:fill="FFFFFF"/>
          <w:lang w:val="en-US" w:eastAsia="zh-CN"/>
        </w:rPr>
        <w:t>充电机应具</w:t>
      </w:r>
      <w:r>
        <w:rPr>
          <w:rFonts w:hint="eastAsia"/>
          <w:color w:val="auto"/>
          <w:sz w:val="28"/>
          <w:szCs w:val="28"/>
          <w:shd w:val="clear" w:color="auto" w:fill="FFFFFF"/>
          <w:lang w:val="en-US" w:eastAsia="zh-CN"/>
        </w:rPr>
        <w:t>备</w:t>
      </w:r>
      <w:r>
        <w:rPr>
          <w:rFonts w:hint="default"/>
          <w:color w:val="auto"/>
          <w:sz w:val="28"/>
          <w:szCs w:val="28"/>
          <w:shd w:val="clear" w:color="auto" w:fill="FFFFFF"/>
          <w:lang w:val="en-US" w:eastAsia="zh-CN"/>
        </w:rPr>
        <w:t>限制输入电流过冲的能力</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开机或启动充电时产生的输入电流过冲不</w:t>
      </w:r>
      <w:r>
        <w:rPr>
          <w:rFonts w:hint="eastAsia"/>
          <w:color w:val="auto"/>
          <w:sz w:val="28"/>
          <w:szCs w:val="28"/>
          <w:shd w:val="clear" w:color="auto" w:fill="FFFFFF"/>
          <w:lang w:val="en-US" w:eastAsia="zh-CN"/>
        </w:rPr>
        <w:t>应</w:t>
      </w:r>
      <w:r>
        <w:rPr>
          <w:rFonts w:hint="default"/>
          <w:color w:val="auto"/>
          <w:sz w:val="28"/>
          <w:szCs w:val="28"/>
          <w:shd w:val="clear" w:color="auto" w:fill="FFFFFF"/>
          <w:lang w:val="en-US" w:eastAsia="zh-CN"/>
        </w:rPr>
        <w:t>大于</w:t>
      </w:r>
      <w:r>
        <w:rPr>
          <w:rFonts w:hint="eastAsia"/>
          <w:color w:val="auto"/>
          <w:sz w:val="28"/>
          <w:szCs w:val="28"/>
          <w:shd w:val="clear" w:color="auto" w:fill="FFFFFF"/>
          <w:lang w:val="en-US" w:eastAsia="zh-CN"/>
        </w:rPr>
        <w:t>额</w:t>
      </w:r>
      <w:r>
        <w:rPr>
          <w:rFonts w:hint="default"/>
          <w:color w:val="auto"/>
          <w:sz w:val="28"/>
          <w:szCs w:val="28"/>
          <w:shd w:val="clear" w:color="auto" w:fill="FFFFFF"/>
          <w:lang w:val="en-US" w:eastAsia="zh-CN"/>
        </w:rPr>
        <w:t>定输入电流峰值的10%</w:t>
      </w:r>
      <w:r>
        <w:rPr>
          <w:rFonts w:hint="eastAsia"/>
          <w:color w:val="auto"/>
          <w:sz w:val="28"/>
          <w:szCs w:val="28"/>
          <w:shd w:val="clear" w:color="auto" w:fill="FFFFFF"/>
          <w:lang w:val="en-US" w:eastAsia="zh-CN"/>
        </w:rPr>
        <w:t>。</w:t>
      </w:r>
    </w:p>
    <w:p w14:paraId="42CE549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（8）</w:t>
      </w:r>
      <w:r>
        <w:rPr>
          <w:rFonts w:hint="default"/>
          <w:color w:val="auto"/>
          <w:sz w:val="28"/>
          <w:szCs w:val="28"/>
          <w:shd w:val="clear" w:color="auto" w:fill="FFFFFF"/>
          <w:lang w:val="en-US" w:eastAsia="zh-CN"/>
        </w:rPr>
        <w:t>充电机直流输出接触</w:t>
      </w:r>
      <w:r>
        <w:rPr>
          <w:rFonts w:hint="eastAsia"/>
          <w:color w:val="auto"/>
          <w:sz w:val="28"/>
          <w:szCs w:val="28"/>
          <w:shd w:val="clear" w:color="auto" w:fill="FFFFFF"/>
          <w:lang w:val="en-US" w:eastAsia="zh-CN"/>
        </w:rPr>
        <w:t>器接通</w:t>
      </w:r>
      <w:r>
        <w:rPr>
          <w:rFonts w:hint="default"/>
          <w:color w:val="auto"/>
          <w:sz w:val="28"/>
          <w:szCs w:val="28"/>
          <w:shd w:val="clear" w:color="auto" w:fill="FFFFFF"/>
          <w:lang w:val="en-US" w:eastAsia="zh-CN"/>
        </w:rPr>
        <w:t>时发生的车辆到充电设</w:t>
      </w:r>
      <w:r>
        <w:rPr>
          <w:rFonts w:hint="eastAsia"/>
          <w:color w:val="auto"/>
          <w:sz w:val="28"/>
          <w:szCs w:val="28"/>
          <w:shd w:val="clear" w:color="auto" w:fill="FFFFFF"/>
          <w:lang w:val="en-US" w:eastAsia="zh-CN"/>
        </w:rPr>
        <w:t>备</w:t>
      </w:r>
      <w:r>
        <w:rPr>
          <w:rFonts w:hint="default"/>
          <w:color w:val="auto"/>
          <w:sz w:val="28"/>
          <w:szCs w:val="28"/>
          <w:shd w:val="clear" w:color="auto" w:fill="FFFFFF"/>
          <w:lang w:val="en-US" w:eastAsia="zh-CN"/>
        </w:rPr>
        <w:t>或充电设</w:t>
      </w:r>
      <w:r>
        <w:rPr>
          <w:rFonts w:hint="eastAsia"/>
          <w:color w:val="auto"/>
          <w:sz w:val="28"/>
          <w:szCs w:val="28"/>
          <w:shd w:val="clear" w:color="auto" w:fill="FFFFFF"/>
          <w:lang w:val="en-US" w:eastAsia="zh-CN"/>
        </w:rPr>
        <w:t>备</w:t>
      </w:r>
      <w:r>
        <w:rPr>
          <w:rFonts w:hint="default"/>
          <w:color w:val="auto"/>
          <w:sz w:val="28"/>
          <w:szCs w:val="28"/>
          <w:shd w:val="clear" w:color="auto" w:fill="FFFFFF"/>
          <w:lang w:val="en-US" w:eastAsia="zh-CN"/>
        </w:rPr>
        <w:t>到车辆的冲击</w:t>
      </w:r>
      <w:r>
        <w:rPr>
          <w:rFonts w:hint="eastAsia"/>
          <w:color w:val="auto"/>
          <w:sz w:val="28"/>
          <w:szCs w:val="28"/>
          <w:shd w:val="clear" w:color="auto" w:fill="FFFFFF"/>
          <w:lang w:val="en-US" w:eastAsia="zh-CN"/>
        </w:rPr>
        <w:t>电流</w:t>
      </w:r>
      <w:r>
        <w:rPr>
          <w:rFonts w:hint="default"/>
          <w:color w:val="auto"/>
          <w:sz w:val="28"/>
          <w:szCs w:val="28"/>
          <w:shd w:val="clear" w:color="auto" w:fill="FFFFFF"/>
          <w:lang w:val="en-US" w:eastAsia="zh-CN"/>
        </w:rPr>
        <w:t>（峰值）</w:t>
      </w:r>
      <w:r>
        <w:rPr>
          <w:rFonts w:hint="eastAsia"/>
          <w:color w:val="auto"/>
          <w:sz w:val="28"/>
          <w:szCs w:val="28"/>
          <w:shd w:val="clear" w:color="auto" w:fill="FFFFFF"/>
          <w:lang w:val="en-US" w:eastAsia="zh-CN"/>
        </w:rPr>
        <w:t>应</w:t>
      </w:r>
      <w:r>
        <w:rPr>
          <w:rFonts w:hint="default"/>
          <w:color w:val="auto"/>
          <w:sz w:val="28"/>
          <w:szCs w:val="28"/>
          <w:shd w:val="clear" w:color="auto" w:fill="FFFFFF"/>
          <w:lang w:val="en-US" w:eastAsia="zh-CN"/>
        </w:rPr>
        <w:t>控制在20A以下</w:t>
      </w:r>
      <w:r>
        <w:rPr>
          <w:rFonts w:hint="eastAsia"/>
          <w:color w:val="auto"/>
          <w:sz w:val="28"/>
          <w:szCs w:val="28"/>
          <w:shd w:val="clear" w:color="auto" w:fill="FFFFFF"/>
          <w:lang w:val="en-US" w:eastAsia="zh-CN"/>
        </w:rPr>
        <w:t>。</w:t>
      </w:r>
    </w:p>
    <w:p w14:paraId="7CE032F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（9）</w:t>
      </w:r>
      <w:r>
        <w:rPr>
          <w:rFonts w:hint="default"/>
          <w:color w:val="auto"/>
          <w:sz w:val="28"/>
          <w:szCs w:val="28"/>
          <w:shd w:val="clear" w:color="auto" w:fill="FFFFFF"/>
          <w:lang w:val="en-US" w:eastAsia="zh-CN"/>
        </w:rPr>
        <w:t>在</w:t>
      </w:r>
      <w:r>
        <w:rPr>
          <w:rFonts w:hint="eastAsia"/>
          <w:color w:val="auto"/>
          <w:sz w:val="28"/>
          <w:szCs w:val="28"/>
          <w:shd w:val="clear" w:color="auto" w:fill="FFFFFF"/>
          <w:lang w:val="en-US" w:eastAsia="zh-CN"/>
        </w:rPr>
        <w:t>启</w:t>
      </w:r>
      <w:r>
        <w:rPr>
          <w:rFonts w:hint="default"/>
          <w:color w:val="auto"/>
          <w:sz w:val="28"/>
          <w:szCs w:val="28"/>
          <w:shd w:val="clear" w:color="auto" w:fill="FFFFFF"/>
          <w:lang w:val="en-US" w:eastAsia="zh-CN"/>
        </w:rPr>
        <w:t>动充电阶段车辆</w:t>
      </w:r>
      <w:r>
        <w:rPr>
          <w:rFonts w:hint="eastAsia"/>
          <w:color w:val="auto"/>
          <w:sz w:val="28"/>
          <w:szCs w:val="28"/>
          <w:shd w:val="clear" w:color="auto" w:fill="FFFFFF"/>
          <w:lang w:val="en-US" w:eastAsia="zh-CN"/>
        </w:rPr>
        <w:t>侧</w:t>
      </w:r>
      <w:r>
        <w:rPr>
          <w:rFonts w:hint="default"/>
          <w:color w:val="auto"/>
          <w:sz w:val="28"/>
          <w:szCs w:val="28"/>
          <w:shd w:val="clear" w:color="auto" w:fill="FFFFFF"/>
          <w:lang w:val="en-US" w:eastAsia="zh-CN"/>
        </w:rPr>
        <w:t>接触</w:t>
      </w:r>
      <w:r>
        <w:rPr>
          <w:rFonts w:hint="eastAsia"/>
          <w:color w:val="auto"/>
          <w:sz w:val="28"/>
          <w:szCs w:val="28"/>
          <w:shd w:val="clear" w:color="auto" w:fill="FFFFFF"/>
          <w:lang w:val="en-US" w:eastAsia="zh-CN"/>
        </w:rPr>
        <w:t>器闭合</w:t>
      </w:r>
      <w:r>
        <w:rPr>
          <w:rFonts w:hint="default"/>
          <w:color w:val="auto"/>
          <w:sz w:val="28"/>
          <w:szCs w:val="28"/>
          <w:shd w:val="clear" w:color="auto" w:fill="FFFFFF"/>
          <w:lang w:val="en-US" w:eastAsia="zh-CN"/>
        </w:rPr>
        <w:t>后，充电机应对车</w:t>
      </w:r>
      <w:r>
        <w:rPr>
          <w:rFonts w:hint="eastAsia"/>
          <w:color w:val="auto"/>
          <w:sz w:val="28"/>
          <w:szCs w:val="28"/>
          <w:shd w:val="clear" w:color="auto" w:fill="FFFFFF"/>
          <w:lang w:val="en-US" w:eastAsia="zh-CN"/>
        </w:rPr>
        <w:t>辆</w:t>
      </w:r>
      <w:r>
        <w:rPr>
          <w:rFonts w:hint="default"/>
          <w:color w:val="auto"/>
          <w:sz w:val="28"/>
          <w:szCs w:val="28"/>
          <w:shd w:val="clear" w:color="auto" w:fill="FFFFFF"/>
          <w:lang w:val="en-US" w:eastAsia="zh-CN"/>
        </w:rPr>
        <w:t>电池电压</w:t>
      </w:r>
      <w:r>
        <w:rPr>
          <w:rFonts w:hint="eastAsia"/>
          <w:color w:val="auto"/>
          <w:sz w:val="28"/>
          <w:szCs w:val="28"/>
          <w:shd w:val="clear" w:color="auto" w:fill="FFFFFF"/>
          <w:lang w:val="en-US" w:eastAsia="zh-CN"/>
        </w:rPr>
        <w:t>进</w:t>
      </w:r>
      <w:r>
        <w:rPr>
          <w:rFonts w:hint="default"/>
          <w:color w:val="auto"/>
          <w:sz w:val="28"/>
          <w:szCs w:val="28"/>
          <w:shd w:val="clear" w:color="auto" w:fill="FFFFFF"/>
          <w:lang w:val="en-US" w:eastAsia="zh-CN"/>
        </w:rPr>
        <w:t>行</w:t>
      </w:r>
      <w:r>
        <w:rPr>
          <w:rFonts w:hint="eastAsia"/>
          <w:color w:val="auto"/>
          <w:sz w:val="28"/>
          <w:szCs w:val="28"/>
          <w:shd w:val="clear" w:color="auto" w:fill="FFFFFF"/>
          <w:lang w:val="en-US" w:eastAsia="zh-CN"/>
        </w:rPr>
        <w:t>检测，</w:t>
      </w:r>
      <w:r>
        <w:rPr>
          <w:rFonts w:hint="default"/>
          <w:color w:val="auto"/>
          <w:sz w:val="28"/>
          <w:szCs w:val="28"/>
          <w:shd w:val="clear" w:color="auto" w:fill="FFFFFF"/>
          <w:lang w:val="en-US" w:eastAsia="zh-CN"/>
        </w:rPr>
        <w:t>当出现下列情况时， 充电机应停止启动过程，并发出告警信</w:t>
      </w:r>
      <w:r>
        <w:rPr>
          <w:rFonts w:hint="eastAsia"/>
          <w:color w:val="auto"/>
          <w:sz w:val="28"/>
          <w:szCs w:val="28"/>
          <w:shd w:val="clear" w:color="auto" w:fill="FFFFFF"/>
          <w:lang w:val="en-US" w:eastAsia="zh-CN"/>
        </w:rPr>
        <w:t>息：</w:t>
      </w:r>
      <w:r>
        <w:rPr>
          <w:rFonts w:hint="default"/>
          <w:color w:val="auto"/>
          <w:sz w:val="28"/>
          <w:szCs w:val="28"/>
          <w:shd w:val="clear" w:color="auto" w:fill="FFFFFF"/>
          <w:lang w:val="en-US" w:eastAsia="zh-CN"/>
        </w:rPr>
        <w:t xml:space="preserve"> </w:t>
      </w:r>
    </w:p>
    <w:p w14:paraId="13210A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a） 蓄电池反接</w:t>
      </w:r>
      <w:r>
        <w:rPr>
          <w:rFonts w:hint="eastAsia"/>
          <w:color w:val="auto"/>
          <w:sz w:val="28"/>
          <w:szCs w:val="28"/>
          <w:shd w:val="clear" w:color="auto" w:fill="FFFFFF"/>
          <w:lang w:val="en-US" w:eastAsia="zh-CN"/>
        </w:rPr>
        <w:t>；</w:t>
      </w:r>
    </w:p>
    <w:p w14:paraId="3E8291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default"/>
          <w:color w:val="auto"/>
          <w:sz w:val="28"/>
          <w:szCs w:val="28"/>
          <w:shd w:val="clear" w:color="auto" w:fill="FFFFFF"/>
          <w:lang w:val="en-US" w:eastAsia="zh-CN"/>
        </w:rPr>
        <w:t>b） 检</w:t>
      </w:r>
      <w:r>
        <w:rPr>
          <w:rFonts w:hint="eastAsia"/>
          <w:color w:val="auto"/>
          <w:sz w:val="28"/>
          <w:szCs w:val="28"/>
          <w:shd w:val="clear" w:color="auto" w:fill="FFFFFF"/>
          <w:lang w:val="en-US" w:eastAsia="zh-CN"/>
        </w:rPr>
        <w:t>测</w:t>
      </w:r>
      <w:r>
        <w:rPr>
          <w:rFonts w:hint="default"/>
          <w:color w:val="auto"/>
          <w:sz w:val="28"/>
          <w:szCs w:val="28"/>
          <w:shd w:val="clear" w:color="auto" w:fill="FFFFFF"/>
          <w:lang w:val="en-US" w:eastAsia="zh-CN"/>
        </w:rPr>
        <w:t>电压与通信报文电池电压之差的绝对值大于通信报文电</w:t>
      </w:r>
      <w:r>
        <w:rPr>
          <w:rFonts w:hint="eastAsia"/>
          <w:color w:val="auto"/>
          <w:sz w:val="28"/>
          <w:szCs w:val="28"/>
          <w:shd w:val="clear" w:color="auto" w:fill="FFFFFF"/>
          <w:lang w:val="en-US" w:eastAsia="zh-CN"/>
        </w:rPr>
        <w:t>池</w:t>
      </w:r>
      <w:r>
        <w:rPr>
          <w:rFonts w:hint="default"/>
          <w:color w:val="auto"/>
          <w:sz w:val="28"/>
          <w:szCs w:val="28"/>
          <w:shd w:val="clear" w:color="auto" w:fill="FFFFFF"/>
          <w:lang w:val="en-US" w:eastAsia="zh-CN"/>
        </w:rPr>
        <w:t>电压的5%</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 xml:space="preserve"> </w:t>
      </w:r>
    </w:p>
    <w:p w14:paraId="061CFBE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c）</w:t>
      </w:r>
      <w:r>
        <w:rPr>
          <w:rFonts w:hint="default"/>
          <w:color w:val="auto"/>
          <w:sz w:val="28"/>
          <w:szCs w:val="28"/>
          <w:shd w:val="clear" w:color="auto" w:fill="FFFFFF"/>
          <w:lang w:val="en-US" w:eastAsia="zh-CN"/>
        </w:rPr>
        <w:t>检测电</w:t>
      </w:r>
      <w:r>
        <w:rPr>
          <w:rFonts w:hint="eastAsia"/>
          <w:color w:val="auto"/>
          <w:sz w:val="28"/>
          <w:szCs w:val="28"/>
          <w:shd w:val="clear" w:color="auto" w:fill="FFFFFF"/>
          <w:lang w:val="en-US" w:eastAsia="zh-CN"/>
        </w:rPr>
        <w:t>压</w:t>
      </w:r>
      <w:r>
        <w:rPr>
          <w:rFonts w:hint="default"/>
          <w:color w:val="auto"/>
          <w:sz w:val="28"/>
          <w:szCs w:val="28"/>
          <w:shd w:val="clear" w:color="auto" w:fill="FFFFFF"/>
          <w:lang w:val="en-US" w:eastAsia="zh-CN"/>
        </w:rPr>
        <w:t>小于充电机的</w:t>
      </w:r>
      <w:r>
        <w:rPr>
          <w:rFonts w:hint="eastAsia"/>
          <w:color w:val="auto"/>
          <w:sz w:val="28"/>
          <w:szCs w:val="28"/>
          <w:shd w:val="clear" w:color="auto" w:fill="FFFFFF"/>
          <w:lang w:val="en-US" w:eastAsia="zh-CN"/>
        </w:rPr>
        <w:t>最低输</w:t>
      </w:r>
      <w:r>
        <w:rPr>
          <w:rFonts w:hint="default"/>
          <w:color w:val="auto"/>
          <w:sz w:val="28"/>
          <w:szCs w:val="28"/>
          <w:shd w:val="clear" w:color="auto" w:fill="FFFFFF"/>
          <w:lang w:val="en-US" w:eastAsia="zh-CN"/>
        </w:rPr>
        <w:t>出电压或大于充电机的</w:t>
      </w:r>
      <w:r>
        <w:rPr>
          <w:rFonts w:hint="eastAsia"/>
          <w:color w:val="auto"/>
          <w:sz w:val="28"/>
          <w:szCs w:val="28"/>
          <w:shd w:val="clear" w:color="auto" w:fill="FFFFFF"/>
          <w:lang w:val="en-US" w:eastAsia="zh-CN"/>
        </w:rPr>
        <w:t>额定输</w:t>
      </w:r>
      <w:r>
        <w:rPr>
          <w:rFonts w:hint="default"/>
          <w:color w:val="auto"/>
          <w:sz w:val="28"/>
          <w:szCs w:val="28"/>
          <w:shd w:val="clear" w:color="auto" w:fill="FFFFFF"/>
          <w:lang w:val="en-US" w:eastAsia="zh-CN"/>
        </w:rPr>
        <w:t>出电压</w:t>
      </w:r>
      <w:r>
        <w:rPr>
          <w:rFonts w:hint="eastAsia"/>
          <w:color w:val="auto"/>
          <w:sz w:val="28"/>
          <w:szCs w:val="28"/>
          <w:shd w:val="clear" w:color="auto" w:fill="FFFFFF"/>
          <w:lang w:val="en-US" w:eastAsia="zh-CN"/>
        </w:rPr>
        <w:t>。</w:t>
      </w:r>
    </w:p>
    <w:p w14:paraId="154297F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（10）</w:t>
      </w:r>
      <w:r>
        <w:rPr>
          <w:rFonts w:hint="default"/>
          <w:color w:val="auto"/>
          <w:sz w:val="28"/>
          <w:szCs w:val="28"/>
          <w:shd w:val="clear" w:color="auto" w:fill="FFFFFF"/>
          <w:lang w:val="en-US" w:eastAsia="zh-CN"/>
        </w:rPr>
        <w:t>充电机应具备对电动汽车动力</w:t>
      </w:r>
      <w:r>
        <w:rPr>
          <w:rFonts w:hint="eastAsia"/>
          <w:color w:val="auto"/>
          <w:sz w:val="28"/>
          <w:szCs w:val="28"/>
          <w:shd w:val="clear" w:color="auto" w:fill="FFFFFF"/>
          <w:lang w:val="en-US" w:eastAsia="zh-CN"/>
        </w:rPr>
        <w:t>蓄</w:t>
      </w:r>
      <w:r>
        <w:rPr>
          <w:rFonts w:hint="default"/>
          <w:color w:val="auto"/>
          <w:sz w:val="28"/>
          <w:szCs w:val="28"/>
          <w:shd w:val="clear" w:color="auto" w:fill="FFFFFF"/>
          <w:lang w:val="en-US" w:eastAsia="zh-CN"/>
        </w:rPr>
        <w:t>电池二重保</w:t>
      </w:r>
      <w:r>
        <w:rPr>
          <w:rFonts w:hint="eastAsia"/>
          <w:color w:val="auto"/>
          <w:sz w:val="28"/>
          <w:szCs w:val="28"/>
          <w:shd w:val="clear" w:color="auto" w:fill="FFFFFF"/>
          <w:lang w:val="en-US" w:eastAsia="zh-CN"/>
        </w:rPr>
        <w:t>护</w:t>
      </w:r>
      <w:r>
        <w:rPr>
          <w:rFonts w:hint="default"/>
          <w:color w:val="auto"/>
          <w:sz w:val="28"/>
          <w:szCs w:val="28"/>
          <w:shd w:val="clear" w:color="auto" w:fill="FFFFFF"/>
          <w:lang w:val="en-US" w:eastAsia="zh-CN"/>
        </w:rPr>
        <w:t>功能</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在充电过程中，当</w:t>
      </w:r>
      <w:r>
        <w:rPr>
          <w:rFonts w:hint="eastAsia"/>
          <w:color w:val="auto"/>
          <w:sz w:val="28"/>
          <w:szCs w:val="28"/>
          <w:shd w:val="clear" w:color="auto" w:fill="FFFFFF"/>
          <w:lang w:val="en-US" w:eastAsia="zh-CN"/>
        </w:rPr>
        <w:t>检测</w:t>
      </w:r>
      <w:r>
        <w:rPr>
          <w:rFonts w:hint="default"/>
          <w:color w:val="auto"/>
          <w:sz w:val="28"/>
          <w:szCs w:val="28"/>
          <w:shd w:val="clear" w:color="auto" w:fill="FFFFFF"/>
          <w:lang w:val="en-US" w:eastAsia="zh-CN"/>
        </w:rPr>
        <w:t>到输出电压大于</w:t>
      </w:r>
      <w:r>
        <w:rPr>
          <w:rFonts w:hint="eastAsia"/>
          <w:color w:val="auto"/>
          <w:sz w:val="28"/>
          <w:szCs w:val="28"/>
          <w:shd w:val="clear" w:color="auto" w:fill="FFFFFF"/>
          <w:lang w:val="en-US" w:eastAsia="zh-CN"/>
        </w:rPr>
        <w:t>车</w:t>
      </w:r>
      <w:r>
        <w:rPr>
          <w:rFonts w:hint="default"/>
          <w:color w:val="auto"/>
          <w:sz w:val="28"/>
          <w:szCs w:val="28"/>
          <w:shd w:val="clear" w:color="auto" w:fill="FFFFFF"/>
          <w:lang w:val="en-US" w:eastAsia="zh-CN"/>
        </w:rPr>
        <w:t>辆</w:t>
      </w:r>
      <w:r>
        <w:rPr>
          <w:rFonts w:hint="eastAsia"/>
          <w:color w:val="auto"/>
          <w:sz w:val="28"/>
          <w:szCs w:val="28"/>
          <w:shd w:val="clear" w:color="auto" w:fill="FFFFFF"/>
          <w:lang w:val="en-US" w:eastAsia="zh-CN"/>
        </w:rPr>
        <w:t>最</w:t>
      </w:r>
      <w:r>
        <w:rPr>
          <w:rFonts w:hint="default"/>
          <w:color w:val="auto"/>
          <w:sz w:val="28"/>
          <w:szCs w:val="28"/>
          <w:shd w:val="clear" w:color="auto" w:fill="FFFFFF"/>
          <w:lang w:val="en-US" w:eastAsia="zh-CN"/>
        </w:rPr>
        <w:t>高允许充电</w:t>
      </w:r>
      <w:r>
        <w:rPr>
          <w:rFonts w:hint="eastAsia"/>
          <w:color w:val="auto"/>
          <w:sz w:val="28"/>
          <w:szCs w:val="28"/>
          <w:shd w:val="clear" w:color="auto" w:fill="FFFFFF"/>
          <w:lang w:val="en-US" w:eastAsia="zh-CN"/>
        </w:rPr>
        <w:t>总</w:t>
      </w:r>
      <w:r>
        <w:rPr>
          <w:rFonts w:hint="default"/>
          <w:color w:val="auto"/>
          <w:sz w:val="28"/>
          <w:szCs w:val="28"/>
          <w:shd w:val="clear" w:color="auto" w:fill="FFFFFF"/>
          <w:lang w:val="en-US" w:eastAsia="zh-CN"/>
        </w:rPr>
        <w:t>电压.或检</w:t>
      </w:r>
      <w:r>
        <w:rPr>
          <w:rFonts w:hint="eastAsia"/>
          <w:color w:val="auto"/>
          <w:sz w:val="28"/>
          <w:szCs w:val="28"/>
          <w:shd w:val="clear" w:color="auto" w:fill="FFFFFF"/>
          <w:lang w:val="en-US" w:eastAsia="zh-CN"/>
        </w:rPr>
        <w:t>测</w:t>
      </w:r>
      <w:r>
        <w:rPr>
          <w:rFonts w:hint="default"/>
          <w:color w:val="auto"/>
          <w:sz w:val="28"/>
          <w:szCs w:val="28"/>
          <w:shd w:val="clear" w:color="auto" w:fill="FFFFFF"/>
          <w:lang w:val="en-US" w:eastAsia="zh-CN"/>
        </w:rPr>
        <w:t>到</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出电流大于车辆当</w:t>
      </w:r>
      <w:r>
        <w:rPr>
          <w:rFonts w:hint="eastAsia"/>
          <w:color w:val="auto"/>
          <w:sz w:val="28"/>
          <w:szCs w:val="28"/>
          <w:shd w:val="clear" w:color="auto" w:fill="FFFFFF"/>
          <w:lang w:val="en-US" w:eastAsia="zh-CN"/>
        </w:rPr>
        <w:t>前</w:t>
      </w:r>
      <w:r>
        <w:rPr>
          <w:rFonts w:hint="default"/>
          <w:color w:val="auto"/>
          <w:sz w:val="28"/>
          <w:szCs w:val="28"/>
          <w:shd w:val="clear" w:color="auto" w:fill="FFFFFF"/>
          <w:lang w:val="en-US" w:eastAsia="zh-CN"/>
        </w:rPr>
        <w:t>需求电流</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充电机应在</w:t>
      </w:r>
      <w:r>
        <w:rPr>
          <w:rFonts w:hint="eastAsia"/>
          <w:color w:val="auto"/>
          <w:sz w:val="28"/>
          <w:szCs w:val="28"/>
          <w:shd w:val="clear" w:color="auto" w:fill="FFFFFF"/>
          <w:lang w:val="en-US" w:eastAsia="zh-CN"/>
        </w:rPr>
        <w:t>1</w:t>
      </w:r>
      <w:r>
        <w:rPr>
          <w:rFonts w:hint="default"/>
          <w:color w:val="auto"/>
          <w:sz w:val="28"/>
          <w:szCs w:val="28"/>
          <w:shd w:val="clear" w:color="auto" w:fill="FFFFFF"/>
          <w:lang w:val="en-US" w:eastAsia="zh-CN"/>
        </w:rPr>
        <w:t>s内断开</w:t>
      </w:r>
      <w:r>
        <w:rPr>
          <w:rFonts w:hint="eastAsia"/>
          <w:color w:val="auto"/>
          <w:sz w:val="28"/>
          <w:szCs w:val="28"/>
          <w:shd w:val="clear" w:color="auto" w:fill="FFFFFF"/>
          <w:lang w:val="en-US" w:eastAsia="zh-CN"/>
        </w:rPr>
        <w:t>直</w:t>
      </w:r>
      <w:r>
        <w:rPr>
          <w:rFonts w:hint="default"/>
          <w:color w:val="auto"/>
          <w:sz w:val="28"/>
          <w:szCs w:val="28"/>
          <w:shd w:val="clear" w:color="auto" w:fill="FFFFFF"/>
          <w:lang w:val="en-US" w:eastAsia="zh-CN"/>
        </w:rPr>
        <w:t>流输出，</w:t>
      </w:r>
      <w:r>
        <w:rPr>
          <w:rFonts w:hint="eastAsia"/>
          <w:color w:val="auto"/>
          <w:sz w:val="28"/>
          <w:szCs w:val="28"/>
          <w:shd w:val="clear" w:color="auto" w:fill="FFFFFF"/>
          <w:lang w:val="en-US" w:eastAsia="zh-CN"/>
        </w:rPr>
        <w:t>并</w:t>
      </w:r>
      <w:r>
        <w:rPr>
          <w:rFonts w:hint="default"/>
          <w:color w:val="auto"/>
          <w:sz w:val="28"/>
          <w:szCs w:val="28"/>
          <w:shd w:val="clear" w:color="auto" w:fill="FFFFFF"/>
          <w:lang w:val="en-US" w:eastAsia="zh-CN"/>
        </w:rPr>
        <w:t>发出</w:t>
      </w:r>
      <w:r>
        <w:rPr>
          <w:rFonts w:hint="eastAsia"/>
          <w:color w:val="auto"/>
          <w:sz w:val="28"/>
          <w:szCs w:val="28"/>
          <w:shd w:val="clear" w:color="auto" w:fill="FFFFFF"/>
          <w:lang w:val="en-US" w:eastAsia="zh-CN"/>
        </w:rPr>
        <w:t>告</w:t>
      </w:r>
      <w:r>
        <w:rPr>
          <w:rFonts w:hint="default"/>
          <w:color w:val="auto"/>
          <w:sz w:val="28"/>
          <w:szCs w:val="28"/>
          <w:shd w:val="clear" w:color="auto" w:fill="FFFFFF"/>
          <w:lang w:val="en-US" w:eastAsia="zh-CN"/>
        </w:rPr>
        <w:t>警信息</w:t>
      </w:r>
      <w:r>
        <w:rPr>
          <w:rFonts w:hint="eastAsia"/>
          <w:color w:val="auto"/>
          <w:sz w:val="28"/>
          <w:szCs w:val="28"/>
          <w:shd w:val="clear" w:color="auto" w:fill="FFFFFF"/>
          <w:lang w:val="en-US" w:eastAsia="zh-CN"/>
        </w:rPr>
        <w:t>。</w:t>
      </w:r>
    </w:p>
    <w:p w14:paraId="3DFAD4E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480" w:firstLineChars="200"/>
        <w:textAlignment w:val="auto"/>
        <w:rPr>
          <w:rFonts w:hint="default"/>
          <w:color w:val="auto"/>
          <w:sz w:val="28"/>
          <w:szCs w:val="28"/>
          <w:shd w:val="clear" w:color="auto" w:fill="FFFFFF"/>
          <w:lang w:val="en-US" w:eastAsia="zh-CN"/>
        </w:rPr>
      </w:pPr>
      <w:r>
        <w:rPr>
          <w:rFonts w:hint="default"/>
          <w:color w:val="auto"/>
          <w:sz w:val="24"/>
          <w:szCs w:val="24"/>
          <w:shd w:val="clear" w:color="auto" w:fill="FFFFFF"/>
          <w:lang w:val="en-US" w:eastAsia="zh-CN"/>
        </w:rPr>
        <w:t>注</w:t>
      </w:r>
      <w:r>
        <w:rPr>
          <w:rFonts w:hint="eastAsia"/>
          <w:color w:val="auto"/>
          <w:sz w:val="24"/>
          <w:szCs w:val="24"/>
          <w:shd w:val="clear" w:color="auto" w:fill="FFFFFF"/>
          <w:lang w:val="en-US" w:eastAsia="zh-CN"/>
        </w:rPr>
        <w:t>：</w:t>
      </w:r>
      <w:r>
        <w:rPr>
          <w:rFonts w:hint="default"/>
          <w:color w:val="auto"/>
          <w:sz w:val="24"/>
          <w:szCs w:val="24"/>
          <w:shd w:val="clear" w:color="auto" w:fill="FFFFFF"/>
          <w:lang w:val="en-US" w:eastAsia="zh-CN"/>
        </w:rPr>
        <w:t>充电机</w:t>
      </w:r>
      <w:r>
        <w:rPr>
          <w:rFonts w:hint="eastAsia"/>
          <w:color w:val="auto"/>
          <w:sz w:val="24"/>
          <w:szCs w:val="24"/>
          <w:shd w:val="clear" w:color="auto" w:fill="FFFFFF"/>
          <w:lang w:val="en-US" w:eastAsia="zh-CN"/>
        </w:rPr>
        <w:t>检测</w:t>
      </w:r>
      <w:r>
        <w:rPr>
          <w:rFonts w:hint="default"/>
          <w:color w:val="auto"/>
          <w:sz w:val="24"/>
          <w:szCs w:val="24"/>
          <w:shd w:val="clear" w:color="auto" w:fill="FFFFFF"/>
          <w:lang w:val="en-US" w:eastAsia="zh-CN"/>
        </w:rPr>
        <w:t>的</w:t>
      </w:r>
      <w:r>
        <w:rPr>
          <w:rFonts w:hint="eastAsia"/>
          <w:color w:val="auto"/>
          <w:sz w:val="24"/>
          <w:szCs w:val="24"/>
          <w:shd w:val="clear" w:color="auto" w:fill="FFFFFF"/>
          <w:lang w:val="en-US" w:eastAsia="zh-CN"/>
        </w:rPr>
        <w:t>输</w:t>
      </w:r>
      <w:r>
        <w:rPr>
          <w:rFonts w:hint="default"/>
          <w:color w:val="auto"/>
          <w:sz w:val="24"/>
          <w:szCs w:val="24"/>
          <w:shd w:val="clear" w:color="auto" w:fill="FFFFFF"/>
          <w:lang w:val="en-US" w:eastAsia="zh-CN"/>
        </w:rPr>
        <w:t>出电压</w:t>
      </w:r>
      <w:r>
        <w:rPr>
          <w:rFonts w:hint="eastAsia"/>
          <w:color w:val="auto"/>
          <w:sz w:val="24"/>
          <w:szCs w:val="24"/>
          <w:shd w:val="clear" w:color="auto" w:fill="FFFFFF"/>
          <w:lang w:val="en-US" w:eastAsia="zh-CN"/>
        </w:rPr>
        <w:t>或输</w:t>
      </w:r>
      <w:r>
        <w:rPr>
          <w:rFonts w:hint="default"/>
          <w:color w:val="auto"/>
          <w:sz w:val="24"/>
          <w:szCs w:val="24"/>
          <w:shd w:val="clear" w:color="auto" w:fill="FFFFFF"/>
          <w:lang w:val="en-US" w:eastAsia="zh-CN"/>
        </w:rPr>
        <w:t>出电</w:t>
      </w:r>
      <w:r>
        <w:rPr>
          <w:rFonts w:hint="eastAsia"/>
          <w:color w:val="auto"/>
          <w:sz w:val="24"/>
          <w:szCs w:val="24"/>
          <w:shd w:val="clear" w:color="auto" w:fill="FFFFFF"/>
          <w:lang w:val="en-US" w:eastAsia="zh-CN"/>
        </w:rPr>
        <w:t>流应</w:t>
      </w:r>
      <w:r>
        <w:rPr>
          <w:rFonts w:hint="default"/>
          <w:color w:val="auto"/>
          <w:sz w:val="24"/>
          <w:szCs w:val="24"/>
          <w:shd w:val="clear" w:color="auto" w:fill="FFFFFF"/>
          <w:lang w:val="en-US" w:eastAsia="zh-CN"/>
        </w:rPr>
        <w:t>考虑</w:t>
      </w:r>
      <w:r>
        <w:rPr>
          <w:rFonts w:hint="eastAsia"/>
          <w:color w:val="auto"/>
          <w:sz w:val="24"/>
          <w:szCs w:val="24"/>
          <w:shd w:val="clear" w:color="auto" w:fill="FFFFFF"/>
          <w:lang w:val="en-US" w:eastAsia="zh-CN"/>
        </w:rPr>
        <w:t>稳</w:t>
      </w:r>
      <w:r>
        <w:rPr>
          <w:rFonts w:hint="default"/>
          <w:color w:val="auto"/>
          <w:sz w:val="24"/>
          <w:szCs w:val="24"/>
          <w:shd w:val="clear" w:color="auto" w:fill="FFFFFF"/>
          <w:lang w:val="en-US" w:eastAsia="zh-CN"/>
        </w:rPr>
        <w:t>压</w:t>
      </w:r>
      <w:r>
        <w:rPr>
          <w:rFonts w:hint="eastAsia"/>
          <w:color w:val="auto"/>
          <w:sz w:val="24"/>
          <w:szCs w:val="24"/>
          <w:shd w:val="clear" w:color="auto" w:fill="FFFFFF"/>
          <w:lang w:val="en-US" w:eastAsia="zh-CN"/>
        </w:rPr>
        <w:t>精</w:t>
      </w:r>
      <w:r>
        <w:rPr>
          <w:rFonts w:hint="default"/>
          <w:color w:val="auto"/>
          <w:sz w:val="24"/>
          <w:szCs w:val="24"/>
          <w:shd w:val="clear" w:color="auto" w:fill="FFFFFF"/>
          <w:lang w:val="en-US" w:eastAsia="zh-CN"/>
        </w:rPr>
        <w:t>度</w:t>
      </w:r>
      <w:r>
        <w:rPr>
          <w:rFonts w:hint="eastAsia"/>
          <w:color w:val="auto"/>
          <w:sz w:val="24"/>
          <w:szCs w:val="24"/>
          <w:shd w:val="clear" w:color="auto" w:fill="FFFFFF"/>
          <w:lang w:val="en-US" w:eastAsia="zh-CN"/>
        </w:rPr>
        <w:t>或稳流精</w:t>
      </w:r>
      <w:r>
        <w:rPr>
          <w:rFonts w:hint="default"/>
          <w:color w:val="auto"/>
          <w:sz w:val="24"/>
          <w:szCs w:val="24"/>
          <w:shd w:val="clear" w:color="auto" w:fill="FFFFFF"/>
          <w:lang w:val="en-US" w:eastAsia="zh-CN"/>
        </w:rPr>
        <w:t>度</w:t>
      </w:r>
      <w:r>
        <w:rPr>
          <w:rFonts w:hint="eastAsia"/>
          <w:color w:val="auto"/>
          <w:sz w:val="24"/>
          <w:szCs w:val="24"/>
          <w:shd w:val="clear" w:color="auto" w:fill="FFFFFF"/>
          <w:lang w:val="en-US" w:eastAsia="zh-CN"/>
        </w:rPr>
        <w:t>范围加测量</w:t>
      </w:r>
      <w:r>
        <w:rPr>
          <w:rFonts w:hint="default"/>
          <w:color w:val="auto"/>
          <w:sz w:val="24"/>
          <w:szCs w:val="24"/>
          <w:shd w:val="clear" w:color="auto" w:fill="FFFFFF"/>
          <w:lang w:val="en-US" w:eastAsia="zh-CN"/>
        </w:rPr>
        <w:t>误</w:t>
      </w:r>
      <w:r>
        <w:rPr>
          <w:rFonts w:hint="eastAsia"/>
          <w:color w:val="auto"/>
          <w:sz w:val="24"/>
          <w:szCs w:val="24"/>
          <w:shd w:val="clear" w:color="auto" w:fill="FFFFFF"/>
          <w:lang w:val="en-US" w:eastAsia="zh-CN"/>
        </w:rPr>
        <w:t>差。</w:t>
      </w:r>
      <w:r>
        <w:rPr>
          <w:rFonts w:hint="default"/>
          <w:color w:val="auto"/>
          <w:sz w:val="28"/>
          <w:szCs w:val="28"/>
          <w:shd w:val="clear" w:color="auto" w:fill="FFFFFF"/>
          <w:lang w:val="en-US" w:eastAsia="zh-CN"/>
        </w:rPr>
        <w:t xml:space="preserve"> </w:t>
      </w:r>
    </w:p>
    <w:p w14:paraId="0BD1BA9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（11）</w:t>
      </w:r>
      <w:r>
        <w:rPr>
          <w:rFonts w:hint="default"/>
          <w:color w:val="auto"/>
          <w:sz w:val="28"/>
          <w:szCs w:val="28"/>
          <w:shd w:val="clear" w:color="auto" w:fill="FFFFFF"/>
          <w:lang w:val="en-US" w:eastAsia="zh-CN"/>
        </w:rPr>
        <w:t>充电机</w:t>
      </w:r>
      <w:r>
        <w:rPr>
          <w:rFonts w:hint="eastAsia"/>
          <w:color w:val="auto"/>
          <w:sz w:val="28"/>
          <w:szCs w:val="28"/>
          <w:shd w:val="clear" w:color="auto" w:fill="FFFFFF"/>
          <w:lang w:val="en-US" w:eastAsia="zh-CN"/>
        </w:rPr>
        <w:t>应</w:t>
      </w:r>
      <w:r>
        <w:rPr>
          <w:rFonts w:hint="default"/>
          <w:color w:val="auto"/>
          <w:sz w:val="28"/>
          <w:szCs w:val="28"/>
          <w:shd w:val="clear" w:color="auto" w:fill="FFFFFF"/>
          <w:lang w:val="en-US" w:eastAsia="zh-CN"/>
        </w:rPr>
        <w:t>具</w:t>
      </w:r>
      <w:r>
        <w:rPr>
          <w:rFonts w:hint="eastAsia"/>
          <w:color w:val="auto"/>
          <w:sz w:val="28"/>
          <w:szCs w:val="28"/>
          <w:shd w:val="clear" w:color="auto" w:fill="FFFFFF"/>
          <w:lang w:val="en-US" w:eastAsia="zh-CN"/>
        </w:rPr>
        <w:t>备</w:t>
      </w:r>
      <w:r>
        <w:rPr>
          <w:rFonts w:hint="default"/>
          <w:color w:val="auto"/>
          <w:sz w:val="28"/>
          <w:szCs w:val="28"/>
          <w:shd w:val="clear" w:color="auto" w:fill="FFFFFF"/>
          <w:lang w:val="en-US" w:eastAsia="zh-CN"/>
        </w:rPr>
        <w:t>防逆流功能（如</w:t>
      </w:r>
      <w:r>
        <w:rPr>
          <w:rFonts w:hint="eastAsia"/>
          <w:color w:val="auto"/>
          <w:sz w:val="28"/>
          <w:szCs w:val="28"/>
          <w:shd w:val="clear" w:color="auto" w:fill="FFFFFF"/>
          <w:lang w:val="en-US" w:eastAsia="zh-CN"/>
        </w:rPr>
        <w:t>输</w:t>
      </w:r>
      <w:r>
        <w:rPr>
          <w:rFonts w:hint="default"/>
          <w:color w:val="auto"/>
          <w:sz w:val="28"/>
          <w:szCs w:val="28"/>
          <w:shd w:val="clear" w:color="auto" w:fill="FFFFFF"/>
          <w:lang w:val="en-US" w:eastAsia="zh-CN"/>
        </w:rPr>
        <w:t>出加二</w:t>
      </w:r>
      <w:r>
        <w:rPr>
          <w:rFonts w:hint="eastAsia"/>
          <w:color w:val="auto"/>
          <w:sz w:val="28"/>
          <w:szCs w:val="28"/>
          <w:shd w:val="clear" w:color="auto" w:fill="FFFFFF"/>
          <w:lang w:val="en-US" w:eastAsia="zh-CN"/>
        </w:rPr>
        <w:t>极</w:t>
      </w:r>
      <w:r>
        <w:rPr>
          <w:rFonts w:hint="default"/>
          <w:color w:val="auto"/>
          <w:sz w:val="28"/>
          <w:szCs w:val="28"/>
          <w:shd w:val="clear" w:color="auto" w:fill="FFFFFF"/>
          <w:lang w:val="en-US" w:eastAsia="zh-CN"/>
        </w:rPr>
        <w:t>管等）</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防止</w:t>
      </w:r>
      <w:r>
        <w:rPr>
          <w:rFonts w:hint="eastAsia"/>
          <w:color w:val="auto"/>
          <w:sz w:val="28"/>
          <w:szCs w:val="28"/>
          <w:shd w:val="clear" w:color="auto" w:fill="FFFFFF"/>
          <w:lang w:val="en-US" w:eastAsia="zh-CN"/>
        </w:rPr>
        <w:t>蓄电池电流倒灌。</w:t>
      </w:r>
    </w:p>
    <w:p w14:paraId="6CE5F80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（12）</w:t>
      </w:r>
      <w:r>
        <w:rPr>
          <w:rFonts w:hint="default"/>
          <w:color w:val="auto"/>
          <w:sz w:val="28"/>
          <w:szCs w:val="28"/>
          <w:shd w:val="clear" w:color="auto" w:fill="FFFFFF"/>
          <w:lang w:val="en-US" w:eastAsia="zh-CN"/>
        </w:rPr>
        <w:t>充电机应在启动充电</w:t>
      </w:r>
      <w:r>
        <w:rPr>
          <w:rFonts w:hint="eastAsia"/>
          <w:color w:val="auto"/>
          <w:sz w:val="28"/>
          <w:szCs w:val="28"/>
          <w:shd w:val="clear" w:color="auto" w:fill="FFFFFF"/>
          <w:lang w:val="en-US" w:eastAsia="zh-CN"/>
        </w:rPr>
        <w:t>前</w:t>
      </w:r>
      <w:r>
        <w:rPr>
          <w:rFonts w:hint="default"/>
          <w:color w:val="auto"/>
          <w:sz w:val="28"/>
          <w:szCs w:val="28"/>
          <w:shd w:val="clear" w:color="auto" w:fill="FFFFFF"/>
          <w:lang w:val="en-US" w:eastAsia="zh-CN"/>
        </w:rPr>
        <w:t>进行供电回路直</w:t>
      </w:r>
      <w:r>
        <w:rPr>
          <w:rFonts w:hint="eastAsia"/>
          <w:color w:val="auto"/>
          <w:sz w:val="28"/>
          <w:szCs w:val="28"/>
          <w:shd w:val="clear" w:color="auto" w:fill="FFFFFF"/>
          <w:lang w:val="en-US" w:eastAsia="zh-CN"/>
        </w:rPr>
        <w:t>流</w:t>
      </w:r>
      <w:r>
        <w:rPr>
          <w:rFonts w:hint="default"/>
          <w:color w:val="auto"/>
          <w:sz w:val="28"/>
          <w:szCs w:val="28"/>
          <w:shd w:val="clear" w:color="auto" w:fill="FFFFFF"/>
          <w:lang w:val="en-US" w:eastAsia="zh-CN"/>
        </w:rPr>
        <w:t>接</w:t>
      </w:r>
      <w:r>
        <w:rPr>
          <w:rFonts w:hint="eastAsia"/>
          <w:color w:val="auto"/>
          <w:sz w:val="28"/>
          <w:szCs w:val="28"/>
          <w:shd w:val="clear" w:color="auto" w:fill="FFFFFF"/>
          <w:lang w:val="en-US" w:eastAsia="zh-CN"/>
        </w:rPr>
        <w:t>触器</w:t>
      </w:r>
      <w:r>
        <w:rPr>
          <w:rFonts w:hint="default"/>
          <w:color w:val="auto"/>
          <w:sz w:val="28"/>
          <w:szCs w:val="28"/>
          <w:shd w:val="clear" w:color="auto" w:fill="FFFFFF"/>
          <w:lang w:val="en-US" w:eastAsia="zh-CN"/>
        </w:rPr>
        <w:t>触点粘连</w:t>
      </w:r>
      <w:r>
        <w:rPr>
          <w:rFonts w:hint="eastAsia"/>
          <w:color w:val="auto"/>
          <w:sz w:val="28"/>
          <w:szCs w:val="28"/>
          <w:shd w:val="clear" w:color="auto" w:fill="FFFFFF"/>
          <w:lang w:val="en-US" w:eastAsia="zh-CN"/>
        </w:rPr>
        <w:t>检测，</w:t>
      </w:r>
      <w:r>
        <w:rPr>
          <w:rFonts w:hint="default"/>
          <w:color w:val="auto"/>
          <w:sz w:val="28"/>
          <w:szCs w:val="28"/>
          <w:shd w:val="clear" w:color="auto" w:fill="FFFFFF"/>
          <w:lang w:val="en-US" w:eastAsia="zh-CN"/>
        </w:rPr>
        <w:t>也可以在直流接触器断开后进行触点粘连检测</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当检</w:t>
      </w:r>
      <w:r>
        <w:rPr>
          <w:rFonts w:hint="eastAsia"/>
          <w:color w:val="auto"/>
          <w:sz w:val="28"/>
          <w:szCs w:val="28"/>
          <w:shd w:val="clear" w:color="auto" w:fill="FFFFFF"/>
          <w:lang w:val="en-US" w:eastAsia="zh-CN"/>
        </w:rPr>
        <w:t>测</w:t>
      </w:r>
      <w:r>
        <w:rPr>
          <w:rFonts w:hint="default"/>
          <w:color w:val="auto"/>
          <w:sz w:val="28"/>
          <w:szCs w:val="28"/>
          <w:shd w:val="clear" w:color="auto" w:fill="FFFFFF"/>
          <w:lang w:val="en-US" w:eastAsia="zh-CN"/>
        </w:rPr>
        <w:t>到任何一个</w:t>
      </w:r>
      <w:r>
        <w:rPr>
          <w:rFonts w:hint="eastAsia"/>
          <w:color w:val="auto"/>
          <w:sz w:val="28"/>
          <w:szCs w:val="28"/>
          <w:shd w:val="clear" w:color="auto" w:fill="FFFFFF"/>
          <w:lang w:val="en-US" w:eastAsia="zh-CN"/>
        </w:rPr>
        <w:t>直</w:t>
      </w:r>
      <w:r>
        <w:rPr>
          <w:rFonts w:hint="default"/>
          <w:color w:val="auto"/>
          <w:sz w:val="28"/>
          <w:szCs w:val="28"/>
          <w:shd w:val="clear" w:color="auto" w:fill="FFFFFF"/>
          <w:lang w:val="en-US" w:eastAsia="zh-CN"/>
        </w:rPr>
        <w:t>流接触器的主触点出</w:t>
      </w:r>
      <w:r>
        <w:rPr>
          <w:rFonts w:hint="eastAsia"/>
          <w:color w:val="auto"/>
          <w:sz w:val="28"/>
          <w:szCs w:val="28"/>
          <w:shd w:val="clear" w:color="auto" w:fill="FFFFFF"/>
          <w:lang w:val="en-US" w:eastAsia="zh-CN"/>
        </w:rPr>
        <w:t>现粘连</w:t>
      </w:r>
      <w:r>
        <w:rPr>
          <w:rFonts w:hint="default"/>
          <w:color w:val="auto"/>
          <w:sz w:val="28"/>
          <w:szCs w:val="28"/>
          <w:shd w:val="clear" w:color="auto" w:fill="FFFFFF"/>
          <w:lang w:val="en-US" w:eastAsia="zh-CN"/>
        </w:rPr>
        <w:t>情况时</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充电机不应</w:t>
      </w:r>
      <w:r>
        <w:rPr>
          <w:rFonts w:hint="eastAsia"/>
          <w:color w:val="auto"/>
          <w:sz w:val="28"/>
          <w:szCs w:val="28"/>
          <w:shd w:val="clear" w:color="auto" w:fill="FFFFFF"/>
          <w:lang w:val="en-US" w:eastAsia="zh-CN"/>
        </w:rPr>
        <w:t>启</w:t>
      </w:r>
      <w:r>
        <w:rPr>
          <w:rFonts w:hint="default"/>
          <w:color w:val="auto"/>
          <w:sz w:val="28"/>
          <w:szCs w:val="28"/>
          <w:shd w:val="clear" w:color="auto" w:fill="FFFFFF"/>
          <w:lang w:val="en-US" w:eastAsia="zh-CN"/>
        </w:rPr>
        <w:t>动充电</w:t>
      </w:r>
      <w:r>
        <w:rPr>
          <w:rFonts w:hint="eastAsia"/>
          <w:color w:val="auto"/>
          <w:sz w:val="28"/>
          <w:szCs w:val="28"/>
          <w:shd w:val="clear" w:color="auto" w:fill="FFFFFF"/>
          <w:lang w:val="en-US" w:eastAsia="zh-CN"/>
        </w:rPr>
        <w:t>，并</w:t>
      </w:r>
      <w:r>
        <w:rPr>
          <w:rFonts w:hint="default"/>
          <w:color w:val="auto"/>
          <w:sz w:val="28"/>
          <w:szCs w:val="28"/>
          <w:shd w:val="clear" w:color="auto" w:fill="FFFFFF"/>
          <w:lang w:val="en-US" w:eastAsia="zh-CN"/>
        </w:rPr>
        <w:t>发出告警信息</w:t>
      </w:r>
      <w:r>
        <w:rPr>
          <w:rFonts w:hint="eastAsia"/>
          <w:color w:val="auto"/>
          <w:sz w:val="28"/>
          <w:szCs w:val="28"/>
          <w:shd w:val="clear" w:color="auto" w:fill="FFFFFF"/>
          <w:lang w:val="en-US" w:eastAsia="zh-CN"/>
        </w:rPr>
        <w:t>。</w:t>
      </w:r>
    </w:p>
    <w:p w14:paraId="2A68C75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（13）</w:t>
      </w:r>
      <w:r>
        <w:rPr>
          <w:rFonts w:hint="default"/>
          <w:color w:val="auto"/>
          <w:sz w:val="28"/>
          <w:szCs w:val="28"/>
          <w:shd w:val="clear" w:color="auto" w:fill="FFFFFF"/>
          <w:lang w:val="en-US" w:eastAsia="zh-CN"/>
        </w:rPr>
        <w:t>充电机在充电过程中</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当检</w:t>
      </w:r>
      <w:r>
        <w:rPr>
          <w:rFonts w:hint="eastAsia"/>
          <w:color w:val="auto"/>
          <w:sz w:val="28"/>
          <w:szCs w:val="28"/>
          <w:shd w:val="clear" w:color="auto" w:fill="FFFFFF"/>
          <w:lang w:val="en-US" w:eastAsia="zh-CN"/>
        </w:rPr>
        <w:t>测</w:t>
      </w:r>
      <w:r>
        <w:rPr>
          <w:rFonts w:hint="default"/>
          <w:color w:val="auto"/>
          <w:sz w:val="28"/>
          <w:szCs w:val="28"/>
          <w:shd w:val="clear" w:color="auto" w:fill="FFFFFF"/>
          <w:lang w:val="en-US" w:eastAsia="zh-CN"/>
        </w:rPr>
        <w:t>到与电动汽车电池管理系统（battery</w:t>
      </w:r>
      <w:r>
        <w:rPr>
          <w:rFonts w:hint="eastAsia"/>
          <w:color w:val="auto"/>
          <w:sz w:val="28"/>
          <w:szCs w:val="28"/>
          <w:shd w:val="clear" w:color="auto" w:fill="FFFFFF"/>
          <w:lang w:val="en-US" w:eastAsia="zh-CN"/>
        </w:rPr>
        <w:t xml:space="preserve"> </w:t>
      </w:r>
      <w:r>
        <w:rPr>
          <w:rFonts w:hint="default"/>
          <w:color w:val="auto"/>
          <w:sz w:val="28"/>
          <w:szCs w:val="28"/>
          <w:shd w:val="clear" w:color="auto" w:fill="FFFFFF"/>
          <w:lang w:val="en-US" w:eastAsia="zh-CN"/>
        </w:rPr>
        <w:t>management</w:t>
      </w:r>
      <w:r>
        <w:rPr>
          <w:rFonts w:hint="eastAsia"/>
          <w:color w:val="auto"/>
          <w:sz w:val="28"/>
          <w:szCs w:val="28"/>
          <w:shd w:val="clear" w:color="auto" w:fill="FFFFFF"/>
          <w:lang w:val="en-US" w:eastAsia="zh-CN"/>
        </w:rPr>
        <w:t xml:space="preserve"> </w:t>
      </w:r>
      <w:r>
        <w:rPr>
          <w:rFonts w:hint="default"/>
          <w:color w:val="auto"/>
          <w:sz w:val="28"/>
          <w:szCs w:val="28"/>
          <w:shd w:val="clear" w:color="auto" w:fill="FFFFFF"/>
          <w:lang w:val="en-US" w:eastAsia="zh-CN"/>
        </w:rPr>
        <w:t>sy</w:t>
      </w:r>
      <w:r>
        <w:rPr>
          <w:rFonts w:hint="eastAsia"/>
          <w:color w:val="auto"/>
          <w:sz w:val="28"/>
          <w:szCs w:val="28"/>
          <w:shd w:val="clear" w:color="auto" w:fill="FFFFFF"/>
          <w:lang w:val="en-US" w:eastAsia="zh-CN"/>
        </w:rPr>
        <w:t>st</w:t>
      </w:r>
      <w:r>
        <w:rPr>
          <w:rFonts w:hint="default"/>
          <w:color w:val="auto"/>
          <w:sz w:val="28"/>
          <w:szCs w:val="28"/>
          <w:shd w:val="clear" w:color="auto" w:fill="FFFFFF"/>
          <w:lang w:val="en-US" w:eastAsia="zh-CN"/>
        </w:rPr>
        <w:t>em</w:t>
      </w:r>
      <w:r>
        <w:rPr>
          <w:rFonts w:hint="eastAsia"/>
          <w:color w:val="auto"/>
          <w:sz w:val="28"/>
          <w:szCs w:val="28"/>
          <w:shd w:val="clear" w:color="auto" w:fill="FFFFFF"/>
          <w:lang w:val="en-US" w:eastAsia="zh-CN"/>
        </w:rPr>
        <w:t>，</w:t>
      </w:r>
      <w:r>
        <w:rPr>
          <w:rFonts w:hint="default"/>
          <w:color w:val="auto"/>
          <w:sz w:val="28"/>
          <w:szCs w:val="28"/>
          <w:shd w:val="clear" w:color="auto" w:fill="FFFFFF"/>
          <w:lang w:val="en-US" w:eastAsia="zh-CN"/>
        </w:rPr>
        <w:t>BMS） 或车辆控制器发生通信中断时，充电机应停止充电，并发出告警信息</w:t>
      </w:r>
      <w:r>
        <w:rPr>
          <w:rFonts w:hint="eastAsia"/>
          <w:color w:val="auto"/>
          <w:sz w:val="28"/>
          <w:szCs w:val="28"/>
          <w:shd w:val="clear" w:color="auto" w:fill="FFFFFF"/>
          <w:lang w:val="en-US" w:eastAsia="zh-CN"/>
        </w:rPr>
        <w:t>。</w:t>
      </w:r>
    </w:p>
    <w:p w14:paraId="24C39F7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（14）充电机应在充电握手阶段判断电池管理系统BHM报文中的最高允许充电总电压值，当检测到该值小于充电机最低输出电压时，应停止绝缘监测进程，并发出告警信息。</w:t>
      </w:r>
    </w:p>
    <w:p w14:paraId="2D499A1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（15）充电机应在充电阶段实时判断电池管理系统BCL报文中的电压需求和电流需求值，当检测到该值大于车辆最高允许充电总电压或最高允许充电电流时，充电机应停止充电，并发出告警信息。</w:t>
      </w:r>
    </w:p>
    <w:p w14:paraId="52F1BA6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（16）充电机的雷电防护应符合GB/T18487.1-2015中11.7的规定。</w:t>
      </w:r>
    </w:p>
    <w:p w14:paraId="083D89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15、充电机铁质外壳和暴露的铁质支架、零件应采用双层防锈措施，非铁质的金属外壳也应具有防氧化保护膜或进行防氧化处理。</w:t>
      </w:r>
    </w:p>
    <w:p w14:paraId="12C532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16、户外型充电机应能承受GB/T4797.5规定的不同地区最大风速的侵袭。</w:t>
      </w:r>
    </w:p>
    <w:p w14:paraId="0C43F4D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17、户外型充电机应具有防盗措施。</w:t>
      </w:r>
    </w:p>
    <w:p w14:paraId="195A66A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18、充电机应满足下列安全要求：</w:t>
      </w:r>
    </w:p>
    <w:p w14:paraId="1857F7C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（1）充电机的表面温度应符合GB/T18487.1-2023中的12.5.3的规定；</w:t>
      </w:r>
    </w:p>
    <w:p w14:paraId="50EE727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（2）充电机的电击防护应符合GB/T18487.1-2023中第7章的规定；</w:t>
      </w:r>
    </w:p>
    <w:p w14:paraId="6DAFB81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（3）充电机的电气间隙和爬电距离应符合GB/T18487.1-2023中11.4的规定；</w:t>
      </w:r>
    </w:p>
    <w:p w14:paraId="1226699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（4）充电机的接地应符合下列要求：</w:t>
      </w:r>
    </w:p>
    <w:p w14:paraId="6006E77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color w:val="auto"/>
          <w:sz w:val="28"/>
          <w:szCs w:val="28"/>
          <w:shd w:val="clear" w:color="auto" w:fill="FFFFFF"/>
          <w:lang w:val="en-US" w:eastAsia="zh-CN"/>
        </w:rPr>
      </w:pPr>
      <w:r>
        <w:rPr>
          <w:rFonts w:hint="eastAsia"/>
          <w:color w:val="auto"/>
          <w:sz w:val="28"/>
          <w:szCs w:val="28"/>
          <w:shd w:val="clear" w:color="auto" w:fill="FFFFFF"/>
          <w:lang w:val="en-US" w:eastAsia="zh-CN"/>
        </w:rPr>
        <w:t>a）充电机金属壳体应设置接地端子（螺栓），其直径不应小于6mm，并应有接地标志；</w:t>
      </w:r>
    </w:p>
    <w:p w14:paraId="4C204D5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color w:val="auto"/>
          <w:sz w:val="28"/>
          <w:szCs w:val="28"/>
          <w:shd w:val="clear" w:color="auto" w:fill="FFFFFF"/>
          <w:lang w:val="en-US" w:eastAsia="zh-CN"/>
        </w:rPr>
      </w:pPr>
      <w:r>
        <w:rPr>
          <w:rFonts w:hint="eastAsia"/>
          <w:color w:val="auto"/>
          <w:sz w:val="28"/>
          <w:szCs w:val="28"/>
          <w:shd w:val="clear" w:color="auto" w:fill="FFFFFF"/>
          <w:lang w:val="en-US" w:eastAsia="zh-CN"/>
        </w:rPr>
        <w:t>b）充电机金属材质的门板、盖板、覆板和类似部件，应采用铜质保护导体将这些部件和充电机的结构主体框架连接，且保护导体的截面积不应小于2.5mm</w:t>
      </w:r>
      <w:r>
        <w:rPr>
          <w:rFonts w:hint="eastAsia"/>
          <w:color w:val="auto"/>
          <w:sz w:val="28"/>
          <w:szCs w:val="28"/>
          <w:shd w:val="clear" w:color="auto" w:fill="FFFFFF"/>
          <w:vertAlign w:val="superscript"/>
          <w:lang w:val="en-US" w:eastAsia="zh-CN"/>
        </w:rPr>
        <w:t>2</w:t>
      </w:r>
      <w:r>
        <w:rPr>
          <w:rFonts w:hint="eastAsia"/>
          <w:color w:val="auto"/>
          <w:sz w:val="28"/>
          <w:szCs w:val="28"/>
          <w:shd w:val="clear" w:color="auto" w:fill="FFFFFF"/>
          <w:vertAlign w:val="baseline"/>
          <w:lang w:val="en-US" w:eastAsia="zh-CN"/>
        </w:rPr>
        <w:t>；</w:t>
      </w:r>
    </w:p>
    <w:p w14:paraId="786EC5BF">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宋体" w:hAnsi="宋体"/>
          <w:color w:val="auto"/>
          <w:sz w:val="28"/>
          <w:szCs w:val="28"/>
          <w:shd w:val="clear" w:color="auto" w:fill="FFFFFF"/>
        </w:rPr>
      </w:pPr>
      <w:r>
        <w:rPr>
          <w:rFonts w:hint="eastAsia" w:ascii="宋体" w:hAnsi="宋体"/>
          <w:color w:val="auto"/>
          <w:kern w:val="0"/>
          <w:sz w:val="28"/>
          <w:szCs w:val="28"/>
          <w:highlight w:val="none"/>
          <w:lang w:val="en-US" w:eastAsia="zh-CN"/>
        </w:rPr>
        <w:t>19</w:t>
      </w:r>
      <w:r>
        <w:rPr>
          <w:rFonts w:hint="eastAsia" w:ascii="宋体" w:hAnsi="宋体"/>
          <w:color w:val="auto"/>
          <w:kern w:val="0"/>
          <w:sz w:val="28"/>
          <w:szCs w:val="28"/>
          <w:highlight w:val="none"/>
        </w:rPr>
        <w:t>、</w:t>
      </w:r>
      <w:r>
        <w:rPr>
          <w:rFonts w:hint="eastAsia" w:ascii="宋体" w:hAnsi="宋体"/>
          <w:color w:val="auto"/>
          <w:sz w:val="28"/>
          <w:szCs w:val="28"/>
          <w:highlight w:val="none"/>
          <w:shd w:val="clear" w:color="auto" w:fill="FFFFFF"/>
        </w:rPr>
        <w:t>非车载充电接口应在结构上防止手轻易触及裸露带电导体。充电连接器在不充电时应放置在</w:t>
      </w:r>
      <w:r>
        <w:rPr>
          <w:rFonts w:hint="eastAsia" w:ascii="宋体" w:hAnsi="宋体"/>
          <w:color w:val="auto"/>
          <w:sz w:val="28"/>
          <w:szCs w:val="28"/>
          <w:shd w:val="clear" w:color="auto" w:fill="FFFFFF"/>
        </w:rPr>
        <w:t>人不轻易触及的位置。对于安装在室外的非车载充电机，充电接口处应采取必要的防雨、防尘措施。</w:t>
      </w:r>
    </w:p>
    <w:p w14:paraId="44E76FCA">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olor w:val="auto"/>
          <w:sz w:val="28"/>
          <w:szCs w:val="28"/>
          <w:shd w:val="clear" w:color="auto" w:fill="FFFFFF"/>
          <w:lang w:eastAsia="zh-CN"/>
        </w:rPr>
      </w:pPr>
      <w:r>
        <w:rPr>
          <w:rFonts w:hint="eastAsia" w:ascii="宋体" w:hAnsi="宋体"/>
          <w:color w:val="auto"/>
          <w:sz w:val="28"/>
          <w:szCs w:val="28"/>
          <w:shd w:val="clear" w:color="auto" w:fill="FFFFFF"/>
          <w:lang w:val="en-US" w:eastAsia="zh-CN"/>
        </w:rPr>
        <w:t>20</w:t>
      </w:r>
      <w:r>
        <w:rPr>
          <w:rFonts w:hint="eastAsia" w:ascii="宋体" w:hAnsi="宋体"/>
          <w:color w:val="auto"/>
          <w:sz w:val="28"/>
          <w:szCs w:val="28"/>
          <w:shd w:val="clear" w:color="auto" w:fill="FFFFFF"/>
        </w:rPr>
        <w:t>、非车载充电机的布置与安装应符合下列要求：</w:t>
      </w:r>
    </w:p>
    <w:p w14:paraId="0097F638">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olor w:val="auto"/>
          <w:sz w:val="28"/>
          <w:szCs w:val="28"/>
          <w:shd w:val="clear" w:color="auto" w:fill="FFFFFF"/>
          <w:lang w:eastAsia="zh-CN"/>
        </w:rPr>
      </w:pP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lang w:val="en-US" w:eastAsia="zh-CN"/>
        </w:rPr>
        <w:t>1</w:t>
      </w: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rPr>
        <w:t>充电机的布置应便于车辆充电，并应缩短充电机输出电缆的长度。</w:t>
      </w:r>
    </w:p>
    <w:p w14:paraId="1E8D1F1B">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olor w:val="auto"/>
          <w:sz w:val="28"/>
          <w:szCs w:val="28"/>
          <w:shd w:val="clear" w:color="auto" w:fill="FFFFFF"/>
          <w:lang w:eastAsia="zh-CN"/>
        </w:rPr>
      </w:pP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lang w:val="en-US" w:eastAsia="zh-CN"/>
        </w:rPr>
        <w:t>2</w:t>
      </w: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rPr>
        <w:t>应采用接线端子与配电系统连接，在电源侧应安装空气开关。</w:t>
      </w:r>
    </w:p>
    <w:p w14:paraId="36927966">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olor w:val="auto"/>
          <w:sz w:val="28"/>
          <w:szCs w:val="28"/>
          <w:shd w:val="clear" w:color="auto" w:fill="FFFFFF"/>
          <w:lang w:eastAsia="zh-CN"/>
        </w:rPr>
      </w:pP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lang w:val="en-US" w:eastAsia="zh-CN"/>
        </w:rPr>
        <w:t>3</w:t>
      </w: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rPr>
        <w:t>充电机保护接地端子应可靠接地。</w:t>
      </w:r>
    </w:p>
    <w:p w14:paraId="50E8CC2A">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olor w:val="auto"/>
          <w:sz w:val="28"/>
          <w:szCs w:val="28"/>
          <w:shd w:val="clear" w:color="auto" w:fill="FFFFFF"/>
          <w:lang w:eastAsia="zh-CN"/>
        </w:rPr>
      </w:pP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lang w:val="en-US" w:eastAsia="zh-CN"/>
        </w:rPr>
        <w:t>4</w:t>
      </w: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rPr>
        <w:t>充电机应垂直安装于与地平面垂直的立面，偏离垂直位置任一方向的误差不应大于5°。</w:t>
      </w:r>
    </w:p>
    <w:p w14:paraId="74A5E0F3">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宋体" w:hAnsi="宋体"/>
          <w:color w:val="auto"/>
          <w:sz w:val="28"/>
          <w:szCs w:val="28"/>
          <w:shd w:val="clear" w:color="auto" w:fill="FFFFFF"/>
        </w:rPr>
      </w:pP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lang w:val="en-US" w:eastAsia="zh-CN"/>
        </w:rPr>
        <w:t>5</w:t>
      </w:r>
      <w:r>
        <w:rPr>
          <w:rFonts w:hint="eastAsia" w:ascii="宋体" w:hAnsi="宋体"/>
          <w:color w:val="auto"/>
          <w:sz w:val="28"/>
          <w:szCs w:val="28"/>
          <w:shd w:val="clear" w:color="auto" w:fill="FFFFFF"/>
          <w:lang w:eastAsia="zh-CN"/>
        </w:rPr>
        <w:t>）</w:t>
      </w:r>
      <w:r>
        <w:rPr>
          <w:rFonts w:hint="eastAsia" w:ascii="宋体" w:hAnsi="宋体"/>
          <w:color w:val="auto"/>
          <w:sz w:val="28"/>
          <w:szCs w:val="28"/>
          <w:shd w:val="clear" w:color="auto" w:fill="FFFFFF"/>
        </w:rPr>
        <w:t>室外安装的非车载充电机基础应高出充电站地坪0．2m及以上。必要时可在非车载充电机附近设置防撞栏，其高度不应小于0．8m。</w:t>
      </w:r>
    </w:p>
    <w:p w14:paraId="5A278301">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宋体" w:hAnsi="宋体"/>
          <w:color w:val="auto"/>
          <w:sz w:val="28"/>
          <w:szCs w:val="28"/>
          <w:shd w:val="clear" w:color="auto" w:fill="FFFFFF"/>
        </w:rPr>
      </w:pPr>
      <w:r>
        <w:rPr>
          <w:rFonts w:hint="eastAsia" w:ascii="宋体" w:hAnsi="宋体"/>
          <w:color w:val="auto"/>
          <w:sz w:val="28"/>
          <w:szCs w:val="28"/>
          <w:shd w:val="clear" w:color="auto" w:fill="FFFFFF"/>
          <w:lang w:val="en-US" w:eastAsia="zh-CN"/>
        </w:rPr>
        <w:t>21</w:t>
      </w:r>
      <w:r>
        <w:rPr>
          <w:rFonts w:hint="eastAsia" w:ascii="宋体" w:hAnsi="宋体"/>
          <w:color w:val="auto"/>
          <w:sz w:val="28"/>
          <w:szCs w:val="28"/>
          <w:shd w:val="clear" w:color="auto" w:fill="FFFFFF"/>
        </w:rPr>
        <w:t>、充电站安防监控系统的设计应符合现行国家标准《安全防范工程技术规范》GB 50348的有关规定，宜设置视频安防监控系统。</w:t>
      </w:r>
    </w:p>
    <w:p w14:paraId="2E6B4871">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宋体" w:hAnsi="宋体"/>
          <w:color w:val="auto"/>
          <w:sz w:val="28"/>
          <w:szCs w:val="28"/>
          <w:shd w:val="clear" w:color="auto" w:fill="FFFFFF"/>
        </w:rPr>
      </w:pPr>
      <w:r>
        <w:rPr>
          <w:rFonts w:hint="eastAsia" w:ascii="宋体" w:hAnsi="宋体"/>
          <w:color w:val="auto"/>
          <w:sz w:val="28"/>
          <w:szCs w:val="28"/>
          <w:shd w:val="clear" w:color="auto" w:fill="FFFFFF"/>
          <w:lang w:val="en-US" w:eastAsia="zh-CN"/>
        </w:rPr>
        <w:t>22</w:t>
      </w:r>
      <w:r>
        <w:rPr>
          <w:rFonts w:hint="eastAsia" w:ascii="宋体" w:hAnsi="宋体"/>
          <w:color w:val="auto"/>
          <w:sz w:val="28"/>
          <w:szCs w:val="28"/>
          <w:shd w:val="clear" w:color="auto" w:fill="FFFFFF"/>
        </w:rPr>
        <w:t>、当罩棚顶棚的承重构件为钢结构时，其耐火极限可为0</w:t>
      </w:r>
      <w:r>
        <w:rPr>
          <w:rFonts w:hint="eastAsia" w:ascii="宋体" w:hAnsi="宋体"/>
          <w:color w:val="auto"/>
          <w:sz w:val="28"/>
          <w:szCs w:val="28"/>
          <w:shd w:val="clear" w:color="auto" w:fill="FFFFFF"/>
          <w:lang w:val="en-US" w:eastAsia="zh-CN"/>
        </w:rPr>
        <w:t>.</w:t>
      </w:r>
      <w:r>
        <w:rPr>
          <w:rFonts w:hint="eastAsia" w:ascii="宋体" w:hAnsi="宋体"/>
          <w:color w:val="auto"/>
          <w:sz w:val="28"/>
          <w:szCs w:val="28"/>
          <w:shd w:val="clear" w:color="auto" w:fill="FFFFFF"/>
        </w:rPr>
        <w:t>25h，顶棚其他部分不得采用可燃烧体建造。</w:t>
      </w:r>
    </w:p>
    <w:p w14:paraId="72DF7E38">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宋体" w:hAnsi="宋体"/>
          <w:color w:val="auto"/>
          <w:sz w:val="28"/>
          <w:szCs w:val="28"/>
          <w:shd w:val="clear" w:color="auto" w:fill="FFFFFF"/>
        </w:rPr>
      </w:pPr>
      <w:r>
        <w:rPr>
          <w:rFonts w:hint="eastAsia" w:ascii="宋体" w:hAnsi="宋体"/>
          <w:color w:val="auto"/>
          <w:sz w:val="28"/>
          <w:szCs w:val="28"/>
          <w:shd w:val="clear" w:color="auto" w:fill="FFFFFF"/>
          <w:lang w:val="en-US" w:eastAsia="zh-CN"/>
        </w:rPr>
        <w:t>23</w:t>
      </w:r>
      <w:r>
        <w:rPr>
          <w:rFonts w:hint="eastAsia" w:ascii="宋体" w:hAnsi="宋体"/>
          <w:color w:val="auto"/>
          <w:sz w:val="28"/>
          <w:szCs w:val="28"/>
          <w:shd w:val="clear" w:color="auto" w:fill="FFFFFF"/>
        </w:rPr>
        <w:t>、充电站的防雷接地、防静电接地、电气设备的工作接地、保护接地及信息系统的接地宜共用接地装置，接地电阻不应大于4Ω。</w:t>
      </w:r>
    </w:p>
    <w:p w14:paraId="259D24EB">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color w:val="auto"/>
          <w:sz w:val="28"/>
          <w:szCs w:val="28"/>
          <w:shd w:val="clear" w:color="auto" w:fill="FFFFFF"/>
        </w:rPr>
      </w:pPr>
      <w:r>
        <w:rPr>
          <w:rFonts w:hint="eastAsia" w:ascii="宋体" w:hAnsi="宋体"/>
          <w:color w:val="auto"/>
          <w:sz w:val="28"/>
          <w:szCs w:val="28"/>
          <w:shd w:val="clear" w:color="auto" w:fill="FFFFFF"/>
          <w:lang w:val="en-US" w:eastAsia="zh-CN"/>
        </w:rPr>
        <w:t>24</w:t>
      </w:r>
      <w:r>
        <w:rPr>
          <w:rFonts w:hint="eastAsia" w:ascii="宋体" w:hAnsi="宋体"/>
          <w:color w:val="auto"/>
          <w:sz w:val="28"/>
          <w:szCs w:val="28"/>
          <w:shd w:val="clear" w:color="auto" w:fill="FFFFFF"/>
        </w:rPr>
        <w:t>、室内外照明器的安装位置应便于维修。照明器与带电导体或带电设备间应有足够的安全距离，对工作时有可能损坏灯罩的场所，应采用有保护罩的照明器，金属保护罩应与保护地线可靠连接。</w:t>
      </w:r>
    </w:p>
    <w:p w14:paraId="4ACF42C6">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color w:val="auto"/>
          <w:sz w:val="28"/>
          <w:szCs w:val="28"/>
          <w:shd w:val="clear" w:color="auto" w:fill="FFFFFF"/>
        </w:rPr>
      </w:pPr>
      <w:r>
        <w:rPr>
          <w:rFonts w:hint="eastAsia" w:ascii="宋体" w:hAnsi="宋体"/>
          <w:color w:val="auto"/>
          <w:sz w:val="28"/>
          <w:szCs w:val="28"/>
          <w:shd w:val="clear" w:color="auto" w:fill="FFFFFF"/>
          <w:lang w:val="en-US" w:eastAsia="zh-CN"/>
        </w:rPr>
        <w:t>25、</w:t>
      </w:r>
      <w:r>
        <w:rPr>
          <w:rFonts w:hint="eastAsia" w:ascii="宋体" w:hAnsi="宋体"/>
          <w:color w:val="auto"/>
          <w:sz w:val="28"/>
          <w:szCs w:val="28"/>
          <w:shd w:val="clear" w:color="auto" w:fill="FFFFFF"/>
        </w:rPr>
        <w:t>设备上电之前，务必确认设备是否接地良好，以避免触电造成不必要的事故；</w:t>
      </w:r>
    </w:p>
    <w:p w14:paraId="3A5C91BB">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color w:val="auto"/>
          <w:sz w:val="28"/>
          <w:szCs w:val="28"/>
          <w:shd w:val="clear" w:color="auto" w:fill="FFFFFF"/>
        </w:rPr>
      </w:pPr>
      <w:r>
        <w:rPr>
          <w:rFonts w:hint="eastAsia" w:ascii="宋体" w:hAnsi="宋体"/>
          <w:color w:val="auto"/>
          <w:sz w:val="28"/>
          <w:szCs w:val="28"/>
          <w:shd w:val="clear" w:color="auto" w:fill="FFFFFF"/>
          <w:lang w:val="en-US" w:eastAsia="zh-CN"/>
        </w:rPr>
        <w:t>26、</w:t>
      </w:r>
      <w:r>
        <w:rPr>
          <w:rFonts w:hint="eastAsia" w:ascii="宋体" w:hAnsi="宋体"/>
          <w:color w:val="auto"/>
          <w:sz w:val="28"/>
          <w:szCs w:val="28"/>
          <w:shd w:val="clear" w:color="auto" w:fill="FFFFFF"/>
        </w:rPr>
        <w:t>所有使用的工具其不必要裸露的金属部分应做好绝缘处理，以防裸露的金属部分碰触金属机架，造成短路；</w:t>
      </w:r>
    </w:p>
    <w:p w14:paraId="2A2D3929">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olor w:val="auto"/>
          <w:sz w:val="28"/>
          <w:szCs w:val="28"/>
          <w:shd w:val="clear" w:color="auto" w:fill="FFFFFF"/>
          <w:lang w:eastAsia="zh-CN"/>
        </w:rPr>
      </w:pPr>
      <w:r>
        <w:rPr>
          <w:rFonts w:hint="eastAsia" w:ascii="宋体" w:hAnsi="宋体"/>
          <w:color w:val="auto"/>
          <w:sz w:val="28"/>
          <w:szCs w:val="28"/>
          <w:shd w:val="clear" w:color="auto" w:fill="FFFFFF"/>
          <w:lang w:val="en-US" w:eastAsia="zh-CN"/>
        </w:rPr>
        <w:t>27、</w:t>
      </w:r>
      <w:r>
        <w:rPr>
          <w:rFonts w:hint="eastAsia" w:ascii="宋体" w:hAnsi="宋体"/>
          <w:color w:val="auto"/>
          <w:sz w:val="28"/>
          <w:szCs w:val="28"/>
          <w:shd w:val="clear" w:color="auto" w:fill="FFFFFF"/>
        </w:rPr>
        <w:t>在任何情况下切勿自行改装、加装和变更任何部件</w:t>
      </w:r>
      <w:r>
        <w:rPr>
          <w:rFonts w:hint="eastAsia" w:ascii="宋体" w:hAnsi="宋体"/>
          <w:color w:val="auto"/>
          <w:sz w:val="28"/>
          <w:szCs w:val="28"/>
          <w:shd w:val="clear" w:color="auto" w:fill="FFFFFF"/>
          <w:lang w:eastAsia="zh-CN"/>
        </w:rPr>
        <w:t>；</w:t>
      </w:r>
    </w:p>
    <w:p w14:paraId="40EC5A51">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olor w:val="auto"/>
          <w:sz w:val="28"/>
          <w:szCs w:val="28"/>
          <w:shd w:val="clear" w:color="auto" w:fill="FFFFFF"/>
          <w:lang w:eastAsia="zh-CN"/>
        </w:rPr>
      </w:pPr>
      <w:r>
        <w:rPr>
          <w:rFonts w:hint="eastAsia" w:ascii="宋体" w:hAnsi="宋体"/>
          <w:color w:val="auto"/>
          <w:sz w:val="28"/>
          <w:szCs w:val="28"/>
          <w:shd w:val="clear" w:color="auto" w:fill="FFFFFF"/>
          <w:lang w:val="en-US" w:eastAsia="zh-CN"/>
        </w:rPr>
        <w:t>28、</w:t>
      </w:r>
      <w:r>
        <w:rPr>
          <w:rFonts w:hint="eastAsia" w:ascii="宋体" w:hAnsi="宋体"/>
          <w:color w:val="auto"/>
          <w:sz w:val="28"/>
          <w:szCs w:val="28"/>
          <w:shd w:val="clear" w:color="auto" w:fill="FFFFFF"/>
        </w:rPr>
        <w:t>总控箱的使用环境应尽可能地保持清洁、恒温和恒湿，且不得在有挥发性气体或易燃环境下使用</w:t>
      </w:r>
      <w:r>
        <w:rPr>
          <w:rFonts w:hint="eastAsia" w:ascii="宋体" w:hAnsi="宋体"/>
          <w:color w:val="auto"/>
          <w:sz w:val="28"/>
          <w:szCs w:val="28"/>
          <w:shd w:val="clear" w:color="auto" w:fill="FFFFFF"/>
          <w:lang w:eastAsia="zh-CN"/>
        </w:rPr>
        <w:t>；</w:t>
      </w:r>
    </w:p>
    <w:p w14:paraId="4C8477D5">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color w:val="auto"/>
          <w:sz w:val="28"/>
          <w:szCs w:val="28"/>
          <w:shd w:val="clear" w:color="auto" w:fill="FFFFFF"/>
          <w:lang w:eastAsia="zh-CN"/>
        </w:rPr>
      </w:pPr>
      <w:r>
        <w:rPr>
          <w:rFonts w:hint="eastAsia" w:ascii="宋体" w:hAnsi="宋体"/>
          <w:color w:val="auto"/>
          <w:sz w:val="28"/>
          <w:szCs w:val="28"/>
          <w:shd w:val="clear" w:color="auto" w:fill="FFFFFF"/>
          <w:lang w:val="en-US" w:eastAsia="zh-CN"/>
        </w:rPr>
        <w:t>29、</w:t>
      </w:r>
      <w:r>
        <w:rPr>
          <w:rFonts w:hint="eastAsia" w:ascii="宋体" w:hAnsi="宋体"/>
          <w:color w:val="auto"/>
          <w:sz w:val="28"/>
          <w:szCs w:val="28"/>
          <w:shd w:val="clear" w:color="auto" w:fill="FFFFFF"/>
        </w:rPr>
        <w:t>设备通电前务必确认输入电压、频率、装置的断路器或熔丝及其它条件都已符合所订规格</w:t>
      </w:r>
      <w:r>
        <w:rPr>
          <w:rFonts w:hint="eastAsia" w:ascii="宋体" w:hAnsi="宋体"/>
          <w:color w:val="auto"/>
          <w:sz w:val="28"/>
          <w:szCs w:val="28"/>
          <w:shd w:val="clear" w:color="auto" w:fill="FFFFFF"/>
          <w:lang w:eastAsia="zh-CN"/>
        </w:rPr>
        <w:t>。</w:t>
      </w:r>
    </w:p>
    <w:p w14:paraId="7523E5E7">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color w:val="auto"/>
          <w:sz w:val="28"/>
          <w:szCs w:val="28"/>
          <w:shd w:val="clear" w:color="auto" w:fill="FFFFFF"/>
          <w:lang w:eastAsia="zh-CN"/>
        </w:rPr>
      </w:pPr>
      <w:r>
        <w:rPr>
          <w:rFonts w:hint="eastAsia" w:ascii="宋体" w:hAnsi="宋体"/>
          <w:color w:val="auto"/>
          <w:sz w:val="28"/>
          <w:szCs w:val="28"/>
          <w:shd w:val="clear" w:color="auto" w:fill="FFFFFF"/>
          <w:lang w:val="en-US" w:eastAsia="zh-CN"/>
        </w:rPr>
        <w:t>30、</w:t>
      </w:r>
      <w:r>
        <w:rPr>
          <w:rFonts w:hint="eastAsia" w:ascii="宋体" w:hAnsi="宋体"/>
          <w:color w:val="auto"/>
          <w:sz w:val="28"/>
          <w:szCs w:val="28"/>
          <w:shd w:val="clear" w:color="auto" w:fill="FFFFFF"/>
          <w:lang w:eastAsia="zh-CN"/>
        </w:rPr>
        <w:t>充电设施所连接的接地系统应为TN-S系统，并符合接地电阻4</w:t>
      </w:r>
      <w:r>
        <w:rPr>
          <w:rFonts w:hint="eastAsia" w:ascii="宋体" w:hAnsi="宋体"/>
          <w:color w:val="auto"/>
          <w:sz w:val="28"/>
          <w:szCs w:val="28"/>
          <w:shd w:val="clear" w:color="auto" w:fill="FFFFFF"/>
          <w:lang w:val="en-US" w:eastAsia="zh-CN"/>
        </w:rPr>
        <w:t>Ω</w:t>
      </w:r>
      <w:r>
        <w:rPr>
          <w:rFonts w:hint="eastAsia" w:ascii="宋体" w:hAnsi="宋体"/>
          <w:color w:val="auto"/>
          <w:sz w:val="28"/>
          <w:szCs w:val="28"/>
          <w:shd w:val="clear" w:color="auto" w:fill="FFFFFF"/>
          <w:lang w:eastAsia="zh-CN"/>
        </w:rPr>
        <w:t>的要求；</w:t>
      </w:r>
    </w:p>
    <w:p w14:paraId="29B03604">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color w:val="auto"/>
          <w:sz w:val="28"/>
          <w:szCs w:val="28"/>
          <w:shd w:val="clear" w:color="auto" w:fill="FFFFFF"/>
          <w:lang w:eastAsia="zh-CN"/>
        </w:rPr>
      </w:pPr>
      <w:r>
        <w:rPr>
          <w:rFonts w:hint="eastAsia" w:ascii="宋体" w:hAnsi="宋体"/>
          <w:color w:val="auto"/>
          <w:sz w:val="28"/>
          <w:szCs w:val="28"/>
          <w:shd w:val="clear" w:color="auto" w:fill="FFFFFF"/>
          <w:lang w:val="en-US" w:eastAsia="zh-CN"/>
        </w:rPr>
        <w:t>31、</w:t>
      </w:r>
      <w:r>
        <w:rPr>
          <w:rFonts w:hint="eastAsia" w:ascii="宋体" w:hAnsi="宋体"/>
          <w:color w:val="auto"/>
          <w:sz w:val="28"/>
          <w:szCs w:val="28"/>
          <w:shd w:val="clear" w:color="auto" w:fill="FFFFFF"/>
          <w:lang w:eastAsia="zh-CN"/>
        </w:rPr>
        <w:t>充电设施使用场所应保证留有足够的电力接入负荷容量；</w:t>
      </w:r>
    </w:p>
    <w:p w14:paraId="311FED84">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color w:val="auto"/>
          <w:sz w:val="28"/>
          <w:szCs w:val="28"/>
          <w:shd w:val="clear" w:color="auto" w:fill="FFFFFF"/>
          <w:lang w:eastAsia="zh-CN"/>
        </w:rPr>
      </w:pPr>
      <w:r>
        <w:rPr>
          <w:rFonts w:hint="eastAsia" w:ascii="宋体" w:hAnsi="宋体"/>
          <w:color w:val="auto"/>
          <w:sz w:val="28"/>
          <w:szCs w:val="28"/>
          <w:shd w:val="clear" w:color="auto" w:fill="FFFFFF"/>
          <w:lang w:val="en-US" w:eastAsia="zh-CN"/>
        </w:rPr>
        <w:t>32、</w:t>
      </w:r>
      <w:r>
        <w:rPr>
          <w:rFonts w:hint="eastAsia" w:ascii="宋体" w:hAnsi="宋体"/>
          <w:color w:val="auto"/>
          <w:sz w:val="28"/>
          <w:szCs w:val="28"/>
          <w:shd w:val="clear" w:color="auto" w:fill="FFFFFF"/>
          <w:lang w:eastAsia="zh-CN"/>
        </w:rPr>
        <w:t>应选择专业安装人员和有资质的施工单位；</w:t>
      </w:r>
    </w:p>
    <w:p w14:paraId="1EBC7928">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color w:val="auto"/>
          <w:sz w:val="28"/>
          <w:szCs w:val="28"/>
          <w:shd w:val="clear" w:color="auto" w:fill="FFFFFF"/>
          <w:lang w:eastAsia="zh-CN"/>
        </w:rPr>
      </w:pPr>
      <w:r>
        <w:rPr>
          <w:rFonts w:hint="eastAsia" w:ascii="宋体" w:hAnsi="宋体"/>
          <w:color w:val="auto"/>
          <w:sz w:val="28"/>
          <w:szCs w:val="28"/>
          <w:shd w:val="clear" w:color="auto" w:fill="FFFFFF"/>
          <w:lang w:val="en-US" w:eastAsia="zh-CN"/>
        </w:rPr>
        <w:t>33、</w:t>
      </w:r>
      <w:r>
        <w:rPr>
          <w:rFonts w:hint="eastAsia" w:ascii="宋体" w:hAnsi="宋体"/>
          <w:color w:val="auto"/>
          <w:sz w:val="28"/>
          <w:szCs w:val="28"/>
          <w:shd w:val="clear" w:color="auto" w:fill="FFFFFF"/>
          <w:lang w:eastAsia="zh-CN"/>
        </w:rPr>
        <w:t>充电设施安装环境应与充电设施外壳防护等级相匹配，避开潮气、积水、灰尘、爆炸性环境，远离热源以及腐蚀性环境；</w:t>
      </w:r>
    </w:p>
    <w:p w14:paraId="76DB3E63">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rPr>
      </w:pPr>
      <w:r>
        <w:rPr>
          <w:rFonts w:hint="eastAsia" w:cs="Times New Roman"/>
          <w:color w:val="auto"/>
          <w:kern w:val="2"/>
          <w:sz w:val="28"/>
          <w:szCs w:val="24"/>
          <w:lang w:val="en-US" w:eastAsia="zh-CN" w:bidi="ar-SA"/>
        </w:rPr>
        <w:t>34、</w:t>
      </w:r>
      <w:r>
        <w:rPr>
          <w:rFonts w:hint="eastAsia"/>
          <w:color w:val="auto"/>
        </w:rPr>
        <w:t>安装在坚固的地面上或是有基础的环境，需保证地面水平、平整；</w:t>
      </w:r>
    </w:p>
    <w:p w14:paraId="10CBE43E">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rPr>
      </w:pPr>
      <w:r>
        <w:rPr>
          <w:rFonts w:hint="eastAsia" w:cs="Times New Roman"/>
          <w:color w:val="auto"/>
          <w:kern w:val="2"/>
          <w:sz w:val="28"/>
          <w:szCs w:val="24"/>
          <w:lang w:val="en-US" w:eastAsia="zh-CN" w:bidi="ar-SA"/>
        </w:rPr>
        <w:t>35、</w:t>
      </w:r>
      <w:r>
        <w:rPr>
          <w:rFonts w:hint="eastAsia"/>
          <w:color w:val="auto"/>
        </w:rPr>
        <w:t>开始充电以前，首先检查总控箱内器件是否有异常故障，故障指示灯是否长亮。当装置存在故障时，必须在排除故障后方可使用本台充电设备进行充电；</w:t>
      </w:r>
    </w:p>
    <w:p w14:paraId="5B694FD9">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rPr>
      </w:pPr>
      <w:r>
        <w:rPr>
          <w:rFonts w:hint="eastAsia" w:cs="Times New Roman"/>
          <w:color w:val="auto"/>
          <w:kern w:val="2"/>
          <w:sz w:val="28"/>
          <w:szCs w:val="24"/>
          <w:lang w:val="en-US" w:eastAsia="zh-CN" w:bidi="ar-SA"/>
        </w:rPr>
        <w:t>36、</w:t>
      </w:r>
      <w:r>
        <w:rPr>
          <w:rFonts w:hint="eastAsia"/>
          <w:color w:val="auto"/>
        </w:rPr>
        <w:t>充电设备开始充电以前，确保被充电车辆处于熄火状态；</w:t>
      </w:r>
    </w:p>
    <w:p w14:paraId="4EB2DF47">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rPr>
      </w:pPr>
      <w:r>
        <w:rPr>
          <w:rFonts w:hint="eastAsia" w:cs="Times New Roman"/>
          <w:color w:val="auto"/>
          <w:kern w:val="2"/>
          <w:sz w:val="28"/>
          <w:szCs w:val="24"/>
          <w:lang w:val="en-US" w:eastAsia="zh-CN" w:bidi="ar-SA"/>
        </w:rPr>
        <w:t>37、</w:t>
      </w:r>
      <w:r>
        <w:rPr>
          <w:rFonts w:hint="eastAsia"/>
          <w:color w:val="auto"/>
        </w:rPr>
        <w:t>充电过程中，完全按照文字提示操作；</w:t>
      </w:r>
    </w:p>
    <w:p w14:paraId="3F7FB35A">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rPr>
      </w:pPr>
      <w:r>
        <w:rPr>
          <w:rFonts w:hint="eastAsia" w:cs="Times New Roman"/>
          <w:color w:val="auto"/>
          <w:kern w:val="2"/>
          <w:sz w:val="28"/>
          <w:szCs w:val="24"/>
          <w:lang w:val="en-US" w:eastAsia="zh-CN" w:bidi="ar-SA"/>
        </w:rPr>
        <w:t>38、</w:t>
      </w:r>
      <w:r>
        <w:rPr>
          <w:rFonts w:hint="eastAsia"/>
          <w:color w:val="auto"/>
        </w:rPr>
        <w:t>在充电过程中禁止拔下充电连接器，以防止拉弧现象的发生，确保人身及设备安全；</w:t>
      </w:r>
    </w:p>
    <w:p w14:paraId="5D97B1AB">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rPr>
      </w:pPr>
      <w:r>
        <w:rPr>
          <w:rFonts w:hint="eastAsia" w:cs="Times New Roman"/>
          <w:color w:val="auto"/>
          <w:kern w:val="2"/>
          <w:sz w:val="28"/>
          <w:szCs w:val="24"/>
          <w:lang w:val="en-US" w:eastAsia="zh-CN" w:bidi="ar-SA"/>
        </w:rPr>
        <w:t>39、</w:t>
      </w:r>
      <w:r>
        <w:rPr>
          <w:rFonts w:hint="eastAsia"/>
          <w:color w:val="auto"/>
        </w:rPr>
        <w:t>整个充电过程自动完成，当充电结束后充电设备自动关机，充电过程无需人工干预，但充电过程中要定期巡视，检查充电过程是否异常；</w:t>
      </w:r>
    </w:p>
    <w:p w14:paraId="3CB93D7D">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lang w:eastAsia="zh-CN"/>
        </w:rPr>
      </w:pPr>
      <w:r>
        <w:rPr>
          <w:rFonts w:hint="eastAsia" w:cs="Times New Roman"/>
          <w:color w:val="auto"/>
          <w:kern w:val="2"/>
          <w:sz w:val="28"/>
          <w:szCs w:val="24"/>
          <w:lang w:val="en-US" w:eastAsia="zh-CN" w:bidi="ar-SA"/>
        </w:rPr>
        <w:t>40、</w:t>
      </w:r>
      <w:r>
        <w:rPr>
          <w:rFonts w:hint="eastAsia"/>
          <w:color w:val="auto"/>
        </w:rPr>
        <w:t>定期检查装置内部的电缆是否存在松动；检查充电设备接地点是否可靠接地</w:t>
      </w:r>
      <w:r>
        <w:rPr>
          <w:rFonts w:hint="eastAsia"/>
          <w:color w:val="auto"/>
          <w:lang w:eastAsia="zh-CN"/>
        </w:rPr>
        <w:t>。</w:t>
      </w:r>
    </w:p>
    <w:p w14:paraId="0B3125F6">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lang w:eastAsia="zh-CN"/>
        </w:rPr>
      </w:pPr>
      <w:r>
        <w:rPr>
          <w:rFonts w:hint="eastAsia" w:cs="Times New Roman"/>
          <w:color w:val="auto"/>
          <w:kern w:val="2"/>
          <w:sz w:val="28"/>
          <w:szCs w:val="24"/>
          <w:lang w:val="en-US" w:eastAsia="zh-CN" w:bidi="ar-SA"/>
        </w:rPr>
        <w:t>41、</w:t>
      </w:r>
      <w:r>
        <w:rPr>
          <w:rFonts w:hint="eastAsia"/>
          <w:color w:val="auto"/>
          <w:lang w:eastAsia="zh-CN"/>
        </w:rPr>
        <w:t>须定期检查</w:t>
      </w:r>
      <w:r>
        <w:rPr>
          <w:rFonts w:hint="eastAsia"/>
          <w:color w:val="auto"/>
          <w:lang w:val="en-US" w:eastAsia="zh-CN"/>
        </w:rPr>
        <w:t>总控箱</w:t>
      </w:r>
      <w:r>
        <w:rPr>
          <w:rFonts w:hint="eastAsia"/>
          <w:color w:val="auto"/>
          <w:lang w:eastAsia="zh-CN"/>
        </w:rPr>
        <w:t>抽屉是否有松动，以确保后部接插件的接触良好，定期检查抽屉内部及柜体内部线束是否松动，塑壳及集控器按照产品使用说明定期维护保养，若交流模块存在隐患，须立即更换并返厂维修。</w:t>
      </w:r>
    </w:p>
    <w:p w14:paraId="3ACA8153">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lang w:eastAsia="zh-CN"/>
        </w:rPr>
      </w:pPr>
      <w:r>
        <w:rPr>
          <w:rFonts w:hint="eastAsia" w:cs="Times New Roman"/>
          <w:color w:val="auto"/>
          <w:kern w:val="2"/>
          <w:sz w:val="28"/>
          <w:szCs w:val="24"/>
          <w:lang w:val="en-US" w:eastAsia="zh-CN" w:bidi="ar-SA"/>
        </w:rPr>
        <w:t>42、</w:t>
      </w:r>
      <w:r>
        <w:rPr>
          <w:rFonts w:hint="eastAsia"/>
          <w:color w:val="auto"/>
          <w:lang w:eastAsia="zh-CN"/>
        </w:rPr>
        <w:t>使用前请确认电动汽车与充电设备参数是否匹配；</w:t>
      </w:r>
    </w:p>
    <w:p w14:paraId="5C979BC4">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lang w:eastAsia="zh-CN"/>
        </w:rPr>
      </w:pPr>
      <w:r>
        <w:rPr>
          <w:rFonts w:hint="eastAsia" w:cs="Times New Roman"/>
          <w:color w:val="auto"/>
          <w:kern w:val="2"/>
          <w:sz w:val="28"/>
          <w:szCs w:val="24"/>
          <w:lang w:val="en-US" w:eastAsia="zh-CN" w:bidi="ar-SA"/>
        </w:rPr>
        <w:t>43、</w:t>
      </w:r>
      <w:r>
        <w:rPr>
          <w:rFonts w:hint="eastAsia"/>
          <w:color w:val="auto"/>
          <w:lang w:eastAsia="zh-CN"/>
        </w:rPr>
        <w:t>严禁在设备故障情况下使用充电桩，充电异常时切勿擅自操作，如有发现异常请及时联系工作人员；</w:t>
      </w:r>
    </w:p>
    <w:p w14:paraId="11B83C11">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lang w:eastAsia="zh-CN"/>
        </w:rPr>
      </w:pPr>
      <w:r>
        <w:rPr>
          <w:rFonts w:hint="eastAsia" w:cs="Times New Roman"/>
          <w:color w:val="auto"/>
          <w:kern w:val="2"/>
          <w:sz w:val="28"/>
          <w:szCs w:val="24"/>
          <w:lang w:val="en-US" w:eastAsia="zh-CN" w:bidi="ar-SA"/>
        </w:rPr>
        <w:t>44、</w:t>
      </w:r>
      <w:r>
        <w:rPr>
          <w:rFonts w:hint="eastAsia"/>
          <w:color w:val="auto"/>
          <w:lang w:eastAsia="zh-CN"/>
        </w:rPr>
        <w:t>严格按照充电设备上的操作规程及提示进行操作；</w:t>
      </w:r>
    </w:p>
    <w:p w14:paraId="1379572D">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lang w:eastAsia="zh-CN"/>
        </w:rPr>
      </w:pPr>
      <w:r>
        <w:rPr>
          <w:rFonts w:hint="eastAsia" w:cs="Times New Roman"/>
          <w:color w:val="auto"/>
          <w:kern w:val="2"/>
          <w:sz w:val="28"/>
          <w:szCs w:val="24"/>
          <w:lang w:val="en-US" w:eastAsia="zh-CN" w:bidi="ar-SA"/>
        </w:rPr>
        <w:t>45、</w:t>
      </w:r>
      <w:r>
        <w:rPr>
          <w:rFonts w:hint="eastAsia"/>
          <w:color w:val="auto"/>
          <w:lang w:eastAsia="zh-CN"/>
        </w:rPr>
        <w:t>发生火灾、充电设施浸水等事故，严禁靠近充电设备，请及时通知熟悉设备和应急处理方法的人员进行应急处理；</w:t>
      </w:r>
    </w:p>
    <w:p w14:paraId="4D7C8331">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lang w:eastAsia="zh-CN"/>
        </w:rPr>
      </w:pPr>
      <w:r>
        <w:rPr>
          <w:rFonts w:hint="eastAsia" w:cs="Times New Roman"/>
          <w:color w:val="auto"/>
          <w:kern w:val="2"/>
          <w:sz w:val="28"/>
          <w:szCs w:val="24"/>
          <w:lang w:val="en-US" w:eastAsia="zh-CN" w:bidi="ar-SA"/>
        </w:rPr>
        <w:t>46、</w:t>
      </w:r>
      <w:r>
        <w:rPr>
          <w:rFonts w:hint="eastAsia"/>
          <w:color w:val="auto"/>
          <w:lang w:eastAsia="zh-CN"/>
        </w:rPr>
        <w:t>总控箱、充电单桩日常应上锁管理，严禁擅自开启、接线、改造或破坏充电设备，否则存在触电风险；</w:t>
      </w:r>
    </w:p>
    <w:p w14:paraId="45A5B2A2">
      <w:pPr>
        <w:keepNext w:val="0"/>
        <w:keepLines w:val="0"/>
        <w:pageBreakBefore w:val="0"/>
        <w:widowControl w:val="0"/>
        <w:numPr>
          <w:ilvl w:val="0"/>
          <w:numId w:val="0"/>
        </w:numPr>
        <w:kinsoku/>
        <w:wordWrap/>
        <w:overflowPunct/>
        <w:topLinePunct w:val="0"/>
        <w:autoSpaceDE/>
        <w:autoSpaceDN/>
        <w:bidi w:val="0"/>
        <w:adjustRightInd/>
        <w:snapToGrid/>
        <w:ind w:left="0" w:leftChars="0" w:firstLine="560" w:firstLineChars="200"/>
        <w:textAlignment w:val="auto"/>
        <w:rPr>
          <w:rFonts w:hint="eastAsia"/>
          <w:color w:val="auto"/>
          <w:lang w:eastAsia="zh-CN"/>
        </w:rPr>
      </w:pPr>
      <w:r>
        <w:rPr>
          <w:rFonts w:hint="eastAsia" w:cs="Times New Roman"/>
          <w:color w:val="auto"/>
          <w:kern w:val="2"/>
          <w:sz w:val="28"/>
          <w:szCs w:val="24"/>
          <w:lang w:val="en-US" w:eastAsia="zh-CN" w:bidi="ar-SA"/>
        </w:rPr>
        <w:t>47、</w:t>
      </w:r>
      <w:r>
        <w:rPr>
          <w:rFonts w:hint="eastAsia"/>
          <w:color w:val="auto"/>
          <w:lang w:eastAsia="zh-CN"/>
        </w:rPr>
        <w:t>儿童在充电设施周围活动时，监护人应做好看护，避免发生触电等事故。</w:t>
      </w:r>
    </w:p>
    <w:p w14:paraId="43CC0D54">
      <w:pPr>
        <w:pStyle w:val="6"/>
        <w:bidi w:val="0"/>
        <w:rPr>
          <w:rFonts w:hint="eastAsia"/>
          <w:color w:val="auto"/>
          <w:lang w:val="en-US" w:eastAsia="zh-CN"/>
        </w:rPr>
      </w:pPr>
      <w:bookmarkStart w:id="132" w:name="_Toc20251"/>
      <w:r>
        <w:rPr>
          <w:rFonts w:hint="eastAsia"/>
          <w:color w:val="auto"/>
          <w:lang w:val="en-US" w:eastAsia="zh-CN"/>
        </w:rPr>
        <w:t>7.2.4其它</w:t>
      </w:r>
      <w:bookmarkEnd w:id="132"/>
    </w:p>
    <w:p w14:paraId="0BD2D355">
      <w:pPr>
        <w:rPr>
          <w:rFonts w:hint="eastAsia"/>
          <w:color w:val="auto"/>
          <w:lang w:val="en-US" w:eastAsia="zh-CN"/>
        </w:rPr>
      </w:pPr>
      <w:r>
        <w:rPr>
          <w:rFonts w:hint="eastAsia"/>
          <w:color w:val="auto"/>
          <w:lang w:val="en-US" w:eastAsia="zh-CN"/>
        </w:rPr>
        <w:t>1、在停车场与建筑设施、绿地之间应设置广场和人行道。</w:t>
      </w:r>
    </w:p>
    <w:p w14:paraId="5255C725">
      <w:pPr>
        <w:rPr>
          <w:rFonts w:hint="eastAsia"/>
          <w:color w:val="auto"/>
          <w:lang w:val="en-US" w:eastAsia="zh-CN"/>
        </w:rPr>
      </w:pPr>
      <w:r>
        <w:rPr>
          <w:rFonts w:hint="eastAsia"/>
          <w:color w:val="auto"/>
          <w:lang w:val="en-US" w:eastAsia="zh-CN"/>
        </w:rPr>
        <w:t>2、停车场和建筑设施前面的广场不应有较大的高差，在停车场和各设施之间因地形有高差时，必须设置残疾人坡道。</w:t>
      </w:r>
    </w:p>
    <w:p w14:paraId="46DDF88D">
      <w:pPr>
        <w:rPr>
          <w:rFonts w:hint="eastAsia"/>
          <w:color w:val="auto"/>
          <w:lang w:val="en-US" w:eastAsia="zh-CN"/>
        </w:rPr>
      </w:pPr>
      <w:r>
        <w:rPr>
          <w:rFonts w:hint="eastAsia"/>
          <w:color w:val="auto"/>
          <w:lang w:val="en-US" w:eastAsia="zh-CN"/>
        </w:rPr>
        <w:t>3、在停车场外围行驶的主要通道应为单向通行；主要行车道不应直接连接到停车车位上，也不应直接导向综合楼的出入口处。</w:t>
      </w:r>
    </w:p>
    <w:p w14:paraId="7252AC4D">
      <w:pPr>
        <w:rPr>
          <w:rFonts w:hint="eastAsia"/>
          <w:color w:val="auto"/>
          <w:lang w:val="en-US" w:eastAsia="zh-CN"/>
        </w:rPr>
      </w:pPr>
      <w:r>
        <w:rPr>
          <w:rFonts w:hint="eastAsia"/>
          <w:color w:val="auto"/>
          <w:lang w:val="en-US" w:eastAsia="zh-CN"/>
        </w:rPr>
        <w:t>4、服务区出入口行车道转弯半径不小于24m。场区内行车路线应按主、次车道分开，主干车道宽度不小于8m，次车道不小于4.5m。</w:t>
      </w:r>
    </w:p>
    <w:p w14:paraId="28655CC1">
      <w:pPr>
        <w:rPr>
          <w:rFonts w:hint="eastAsia"/>
          <w:color w:val="auto"/>
          <w:lang w:val="en-US" w:eastAsia="zh-CN"/>
        </w:rPr>
      </w:pPr>
      <w:r>
        <w:rPr>
          <w:rFonts w:hint="eastAsia"/>
          <w:color w:val="auto"/>
          <w:lang w:val="en-US" w:eastAsia="zh-CN"/>
        </w:rPr>
        <w:t>5、贯穿车道宜采用沥青路面，停车区、加油区和维修区地面应采用水泥混凝土路面结构形式。</w:t>
      </w:r>
    </w:p>
    <w:p w14:paraId="09A75835">
      <w:pPr>
        <w:rPr>
          <w:rFonts w:hint="eastAsia"/>
          <w:color w:val="auto"/>
          <w:lang w:val="en-US" w:eastAsia="zh-CN"/>
        </w:rPr>
      </w:pPr>
      <w:r>
        <w:rPr>
          <w:rFonts w:hint="eastAsia"/>
          <w:color w:val="auto"/>
          <w:lang w:val="en-US" w:eastAsia="zh-CN"/>
        </w:rPr>
        <w:t>6、停车位数量宜满足DB36/T698表3的要求。</w:t>
      </w:r>
    </w:p>
    <w:p w14:paraId="4C3E00C7">
      <w:pPr>
        <w:rPr>
          <w:rFonts w:hint="eastAsia"/>
          <w:color w:val="auto"/>
          <w:lang w:val="en-US" w:eastAsia="zh-CN"/>
        </w:rPr>
      </w:pPr>
      <w:r>
        <w:rPr>
          <w:rFonts w:hint="eastAsia"/>
          <w:color w:val="auto"/>
          <w:lang w:val="en-US" w:eastAsia="zh-CN"/>
        </w:rPr>
        <w:t>7、停车场的设计应符合下列要求:</w:t>
      </w:r>
    </w:p>
    <w:p w14:paraId="2F30E275">
      <w:pPr>
        <w:rPr>
          <w:rFonts w:hint="eastAsia"/>
          <w:color w:val="auto"/>
          <w:lang w:val="en-US" w:eastAsia="zh-CN"/>
        </w:rPr>
      </w:pPr>
      <w:r>
        <w:rPr>
          <w:rFonts w:hint="eastAsia"/>
          <w:color w:val="auto"/>
          <w:lang w:val="en-US" w:eastAsia="zh-CN"/>
        </w:rPr>
        <w:t>a)停车场功能分区:小客车区、大客车区、货车区、特种车区、超长车区。危险化学品车、畜牧运输车停车位应分区域设置，综合考虑距综合楼和加油站的安全距离。</w:t>
      </w:r>
    </w:p>
    <w:p w14:paraId="5715C1F5">
      <w:pPr>
        <w:rPr>
          <w:rFonts w:hint="eastAsia"/>
          <w:color w:val="auto"/>
          <w:lang w:val="en-US" w:eastAsia="zh-CN"/>
        </w:rPr>
      </w:pPr>
      <w:r>
        <w:rPr>
          <w:rFonts w:hint="eastAsia"/>
          <w:color w:val="auto"/>
          <w:lang w:val="en-US" w:eastAsia="zh-CN"/>
        </w:rPr>
        <w:t>b)客车停车区宜设置在公共卫生间、餐饮、休息等主要设施附近。大客车停车位侧边宜设置高度≤0.20m、宽度&gt;1.00m的安全岛方便乘客上下车。</w:t>
      </w:r>
    </w:p>
    <w:p w14:paraId="74494FE8">
      <w:pPr>
        <w:rPr>
          <w:rFonts w:hint="eastAsia"/>
          <w:color w:val="auto"/>
          <w:lang w:val="en-US" w:eastAsia="zh-CN"/>
        </w:rPr>
      </w:pPr>
      <w:r>
        <w:rPr>
          <w:rFonts w:hint="eastAsia"/>
          <w:color w:val="auto"/>
          <w:lang w:val="en-US" w:eastAsia="zh-CN"/>
        </w:rPr>
        <w:t>c)应设置残疾人专用停车位，并设置残疾人专用通道，其停车位坡度不应大于2%，一侧设宽不小于1.2m的轮椅通道。残疾人停车车位应明显地标出其用途。</w:t>
      </w:r>
    </w:p>
    <w:p w14:paraId="1A533ACD">
      <w:pPr>
        <w:rPr>
          <w:rFonts w:hint="eastAsia"/>
          <w:color w:val="auto"/>
          <w:lang w:val="en-US" w:eastAsia="zh-CN"/>
        </w:rPr>
      </w:pPr>
      <w:r>
        <w:rPr>
          <w:rFonts w:hint="eastAsia"/>
          <w:color w:val="auto"/>
          <w:lang w:val="en-US" w:eastAsia="zh-CN"/>
        </w:rPr>
        <w:t>d）停车场的进、出通道，单车道净宽不应小于4m，双车道净宽不应小于6m，因地形高差通道为坡道时，双车道则不应小于7m。当车辆穿过建筑物时，通道的净高和净宽应大于5m。</w:t>
      </w:r>
    </w:p>
    <w:p w14:paraId="5F4740A7">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e）充分利用地形，尽量减少土石方量。停车场的同一停车区宜设在同一标高上。</w:t>
      </w:r>
    </w:p>
    <w:p w14:paraId="4273E18A">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f）停放车辆的纵向坡度应小于2%，横向坡度应小于3%。</w:t>
      </w:r>
    </w:p>
    <w:p w14:paraId="12ACBF85">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7、停车位的设置应符合JGJ100-98的规定，并符合下列要求:</w:t>
      </w:r>
    </w:p>
    <w:p w14:paraId="1018D91A">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a)小客车停车场的停车方式宜采用垂直式或60”斜放式停车，前进停车、后退发车。</w:t>
      </w:r>
    </w:p>
    <w:p w14:paraId="000E3632">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b）大客车停车场的停车方式宣采用30°斜放式停车，前进停车、前进发车。</w:t>
      </w:r>
    </w:p>
    <w:p w14:paraId="1062F445">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c）大货车停车场的停车方式宜采用45°斜放式停车，前进停车、前进发车。</w:t>
      </w:r>
    </w:p>
    <w:p w14:paraId="2680CCCA">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d）超长车停车场的停车方式宜采用平行式停车，方便车辆进出。</w:t>
      </w:r>
    </w:p>
    <w:p w14:paraId="11EE27DA">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8、停车位平面设计参数宜符合DB36/T698表4的要求。</w:t>
      </w:r>
    </w:p>
    <w:p w14:paraId="6F103100">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9、服务区绿地覆盖率宜不小于服务区用地面积的 20%。</w:t>
      </w:r>
    </w:p>
    <w:p w14:paraId="59A99C18">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10、服务区与主线间应设置绿地分隔带，并宜不小于20米；宜在服务区周围集中设置带状绿地、种植高大乔木。</w:t>
      </w:r>
    </w:p>
    <w:p w14:paraId="1129E604">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11、小车停车位宜结合绿化布置。</w:t>
      </w:r>
    </w:p>
    <w:p w14:paraId="01908A31">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12、场区周围宜种植常绿乔木以降低周边环境噪声。</w:t>
      </w:r>
    </w:p>
    <w:p w14:paraId="5AD4D025">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color w:val="auto"/>
          <w:lang w:val="en-US" w:eastAsia="zh-CN"/>
        </w:rPr>
      </w:pPr>
      <w:r>
        <w:rPr>
          <w:rFonts w:hint="eastAsia"/>
          <w:color w:val="auto"/>
          <w:lang w:val="en-US" w:eastAsia="zh-CN"/>
        </w:rPr>
        <w:t>13、标识系统(VI)应符合下列要求：</w:t>
      </w:r>
    </w:p>
    <w:p w14:paraId="32ECA0A7">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a)服务区标识系统分户外和户内两部分，户外部分包括导视塔、停车指示、区域发光字等；户内部分包括信息标识板、区域导向、服务承诺等。</w:t>
      </w:r>
    </w:p>
    <w:p w14:paraId="1B71C80D">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b)服务区标识系统应醒目，其结构设置应安全，宜布置在匝道出入口处、停车场、洗手间、综合楼大厅、商场、超市、办公等区域。</w:t>
      </w:r>
    </w:p>
    <w:p w14:paraId="39BAFF29">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c)服务区标识系统的设计、制作、安装必须统一标准，材质坚固、耐久、美观。</w:t>
      </w:r>
    </w:p>
    <w:p w14:paraId="5A8FB5B2">
      <w:pPr>
        <w:rPr>
          <w:rFonts w:hint="eastAsia"/>
          <w:color w:val="auto"/>
          <w:lang w:val="en-US" w:eastAsia="zh-CN"/>
        </w:rPr>
      </w:pPr>
      <w:r>
        <w:rPr>
          <w:rFonts w:hint="eastAsia"/>
          <w:color w:val="auto"/>
          <w:lang w:val="en-US" w:eastAsia="zh-CN"/>
        </w:rPr>
        <w:t>d)服务区中的功能区，宜用地面标线标明其范围，并应设置有配套的说明或引导类标识牌和地面引导标线。</w:t>
      </w:r>
    </w:p>
    <w:p w14:paraId="7B746EBF">
      <w:pPr>
        <w:rPr>
          <w:rFonts w:hint="eastAsia"/>
          <w:color w:val="auto"/>
          <w:lang w:val="en-US" w:eastAsia="zh-CN"/>
        </w:rPr>
      </w:pPr>
      <w:r>
        <w:rPr>
          <w:rFonts w:hint="eastAsia"/>
          <w:color w:val="auto"/>
          <w:lang w:val="en-US" w:eastAsia="zh-CN"/>
        </w:rPr>
        <w:t>e)服务区的入口处应设置服务区名称标识牌及带有驶入方向的地面箭头标线。出口处应设置含高速公路交通图及沿线服务区信息的标识牌，宜设置问候及宣传标识牌。</w:t>
      </w:r>
    </w:p>
    <w:p w14:paraId="091E22DA">
      <w:pPr>
        <w:rPr>
          <w:rFonts w:hint="eastAsia"/>
          <w:color w:val="auto"/>
          <w:lang w:val="en-US" w:eastAsia="zh-CN"/>
        </w:rPr>
      </w:pPr>
      <w:r>
        <w:rPr>
          <w:rFonts w:hint="eastAsia"/>
          <w:color w:val="auto"/>
          <w:lang w:val="en-US" w:eastAsia="zh-CN"/>
        </w:rPr>
        <w:t>14、在停车场出、入口处及主要建筑物周边应设置垃圾箱。</w:t>
      </w:r>
    </w:p>
    <w:p w14:paraId="18D21B22">
      <w:pPr>
        <w:rPr>
          <w:rFonts w:hint="eastAsia"/>
          <w:color w:val="auto"/>
          <w:lang w:val="en-US" w:eastAsia="zh-CN"/>
        </w:rPr>
      </w:pPr>
      <w:r>
        <w:rPr>
          <w:rFonts w:hint="eastAsia"/>
          <w:color w:val="auto"/>
          <w:lang w:val="en-US" w:eastAsia="zh-CN"/>
        </w:rPr>
        <w:t>15、在服务区出、入口处宜设置交通信息公告牌及预留广告牌设置位置。</w:t>
      </w:r>
    </w:p>
    <w:p w14:paraId="77002571">
      <w:pPr>
        <w:rPr>
          <w:rFonts w:hint="eastAsia"/>
          <w:color w:val="auto"/>
          <w:lang w:val="en-US" w:eastAsia="zh-CN"/>
        </w:rPr>
      </w:pPr>
      <w:r>
        <w:rPr>
          <w:rFonts w:hint="eastAsia"/>
          <w:color w:val="auto"/>
          <w:lang w:val="en-US" w:eastAsia="zh-CN"/>
        </w:rPr>
        <w:t>16、员工宿舍设计应符合JGJ36-2005 的有关规定。</w:t>
      </w:r>
    </w:p>
    <w:p w14:paraId="668F0DDB">
      <w:pPr>
        <w:rPr>
          <w:rFonts w:hint="eastAsia"/>
          <w:color w:val="auto"/>
          <w:lang w:val="en-US" w:eastAsia="zh-CN"/>
        </w:rPr>
      </w:pPr>
      <w:r>
        <w:rPr>
          <w:rFonts w:hint="eastAsia"/>
          <w:color w:val="auto"/>
          <w:lang w:val="en-US" w:eastAsia="zh-CN"/>
        </w:rPr>
        <w:t>17、员工宿舍区域内宜设专用食堂。</w:t>
      </w:r>
    </w:p>
    <w:p w14:paraId="40D7E3F1">
      <w:pPr>
        <w:rPr>
          <w:rFonts w:hint="eastAsia"/>
          <w:color w:val="auto"/>
          <w:lang w:val="en-US" w:eastAsia="zh-CN"/>
        </w:rPr>
      </w:pPr>
      <w:r>
        <w:rPr>
          <w:rFonts w:hint="eastAsia"/>
          <w:color w:val="auto"/>
          <w:lang w:val="en-US" w:eastAsia="zh-CN"/>
        </w:rPr>
        <w:t>18、员工宿舍应满足服务区内管理、服务等人员的住宿需求。</w:t>
      </w:r>
    </w:p>
    <w:p w14:paraId="696BF877">
      <w:pPr>
        <w:rPr>
          <w:rFonts w:hint="eastAsia"/>
          <w:color w:val="auto"/>
          <w:lang w:val="en-US" w:eastAsia="zh-CN"/>
        </w:rPr>
      </w:pPr>
      <w:r>
        <w:rPr>
          <w:rFonts w:hint="eastAsia"/>
          <w:color w:val="auto"/>
          <w:lang w:val="en-US" w:eastAsia="zh-CN"/>
        </w:rPr>
        <w:t>19、降温池宜设置在服务区入口处的外侧。</w:t>
      </w:r>
    </w:p>
    <w:p w14:paraId="26052B8B">
      <w:pPr>
        <w:rPr>
          <w:rFonts w:hint="eastAsia"/>
          <w:color w:val="auto"/>
          <w:lang w:val="en-US" w:eastAsia="zh-CN"/>
        </w:rPr>
      </w:pPr>
      <w:r>
        <w:rPr>
          <w:rFonts w:hint="eastAsia"/>
          <w:color w:val="auto"/>
          <w:lang w:val="en-US" w:eastAsia="zh-CN"/>
        </w:rPr>
        <w:t>20、加水设施宜设置在汽修站附近或货车停车区内。</w:t>
      </w:r>
    </w:p>
    <w:p w14:paraId="41D0CC4B">
      <w:pPr>
        <w:rPr>
          <w:rFonts w:hint="eastAsia"/>
          <w:color w:val="auto"/>
          <w:lang w:val="en-US" w:eastAsia="zh-CN"/>
        </w:rPr>
      </w:pPr>
      <w:r>
        <w:rPr>
          <w:rFonts w:hint="eastAsia"/>
          <w:color w:val="auto"/>
          <w:lang w:val="en-US" w:eastAsia="zh-CN"/>
        </w:rPr>
        <w:t>21、危化品专用停车区应按照所载运危化品类别分类分区分组布置，严禁将化学性质或扑救方法相抵触的车辆停放在同一区域。</w:t>
      </w:r>
    </w:p>
    <w:p w14:paraId="5DA4DF20">
      <w:pPr>
        <w:rPr>
          <w:rFonts w:hint="eastAsia"/>
          <w:color w:val="auto"/>
          <w:lang w:val="en-US" w:eastAsia="zh-CN"/>
        </w:rPr>
      </w:pPr>
      <w:r>
        <w:rPr>
          <w:rFonts w:hint="eastAsia"/>
          <w:color w:val="auto"/>
          <w:lang w:val="en-US" w:eastAsia="zh-CN"/>
        </w:rPr>
        <w:t>22、危化品专用停车区应设置隔油池、洗眼器、视频监控、消防器材等安全设施。</w:t>
      </w:r>
    </w:p>
    <w:p w14:paraId="78C8C536">
      <w:pPr>
        <w:rPr>
          <w:rFonts w:hint="eastAsia"/>
          <w:color w:val="auto"/>
          <w:lang w:val="en-US" w:eastAsia="zh-CN"/>
        </w:rPr>
      </w:pPr>
      <w:r>
        <w:rPr>
          <w:rFonts w:hint="eastAsia"/>
          <w:color w:val="auto"/>
          <w:lang w:val="en-US" w:eastAsia="zh-CN"/>
        </w:rPr>
        <w:t>23、停车场应开展危险有害因素辨识分析，并进行风险分析和评估。</w:t>
      </w:r>
    </w:p>
    <w:p w14:paraId="0BE134AB">
      <w:pPr>
        <w:rPr>
          <w:rFonts w:hint="eastAsia"/>
          <w:color w:val="auto"/>
          <w:lang w:val="en-US" w:eastAsia="zh-CN"/>
        </w:rPr>
      </w:pPr>
      <w:r>
        <w:rPr>
          <w:rFonts w:hint="eastAsia"/>
          <w:color w:val="auto"/>
          <w:lang w:val="en-US" w:eastAsia="zh-CN"/>
        </w:rPr>
        <w:t>24、停车场应配置与之相配套的安全防护设施，安全防护设施的选择应根据危险源辨识和风险分析评估确定。</w:t>
      </w:r>
    </w:p>
    <w:p w14:paraId="33AF35DC">
      <w:pPr>
        <w:rPr>
          <w:rFonts w:hint="eastAsia"/>
          <w:color w:val="auto"/>
          <w:lang w:val="en-US" w:eastAsia="zh-CN"/>
        </w:rPr>
      </w:pPr>
      <w:r>
        <w:rPr>
          <w:rFonts w:hint="eastAsia"/>
          <w:color w:val="auto"/>
          <w:lang w:val="en-US" w:eastAsia="zh-CN"/>
        </w:rPr>
        <w:t>25、停车场预防和救灾设施应符合GB50067的相关要求。</w:t>
      </w:r>
    </w:p>
    <w:p w14:paraId="0BC5449C">
      <w:pPr>
        <w:rPr>
          <w:rFonts w:hint="default"/>
          <w:color w:val="auto"/>
          <w:lang w:val="en-US" w:eastAsia="zh-CN"/>
        </w:rPr>
      </w:pPr>
      <w:r>
        <w:rPr>
          <w:rFonts w:hint="eastAsia"/>
          <w:color w:val="auto"/>
          <w:lang w:val="en-US" w:eastAsia="zh-CN"/>
        </w:rPr>
        <w:t>26、服务区范围内的主线线形指标应符合互通式立体交叉范围内的主线线形指标的要求。停车区范围内的主线线形指标应符合表13.3.2的规定。</w:t>
      </w:r>
    </w:p>
    <w:p w14:paraId="6F029AB1">
      <w:pPr>
        <w:rPr>
          <w:rFonts w:hint="eastAsia"/>
          <w:color w:val="auto"/>
          <w:lang w:val="en-US" w:eastAsia="zh-CN"/>
        </w:rPr>
      </w:pPr>
      <w:r>
        <w:rPr>
          <w:rFonts w:hint="eastAsia"/>
          <w:color w:val="auto"/>
          <w:lang w:val="en-US" w:eastAsia="zh-CN"/>
        </w:rPr>
        <w:t>27、柴油发电储油间应按爆炸危险场所设计，其照明灯具应采用防爆灯具。</w:t>
      </w:r>
    </w:p>
    <w:p w14:paraId="0D8C2D07">
      <w:pPr>
        <w:bidi w:val="0"/>
        <w:rPr>
          <w:rFonts w:hint="default"/>
          <w:color w:val="auto"/>
          <w:sz w:val="28"/>
          <w:szCs w:val="28"/>
          <w:lang w:val="en-US" w:eastAsia="zh-CN"/>
        </w:rPr>
      </w:pPr>
      <w:r>
        <w:rPr>
          <w:rFonts w:hint="eastAsia"/>
          <w:color w:val="auto"/>
          <w:lang w:val="en-US" w:eastAsia="zh-CN"/>
        </w:rPr>
        <w:t>28、</w:t>
      </w:r>
      <w:r>
        <w:rPr>
          <w:rFonts w:hint="eastAsia"/>
          <w:color w:val="auto"/>
          <w:sz w:val="28"/>
          <w:szCs w:val="28"/>
          <w:lang w:val="en-US" w:eastAsia="zh-CN"/>
        </w:rPr>
        <w:t>服务区原有配套公用辅助工程（如加油站）的供应总量应满足加油车辆的需求总量。</w:t>
      </w:r>
    </w:p>
    <w:p w14:paraId="44FE0FB8">
      <w:pPr>
        <w:pStyle w:val="5"/>
        <w:rPr>
          <w:color w:val="auto"/>
        </w:rPr>
      </w:pPr>
      <w:bookmarkStart w:id="133" w:name="_Toc715"/>
      <w:bookmarkStart w:id="134" w:name="_Toc8035"/>
      <w:r>
        <w:rPr>
          <w:rFonts w:hint="eastAsia"/>
          <w:color w:val="auto"/>
        </w:rPr>
        <w:t>7.</w:t>
      </w:r>
      <w:r>
        <w:rPr>
          <w:rFonts w:hint="eastAsia"/>
          <w:color w:val="auto"/>
          <w:lang w:val="en-US" w:eastAsia="zh-CN"/>
        </w:rPr>
        <w:t>3</w:t>
      </w:r>
      <w:r>
        <w:rPr>
          <w:color w:val="auto"/>
        </w:rPr>
        <w:t>公用工程安全对策措施建议</w:t>
      </w:r>
      <w:bookmarkEnd w:id="125"/>
      <w:bookmarkEnd w:id="126"/>
      <w:bookmarkEnd w:id="133"/>
      <w:bookmarkEnd w:id="134"/>
    </w:p>
    <w:p w14:paraId="3542A398">
      <w:pPr>
        <w:pStyle w:val="6"/>
        <w:rPr>
          <w:color w:val="auto"/>
        </w:rPr>
      </w:pPr>
      <w:bookmarkStart w:id="135" w:name="_Toc27420"/>
      <w:bookmarkStart w:id="136" w:name="_Toc18418"/>
      <w:bookmarkStart w:id="137" w:name="_Toc22480"/>
      <w:bookmarkStart w:id="138" w:name="_Toc28176"/>
      <w:bookmarkStart w:id="139" w:name="_Toc11347"/>
      <w:r>
        <w:rPr>
          <w:color w:val="auto"/>
        </w:rPr>
        <w:t>7.</w:t>
      </w:r>
      <w:r>
        <w:rPr>
          <w:rFonts w:hint="eastAsia"/>
          <w:color w:val="auto"/>
          <w:lang w:val="en-US" w:eastAsia="zh-CN"/>
        </w:rPr>
        <w:t>3</w:t>
      </w:r>
      <w:r>
        <w:rPr>
          <w:color w:val="auto"/>
        </w:rPr>
        <w:t>.1给排水</w:t>
      </w:r>
      <w:bookmarkEnd w:id="135"/>
      <w:bookmarkEnd w:id="136"/>
      <w:bookmarkEnd w:id="137"/>
    </w:p>
    <w:p w14:paraId="72FD6392">
      <w:pPr>
        <w:numPr>
          <w:ilvl w:val="0"/>
          <w:numId w:val="16"/>
        </w:numPr>
        <w:rPr>
          <w:rFonts w:hint="eastAsia"/>
          <w:color w:val="auto"/>
          <w:lang w:val="en-US" w:eastAsia="zh-CN"/>
        </w:rPr>
      </w:pPr>
      <w:r>
        <w:rPr>
          <w:rFonts w:hint="eastAsia"/>
          <w:color w:val="auto"/>
          <w:lang w:val="en-US" w:eastAsia="zh-CN"/>
        </w:rPr>
        <w:t>消防设施、供水设施宜集中设置于高速公路一侧。中心服务区(单侧)的给水量不宜小于 300吨/天，普通服务区(单侧)给水量不宜小于200吨/天。</w:t>
      </w:r>
    </w:p>
    <w:p w14:paraId="3F9805FB">
      <w:pPr>
        <w:numPr>
          <w:ilvl w:val="0"/>
          <w:numId w:val="16"/>
        </w:numPr>
        <w:rPr>
          <w:rFonts w:hint="eastAsia"/>
          <w:color w:val="auto"/>
          <w:lang w:val="en-US" w:eastAsia="zh-CN"/>
        </w:rPr>
      </w:pPr>
      <w:r>
        <w:rPr>
          <w:rFonts w:hint="eastAsia"/>
          <w:color w:val="auto"/>
          <w:lang w:val="en-US" w:eastAsia="zh-CN"/>
        </w:rPr>
        <w:t>消防给水设计，应符合GB50016和GB50067有关规范的规定。</w:t>
      </w:r>
    </w:p>
    <w:p w14:paraId="0AF833B9">
      <w:pPr>
        <w:numPr>
          <w:ilvl w:val="0"/>
          <w:numId w:val="16"/>
        </w:numPr>
        <w:rPr>
          <w:rFonts w:hint="eastAsia"/>
          <w:color w:val="auto"/>
          <w:lang w:val="en-US" w:eastAsia="zh-CN"/>
        </w:rPr>
      </w:pPr>
      <w:r>
        <w:rPr>
          <w:rFonts w:hint="eastAsia"/>
          <w:color w:val="auto"/>
          <w:lang w:val="en-US" w:eastAsia="zh-CN"/>
        </w:rPr>
        <w:t>当采用地表水或地下水，水质须达到我国现行的生活饮用水水质标准。</w:t>
      </w:r>
    </w:p>
    <w:p w14:paraId="79097A15">
      <w:pPr>
        <w:numPr>
          <w:ilvl w:val="0"/>
          <w:numId w:val="16"/>
        </w:numPr>
        <w:rPr>
          <w:rFonts w:hint="eastAsia"/>
          <w:color w:val="auto"/>
          <w:lang w:val="en-US" w:eastAsia="zh-CN"/>
        </w:rPr>
      </w:pPr>
      <w:r>
        <w:rPr>
          <w:rFonts w:hint="eastAsia"/>
          <w:color w:val="auto"/>
          <w:lang w:val="en-US" w:eastAsia="zh-CN"/>
        </w:rPr>
        <w:t>采用非饮用水做冲洗和浇洒等用水时，应有明显的标志，非饮用水管道不得与饮用水管道相连。</w:t>
      </w:r>
    </w:p>
    <w:p w14:paraId="4E207053">
      <w:pPr>
        <w:numPr>
          <w:ilvl w:val="0"/>
          <w:numId w:val="16"/>
        </w:numPr>
        <w:rPr>
          <w:rFonts w:hint="eastAsia"/>
          <w:color w:val="auto"/>
          <w:lang w:val="en-US" w:eastAsia="zh-CN"/>
        </w:rPr>
      </w:pPr>
      <w:r>
        <w:rPr>
          <w:rFonts w:hint="eastAsia"/>
          <w:color w:val="auto"/>
          <w:lang w:val="en-US" w:eastAsia="zh-CN"/>
        </w:rPr>
        <w:t>卫生器具给水配件处的静水压，最高不宜超过0.35Mpa，水压超过上述规定时，应考虑设减压装置。</w:t>
      </w:r>
    </w:p>
    <w:p w14:paraId="77B284F2">
      <w:pPr>
        <w:numPr>
          <w:ilvl w:val="0"/>
          <w:numId w:val="16"/>
        </w:numPr>
        <w:rPr>
          <w:rFonts w:hint="eastAsia"/>
          <w:color w:val="auto"/>
          <w:lang w:val="en-US" w:eastAsia="zh-CN"/>
        </w:rPr>
      </w:pPr>
      <w:r>
        <w:rPr>
          <w:rFonts w:hint="eastAsia"/>
          <w:color w:val="auto"/>
          <w:lang w:val="en-US" w:eastAsia="zh-CN"/>
        </w:rPr>
        <w:t>服务区宜独立设置排水系统、排水处理设施。</w:t>
      </w:r>
    </w:p>
    <w:p w14:paraId="2245B396">
      <w:pPr>
        <w:numPr>
          <w:ilvl w:val="0"/>
          <w:numId w:val="16"/>
        </w:numPr>
        <w:rPr>
          <w:rFonts w:hint="eastAsia"/>
          <w:color w:val="auto"/>
          <w:lang w:val="en-US" w:eastAsia="zh-CN"/>
        </w:rPr>
      </w:pPr>
      <w:r>
        <w:rPr>
          <w:rFonts w:hint="eastAsia"/>
          <w:color w:val="auto"/>
          <w:lang w:val="en-US" w:eastAsia="zh-CN"/>
        </w:rPr>
        <w:t>污、废水应经处理达标后排放。排水口不应直接对周边村庄或农田进行排放，应与高速公路主线排水口相衔接。</w:t>
      </w:r>
    </w:p>
    <w:p w14:paraId="096052A7">
      <w:pPr>
        <w:numPr>
          <w:ilvl w:val="0"/>
          <w:numId w:val="16"/>
        </w:numPr>
        <w:rPr>
          <w:rFonts w:hint="eastAsia"/>
          <w:color w:val="auto"/>
          <w:lang w:val="en-US" w:eastAsia="zh-CN"/>
        </w:rPr>
      </w:pPr>
      <w:r>
        <w:rPr>
          <w:rFonts w:hint="eastAsia"/>
          <w:color w:val="auto"/>
          <w:lang w:val="en-US" w:eastAsia="zh-CN"/>
        </w:rPr>
        <w:t>污水、雨水及含油与不含油污水，应采用分流制排放。</w:t>
      </w:r>
    </w:p>
    <w:p w14:paraId="0BDC67DB">
      <w:pPr>
        <w:numPr>
          <w:ilvl w:val="0"/>
          <w:numId w:val="16"/>
        </w:numPr>
        <w:rPr>
          <w:rFonts w:hint="eastAsia"/>
          <w:color w:val="auto"/>
          <w:lang w:val="en-US" w:eastAsia="zh-CN"/>
        </w:rPr>
      </w:pPr>
      <w:r>
        <w:rPr>
          <w:rFonts w:hint="eastAsia"/>
          <w:color w:val="auto"/>
          <w:lang w:val="en-US" w:eastAsia="zh-CN"/>
        </w:rPr>
        <w:t>含油污水管道，应设置水封井；水封井的水封高度，不应小于0.25m。水封井应设沉泥段，沉泥段由最低的管底算起，其深度不应小于0.25m。</w:t>
      </w:r>
    </w:p>
    <w:p w14:paraId="0923866F">
      <w:pPr>
        <w:numPr>
          <w:ilvl w:val="0"/>
          <w:numId w:val="16"/>
        </w:numPr>
        <w:rPr>
          <w:rFonts w:hint="eastAsia"/>
          <w:color w:val="auto"/>
          <w:lang w:val="en-US" w:eastAsia="zh-CN"/>
        </w:rPr>
      </w:pPr>
      <w:r>
        <w:rPr>
          <w:rFonts w:hint="eastAsia"/>
          <w:color w:val="auto"/>
          <w:lang w:val="en-US" w:eastAsia="zh-CN"/>
        </w:rPr>
        <w:t>中心服务区应建设废水回收再利用设施。</w:t>
      </w:r>
    </w:p>
    <w:p w14:paraId="5DEEFE9D">
      <w:pPr>
        <w:numPr>
          <w:ilvl w:val="0"/>
          <w:numId w:val="16"/>
        </w:numPr>
        <w:rPr>
          <w:rFonts w:hint="eastAsia"/>
          <w:color w:val="auto"/>
          <w:lang w:val="en-US" w:eastAsia="zh-CN"/>
        </w:rPr>
      </w:pPr>
      <w:r>
        <w:rPr>
          <w:rFonts w:hint="eastAsia"/>
          <w:color w:val="auto"/>
          <w:lang w:val="en-US" w:eastAsia="zh-CN"/>
        </w:rPr>
        <w:t>降雨强度的设计重现期宜取0.5~3年。</w:t>
      </w:r>
    </w:p>
    <w:p w14:paraId="45C76424">
      <w:pPr>
        <w:numPr>
          <w:ilvl w:val="0"/>
          <w:numId w:val="16"/>
        </w:numPr>
        <w:rPr>
          <w:rFonts w:hint="eastAsia"/>
          <w:color w:val="auto"/>
          <w:lang w:val="en-US" w:eastAsia="zh-CN"/>
        </w:rPr>
      </w:pPr>
      <w:r>
        <w:rPr>
          <w:rFonts w:hint="eastAsia"/>
          <w:color w:val="auto"/>
          <w:lang w:val="en-US" w:eastAsia="zh-CN"/>
        </w:rPr>
        <w:t>综合楼内超市、商店等经营场所宜配备独立的给、排水系统。</w:t>
      </w:r>
    </w:p>
    <w:p w14:paraId="627217BE">
      <w:pPr>
        <w:pStyle w:val="6"/>
        <w:bidi w:val="0"/>
        <w:rPr>
          <w:rFonts w:hint="eastAsia"/>
          <w:color w:val="auto"/>
          <w:lang w:val="en-US" w:eastAsia="zh-CN"/>
        </w:rPr>
      </w:pPr>
      <w:bookmarkStart w:id="140" w:name="_Toc2809"/>
      <w:r>
        <w:rPr>
          <w:rFonts w:hint="eastAsia"/>
          <w:color w:val="auto"/>
          <w:lang w:val="en-US" w:eastAsia="zh-CN"/>
        </w:rPr>
        <w:t>7.3.2采暖通风</w:t>
      </w:r>
      <w:bookmarkEnd w:id="140"/>
    </w:p>
    <w:p w14:paraId="0D726F8D">
      <w:pPr>
        <w:rPr>
          <w:rFonts w:hint="default"/>
          <w:color w:val="auto"/>
          <w:lang w:val="en-US" w:eastAsia="zh-CN"/>
        </w:rPr>
      </w:pPr>
      <w:r>
        <w:rPr>
          <w:rFonts w:hint="eastAsia"/>
          <w:color w:val="auto"/>
          <w:lang w:val="en-US" w:eastAsia="zh-CN"/>
        </w:rPr>
        <w:t>1、</w:t>
      </w:r>
      <w:r>
        <w:rPr>
          <w:rFonts w:hint="default"/>
          <w:color w:val="auto"/>
          <w:lang w:val="en-US" w:eastAsia="zh-CN"/>
        </w:rPr>
        <w:t>综合楼内休息场所、餐厅、超市、商店宜设空调。</w:t>
      </w:r>
    </w:p>
    <w:p w14:paraId="31108309">
      <w:pPr>
        <w:rPr>
          <w:rFonts w:hint="default"/>
          <w:color w:val="auto"/>
          <w:lang w:val="en-US" w:eastAsia="zh-CN"/>
        </w:rPr>
      </w:pPr>
      <w:r>
        <w:rPr>
          <w:rFonts w:hint="eastAsia"/>
          <w:color w:val="auto"/>
          <w:lang w:val="en-US" w:eastAsia="zh-CN"/>
        </w:rPr>
        <w:t>2、</w:t>
      </w:r>
      <w:r>
        <w:rPr>
          <w:rFonts w:hint="default"/>
          <w:color w:val="auto"/>
          <w:lang w:val="en-US" w:eastAsia="zh-CN"/>
        </w:rPr>
        <w:t>空调系统的设置应符合下列要求</w:t>
      </w:r>
      <w:r>
        <w:rPr>
          <w:rFonts w:hint="eastAsia"/>
          <w:color w:val="auto"/>
          <w:lang w:val="en-US" w:eastAsia="zh-CN"/>
        </w:rPr>
        <w:t>：</w:t>
      </w:r>
    </w:p>
    <w:p w14:paraId="6DEC5BFE">
      <w:pPr>
        <w:rPr>
          <w:rFonts w:hint="default"/>
          <w:color w:val="auto"/>
          <w:lang w:val="en-US" w:eastAsia="zh-CN"/>
        </w:rPr>
      </w:pPr>
      <w:r>
        <w:rPr>
          <w:rFonts w:hint="default"/>
          <w:color w:val="auto"/>
          <w:lang w:val="en-US" w:eastAsia="zh-CN"/>
        </w:rPr>
        <w:t>a)综合楼门厅出入口宜采用冷、热风空气幕</w:t>
      </w:r>
      <w:r>
        <w:rPr>
          <w:rFonts w:hint="eastAsia"/>
          <w:color w:val="auto"/>
          <w:lang w:val="en-US" w:eastAsia="zh-CN"/>
        </w:rPr>
        <w:t>；</w:t>
      </w:r>
    </w:p>
    <w:p w14:paraId="754A4CB1">
      <w:pPr>
        <w:rPr>
          <w:rFonts w:hint="default"/>
          <w:color w:val="auto"/>
          <w:lang w:val="en-US" w:eastAsia="zh-CN"/>
        </w:rPr>
      </w:pPr>
      <w:r>
        <w:rPr>
          <w:rFonts w:hint="default"/>
          <w:color w:val="auto"/>
          <w:lang w:val="en-US" w:eastAsia="zh-CN"/>
        </w:rPr>
        <w:t>b)餐厅、超市、商店等宜采用节能型空调系统</w:t>
      </w:r>
      <w:r>
        <w:rPr>
          <w:rFonts w:hint="eastAsia"/>
          <w:color w:val="auto"/>
          <w:lang w:val="en-US" w:eastAsia="zh-CN"/>
        </w:rPr>
        <w:t>；</w:t>
      </w:r>
    </w:p>
    <w:p w14:paraId="20C8CF1D">
      <w:pPr>
        <w:rPr>
          <w:rFonts w:hint="default"/>
          <w:color w:val="auto"/>
          <w:lang w:val="en-US" w:eastAsia="zh-CN"/>
        </w:rPr>
      </w:pPr>
      <w:r>
        <w:rPr>
          <w:rFonts w:hint="default"/>
          <w:color w:val="auto"/>
          <w:lang w:val="en-US" w:eastAsia="zh-CN"/>
        </w:rPr>
        <w:t>c)餐厅的厨房宜采用全热交换器通风或变频空调系统</w:t>
      </w:r>
      <w:r>
        <w:rPr>
          <w:rFonts w:hint="eastAsia"/>
          <w:color w:val="auto"/>
          <w:lang w:val="en-US" w:eastAsia="zh-CN"/>
        </w:rPr>
        <w:t>；</w:t>
      </w:r>
      <w:r>
        <w:rPr>
          <w:rFonts w:hint="default"/>
          <w:color w:val="auto"/>
          <w:lang w:val="en-US" w:eastAsia="zh-CN"/>
        </w:rPr>
        <w:t>厨房应保持负压，用餐场所应保持正压</w:t>
      </w:r>
      <w:r>
        <w:rPr>
          <w:rFonts w:hint="eastAsia"/>
          <w:color w:val="auto"/>
          <w:lang w:val="en-US" w:eastAsia="zh-CN"/>
        </w:rPr>
        <w:t>；</w:t>
      </w:r>
    </w:p>
    <w:p w14:paraId="5849AD9C">
      <w:pPr>
        <w:rPr>
          <w:rFonts w:hint="default"/>
          <w:color w:val="auto"/>
          <w:lang w:val="en-US" w:eastAsia="zh-CN"/>
        </w:rPr>
      </w:pPr>
      <w:r>
        <w:rPr>
          <w:rFonts w:hint="default"/>
          <w:color w:val="auto"/>
          <w:lang w:val="en-US" w:eastAsia="zh-CN"/>
        </w:rPr>
        <w:t>d)客房的新风量宜按30m</w:t>
      </w:r>
      <w:r>
        <w:rPr>
          <w:rFonts w:hint="default"/>
          <w:color w:val="auto"/>
          <w:vertAlign w:val="superscript"/>
          <w:lang w:val="en-US" w:eastAsia="zh-CN"/>
        </w:rPr>
        <w:t>3</w:t>
      </w:r>
      <w:r>
        <w:rPr>
          <w:rFonts w:hint="default"/>
          <w:color w:val="auto"/>
          <w:lang w:val="en-US" w:eastAsia="zh-CN"/>
        </w:rPr>
        <w:t>/人计算，并应保持负压。</w:t>
      </w:r>
    </w:p>
    <w:p w14:paraId="375F6FCF">
      <w:pPr>
        <w:rPr>
          <w:rFonts w:hint="default"/>
          <w:color w:val="auto"/>
          <w:lang w:val="en-US" w:eastAsia="zh-CN"/>
        </w:rPr>
      </w:pPr>
      <w:r>
        <w:rPr>
          <w:rFonts w:hint="eastAsia"/>
          <w:color w:val="auto"/>
          <w:lang w:val="en-US" w:eastAsia="zh-CN"/>
        </w:rPr>
        <w:t>3、</w:t>
      </w:r>
      <w:r>
        <w:rPr>
          <w:rFonts w:hint="default"/>
          <w:color w:val="auto"/>
          <w:lang w:val="en-US" w:eastAsia="zh-CN"/>
        </w:rPr>
        <w:t>空气调节的室内计算温度，冬季宜为18</w:t>
      </w:r>
      <w:r>
        <w:rPr>
          <w:rFonts w:hint="eastAsia"/>
          <w:color w:val="auto"/>
          <w:lang w:val="en-US" w:eastAsia="zh-CN"/>
        </w:rPr>
        <w:t>±</w:t>
      </w:r>
      <w:r>
        <w:rPr>
          <w:rFonts w:hint="default"/>
          <w:color w:val="auto"/>
          <w:lang w:val="en-US" w:eastAsia="zh-CN"/>
        </w:rPr>
        <w:t>2℃，相对湿度不小于40%</w:t>
      </w:r>
      <w:r>
        <w:rPr>
          <w:rFonts w:hint="eastAsia"/>
          <w:color w:val="auto"/>
          <w:lang w:val="en-US" w:eastAsia="zh-CN"/>
        </w:rPr>
        <w:t>；</w:t>
      </w:r>
      <w:r>
        <w:rPr>
          <w:rFonts w:hint="default"/>
          <w:color w:val="auto"/>
          <w:lang w:val="en-US" w:eastAsia="zh-CN"/>
        </w:rPr>
        <w:t>夏季宜为28</w:t>
      </w:r>
      <w:r>
        <w:rPr>
          <w:rFonts w:hint="eastAsia"/>
          <w:color w:val="auto"/>
          <w:lang w:val="en-US" w:eastAsia="zh-CN"/>
        </w:rPr>
        <w:t>±</w:t>
      </w:r>
      <w:r>
        <w:rPr>
          <w:rFonts w:hint="default"/>
          <w:color w:val="auto"/>
          <w:lang w:val="en-US" w:eastAsia="zh-CN"/>
        </w:rPr>
        <w:t>2℃，相对湿度宜为 40%~65%。</w:t>
      </w:r>
    </w:p>
    <w:p w14:paraId="55D1151F">
      <w:pPr>
        <w:rPr>
          <w:rFonts w:hint="default"/>
          <w:color w:val="auto"/>
          <w:lang w:val="en-US" w:eastAsia="zh-CN"/>
        </w:rPr>
      </w:pPr>
      <w:r>
        <w:rPr>
          <w:rFonts w:hint="eastAsia"/>
          <w:color w:val="auto"/>
          <w:lang w:val="en-US" w:eastAsia="zh-CN"/>
        </w:rPr>
        <w:t>4、</w:t>
      </w:r>
      <w:r>
        <w:rPr>
          <w:rFonts w:hint="default"/>
          <w:color w:val="auto"/>
          <w:lang w:val="en-US" w:eastAsia="zh-CN"/>
        </w:rPr>
        <w:t>建筑通风应符合下列要求</w:t>
      </w:r>
      <w:r>
        <w:rPr>
          <w:rFonts w:hint="eastAsia"/>
          <w:color w:val="auto"/>
          <w:lang w:val="en-US" w:eastAsia="zh-CN"/>
        </w:rPr>
        <w:t>：</w:t>
      </w:r>
    </w:p>
    <w:p w14:paraId="43DEDD96">
      <w:pPr>
        <w:rPr>
          <w:rFonts w:hint="default"/>
          <w:color w:val="auto"/>
          <w:lang w:val="en-US" w:eastAsia="zh-CN"/>
        </w:rPr>
      </w:pPr>
      <w:r>
        <w:rPr>
          <w:rFonts w:hint="eastAsia"/>
          <w:color w:val="auto"/>
          <w:lang w:val="en-US" w:eastAsia="zh-CN"/>
        </w:rPr>
        <w:t>a</w:t>
      </w:r>
      <w:r>
        <w:rPr>
          <w:rFonts w:hint="default"/>
          <w:color w:val="auto"/>
          <w:lang w:val="en-US" w:eastAsia="zh-CN"/>
        </w:rPr>
        <w:t>)客房、员工宿舍、办公等用房的通风开口有效面积不应小于该房间地板面积的1/20</w:t>
      </w:r>
      <w:r>
        <w:rPr>
          <w:rFonts w:hint="eastAsia"/>
          <w:color w:val="auto"/>
          <w:lang w:val="en-US" w:eastAsia="zh-CN"/>
        </w:rPr>
        <w:t>；</w:t>
      </w:r>
      <w:r>
        <w:rPr>
          <w:rFonts w:hint="default"/>
          <w:color w:val="auto"/>
          <w:lang w:val="en-US" w:eastAsia="zh-CN"/>
        </w:rPr>
        <w:t>厨房的通风开口有效面积应不小于该房间地板面积的1/10，并不得小于0.6</w:t>
      </w:r>
      <w:r>
        <w:rPr>
          <w:rFonts w:hint="eastAsia"/>
          <w:color w:val="auto"/>
          <w:lang w:val="en-US" w:eastAsia="zh-CN"/>
        </w:rPr>
        <w:t>m</w:t>
      </w:r>
      <w:r>
        <w:rPr>
          <w:rFonts w:hint="eastAsia"/>
          <w:color w:val="auto"/>
          <w:vertAlign w:val="superscript"/>
          <w:lang w:val="en-US" w:eastAsia="zh-CN"/>
        </w:rPr>
        <w:t>2</w:t>
      </w:r>
      <w:r>
        <w:rPr>
          <w:rFonts w:hint="eastAsia"/>
          <w:color w:val="auto"/>
          <w:lang w:val="en-US" w:eastAsia="zh-CN"/>
        </w:rPr>
        <w:t>；</w:t>
      </w:r>
      <w:r>
        <w:rPr>
          <w:rFonts w:hint="default"/>
          <w:color w:val="auto"/>
          <w:lang w:val="en-US" w:eastAsia="zh-CN"/>
        </w:rPr>
        <w:t>厨房的炉灶上方应安装排除油烟设备，并设排烟道</w:t>
      </w:r>
      <w:r>
        <w:rPr>
          <w:rFonts w:hint="eastAsia"/>
          <w:color w:val="auto"/>
          <w:lang w:val="en-US" w:eastAsia="zh-CN"/>
        </w:rPr>
        <w:t>；</w:t>
      </w:r>
    </w:p>
    <w:p w14:paraId="5A24D733">
      <w:pPr>
        <w:rPr>
          <w:rFonts w:hint="default"/>
          <w:color w:val="auto"/>
          <w:lang w:val="en-US" w:eastAsia="zh-CN"/>
        </w:rPr>
      </w:pPr>
      <w:r>
        <w:rPr>
          <w:rFonts w:hint="default"/>
          <w:color w:val="auto"/>
          <w:lang w:val="en-US" w:eastAsia="zh-CN"/>
        </w:rPr>
        <w:t>b)无外窗的浴室和厕所应设机械通风换气设施，并设通风道</w:t>
      </w:r>
      <w:r>
        <w:rPr>
          <w:rFonts w:hint="eastAsia"/>
          <w:color w:val="auto"/>
          <w:lang w:val="en-US" w:eastAsia="zh-CN"/>
        </w:rPr>
        <w:t>；</w:t>
      </w:r>
    </w:p>
    <w:p w14:paraId="54E76BD6">
      <w:pPr>
        <w:rPr>
          <w:rFonts w:hint="default"/>
          <w:color w:val="auto"/>
          <w:lang w:val="en-US" w:eastAsia="zh-CN"/>
        </w:rPr>
      </w:pPr>
      <w:r>
        <w:rPr>
          <w:rFonts w:hint="eastAsia"/>
          <w:color w:val="auto"/>
          <w:lang w:val="en-US" w:eastAsia="zh-CN"/>
        </w:rPr>
        <w:t>c）</w:t>
      </w:r>
      <w:r>
        <w:rPr>
          <w:rFonts w:hint="default"/>
          <w:color w:val="auto"/>
          <w:lang w:val="en-US" w:eastAsia="zh-CN"/>
        </w:rPr>
        <w:t>厨房、卫生间的门的下方宜设进风固定百叶，或留有进风缝隙</w:t>
      </w:r>
      <w:r>
        <w:rPr>
          <w:rFonts w:hint="eastAsia"/>
          <w:color w:val="auto"/>
          <w:lang w:val="en-US" w:eastAsia="zh-CN"/>
        </w:rPr>
        <w:t>；</w:t>
      </w:r>
    </w:p>
    <w:p w14:paraId="010FDA4B">
      <w:pPr>
        <w:rPr>
          <w:rFonts w:hint="default"/>
          <w:color w:val="auto"/>
          <w:lang w:val="en-US" w:eastAsia="zh-CN"/>
        </w:rPr>
      </w:pPr>
      <w:r>
        <w:rPr>
          <w:rFonts w:hint="default"/>
          <w:color w:val="auto"/>
          <w:lang w:val="en-US" w:eastAsia="zh-CN"/>
        </w:rPr>
        <w:t>d)机械新风系统的进风口应设置在室外空气清新、洁净的位置</w:t>
      </w:r>
      <w:r>
        <w:rPr>
          <w:rFonts w:hint="eastAsia"/>
          <w:color w:val="auto"/>
          <w:lang w:val="en-US" w:eastAsia="zh-CN"/>
        </w:rPr>
        <w:t>；</w:t>
      </w:r>
    </w:p>
    <w:p w14:paraId="406220F1">
      <w:pPr>
        <w:rPr>
          <w:rFonts w:hint="default"/>
          <w:color w:val="auto"/>
          <w:lang w:val="en-US" w:eastAsia="zh-CN"/>
        </w:rPr>
      </w:pPr>
      <w:r>
        <w:rPr>
          <w:rFonts w:hint="default"/>
          <w:color w:val="auto"/>
          <w:lang w:val="en-US" w:eastAsia="zh-CN"/>
        </w:rPr>
        <w:t>e)废气排放不应设置在有人停留或通行的地带</w:t>
      </w:r>
      <w:r>
        <w:rPr>
          <w:rFonts w:hint="eastAsia"/>
          <w:color w:val="auto"/>
          <w:lang w:val="en-US" w:eastAsia="zh-CN"/>
        </w:rPr>
        <w:t>；</w:t>
      </w:r>
    </w:p>
    <w:p w14:paraId="6F3E76D6">
      <w:pPr>
        <w:rPr>
          <w:rFonts w:hint="default"/>
          <w:color w:val="auto"/>
          <w:lang w:val="en-US" w:eastAsia="zh-CN"/>
        </w:rPr>
      </w:pPr>
      <w:r>
        <w:rPr>
          <w:rFonts w:hint="default"/>
          <w:color w:val="auto"/>
          <w:lang w:val="en-US" w:eastAsia="zh-CN"/>
        </w:rPr>
        <w:t>f)机械新风系统的管道应选用不燃材料。</w:t>
      </w:r>
    </w:p>
    <w:p w14:paraId="2B651ABF">
      <w:pPr>
        <w:rPr>
          <w:rFonts w:hint="default"/>
          <w:color w:val="auto"/>
          <w:lang w:val="en-US" w:eastAsia="zh-CN"/>
        </w:rPr>
      </w:pPr>
      <w:r>
        <w:rPr>
          <w:rFonts w:hint="eastAsia"/>
          <w:color w:val="auto"/>
          <w:lang w:val="en-US" w:eastAsia="zh-CN"/>
        </w:rPr>
        <w:t>5、</w:t>
      </w:r>
      <w:r>
        <w:rPr>
          <w:rFonts w:hint="default"/>
          <w:color w:val="auto"/>
          <w:lang w:val="en-US" w:eastAsia="zh-CN"/>
        </w:rPr>
        <w:t>综合楼内休息场所、餐厅、超市、商店自然通风达不到要求时，可采用机械通风或自然与机械通风相结合的通风方式，其通风量人均不应小于8m</w:t>
      </w:r>
      <w:r>
        <w:rPr>
          <w:rFonts w:hint="default"/>
          <w:color w:val="auto"/>
          <w:vertAlign w:val="superscript"/>
          <w:lang w:val="en-US" w:eastAsia="zh-CN"/>
        </w:rPr>
        <w:t>3</w:t>
      </w:r>
      <w:r>
        <w:rPr>
          <w:rFonts w:hint="default"/>
          <w:color w:val="auto"/>
          <w:lang w:val="en-US" w:eastAsia="zh-CN"/>
        </w:rPr>
        <w:t>/h。电瓶充电间应有机械通风系统，其换气次数不应小于10次/h。</w:t>
      </w:r>
    </w:p>
    <w:p w14:paraId="2B7EFD9B">
      <w:pPr>
        <w:rPr>
          <w:rFonts w:hint="default"/>
          <w:color w:val="auto"/>
          <w:lang w:val="en-US" w:eastAsia="zh-CN"/>
        </w:rPr>
      </w:pPr>
      <w:r>
        <w:rPr>
          <w:rFonts w:hint="eastAsia"/>
          <w:color w:val="auto"/>
          <w:lang w:val="en-US" w:eastAsia="zh-CN"/>
        </w:rPr>
        <w:t>8、通风系统气流组织应合理，排风应直接对外。</w:t>
      </w:r>
    </w:p>
    <w:p w14:paraId="378E5CA5">
      <w:pPr>
        <w:pStyle w:val="6"/>
        <w:bidi w:val="0"/>
        <w:rPr>
          <w:rFonts w:hint="eastAsia"/>
          <w:color w:val="auto"/>
          <w:lang w:val="en-US" w:eastAsia="zh-CN"/>
        </w:rPr>
      </w:pPr>
      <w:bookmarkStart w:id="141" w:name="_Toc2838"/>
      <w:r>
        <w:rPr>
          <w:rFonts w:hint="eastAsia"/>
          <w:color w:val="auto"/>
          <w:lang w:val="en-US" w:eastAsia="zh-CN"/>
        </w:rPr>
        <w:t>7.3.3供配电</w:t>
      </w:r>
      <w:bookmarkEnd w:id="141"/>
    </w:p>
    <w:p w14:paraId="6A93524D">
      <w:pPr>
        <w:rPr>
          <w:rFonts w:hint="default"/>
          <w:color w:val="auto"/>
          <w:lang w:val="en-US" w:eastAsia="zh-CN"/>
        </w:rPr>
      </w:pPr>
      <w:r>
        <w:rPr>
          <w:rFonts w:hint="eastAsia"/>
          <w:color w:val="auto"/>
          <w:lang w:val="en-US" w:eastAsia="zh-CN"/>
        </w:rPr>
        <w:t>1、</w:t>
      </w:r>
      <w:r>
        <w:rPr>
          <w:rFonts w:hint="default"/>
          <w:color w:val="auto"/>
          <w:lang w:val="en-US" w:eastAsia="zh-CN"/>
        </w:rPr>
        <w:t>用电负荷等级应符合下列要求</w:t>
      </w:r>
      <w:r>
        <w:rPr>
          <w:rFonts w:hint="eastAsia"/>
          <w:color w:val="auto"/>
          <w:lang w:val="en-US" w:eastAsia="zh-CN"/>
        </w:rPr>
        <w:t>：</w:t>
      </w:r>
    </w:p>
    <w:p w14:paraId="5DCD2523">
      <w:pPr>
        <w:rPr>
          <w:rFonts w:hint="default"/>
          <w:color w:val="auto"/>
          <w:lang w:val="en-US" w:eastAsia="zh-CN"/>
        </w:rPr>
      </w:pPr>
      <w:r>
        <w:rPr>
          <w:rFonts w:hint="eastAsia"/>
          <w:color w:val="auto"/>
          <w:lang w:val="en-US" w:eastAsia="zh-CN"/>
        </w:rPr>
        <w:t>a）</w:t>
      </w:r>
      <w:r>
        <w:rPr>
          <w:rFonts w:hint="default"/>
          <w:color w:val="auto"/>
          <w:lang w:val="en-US" w:eastAsia="zh-CN"/>
        </w:rPr>
        <w:t>综合楼内的餐厅用电按二级负荷供电</w:t>
      </w:r>
      <w:r>
        <w:rPr>
          <w:rFonts w:hint="eastAsia"/>
          <w:color w:val="auto"/>
          <w:lang w:val="en-US" w:eastAsia="zh-CN"/>
        </w:rPr>
        <w:t>；</w:t>
      </w:r>
    </w:p>
    <w:p w14:paraId="5ACBD8B6">
      <w:pPr>
        <w:rPr>
          <w:rFonts w:hint="default"/>
          <w:color w:val="auto"/>
          <w:lang w:val="en-US" w:eastAsia="zh-CN"/>
        </w:rPr>
      </w:pPr>
      <w:r>
        <w:rPr>
          <w:rFonts w:hint="eastAsia"/>
          <w:color w:val="auto"/>
          <w:lang w:val="en-US" w:eastAsia="zh-CN"/>
        </w:rPr>
        <w:t>b）</w:t>
      </w:r>
      <w:r>
        <w:rPr>
          <w:rFonts w:hint="default"/>
          <w:color w:val="auto"/>
          <w:lang w:val="en-US" w:eastAsia="zh-CN"/>
        </w:rPr>
        <w:t>汽修站按二级负荷供电</w:t>
      </w:r>
      <w:r>
        <w:rPr>
          <w:rFonts w:hint="eastAsia"/>
          <w:color w:val="auto"/>
          <w:lang w:val="en-US" w:eastAsia="zh-CN"/>
        </w:rPr>
        <w:t>；</w:t>
      </w:r>
    </w:p>
    <w:p w14:paraId="1A955A65">
      <w:pPr>
        <w:rPr>
          <w:rFonts w:hint="default"/>
          <w:color w:val="auto"/>
          <w:lang w:val="en-US" w:eastAsia="zh-CN"/>
        </w:rPr>
      </w:pPr>
      <w:r>
        <w:rPr>
          <w:rFonts w:hint="eastAsia"/>
          <w:color w:val="auto"/>
          <w:lang w:val="en-US" w:eastAsia="zh-CN"/>
        </w:rPr>
        <w:t>c）</w:t>
      </w:r>
      <w:r>
        <w:rPr>
          <w:rFonts w:hint="default"/>
          <w:color w:val="auto"/>
          <w:lang w:val="en-US" w:eastAsia="zh-CN"/>
        </w:rPr>
        <w:t>消防设备、监控设备、变配电、广场照明(包括高杆灯和路灯)和污水处理器按二级负荷供电。</w:t>
      </w:r>
    </w:p>
    <w:p w14:paraId="2183A583">
      <w:pPr>
        <w:rPr>
          <w:rFonts w:hint="default"/>
          <w:color w:val="auto"/>
          <w:lang w:val="en-US" w:eastAsia="zh-CN"/>
        </w:rPr>
      </w:pPr>
      <w:r>
        <w:rPr>
          <w:rFonts w:hint="eastAsia"/>
          <w:color w:val="auto"/>
          <w:lang w:val="en-US" w:eastAsia="zh-CN"/>
        </w:rPr>
        <w:t>2、</w:t>
      </w:r>
      <w:r>
        <w:rPr>
          <w:rFonts w:hint="default"/>
          <w:color w:val="auto"/>
          <w:lang w:val="en-US" w:eastAsia="zh-CN"/>
        </w:rPr>
        <w:t>宜设置室内干式节能型变压器，供电半径不大于250m。</w:t>
      </w:r>
    </w:p>
    <w:p w14:paraId="1CFE21A1">
      <w:pPr>
        <w:rPr>
          <w:rFonts w:hint="default"/>
          <w:color w:val="auto"/>
          <w:lang w:val="en-US" w:eastAsia="zh-CN"/>
        </w:rPr>
      </w:pPr>
      <w:r>
        <w:rPr>
          <w:rFonts w:hint="eastAsia"/>
          <w:color w:val="auto"/>
          <w:lang w:val="en-US" w:eastAsia="zh-CN"/>
        </w:rPr>
        <w:t>3、</w:t>
      </w:r>
      <w:r>
        <w:rPr>
          <w:rFonts w:hint="default"/>
          <w:color w:val="auto"/>
          <w:lang w:val="en-US" w:eastAsia="zh-CN"/>
        </w:rPr>
        <w:t>电气一般配电线路应暗装敷设，导线管及配线槽应采用非燃烧材料。</w:t>
      </w:r>
    </w:p>
    <w:p w14:paraId="1F2E9974">
      <w:pPr>
        <w:rPr>
          <w:rFonts w:hint="default"/>
          <w:color w:val="auto"/>
          <w:lang w:val="en-US" w:eastAsia="zh-CN"/>
        </w:rPr>
      </w:pPr>
      <w:r>
        <w:rPr>
          <w:rFonts w:hint="eastAsia"/>
          <w:color w:val="auto"/>
          <w:lang w:val="en-US" w:eastAsia="zh-CN"/>
        </w:rPr>
        <w:t>4、</w:t>
      </w:r>
      <w:r>
        <w:rPr>
          <w:rFonts w:hint="default"/>
          <w:color w:val="auto"/>
          <w:lang w:val="en-US" w:eastAsia="zh-CN"/>
        </w:rPr>
        <w:t>消防配电线路应满足火灾时连续供电的要求，其暗装敷设应符合下列要求:</w:t>
      </w:r>
    </w:p>
    <w:p w14:paraId="129BB8ED">
      <w:pPr>
        <w:rPr>
          <w:rFonts w:hint="default"/>
          <w:color w:val="auto"/>
          <w:lang w:val="en-US" w:eastAsia="zh-CN"/>
        </w:rPr>
      </w:pPr>
      <w:r>
        <w:rPr>
          <w:rFonts w:hint="eastAsia"/>
          <w:color w:val="auto"/>
          <w:lang w:val="en-US" w:eastAsia="zh-CN"/>
        </w:rPr>
        <w:t>a）</w:t>
      </w:r>
      <w:r>
        <w:rPr>
          <w:rFonts w:hint="default"/>
          <w:color w:val="auto"/>
          <w:lang w:val="en-US" w:eastAsia="zh-CN"/>
        </w:rPr>
        <w:t>暗装敷设时，应穿管并应敷设在不燃烧体结构内且保护层厚度不应小于30m。明敷时(包括敷设在吊顶内)，应金属管或封闭式金属线槽，并应采取防火保护措施。</w:t>
      </w:r>
    </w:p>
    <w:p w14:paraId="04EE2E58">
      <w:pPr>
        <w:rPr>
          <w:rFonts w:hint="default"/>
          <w:color w:val="auto"/>
          <w:lang w:val="en-US" w:eastAsia="zh-CN"/>
        </w:rPr>
      </w:pPr>
      <w:r>
        <w:rPr>
          <w:rFonts w:hint="eastAsia"/>
          <w:color w:val="auto"/>
          <w:lang w:val="en-US" w:eastAsia="zh-CN"/>
        </w:rPr>
        <w:t>b）</w:t>
      </w:r>
      <w:r>
        <w:rPr>
          <w:rFonts w:hint="default"/>
          <w:color w:val="auto"/>
          <w:lang w:val="en-US" w:eastAsia="zh-CN"/>
        </w:rPr>
        <w:t>当采用阻燃或耐火电缆时，敷设在电缆井，电缆沟内可不采取防火保护措施</w:t>
      </w:r>
      <w:r>
        <w:rPr>
          <w:rFonts w:hint="eastAsia"/>
          <w:color w:val="auto"/>
          <w:lang w:val="en-US" w:eastAsia="zh-CN"/>
        </w:rPr>
        <w:t>；</w:t>
      </w:r>
    </w:p>
    <w:p w14:paraId="41C8E2D6">
      <w:pPr>
        <w:rPr>
          <w:rFonts w:hint="default"/>
          <w:color w:val="auto"/>
          <w:lang w:val="en-US" w:eastAsia="zh-CN"/>
        </w:rPr>
      </w:pPr>
      <w:r>
        <w:rPr>
          <w:rFonts w:hint="eastAsia"/>
          <w:color w:val="auto"/>
          <w:lang w:val="en-US" w:eastAsia="zh-CN"/>
        </w:rPr>
        <w:t>c）</w:t>
      </w:r>
      <w:r>
        <w:rPr>
          <w:rFonts w:hint="default"/>
          <w:color w:val="auto"/>
          <w:lang w:val="en-US" w:eastAsia="zh-CN"/>
        </w:rPr>
        <w:t>当采用矿物质绝缘类不燃性电缆时，可直接明敷。</w:t>
      </w:r>
    </w:p>
    <w:p w14:paraId="56D2D742">
      <w:pPr>
        <w:rPr>
          <w:rFonts w:hint="default"/>
          <w:color w:val="auto"/>
          <w:lang w:val="en-US" w:eastAsia="zh-CN"/>
        </w:rPr>
      </w:pPr>
      <w:r>
        <w:rPr>
          <w:rFonts w:hint="eastAsia"/>
          <w:color w:val="auto"/>
          <w:lang w:val="en-US" w:eastAsia="zh-CN"/>
        </w:rPr>
        <w:t>5、</w:t>
      </w:r>
      <w:r>
        <w:rPr>
          <w:rFonts w:hint="default"/>
          <w:color w:val="auto"/>
          <w:lang w:val="en-US" w:eastAsia="zh-CN"/>
        </w:rPr>
        <w:t>照度标准应符合现行国家标准GB50034-2004的规定</w:t>
      </w:r>
      <w:r>
        <w:rPr>
          <w:rFonts w:hint="eastAsia"/>
          <w:color w:val="auto"/>
          <w:lang w:val="en-US" w:eastAsia="zh-CN"/>
        </w:rPr>
        <w:t>。</w:t>
      </w:r>
    </w:p>
    <w:p w14:paraId="6B5235DD">
      <w:pPr>
        <w:rPr>
          <w:rFonts w:hint="default"/>
          <w:color w:val="auto"/>
          <w:lang w:val="en-US" w:eastAsia="zh-CN"/>
        </w:rPr>
      </w:pPr>
      <w:r>
        <w:rPr>
          <w:rFonts w:hint="eastAsia"/>
          <w:color w:val="auto"/>
          <w:lang w:val="en-US" w:eastAsia="zh-CN"/>
        </w:rPr>
        <w:t>6、</w:t>
      </w:r>
      <w:r>
        <w:rPr>
          <w:rFonts w:hint="default"/>
          <w:color w:val="auto"/>
          <w:lang w:val="en-US" w:eastAsia="zh-CN"/>
        </w:rPr>
        <w:t>照明光源应优先选择节能灯具，并符合下列要求:</w:t>
      </w:r>
    </w:p>
    <w:p w14:paraId="1A097EA5">
      <w:pPr>
        <w:rPr>
          <w:rFonts w:hint="default"/>
          <w:color w:val="auto"/>
          <w:lang w:val="en-US" w:eastAsia="zh-CN"/>
        </w:rPr>
      </w:pPr>
      <w:r>
        <w:rPr>
          <w:rFonts w:hint="eastAsia"/>
          <w:color w:val="auto"/>
          <w:lang w:val="en-US" w:eastAsia="zh-CN"/>
        </w:rPr>
        <w:t>a）</w:t>
      </w:r>
      <w:r>
        <w:rPr>
          <w:rFonts w:hint="default"/>
          <w:color w:val="auto"/>
          <w:lang w:val="en-US" w:eastAsia="zh-CN"/>
        </w:rPr>
        <w:t>室内照明宜采用直管型节能荧光灯和紧凑型节能荧光灯，灯具应无眩光</w:t>
      </w:r>
      <w:r>
        <w:rPr>
          <w:rFonts w:hint="eastAsia"/>
          <w:color w:val="auto"/>
          <w:lang w:val="en-US" w:eastAsia="zh-CN"/>
        </w:rPr>
        <w:t>；</w:t>
      </w:r>
    </w:p>
    <w:p w14:paraId="2F30F18B">
      <w:pPr>
        <w:rPr>
          <w:rFonts w:hint="default"/>
          <w:color w:val="auto"/>
          <w:lang w:val="en-US" w:eastAsia="zh-CN"/>
        </w:rPr>
      </w:pPr>
      <w:r>
        <w:rPr>
          <w:rFonts w:hint="eastAsia"/>
          <w:color w:val="auto"/>
          <w:lang w:val="en-US" w:eastAsia="zh-CN"/>
        </w:rPr>
        <w:t>b）</w:t>
      </w:r>
      <w:r>
        <w:rPr>
          <w:rFonts w:hint="default"/>
          <w:color w:val="auto"/>
          <w:lang w:val="en-US" w:eastAsia="zh-CN"/>
        </w:rPr>
        <w:t>广场高杆灯数量不宜超过1座，高度不宜超过30m，宜使用LED光源</w:t>
      </w:r>
      <w:r>
        <w:rPr>
          <w:rFonts w:hint="eastAsia"/>
          <w:color w:val="auto"/>
          <w:lang w:val="en-US" w:eastAsia="zh-CN"/>
        </w:rPr>
        <w:t>；</w:t>
      </w:r>
    </w:p>
    <w:p w14:paraId="6D8D3967">
      <w:pPr>
        <w:rPr>
          <w:rFonts w:hint="default"/>
          <w:color w:val="auto"/>
          <w:lang w:val="en-US" w:eastAsia="zh-CN"/>
        </w:rPr>
      </w:pPr>
      <w:r>
        <w:rPr>
          <w:rFonts w:hint="eastAsia"/>
          <w:color w:val="auto"/>
          <w:lang w:val="en-US" w:eastAsia="zh-CN"/>
        </w:rPr>
        <w:t>c）</w:t>
      </w:r>
      <w:r>
        <w:rPr>
          <w:rFonts w:hint="default"/>
          <w:color w:val="auto"/>
          <w:lang w:val="en-US" w:eastAsia="zh-CN"/>
        </w:rPr>
        <w:t>匝道两边宜设置 LED光源或独立太阳能的中杆灯，高度不宜超过8m。</w:t>
      </w:r>
    </w:p>
    <w:p w14:paraId="1C4C27C5">
      <w:pPr>
        <w:rPr>
          <w:rFonts w:hint="default"/>
          <w:color w:val="auto"/>
          <w:lang w:val="en-US" w:eastAsia="zh-CN"/>
        </w:rPr>
      </w:pPr>
      <w:r>
        <w:rPr>
          <w:rFonts w:hint="eastAsia"/>
          <w:color w:val="auto"/>
          <w:lang w:val="en-US" w:eastAsia="zh-CN"/>
        </w:rPr>
        <w:t>7、</w:t>
      </w:r>
      <w:r>
        <w:rPr>
          <w:rFonts w:hint="default"/>
          <w:color w:val="auto"/>
          <w:lang w:val="en-US" w:eastAsia="zh-CN"/>
        </w:rPr>
        <w:t xml:space="preserve"> 综合楼内的疏散走道、楼梯间应设置消防应急照明灯具，疏散门正上方应设置灯光疏散指示标志，均应符合GB13495-1992的有关规定，并符合下列要求</w:t>
      </w:r>
      <w:r>
        <w:rPr>
          <w:rFonts w:hint="eastAsia"/>
          <w:color w:val="auto"/>
          <w:lang w:val="en-US" w:eastAsia="zh-CN"/>
        </w:rPr>
        <w:t>：</w:t>
      </w:r>
    </w:p>
    <w:p w14:paraId="6D110BE9">
      <w:pPr>
        <w:rPr>
          <w:rFonts w:hint="default"/>
          <w:color w:val="auto"/>
          <w:lang w:val="en-US" w:eastAsia="zh-CN"/>
        </w:rPr>
      </w:pPr>
      <w:r>
        <w:rPr>
          <w:rFonts w:hint="default"/>
          <w:color w:val="auto"/>
          <w:lang w:val="en-US" w:eastAsia="zh-CN"/>
        </w:rPr>
        <w:t>a)安全出口和疏散门的正上方应设置“安全出口”指示标志</w:t>
      </w:r>
      <w:r>
        <w:rPr>
          <w:rFonts w:hint="eastAsia"/>
          <w:color w:val="auto"/>
          <w:lang w:val="en-US" w:eastAsia="zh-CN"/>
        </w:rPr>
        <w:t>；</w:t>
      </w:r>
    </w:p>
    <w:p w14:paraId="1A3A096E">
      <w:pPr>
        <w:rPr>
          <w:rFonts w:hint="default"/>
          <w:color w:val="auto"/>
          <w:lang w:val="en-US" w:eastAsia="zh-CN"/>
        </w:rPr>
      </w:pPr>
      <w:r>
        <w:rPr>
          <w:rFonts w:hint="default"/>
          <w:color w:val="auto"/>
          <w:lang w:val="en-US" w:eastAsia="zh-CN"/>
        </w:rPr>
        <w:t>b)疏散走道灯光疏散指示标志，应设置在转角处、距地面高度1.0m以下的墙面上，灯光疏散指示标志间距不应大于20m</w:t>
      </w:r>
      <w:r>
        <w:rPr>
          <w:rFonts w:hint="eastAsia"/>
          <w:color w:val="auto"/>
          <w:lang w:val="en-US" w:eastAsia="zh-CN"/>
        </w:rPr>
        <w:t>；</w:t>
      </w:r>
      <w:r>
        <w:rPr>
          <w:rFonts w:hint="default"/>
          <w:color w:val="auto"/>
          <w:lang w:val="en-US" w:eastAsia="zh-CN"/>
        </w:rPr>
        <w:t>对于袋形走道，不应大于10m</w:t>
      </w:r>
      <w:r>
        <w:rPr>
          <w:rFonts w:hint="eastAsia"/>
          <w:color w:val="auto"/>
          <w:lang w:val="en-US" w:eastAsia="zh-CN"/>
        </w:rPr>
        <w:t>；</w:t>
      </w:r>
      <w:r>
        <w:rPr>
          <w:rFonts w:hint="default"/>
          <w:color w:val="auto"/>
          <w:lang w:val="en-US" w:eastAsia="zh-CN"/>
        </w:rPr>
        <w:t>在转角区，不应大于1.0m</w:t>
      </w:r>
      <w:r>
        <w:rPr>
          <w:rFonts w:hint="eastAsia"/>
          <w:color w:val="auto"/>
          <w:lang w:val="en-US" w:eastAsia="zh-CN"/>
        </w:rPr>
        <w:t>；</w:t>
      </w:r>
    </w:p>
    <w:p w14:paraId="145C4D06">
      <w:pPr>
        <w:rPr>
          <w:rFonts w:hint="default"/>
          <w:color w:val="auto"/>
          <w:lang w:val="en-US" w:eastAsia="zh-CN"/>
        </w:rPr>
      </w:pPr>
      <w:r>
        <w:rPr>
          <w:rFonts w:hint="eastAsia"/>
          <w:color w:val="auto"/>
          <w:lang w:val="en-US" w:eastAsia="zh-CN"/>
        </w:rPr>
        <w:t>c</w:t>
      </w:r>
      <w:r>
        <w:rPr>
          <w:rFonts w:hint="default"/>
          <w:color w:val="auto"/>
          <w:lang w:val="en-US" w:eastAsia="zh-CN"/>
        </w:rPr>
        <w:t>)消防应急照明灯具和灯光疏散指示标志的备用电源的连续供电时间不应少于30min。</w:t>
      </w:r>
    </w:p>
    <w:p w14:paraId="52378914">
      <w:pPr>
        <w:rPr>
          <w:rFonts w:hint="default"/>
          <w:color w:val="auto"/>
          <w:lang w:val="en-US" w:eastAsia="zh-CN"/>
        </w:rPr>
      </w:pPr>
      <w:r>
        <w:rPr>
          <w:rFonts w:hint="eastAsia"/>
          <w:color w:val="auto"/>
          <w:lang w:val="en-US" w:eastAsia="zh-CN"/>
        </w:rPr>
        <w:t>8、</w:t>
      </w:r>
      <w:r>
        <w:rPr>
          <w:rFonts w:hint="default"/>
          <w:color w:val="auto"/>
          <w:lang w:val="en-US" w:eastAsia="zh-CN"/>
        </w:rPr>
        <w:t>汽修站、加油站和综合楼的门厅、餐厅、超市、客房等用电应按使用功能要求，从配电柜或配电箱分开回路引出。</w:t>
      </w:r>
    </w:p>
    <w:p w14:paraId="37383612">
      <w:pPr>
        <w:rPr>
          <w:rFonts w:hint="default"/>
          <w:color w:val="auto"/>
          <w:lang w:val="en-US" w:eastAsia="zh-CN"/>
        </w:rPr>
      </w:pPr>
      <w:r>
        <w:rPr>
          <w:rFonts w:hint="eastAsia"/>
          <w:color w:val="auto"/>
          <w:lang w:val="en-US" w:eastAsia="zh-CN"/>
        </w:rPr>
        <w:t>9、</w:t>
      </w:r>
      <w:r>
        <w:rPr>
          <w:rFonts w:hint="default"/>
          <w:color w:val="auto"/>
          <w:lang w:val="en-US" w:eastAsia="zh-CN"/>
        </w:rPr>
        <w:t>24小时开水房应设置三相电源插座。</w:t>
      </w:r>
    </w:p>
    <w:p w14:paraId="2BA8B098">
      <w:pPr>
        <w:rPr>
          <w:rFonts w:hint="default"/>
          <w:color w:val="auto"/>
          <w:lang w:val="en-US" w:eastAsia="zh-CN"/>
        </w:rPr>
      </w:pPr>
      <w:r>
        <w:rPr>
          <w:rFonts w:hint="eastAsia"/>
          <w:color w:val="auto"/>
          <w:lang w:val="en-US" w:eastAsia="zh-CN"/>
        </w:rPr>
        <w:t>10、</w:t>
      </w:r>
      <w:r>
        <w:rPr>
          <w:rFonts w:hint="default"/>
          <w:color w:val="auto"/>
          <w:lang w:val="en-US" w:eastAsia="zh-CN"/>
        </w:rPr>
        <w:t>监控系统应符合下列要求:</w:t>
      </w:r>
    </w:p>
    <w:p w14:paraId="0EA2B3F7">
      <w:pPr>
        <w:rPr>
          <w:rFonts w:hint="default"/>
          <w:color w:val="auto"/>
          <w:lang w:val="en-US" w:eastAsia="zh-CN"/>
        </w:rPr>
      </w:pPr>
      <w:r>
        <w:rPr>
          <w:rFonts w:hint="default"/>
          <w:color w:val="auto"/>
          <w:lang w:val="en-US" w:eastAsia="zh-CN"/>
        </w:rPr>
        <w:t>a)在服务区入口匝道处设置摄像头，对驶进服务区车辆进行监控。</w:t>
      </w:r>
    </w:p>
    <w:p w14:paraId="706EDB70">
      <w:pPr>
        <w:rPr>
          <w:rFonts w:hint="default"/>
          <w:color w:val="auto"/>
          <w:lang w:val="en-US" w:eastAsia="zh-CN"/>
        </w:rPr>
      </w:pPr>
      <w:r>
        <w:rPr>
          <w:rFonts w:hint="default"/>
          <w:color w:val="auto"/>
          <w:lang w:val="en-US" w:eastAsia="zh-CN"/>
        </w:rPr>
        <w:t>b)在服务区广场设置摄像头，对服务区停放车辆进行监控，根据选用摄像头的监控距离调整安装位置，保证无盲区。</w:t>
      </w:r>
    </w:p>
    <w:p w14:paraId="32BE8BAC">
      <w:pPr>
        <w:rPr>
          <w:rFonts w:hint="default"/>
          <w:color w:val="auto"/>
          <w:lang w:val="en-US" w:eastAsia="zh-CN"/>
        </w:rPr>
      </w:pPr>
      <w:r>
        <w:rPr>
          <w:rFonts w:hint="eastAsia"/>
          <w:color w:val="auto"/>
          <w:lang w:val="en-US" w:eastAsia="zh-CN"/>
        </w:rPr>
        <w:t>c)</w:t>
      </w:r>
      <w:r>
        <w:rPr>
          <w:rFonts w:hint="default"/>
          <w:color w:val="auto"/>
          <w:lang w:val="en-US" w:eastAsia="zh-CN"/>
        </w:rPr>
        <w:t>在服务区出口匝道处设置摄像头，对驶出服务区车辆进行监控。</w:t>
      </w:r>
    </w:p>
    <w:p w14:paraId="5CB0C720">
      <w:pPr>
        <w:rPr>
          <w:rFonts w:hint="default"/>
          <w:color w:val="auto"/>
          <w:lang w:val="en-US" w:eastAsia="zh-CN"/>
        </w:rPr>
      </w:pPr>
      <w:r>
        <w:rPr>
          <w:rFonts w:hint="eastAsia"/>
          <w:color w:val="auto"/>
          <w:lang w:val="en-US" w:eastAsia="zh-CN"/>
        </w:rPr>
        <w:t>d</w:t>
      </w:r>
      <w:r>
        <w:rPr>
          <w:rFonts w:hint="default"/>
          <w:color w:val="auto"/>
          <w:lang w:val="en-US" w:eastAsia="zh-CN"/>
        </w:rPr>
        <w:t>)在综合楼进出口处设置摄像头，对进出人员进行监控。</w:t>
      </w:r>
    </w:p>
    <w:p w14:paraId="64491AF3">
      <w:pPr>
        <w:rPr>
          <w:rFonts w:hint="default"/>
          <w:color w:val="auto"/>
          <w:lang w:val="en-US" w:eastAsia="zh-CN"/>
        </w:rPr>
      </w:pPr>
      <w:r>
        <w:rPr>
          <w:rFonts w:hint="eastAsia"/>
          <w:color w:val="auto"/>
          <w:lang w:val="en-US" w:eastAsia="zh-CN"/>
        </w:rPr>
        <w:t>e)</w:t>
      </w:r>
      <w:r>
        <w:rPr>
          <w:rFonts w:hint="default"/>
          <w:color w:val="auto"/>
          <w:lang w:val="en-US" w:eastAsia="zh-CN"/>
        </w:rPr>
        <w:t>在客房楼梯口设置摄像头，对进出人员进行监控。</w:t>
      </w:r>
    </w:p>
    <w:p w14:paraId="4083BF0A">
      <w:pPr>
        <w:rPr>
          <w:rFonts w:hint="default"/>
          <w:color w:val="auto"/>
          <w:lang w:val="en-US" w:eastAsia="zh-CN"/>
        </w:rPr>
      </w:pPr>
      <w:r>
        <w:rPr>
          <w:rFonts w:hint="default"/>
          <w:color w:val="auto"/>
          <w:lang w:val="en-US" w:eastAsia="zh-CN"/>
        </w:rPr>
        <w:t>f)服务区重要位置的摄像头宜具备红外及夜视功能。</w:t>
      </w:r>
    </w:p>
    <w:p w14:paraId="3A37E8D6">
      <w:pPr>
        <w:rPr>
          <w:rFonts w:hint="default"/>
          <w:color w:val="auto"/>
          <w:lang w:val="en-US" w:eastAsia="zh-CN"/>
        </w:rPr>
      </w:pPr>
      <w:r>
        <w:rPr>
          <w:rFonts w:hint="eastAsia"/>
          <w:color w:val="auto"/>
          <w:lang w:val="en-US" w:eastAsia="zh-CN"/>
        </w:rPr>
        <w:t>11、</w:t>
      </w:r>
      <w:r>
        <w:rPr>
          <w:rFonts w:hint="default"/>
          <w:color w:val="auto"/>
          <w:lang w:val="en-US" w:eastAsia="zh-CN"/>
        </w:rPr>
        <w:t>匝道进出口宣设置同步声光信号装置。</w:t>
      </w:r>
    </w:p>
    <w:p w14:paraId="38A0E4E7">
      <w:pPr>
        <w:rPr>
          <w:rFonts w:hint="default"/>
          <w:color w:val="auto"/>
          <w:lang w:val="en-US" w:eastAsia="zh-CN"/>
        </w:rPr>
      </w:pPr>
      <w:r>
        <w:rPr>
          <w:rFonts w:hint="eastAsia"/>
          <w:color w:val="auto"/>
          <w:lang w:val="en-US" w:eastAsia="zh-CN"/>
        </w:rPr>
        <w:t>12、</w:t>
      </w:r>
      <w:r>
        <w:rPr>
          <w:rFonts w:hint="default"/>
          <w:color w:val="auto"/>
          <w:lang w:val="en-US" w:eastAsia="zh-CN"/>
        </w:rPr>
        <w:t>防雷与接地设计应符合GB50057和GB50343的规定，并应符合下列要求</w:t>
      </w:r>
      <w:r>
        <w:rPr>
          <w:rFonts w:hint="eastAsia"/>
          <w:color w:val="auto"/>
          <w:lang w:val="en-US" w:eastAsia="zh-CN"/>
        </w:rPr>
        <w:t>：</w:t>
      </w:r>
    </w:p>
    <w:p w14:paraId="388906FD">
      <w:pPr>
        <w:rPr>
          <w:rFonts w:hint="default"/>
          <w:color w:val="auto"/>
          <w:lang w:val="en-US" w:eastAsia="zh-CN"/>
        </w:rPr>
      </w:pPr>
      <w:r>
        <w:rPr>
          <w:rFonts w:hint="eastAsia"/>
          <w:color w:val="auto"/>
          <w:lang w:val="en-US" w:eastAsia="zh-CN"/>
        </w:rPr>
        <w:t>a)</w:t>
      </w:r>
      <w:r>
        <w:rPr>
          <w:rFonts w:hint="default"/>
          <w:color w:val="auto"/>
          <w:lang w:val="en-US" w:eastAsia="zh-CN"/>
        </w:rPr>
        <w:t>监控室配电箱进线处设置浪涌保护器以防电磁脉冲侵入</w:t>
      </w:r>
      <w:r>
        <w:rPr>
          <w:rFonts w:hint="eastAsia"/>
          <w:color w:val="auto"/>
          <w:lang w:val="en-US" w:eastAsia="zh-CN"/>
        </w:rPr>
        <w:t>；</w:t>
      </w:r>
    </w:p>
    <w:p w14:paraId="7226C703">
      <w:pPr>
        <w:rPr>
          <w:rFonts w:hint="default"/>
          <w:color w:val="auto"/>
          <w:lang w:val="en-US" w:eastAsia="zh-CN"/>
        </w:rPr>
      </w:pPr>
      <w:r>
        <w:rPr>
          <w:rFonts w:hint="eastAsia"/>
          <w:color w:val="auto"/>
          <w:lang w:val="en-US" w:eastAsia="zh-CN"/>
        </w:rPr>
        <w:t>b</w:t>
      </w:r>
      <w:r>
        <w:rPr>
          <w:rFonts w:hint="default"/>
          <w:color w:val="auto"/>
          <w:lang w:val="en-US" w:eastAsia="zh-CN"/>
        </w:rPr>
        <w:t>)监控室静电地板要求与整栋建筑的防雷接地系统联通，且搭接处不小于4点</w:t>
      </w:r>
      <w:r>
        <w:rPr>
          <w:rFonts w:hint="eastAsia"/>
          <w:color w:val="auto"/>
          <w:lang w:val="en-US" w:eastAsia="zh-CN"/>
        </w:rPr>
        <w:t>；</w:t>
      </w:r>
    </w:p>
    <w:p w14:paraId="1AE5009D">
      <w:pPr>
        <w:rPr>
          <w:rFonts w:hint="default"/>
          <w:color w:val="auto"/>
          <w:lang w:val="en-US" w:eastAsia="zh-CN"/>
        </w:rPr>
      </w:pPr>
      <w:r>
        <w:rPr>
          <w:rFonts w:hint="eastAsia"/>
          <w:color w:val="auto"/>
          <w:lang w:val="en-US" w:eastAsia="zh-CN"/>
        </w:rPr>
        <w:t>c</w:t>
      </w:r>
      <w:r>
        <w:rPr>
          <w:rFonts w:hint="default"/>
          <w:color w:val="auto"/>
          <w:lang w:val="en-US" w:eastAsia="zh-CN"/>
        </w:rPr>
        <w:t>)接地电阻实测达不到1欧姆的建筑物应与其他建筑物可靠联通</w:t>
      </w:r>
      <w:r>
        <w:rPr>
          <w:rFonts w:hint="eastAsia"/>
          <w:color w:val="auto"/>
          <w:lang w:val="en-US" w:eastAsia="zh-CN"/>
        </w:rPr>
        <w:t>，</w:t>
      </w:r>
      <w:r>
        <w:rPr>
          <w:rFonts w:hint="default"/>
          <w:color w:val="auto"/>
          <w:lang w:val="en-US" w:eastAsia="zh-CN"/>
        </w:rPr>
        <w:t>确保联合接地体接地电阻小于1欧姆。</w:t>
      </w:r>
    </w:p>
    <w:p w14:paraId="1992536A">
      <w:pPr>
        <w:pStyle w:val="51"/>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ascii="宋体" w:hAnsi="宋体"/>
          <w:color w:val="auto"/>
          <w:sz w:val="28"/>
          <w:szCs w:val="28"/>
        </w:rPr>
      </w:pPr>
      <w:r>
        <w:rPr>
          <w:rFonts w:hint="eastAsia"/>
          <w:color w:val="auto"/>
          <w:sz w:val="28"/>
          <w:szCs w:val="28"/>
          <w:lang w:val="en-US" w:eastAsia="zh-CN"/>
        </w:rPr>
        <w:t>13、</w:t>
      </w:r>
      <w:r>
        <w:rPr>
          <w:rFonts w:hint="eastAsia" w:ascii="宋体" w:hAnsi="宋体"/>
          <w:color w:val="auto"/>
          <w:sz w:val="28"/>
          <w:szCs w:val="28"/>
        </w:rPr>
        <w:t>供电系统的电缆金属外皮或电缆金属保护管两端均应接地，在供配电系统的电源端应安装与设备耐压水平相适应的过电压（电涌）保护器。</w:t>
      </w:r>
    </w:p>
    <w:p w14:paraId="4EC3BA6B">
      <w:pPr>
        <w:pStyle w:val="51"/>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ascii="宋体" w:hAnsi="宋体"/>
          <w:color w:val="auto"/>
          <w:sz w:val="28"/>
          <w:szCs w:val="28"/>
        </w:rPr>
      </w:pPr>
      <w:r>
        <w:rPr>
          <w:rFonts w:hint="default" w:ascii="Times New Roman" w:hAnsi="Times New Roman" w:cs="Times New Roman"/>
          <w:color w:val="auto"/>
          <w:sz w:val="28"/>
          <w:szCs w:val="28"/>
          <w:shd w:val="clear" w:color="auto" w:fill="FFFFFF"/>
          <w:lang w:val="en-US" w:eastAsia="zh-CN"/>
        </w:rPr>
        <w:t>1</w:t>
      </w:r>
      <w:r>
        <w:rPr>
          <w:rFonts w:hint="eastAsia" w:cs="Times New Roman"/>
          <w:color w:val="auto"/>
          <w:sz w:val="28"/>
          <w:szCs w:val="28"/>
          <w:shd w:val="clear" w:color="auto" w:fill="FFFFFF"/>
          <w:lang w:val="en-US" w:eastAsia="zh-CN"/>
        </w:rPr>
        <w:t>4</w:t>
      </w:r>
      <w:r>
        <w:rPr>
          <w:rFonts w:hint="default" w:ascii="Times New Roman" w:hAnsi="Times New Roman" w:cs="Times New Roman"/>
          <w:color w:val="auto"/>
          <w:sz w:val="28"/>
          <w:szCs w:val="28"/>
          <w:shd w:val="clear" w:color="auto" w:fill="FFFFFF"/>
          <w:lang w:val="en-US" w:eastAsia="zh-CN"/>
        </w:rPr>
        <w:t>、</w:t>
      </w:r>
      <w:r>
        <w:rPr>
          <w:rFonts w:hint="eastAsia" w:ascii="宋体" w:hAnsi="宋体"/>
          <w:color w:val="auto"/>
          <w:sz w:val="28"/>
          <w:szCs w:val="28"/>
          <w:shd w:val="clear" w:color="auto" w:fill="FFFFFF"/>
        </w:rPr>
        <w:t>防静电接地装置的接地电阻不应大于</w:t>
      </w:r>
      <w:r>
        <w:rPr>
          <w:rFonts w:hint="default" w:ascii="Times New Roman" w:hAnsi="Times New Roman" w:cs="Times New Roman"/>
          <w:color w:val="auto"/>
          <w:sz w:val="28"/>
          <w:szCs w:val="28"/>
          <w:shd w:val="clear" w:color="auto" w:fill="FFFFFF"/>
        </w:rPr>
        <w:t>100Ω</w:t>
      </w:r>
      <w:r>
        <w:rPr>
          <w:rFonts w:hint="eastAsia" w:ascii="宋体" w:hAnsi="宋体"/>
          <w:color w:val="auto"/>
          <w:sz w:val="28"/>
          <w:szCs w:val="28"/>
          <w:shd w:val="clear" w:color="auto" w:fill="FFFFFF"/>
        </w:rPr>
        <w:t>。</w:t>
      </w:r>
    </w:p>
    <w:p w14:paraId="231F2AE6">
      <w:pPr>
        <w:rPr>
          <w:rFonts w:hint="default"/>
          <w:color w:val="auto"/>
          <w:lang w:val="en-US" w:eastAsia="zh-CN"/>
        </w:rPr>
      </w:pPr>
      <w:r>
        <w:rPr>
          <w:rFonts w:hint="eastAsia"/>
          <w:color w:val="auto"/>
          <w:lang w:val="en-US" w:eastAsia="zh-CN"/>
        </w:rPr>
        <w:t>15、</w:t>
      </w:r>
      <w:r>
        <w:rPr>
          <w:rFonts w:hint="default"/>
          <w:color w:val="auto"/>
          <w:lang w:val="en-US" w:eastAsia="zh-CN"/>
        </w:rPr>
        <w:t>电气设计宜包括</w:t>
      </w:r>
      <w:r>
        <w:rPr>
          <w:rFonts w:hint="eastAsia"/>
          <w:color w:val="auto"/>
          <w:lang w:val="en-US" w:eastAsia="zh-CN"/>
        </w:rPr>
        <w:t>：</w:t>
      </w:r>
      <w:r>
        <w:rPr>
          <w:rFonts w:hint="default"/>
          <w:color w:val="auto"/>
          <w:lang w:val="en-US" w:eastAsia="zh-CN"/>
        </w:rPr>
        <w:t>高低压配电系统、室内外照明系统、防雷接地系统、有线电视，综合布线系统、监控系统、智能化系统。</w:t>
      </w:r>
    </w:p>
    <w:p w14:paraId="385D5396">
      <w:pPr>
        <w:pageBreakBefore w:val="0"/>
        <w:widowControl w:val="0"/>
        <w:kinsoku/>
        <w:wordWrap/>
        <w:overflowPunct/>
        <w:topLinePunct w:val="0"/>
        <w:autoSpaceDE/>
        <w:autoSpaceDN/>
        <w:bidi w:val="0"/>
        <w:adjustRightInd/>
        <w:snapToGrid/>
        <w:spacing w:line="600" w:lineRule="exact"/>
        <w:textAlignment w:val="auto"/>
        <w:rPr>
          <w:color w:val="auto"/>
        </w:rPr>
      </w:pPr>
      <w:r>
        <w:rPr>
          <w:rFonts w:hint="eastAsia"/>
          <w:color w:val="auto"/>
          <w:lang w:val="en-US" w:eastAsia="zh-CN"/>
        </w:rPr>
        <w:t>16、</w:t>
      </w:r>
      <w:r>
        <w:rPr>
          <w:rFonts w:hint="eastAsia"/>
          <w:color w:val="auto"/>
        </w:rPr>
        <w:t>充电站供配电系统应符合现行国家标准《供配电系统设计规范》GB 50052的有关规定。</w:t>
      </w:r>
    </w:p>
    <w:p w14:paraId="0691F320">
      <w:pPr>
        <w:bidi w:val="0"/>
        <w:rPr>
          <w:rFonts w:hint="eastAsia"/>
          <w:color w:val="auto"/>
          <w:lang w:val="en-US" w:eastAsia="zh-CN"/>
        </w:rPr>
      </w:pPr>
      <w:r>
        <w:rPr>
          <w:rFonts w:hint="eastAsia"/>
          <w:color w:val="auto"/>
          <w:lang w:val="en-US" w:eastAsia="zh-CN"/>
        </w:rPr>
        <w:t>17、供配电装置的布置应符合现行国家标准《20kV及以下变电所设计规范》GB 50053的有关规定，遵循安全、可靠、适用的原则，便于安装、操作、搬运、检修和调试。当建设场地受限时，中、低压开关柜可与变压器设置在同一房间内，且变压器应选用难燃型或不燃型，其外壳防护等级不应低于IP2X。</w:t>
      </w:r>
    </w:p>
    <w:p w14:paraId="7B8A9CA5">
      <w:pPr>
        <w:bidi w:val="0"/>
        <w:rPr>
          <w:rFonts w:hint="eastAsia"/>
          <w:color w:val="auto"/>
          <w:lang w:val="en-US" w:eastAsia="zh-CN"/>
        </w:rPr>
      </w:pPr>
      <w:r>
        <w:rPr>
          <w:rFonts w:hint="eastAsia"/>
          <w:color w:val="auto"/>
          <w:lang w:val="en-US" w:eastAsia="zh-CN"/>
        </w:rPr>
        <w:t>18、 充电站配电系统应符合下列要求：</w:t>
      </w:r>
    </w:p>
    <w:p w14:paraId="191A2DA9">
      <w:pPr>
        <w:bidi w:val="0"/>
        <w:ind w:left="0" w:leftChars="0" w:firstLine="560" w:firstLineChars="200"/>
        <w:rPr>
          <w:rFonts w:hint="eastAsia"/>
          <w:color w:val="auto"/>
          <w:lang w:val="en-US" w:eastAsia="zh-CN"/>
        </w:rPr>
      </w:pPr>
      <w:r>
        <w:rPr>
          <w:rFonts w:hint="eastAsia"/>
          <w:color w:val="auto"/>
          <w:lang w:val="en-US" w:eastAsia="zh-CN"/>
        </w:rPr>
        <w:t>（1）中低压配电系统宜采用单母线或单母线分段接线，低压接地系统宜采用TN-S系统。</w:t>
      </w:r>
    </w:p>
    <w:p w14:paraId="195AE0EE">
      <w:pPr>
        <w:bidi w:val="0"/>
        <w:rPr>
          <w:rFonts w:hint="eastAsia"/>
          <w:color w:val="auto"/>
          <w:lang w:val="en-US" w:eastAsia="zh-CN"/>
        </w:rPr>
      </w:pPr>
      <w:r>
        <w:rPr>
          <w:rFonts w:hint="eastAsia"/>
          <w:color w:val="auto"/>
          <w:lang w:val="en-US" w:eastAsia="zh-CN"/>
        </w:rPr>
        <w:t>（2）低压进出线开关、分段开关宜采用断路器。来自不同电源的低压进线断路器和低压分段断路器之间应设机械闭锁和电气联锁装置，防止不同电源并联运行。</w:t>
      </w:r>
    </w:p>
    <w:p w14:paraId="1989AE3F">
      <w:pPr>
        <w:bidi w:val="0"/>
        <w:rPr>
          <w:rFonts w:hint="eastAsia"/>
          <w:color w:val="auto"/>
          <w:lang w:val="en-US" w:eastAsia="zh-CN"/>
        </w:rPr>
      </w:pPr>
      <w:r>
        <w:rPr>
          <w:rFonts w:hint="eastAsia"/>
          <w:color w:val="auto"/>
          <w:lang w:val="en-US" w:eastAsia="zh-CN"/>
        </w:rPr>
        <w:t>（3）低压进线断路</w:t>
      </w:r>
      <w:r>
        <w:rPr>
          <w:rFonts w:hint="eastAsia"/>
          <w:color w:val="auto"/>
          <w:spacing w:val="-6"/>
          <w:sz w:val="28"/>
          <w:lang w:val="en-US" w:eastAsia="zh-CN"/>
        </w:rPr>
        <w:t>器宜具有短路瞬时、短路短延时、短路长延时和接地保护功能，宜设置分励脱扣装置，不宜设置失压脱扣装置或低压脱扣装</w:t>
      </w:r>
      <w:r>
        <w:rPr>
          <w:rFonts w:hint="eastAsia"/>
          <w:color w:val="auto"/>
          <w:lang w:val="en-US" w:eastAsia="zh-CN"/>
        </w:rPr>
        <w:t>置。</w:t>
      </w:r>
    </w:p>
    <w:p w14:paraId="2B9747CB">
      <w:pPr>
        <w:bidi w:val="0"/>
        <w:rPr>
          <w:rFonts w:hint="default"/>
          <w:color w:val="auto"/>
          <w:lang w:val="en-US" w:eastAsia="zh-CN"/>
        </w:rPr>
      </w:pPr>
      <w:r>
        <w:rPr>
          <w:rFonts w:hint="eastAsia"/>
          <w:color w:val="auto"/>
          <w:lang w:val="en-US" w:eastAsia="zh-CN"/>
        </w:rPr>
        <w:t>（4）非车载充电机、监控装置以及重要的用电设备宜采用放射式供电。</w:t>
      </w:r>
    </w:p>
    <w:p w14:paraId="46D9F595">
      <w:pPr>
        <w:bidi w:val="0"/>
        <w:rPr>
          <w:rFonts w:hint="eastAsia"/>
          <w:color w:val="auto"/>
          <w:lang w:val="en-US" w:eastAsia="zh-CN"/>
        </w:rPr>
      </w:pPr>
      <w:r>
        <w:rPr>
          <w:rFonts w:hint="eastAsia"/>
          <w:color w:val="auto"/>
          <w:lang w:val="en-US" w:eastAsia="zh-CN"/>
        </w:rPr>
        <w:t>19、 开关柜宜选用小型化、无油化、免维修或少维护的产品。</w:t>
      </w:r>
    </w:p>
    <w:p w14:paraId="58337AF8">
      <w:pPr>
        <w:bidi w:val="0"/>
        <w:rPr>
          <w:rFonts w:hint="eastAsia"/>
          <w:color w:val="auto"/>
          <w:lang w:val="en-US" w:eastAsia="zh-CN"/>
        </w:rPr>
      </w:pPr>
      <w:r>
        <w:rPr>
          <w:rFonts w:hint="eastAsia"/>
          <w:color w:val="auto"/>
          <w:lang w:val="en-US" w:eastAsia="zh-CN"/>
        </w:rPr>
        <w:t>20、 无功功率补偿应符合下列要求：</w:t>
      </w:r>
    </w:p>
    <w:p w14:paraId="37562A47">
      <w:pPr>
        <w:bidi w:val="0"/>
        <w:rPr>
          <w:rFonts w:hint="eastAsia"/>
          <w:color w:val="auto"/>
          <w:lang w:val="en-US" w:eastAsia="zh-CN"/>
        </w:rPr>
      </w:pPr>
      <w:r>
        <w:rPr>
          <w:rFonts w:hint="eastAsia"/>
          <w:color w:val="auto"/>
          <w:lang w:val="en-US" w:eastAsia="zh-CN"/>
        </w:rPr>
        <w:t>（1）无功功率补偿装置宜设置在变压器低压侧，补偿容量宜按最大负荷时变压器高压侧功率因数不低于0.95确定。</w:t>
      </w:r>
    </w:p>
    <w:p w14:paraId="393FD44C">
      <w:pPr>
        <w:bidi w:val="0"/>
        <w:rPr>
          <w:rFonts w:hint="eastAsia"/>
          <w:color w:val="auto"/>
          <w:lang w:val="en-US" w:eastAsia="zh-CN"/>
        </w:rPr>
      </w:pPr>
      <w:r>
        <w:rPr>
          <w:rFonts w:hint="eastAsia"/>
          <w:color w:val="auto"/>
          <w:lang w:val="en-US" w:eastAsia="zh-CN"/>
        </w:rPr>
        <w:t> （2）当用电设备的自然功率因数满足变压器高压侧功率因数不低于0.95的要求时，可不加装低压无功功率补偿装置。</w:t>
      </w:r>
    </w:p>
    <w:p w14:paraId="088D3308">
      <w:pPr>
        <w:bidi w:val="0"/>
        <w:rPr>
          <w:rFonts w:hint="eastAsia"/>
          <w:color w:val="auto"/>
          <w:lang w:val="en-US" w:eastAsia="zh-CN"/>
        </w:rPr>
      </w:pPr>
      <w:r>
        <w:rPr>
          <w:rFonts w:hint="eastAsia"/>
          <w:color w:val="auto"/>
          <w:lang w:val="en-US" w:eastAsia="zh-CN"/>
        </w:rPr>
        <w:t>21、 充电站配电线路的设计应符合下列要求：</w:t>
      </w:r>
    </w:p>
    <w:p w14:paraId="50793397">
      <w:pPr>
        <w:bidi w:val="0"/>
        <w:rPr>
          <w:rFonts w:hint="eastAsia"/>
          <w:color w:val="auto"/>
          <w:lang w:val="en-US" w:eastAsia="zh-CN"/>
        </w:rPr>
      </w:pPr>
      <w:r>
        <w:rPr>
          <w:rFonts w:hint="eastAsia"/>
          <w:color w:val="auto"/>
          <w:lang w:val="en-US" w:eastAsia="zh-CN"/>
        </w:rPr>
        <w:t>（1）中压电力电缆宜选用铜芯交联聚乙烯绝缘类型，低压电力电缆宜选用铜芯交联聚乙烯绝缘类型，也可选用铜芯聚氯乙烯绝缘类型。</w:t>
      </w:r>
    </w:p>
    <w:p w14:paraId="64111278">
      <w:pPr>
        <w:bidi w:val="0"/>
        <w:rPr>
          <w:rFonts w:hint="eastAsia"/>
          <w:color w:val="auto"/>
          <w:lang w:val="en-US" w:eastAsia="zh-CN"/>
        </w:rPr>
      </w:pPr>
      <w:r>
        <w:rPr>
          <w:rFonts w:hint="eastAsia"/>
          <w:color w:val="auto"/>
          <w:lang w:val="en-US" w:eastAsia="zh-CN"/>
        </w:rPr>
        <w:t>（2）低压三相回路宜选用五芯电缆，单相回路宜选用三芯电缆，且电缆中性线截面应与相线截面相同。</w:t>
      </w:r>
    </w:p>
    <w:p w14:paraId="39A0D274">
      <w:pPr>
        <w:bidi w:val="0"/>
        <w:rPr>
          <w:rFonts w:hint="eastAsia"/>
          <w:color w:val="auto"/>
          <w:lang w:val="en-US" w:eastAsia="zh-CN"/>
        </w:rPr>
      </w:pPr>
      <w:r>
        <w:rPr>
          <w:rFonts w:hint="eastAsia"/>
          <w:color w:val="auto"/>
          <w:lang w:val="en-US" w:eastAsia="zh-CN"/>
        </w:rPr>
        <w:t> （3）三相用电设备的电力电缆的外护套宜采用钢带铠装。单芯电缆的外护套不应采用导磁性材料铠装。</w:t>
      </w:r>
    </w:p>
    <w:p w14:paraId="3CAE80E3">
      <w:pPr>
        <w:bidi w:val="0"/>
        <w:rPr>
          <w:rFonts w:hint="eastAsia"/>
          <w:color w:val="auto"/>
          <w:lang w:val="en-US" w:eastAsia="zh-CN"/>
        </w:rPr>
      </w:pPr>
      <w:r>
        <w:rPr>
          <w:rFonts w:hint="eastAsia"/>
          <w:color w:val="auto"/>
          <w:lang w:val="en-US" w:eastAsia="zh-CN"/>
        </w:rPr>
        <w:t> （4）交流单芯电缆不宜单根穿钢管敷设，当需要单根穿管时，应采用非导磁管材，也可采用经过磁路分隔处理的钢管。</w:t>
      </w:r>
    </w:p>
    <w:p w14:paraId="23934527">
      <w:pPr>
        <w:pStyle w:val="6"/>
        <w:bidi w:val="0"/>
        <w:rPr>
          <w:rFonts w:hint="eastAsia"/>
          <w:color w:val="auto"/>
          <w:lang w:val="en-US" w:eastAsia="zh-CN"/>
        </w:rPr>
      </w:pPr>
      <w:bookmarkStart w:id="142" w:name="_Toc22376"/>
      <w:r>
        <w:rPr>
          <w:rFonts w:hint="eastAsia"/>
          <w:color w:val="auto"/>
          <w:lang w:val="en-US" w:eastAsia="zh-CN"/>
        </w:rPr>
        <w:t>7.3.4消防</w:t>
      </w:r>
      <w:bookmarkEnd w:id="142"/>
    </w:p>
    <w:p w14:paraId="4C48F842">
      <w:pPr>
        <w:rPr>
          <w:rFonts w:hint="default"/>
          <w:color w:val="auto"/>
          <w:lang w:val="en-US" w:eastAsia="zh-CN"/>
        </w:rPr>
      </w:pPr>
      <w:r>
        <w:rPr>
          <w:rFonts w:hint="eastAsia"/>
          <w:color w:val="auto"/>
          <w:lang w:val="en-US" w:eastAsia="zh-CN"/>
        </w:rPr>
        <w:t>1、</w:t>
      </w:r>
      <w:r>
        <w:rPr>
          <w:rFonts w:hint="default"/>
          <w:color w:val="auto"/>
          <w:lang w:val="en-US" w:eastAsia="zh-CN"/>
        </w:rPr>
        <w:t>建筑防火及疏散设计应符合GB50016的有关规定。</w:t>
      </w:r>
    </w:p>
    <w:p w14:paraId="1C1E163B">
      <w:pPr>
        <w:rPr>
          <w:rFonts w:hint="default"/>
          <w:color w:val="auto"/>
          <w:lang w:val="en-US" w:eastAsia="zh-CN"/>
        </w:rPr>
      </w:pPr>
      <w:r>
        <w:rPr>
          <w:rFonts w:hint="eastAsia"/>
          <w:color w:val="auto"/>
          <w:lang w:val="en-US" w:eastAsia="zh-CN"/>
        </w:rPr>
        <w:t>2、</w:t>
      </w:r>
      <w:r>
        <w:rPr>
          <w:rFonts w:hint="default"/>
          <w:color w:val="auto"/>
          <w:lang w:val="en-US" w:eastAsia="zh-CN"/>
        </w:rPr>
        <w:t>综合楼的耐火等级应不低于二级。</w:t>
      </w:r>
    </w:p>
    <w:p w14:paraId="3BB6D2D3">
      <w:pPr>
        <w:rPr>
          <w:rFonts w:hint="default"/>
          <w:color w:val="auto"/>
          <w:lang w:val="en-US" w:eastAsia="zh-CN"/>
        </w:rPr>
      </w:pPr>
      <w:r>
        <w:rPr>
          <w:rFonts w:hint="eastAsia"/>
          <w:color w:val="auto"/>
          <w:lang w:val="en-US" w:eastAsia="zh-CN"/>
        </w:rPr>
        <w:t>3、</w:t>
      </w:r>
      <w:r>
        <w:rPr>
          <w:rFonts w:hint="default"/>
          <w:color w:val="auto"/>
          <w:lang w:val="en-US" w:eastAsia="zh-CN"/>
        </w:rPr>
        <w:t>餐厅、超市和商店的安全出口应不少于两个，安全出口净宽不得小于1.40m，应向疏散方向开启，严禁设锁，不得设门槛。</w:t>
      </w:r>
    </w:p>
    <w:p w14:paraId="2F835BA8">
      <w:pPr>
        <w:rPr>
          <w:rFonts w:hint="default"/>
          <w:color w:val="auto"/>
          <w:lang w:val="en-US" w:eastAsia="zh-CN"/>
        </w:rPr>
      </w:pPr>
      <w:r>
        <w:rPr>
          <w:rFonts w:hint="eastAsia"/>
          <w:color w:val="auto"/>
          <w:lang w:val="en-US" w:eastAsia="zh-CN"/>
        </w:rPr>
        <w:t>4、</w:t>
      </w:r>
      <w:r>
        <w:rPr>
          <w:rFonts w:hint="default"/>
          <w:color w:val="auto"/>
          <w:lang w:val="en-US" w:eastAsia="zh-CN"/>
        </w:rPr>
        <w:t>消防安全标志和综合楼内的装修材料应符合GB15630和GB 50222的有关规定</w:t>
      </w:r>
      <w:r>
        <w:rPr>
          <w:rFonts w:hint="eastAsia"/>
          <w:color w:val="auto"/>
          <w:lang w:val="en-US" w:eastAsia="zh-CN"/>
        </w:rPr>
        <w:t>。</w:t>
      </w:r>
    </w:p>
    <w:p w14:paraId="012FE600">
      <w:pPr>
        <w:rPr>
          <w:rFonts w:hint="default"/>
          <w:color w:val="auto"/>
          <w:lang w:val="en-US" w:eastAsia="zh-CN"/>
        </w:rPr>
      </w:pPr>
      <w:r>
        <w:rPr>
          <w:rFonts w:hint="eastAsia"/>
          <w:color w:val="auto"/>
          <w:lang w:val="en-US" w:eastAsia="zh-CN"/>
        </w:rPr>
        <w:t>5、</w:t>
      </w:r>
      <w:r>
        <w:rPr>
          <w:rFonts w:hint="default"/>
          <w:color w:val="auto"/>
          <w:lang w:val="en-US" w:eastAsia="zh-CN"/>
        </w:rPr>
        <w:t>停车场应设置室外消火栓，并设置适用于扑灭汽油、柴油、气等易燃物质燃烧的消防设施。体积超过 5000m</w:t>
      </w:r>
      <w:r>
        <w:rPr>
          <w:rFonts w:hint="eastAsia"/>
          <w:color w:val="auto"/>
          <w:vertAlign w:val="superscript"/>
          <w:lang w:val="en-US" w:eastAsia="zh-CN"/>
        </w:rPr>
        <w:t>3</w:t>
      </w:r>
      <w:r>
        <w:rPr>
          <w:rFonts w:hint="default"/>
          <w:color w:val="auto"/>
          <w:lang w:val="en-US" w:eastAsia="zh-CN"/>
        </w:rPr>
        <w:t>的综合楼应设室内消防给水。</w:t>
      </w:r>
    </w:p>
    <w:p w14:paraId="09F7B748">
      <w:pPr>
        <w:rPr>
          <w:rFonts w:hint="default"/>
          <w:color w:val="auto"/>
          <w:lang w:val="en-US" w:eastAsia="zh-CN"/>
        </w:rPr>
      </w:pPr>
      <w:r>
        <w:rPr>
          <w:rFonts w:hint="eastAsia"/>
          <w:color w:val="auto"/>
          <w:lang w:val="en-US" w:eastAsia="zh-CN"/>
        </w:rPr>
        <w:t>6、</w:t>
      </w:r>
      <w:r>
        <w:rPr>
          <w:rFonts w:hint="default"/>
          <w:color w:val="auto"/>
          <w:lang w:val="en-US" w:eastAsia="zh-CN"/>
        </w:rPr>
        <w:t>采用中央空调系统或单层面积超过 2000</w:t>
      </w:r>
      <w:r>
        <w:rPr>
          <w:rFonts w:hint="eastAsia"/>
          <w:color w:val="auto"/>
          <w:lang w:val="en-US" w:eastAsia="zh-CN"/>
        </w:rPr>
        <w:t>m</w:t>
      </w:r>
      <w:r>
        <w:rPr>
          <w:rFonts w:hint="eastAsia"/>
          <w:color w:val="auto"/>
          <w:vertAlign w:val="superscript"/>
          <w:lang w:val="en-US" w:eastAsia="zh-CN"/>
        </w:rPr>
        <w:t>2</w:t>
      </w:r>
      <w:r>
        <w:rPr>
          <w:rFonts w:hint="default"/>
          <w:color w:val="auto"/>
          <w:lang w:val="en-US" w:eastAsia="zh-CN"/>
        </w:rPr>
        <w:t>的休息室、餐厅、超市和易发生火灾的用房等，应设置火灾自动报警系统。设有火灾自动报警系统的综合楼应设置消防控制室。</w:t>
      </w:r>
    </w:p>
    <w:p w14:paraId="10CF2F68">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Style w:val="37"/>
          <w:rFonts w:hint="default" w:ascii="宋体" w:hAnsi="宋体" w:eastAsia="宋体" w:cs="宋体"/>
          <w:b w:val="0"/>
          <w:bCs w:val="0"/>
          <w:color w:val="auto"/>
          <w:sz w:val="28"/>
          <w:szCs w:val="28"/>
          <w:shd w:val="clear" w:color="auto" w:fill="FFFFFF"/>
          <w:lang w:val="en-US" w:eastAsia="zh-CN"/>
        </w:rPr>
      </w:pPr>
      <w:r>
        <w:rPr>
          <w:rStyle w:val="37"/>
          <w:rFonts w:hint="eastAsia" w:ascii="宋体" w:hAnsi="宋体" w:cs="宋体"/>
          <w:b w:val="0"/>
          <w:bCs w:val="0"/>
          <w:color w:val="auto"/>
          <w:sz w:val="28"/>
          <w:szCs w:val="28"/>
          <w:shd w:val="clear" w:color="auto" w:fill="FFFFFF"/>
          <w:lang w:val="en-US" w:eastAsia="zh-CN"/>
        </w:rPr>
        <w:t>7、电动汽车充电站消防给水系统的设计应符合现行国家标准《建筑设计防火规范》GB 50016的有关规定，同一时间内的火灾次数应按一次确定。</w:t>
      </w:r>
    </w:p>
    <w:p w14:paraId="1FFF428C">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Style w:val="37"/>
          <w:rFonts w:hint="eastAsia" w:ascii="宋体" w:hAnsi="宋体" w:cs="宋体"/>
          <w:b w:val="0"/>
          <w:bCs w:val="0"/>
          <w:color w:val="auto"/>
          <w:sz w:val="28"/>
          <w:szCs w:val="28"/>
          <w:shd w:val="clear" w:color="auto" w:fill="FFFFFF"/>
          <w:lang w:val="en-US" w:eastAsia="zh-CN"/>
        </w:rPr>
        <w:t>8、</w:t>
      </w:r>
      <w:r>
        <w:rPr>
          <w:rFonts w:hint="eastAsia"/>
          <w:color w:val="auto"/>
          <w:sz w:val="28"/>
          <w:szCs w:val="28"/>
          <w:lang w:val="en-US" w:eastAsia="zh-CN"/>
        </w:rPr>
        <w:t> 电动汽车充电站内的建筑物满足下列条件时可不设置室内消火栓：</w:t>
      </w:r>
    </w:p>
    <w:p w14:paraId="74F15AFE">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 （1）耐火等级为一、二级且可燃物较少的丁、戊类建筑物。</w:t>
      </w:r>
    </w:p>
    <w:p w14:paraId="0D419FF3">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 （2）耐火等级为三、四级且建筑物体积不超过3000m</w:t>
      </w:r>
      <w:r>
        <w:rPr>
          <w:rFonts w:hint="eastAsia"/>
          <w:color w:val="auto"/>
          <w:sz w:val="28"/>
          <w:szCs w:val="28"/>
          <w:vertAlign w:val="superscript"/>
          <w:lang w:val="en-US" w:eastAsia="zh-CN"/>
        </w:rPr>
        <w:t>3</w:t>
      </w:r>
      <w:r>
        <w:rPr>
          <w:rFonts w:hint="eastAsia"/>
          <w:color w:val="auto"/>
          <w:sz w:val="28"/>
          <w:szCs w:val="28"/>
          <w:lang w:val="en-US" w:eastAsia="zh-CN"/>
        </w:rPr>
        <w:t>的丁类建筑物和建筑物体积不超过5000m</w:t>
      </w:r>
      <w:r>
        <w:rPr>
          <w:rFonts w:hint="eastAsia"/>
          <w:color w:val="auto"/>
          <w:sz w:val="28"/>
          <w:szCs w:val="28"/>
          <w:vertAlign w:val="superscript"/>
          <w:lang w:val="en-US" w:eastAsia="zh-CN"/>
        </w:rPr>
        <w:t>3</w:t>
      </w:r>
      <w:r>
        <w:rPr>
          <w:rFonts w:hint="eastAsia"/>
          <w:color w:val="auto"/>
          <w:sz w:val="28"/>
          <w:szCs w:val="28"/>
          <w:lang w:val="en-US" w:eastAsia="zh-CN"/>
        </w:rPr>
        <w:t>的戊类建筑物。</w:t>
      </w:r>
    </w:p>
    <w:p w14:paraId="0F26D281">
      <w:pPr>
        <w:pStyle w:val="51"/>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lang w:val="en-US" w:eastAsia="zh-CN"/>
        </w:rPr>
      </w:pPr>
      <w:r>
        <w:rPr>
          <w:rFonts w:hint="eastAsia"/>
          <w:color w:val="auto"/>
          <w:sz w:val="28"/>
          <w:szCs w:val="28"/>
          <w:lang w:val="en-US" w:eastAsia="zh-CN"/>
        </w:rPr>
        <w:t>（3）室内设有生产、生活给水管道，室外消防用水取自贮水池且建筑物体积不超过5000m</w:t>
      </w:r>
      <w:r>
        <w:rPr>
          <w:rFonts w:hint="eastAsia"/>
          <w:color w:val="auto"/>
          <w:sz w:val="28"/>
          <w:szCs w:val="28"/>
          <w:vertAlign w:val="superscript"/>
          <w:lang w:val="en-US" w:eastAsia="zh-CN"/>
        </w:rPr>
        <w:t>3</w:t>
      </w:r>
      <w:r>
        <w:rPr>
          <w:rFonts w:hint="eastAsia"/>
          <w:color w:val="auto"/>
          <w:sz w:val="28"/>
          <w:szCs w:val="28"/>
          <w:lang w:val="en-US" w:eastAsia="zh-CN"/>
        </w:rPr>
        <w:t>的建筑物。</w:t>
      </w:r>
    </w:p>
    <w:p w14:paraId="3B610D5E">
      <w:pPr>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b w:val="0"/>
          <w:bCs w:val="0"/>
          <w:color w:val="auto"/>
          <w:sz w:val="28"/>
          <w:szCs w:val="28"/>
        </w:rPr>
      </w:pPr>
      <w:r>
        <w:rPr>
          <w:rStyle w:val="37"/>
          <w:rFonts w:hint="eastAsia" w:ascii="宋体" w:hAnsi="宋体" w:cs="宋体"/>
          <w:b w:val="0"/>
          <w:bCs w:val="0"/>
          <w:color w:val="auto"/>
          <w:sz w:val="28"/>
          <w:szCs w:val="28"/>
          <w:shd w:val="clear" w:color="auto" w:fill="FFFFFF"/>
          <w:lang w:val="en-US" w:eastAsia="zh-CN"/>
        </w:rPr>
        <w:t>9</w:t>
      </w:r>
      <w:r>
        <w:rPr>
          <w:rStyle w:val="37"/>
          <w:rFonts w:hint="eastAsia" w:ascii="宋体" w:hAnsi="宋体" w:eastAsia="宋体" w:cs="宋体"/>
          <w:b w:val="0"/>
          <w:bCs w:val="0"/>
          <w:color w:val="auto"/>
          <w:sz w:val="28"/>
          <w:szCs w:val="28"/>
          <w:shd w:val="clear" w:color="auto" w:fill="FFFFFF"/>
          <w:lang w:val="en-US" w:eastAsia="zh-CN"/>
        </w:rPr>
        <w:t>、电动汽车充电站建筑物灭火器的配置应符合现行国家标准《建筑灭火器配置设计规范》GB 50140的有关规定。</w:t>
      </w:r>
      <w:r>
        <w:rPr>
          <w:rStyle w:val="37"/>
          <w:rFonts w:hint="eastAsia" w:ascii="宋体" w:hAnsi="宋体" w:eastAsia="宋体" w:cs="宋体"/>
          <w:b w:val="0"/>
          <w:bCs w:val="0"/>
          <w:color w:val="auto"/>
          <w:sz w:val="28"/>
          <w:szCs w:val="28"/>
          <w:shd w:val="clear" w:color="auto" w:fill="FFFFFF"/>
          <w:lang w:eastAsia="zh-CN"/>
        </w:rPr>
        <w:t>室外充电区灭火器的配置应按严重危险级配置灭火器。</w:t>
      </w:r>
    </w:p>
    <w:p w14:paraId="10C505CE">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lang w:val="en-US" w:eastAsia="zh-CN"/>
        </w:rPr>
        <w:t>10</w:t>
      </w:r>
      <w:r>
        <w:rPr>
          <w:rFonts w:hint="eastAsia"/>
          <w:color w:val="auto"/>
          <w:sz w:val="28"/>
          <w:szCs w:val="28"/>
        </w:rPr>
        <w:t>、其余建筑的灭火器配置，应符合现行国家标准《建筑灭火器配置设计规范》GB50140的有关规定。</w:t>
      </w:r>
    </w:p>
    <w:p w14:paraId="4226B2D3">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11、建筑的下列场所或部位应设置防烟设施：</w:t>
      </w:r>
    </w:p>
    <w:p w14:paraId="1E820F2A">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1）、防烟楼梯间及其前室;</w:t>
      </w:r>
    </w:p>
    <w:p w14:paraId="3C454E29">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2）、消防电梯间前室或合用前室;</w:t>
      </w:r>
    </w:p>
    <w:p w14:paraId="7589CA2B">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3）、避难走道的前室、避难层(间)。</w:t>
      </w:r>
    </w:p>
    <w:p w14:paraId="5D71A1C8">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建筑高度不大于50m的公共建筑，如综合楼、办公配套用房等，当其防烟梯间的前室或合用前室符合下列条件之一时，楼梯间可不设置防烟系统：</w:t>
      </w:r>
    </w:p>
    <w:p w14:paraId="7D352C5B">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1）、前室或合用前室采用敞开的阳台、凹廊;</w:t>
      </w:r>
    </w:p>
    <w:p w14:paraId="53398741">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2）、前室或合用前室具有不同朝向的可开启外窗，且可开启外窗的面积满足自然排烟口的面积要求。</w:t>
      </w:r>
    </w:p>
    <w:p w14:paraId="61F72F9F">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12、服务区建筑的下列场所或部位应设置排烟设施：</w:t>
      </w:r>
    </w:p>
    <w:p w14:paraId="207466FC">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1）、综合楼内建筑面积大于100m</w:t>
      </w:r>
      <w:r>
        <w:rPr>
          <w:rFonts w:hint="eastAsia"/>
          <w:color w:val="auto"/>
          <w:sz w:val="28"/>
          <w:szCs w:val="28"/>
          <w:vertAlign w:val="superscript"/>
          <w:lang w:val="en-US" w:eastAsia="zh-CN"/>
        </w:rPr>
        <w:t>2</w:t>
      </w:r>
      <w:r>
        <w:rPr>
          <w:rFonts w:hint="eastAsia"/>
          <w:color w:val="auto"/>
          <w:sz w:val="28"/>
          <w:szCs w:val="28"/>
          <w:lang w:val="en-US" w:eastAsia="zh-CN"/>
        </w:rPr>
        <w:t>且经常有人停留的地上房间；</w:t>
      </w:r>
    </w:p>
    <w:p w14:paraId="6BEC4978">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2）、综合楼内建筑面积大于300m</w:t>
      </w:r>
      <w:r>
        <w:rPr>
          <w:rFonts w:hint="eastAsia"/>
          <w:color w:val="auto"/>
          <w:sz w:val="28"/>
          <w:szCs w:val="28"/>
          <w:vertAlign w:val="superscript"/>
          <w:lang w:val="en-US" w:eastAsia="zh-CN"/>
        </w:rPr>
        <w:t>2</w:t>
      </w:r>
      <w:r>
        <w:rPr>
          <w:rFonts w:hint="eastAsia"/>
          <w:color w:val="auto"/>
          <w:sz w:val="28"/>
          <w:szCs w:val="28"/>
          <w:lang w:val="en-US" w:eastAsia="zh-CN"/>
        </w:rPr>
        <w:t>且可燃物较多的地上房间；</w:t>
      </w:r>
    </w:p>
    <w:p w14:paraId="367D9309">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3）、建筑内长度大于 20m 的疏散走道。</w:t>
      </w:r>
    </w:p>
    <w:p w14:paraId="1EB0C915">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13、地上建筑内的无窗房间，当总建筑面积大于200m</w:t>
      </w:r>
      <w:r>
        <w:rPr>
          <w:rFonts w:hint="eastAsia"/>
          <w:color w:val="auto"/>
          <w:sz w:val="28"/>
          <w:szCs w:val="28"/>
          <w:vertAlign w:val="superscript"/>
          <w:lang w:val="en-US" w:eastAsia="zh-CN"/>
        </w:rPr>
        <w:t>2</w:t>
      </w:r>
      <w:r>
        <w:rPr>
          <w:rFonts w:hint="eastAsia"/>
          <w:color w:val="auto"/>
          <w:sz w:val="28"/>
          <w:szCs w:val="28"/>
          <w:lang w:val="en-US" w:eastAsia="zh-CN"/>
        </w:rPr>
        <w:t>或一个房间建筑面积大于50m</w:t>
      </w:r>
      <w:r>
        <w:rPr>
          <w:rFonts w:hint="eastAsia"/>
          <w:color w:val="auto"/>
          <w:sz w:val="28"/>
          <w:szCs w:val="28"/>
          <w:vertAlign w:val="superscript"/>
          <w:lang w:val="en-US" w:eastAsia="zh-CN"/>
        </w:rPr>
        <w:t>2</w:t>
      </w:r>
      <w:r>
        <w:rPr>
          <w:rFonts w:hint="eastAsia"/>
          <w:color w:val="auto"/>
          <w:sz w:val="28"/>
          <w:szCs w:val="28"/>
          <w:lang w:val="en-US" w:eastAsia="zh-CN"/>
        </w:rPr>
        <w:t>，且经常有人停留或可燃物较多时，应设置排烟设施。</w:t>
      </w:r>
    </w:p>
    <w:p w14:paraId="3793CBEA">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14、服务区建筑的下列部位应设置疏散照明：</w:t>
      </w:r>
    </w:p>
    <w:p w14:paraId="38B8F68E">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lang w:val="en-US" w:eastAsia="zh-CN"/>
        </w:rPr>
      </w:pPr>
      <w:r>
        <w:rPr>
          <w:rFonts w:hint="eastAsia"/>
          <w:color w:val="auto"/>
          <w:sz w:val="28"/>
          <w:szCs w:val="28"/>
          <w:lang w:val="en-US" w:eastAsia="zh-CN"/>
        </w:rPr>
        <w:t>1）、</w:t>
      </w:r>
      <w:r>
        <w:rPr>
          <w:rFonts w:hint="default"/>
          <w:color w:val="auto"/>
          <w:sz w:val="28"/>
          <w:szCs w:val="28"/>
          <w:lang w:val="en-US" w:eastAsia="zh-CN"/>
        </w:rPr>
        <w:t>封闭楼梯间、防烟楼梯间及其前室、消防电梯间的前室或合用前室、避难走道、避难层(间);</w:t>
      </w:r>
    </w:p>
    <w:p w14:paraId="06860DC9">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color w:val="auto"/>
          <w:sz w:val="28"/>
          <w:szCs w:val="28"/>
          <w:lang w:val="en-US" w:eastAsia="zh-CN"/>
        </w:rPr>
      </w:pPr>
      <w:r>
        <w:rPr>
          <w:rFonts w:hint="default"/>
          <w:color w:val="auto"/>
          <w:sz w:val="28"/>
          <w:szCs w:val="28"/>
          <w:lang w:val="en-US" w:eastAsia="zh-CN"/>
        </w:rPr>
        <w:t>2</w:t>
      </w:r>
      <w:r>
        <w:rPr>
          <w:rFonts w:hint="eastAsia"/>
          <w:color w:val="auto"/>
          <w:sz w:val="28"/>
          <w:szCs w:val="28"/>
          <w:lang w:val="en-US" w:eastAsia="zh-CN"/>
        </w:rPr>
        <w:t>）、</w:t>
      </w:r>
      <w:r>
        <w:rPr>
          <w:rFonts w:hint="default"/>
          <w:color w:val="auto"/>
          <w:sz w:val="28"/>
          <w:szCs w:val="28"/>
          <w:lang w:val="en-US" w:eastAsia="zh-CN"/>
        </w:rPr>
        <w:t xml:space="preserve"> 建筑面积大于200m</w:t>
      </w:r>
      <w:r>
        <w:rPr>
          <w:rFonts w:hint="eastAsia"/>
          <w:color w:val="auto"/>
          <w:sz w:val="28"/>
          <w:szCs w:val="28"/>
          <w:vertAlign w:val="superscript"/>
          <w:lang w:val="en-US" w:eastAsia="zh-CN"/>
        </w:rPr>
        <w:t>2</w:t>
      </w:r>
      <w:r>
        <w:rPr>
          <w:rFonts w:hint="default"/>
          <w:color w:val="auto"/>
          <w:sz w:val="28"/>
          <w:szCs w:val="28"/>
          <w:lang w:val="en-US" w:eastAsia="zh-CN"/>
        </w:rPr>
        <w:t>的人员密集的场所;</w:t>
      </w:r>
    </w:p>
    <w:p w14:paraId="08210426">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3）、综合楼</w:t>
      </w:r>
      <w:r>
        <w:rPr>
          <w:rFonts w:hint="default"/>
          <w:color w:val="auto"/>
          <w:sz w:val="28"/>
          <w:szCs w:val="28"/>
          <w:lang w:val="en-US" w:eastAsia="zh-CN"/>
        </w:rPr>
        <w:t>内的疏散走道</w:t>
      </w:r>
      <w:r>
        <w:rPr>
          <w:rFonts w:hint="eastAsia"/>
          <w:color w:val="auto"/>
          <w:sz w:val="28"/>
          <w:szCs w:val="28"/>
          <w:lang w:val="en-US" w:eastAsia="zh-CN"/>
        </w:rPr>
        <w:t>。</w:t>
      </w:r>
    </w:p>
    <w:p w14:paraId="37721020">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15、 建筑内疏散照明的地面最低水平照度应符合下列规定:</w:t>
      </w:r>
    </w:p>
    <w:p w14:paraId="372410F8">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1）、对于疏散走道,不应低于1.0lx。</w:t>
      </w:r>
    </w:p>
    <w:p w14:paraId="79F6F64C">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2）、对于人员密集场所、避难层(间)，不应低于3.0lx。</w:t>
      </w:r>
    </w:p>
    <w:p w14:paraId="48E67174">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3）、对于楼梯间、前室或合用前室、避难走道，不应低于5.0lx;对于人员密集场所内的楼梯间、前室或合用前室、避难走道，不应低于 10.0lx。</w:t>
      </w:r>
    </w:p>
    <w:p w14:paraId="5C84702A">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16、消防控制室、消防水泵房、自备发电机房、配电室、防排烟机房以及发生火灾时仍需正常工作的消防设备房应设置备用照明，其作业面的最低照度不应低于正常照明的照度。</w:t>
      </w:r>
    </w:p>
    <w:p w14:paraId="7CB5E0C9">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17、疏散照明灯具应设置在出口的顶部、墙面的上部或顶棚上；备用照明灯具应设置在墙面的上部或顶棚上。</w:t>
      </w:r>
    </w:p>
    <w:p w14:paraId="7F970A72">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18、综合楼应设置灯光疏散指示标志并应符合下列规定：</w:t>
      </w:r>
    </w:p>
    <w:p w14:paraId="4EF0B050">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1）、应设置在安全出口和人员密集的场所的疏散门的正上方。</w:t>
      </w:r>
    </w:p>
    <w:p w14:paraId="3A8C2EB2">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2）、应设置在疏散走道及其转角处距地面高度1.0m以下的墙面或地面上。灯光疏散指示标志的间距不应大于20m；对于袋形走道，不应大10m；在走道转角区,不应大于1.0m。</w:t>
      </w:r>
    </w:p>
    <w:p w14:paraId="78813848">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19、综合楼应在疏散走道和主要疏散路径的地面上增设能保持视觉连续的灯光疏散指示标志或蓄光疏散指示标志。</w:t>
      </w:r>
    </w:p>
    <w:p w14:paraId="0BC8E155">
      <w:pPr>
        <w:pStyle w:val="51"/>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lang w:val="en-US" w:eastAsia="zh-CN"/>
        </w:rPr>
      </w:pPr>
      <w:r>
        <w:rPr>
          <w:rFonts w:hint="eastAsia"/>
          <w:color w:val="auto"/>
          <w:sz w:val="28"/>
          <w:szCs w:val="28"/>
          <w:lang w:val="en-US" w:eastAsia="zh-CN"/>
        </w:rPr>
        <w:t>20、建筑内设置的消防疏散指示标志和消防应急照明灯具,除应符合本规范的规定外,还应符合现行国家标准《消防安全标志》GB13495和《消防应急照明和疏散指示系统》GB17945 的规定。</w:t>
      </w:r>
    </w:p>
    <w:bookmarkEnd w:id="138"/>
    <w:bookmarkEnd w:id="139"/>
    <w:p w14:paraId="30AE7AA4">
      <w:pPr>
        <w:pStyle w:val="5"/>
        <w:bidi w:val="0"/>
        <w:rPr>
          <w:color w:val="auto"/>
        </w:rPr>
      </w:pPr>
      <w:bookmarkStart w:id="143" w:name="_Toc24161"/>
      <w:bookmarkStart w:id="144" w:name="_Toc20019"/>
      <w:bookmarkStart w:id="145" w:name="_Toc23670"/>
      <w:bookmarkStart w:id="146" w:name="_Toc37"/>
      <w:bookmarkStart w:id="147" w:name="_Toc13212"/>
      <w:r>
        <w:rPr>
          <w:rFonts w:hint="eastAsia"/>
          <w:color w:val="auto"/>
        </w:rPr>
        <w:t>7.</w:t>
      </w:r>
      <w:r>
        <w:rPr>
          <w:rFonts w:hint="eastAsia"/>
          <w:color w:val="auto"/>
          <w:lang w:val="en-US" w:eastAsia="zh-CN"/>
        </w:rPr>
        <w:t>4</w:t>
      </w:r>
      <w:r>
        <w:rPr>
          <w:color w:val="auto"/>
        </w:rPr>
        <w:t>安全管理对策措施建议</w:t>
      </w:r>
      <w:bookmarkEnd w:id="143"/>
      <w:bookmarkEnd w:id="144"/>
      <w:bookmarkEnd w:id="145"/>
      <w:bookmarkEnd w:id="146"/>
      <w:bookmarkEnd w:id="147"/>
    </w:p>
    <w:p w14:paraId="06C0A884">
      <w:pPr>
        <w:bidi w:val="0"/>
        <w:rPr>
          <w:color w:val="auto"/>
        </w:rPr>
      </w:pPr>
      <w:r>
        <w:rPr>
          <w:rFonts w:hint="eastAsia"/>
          <w:color w:val="auto"/>
          <w:lang w:val="en-US" w:eastAsia="zh-CN"/>
        </w:rPr>
        <w:t>1、</w:t>
      </w:r>
      <w:r>
        <w:rPr>
          <w:color w:val="auto"/>
        </w:rPr>
        <w:t>严格贯彻落实安全第</w:t>
      </w:r>
      <w:r>
        <w:rPr>
          <w:color w:val="auto"/>
          <w:lang w:val="en-US" w:eastAsia="en-US"/>
        </w:rPr>
        <w:t>一</w:t>
      </w:r>
      <w:r>
        <w:rPr>
          <w:rFonts w:hint="eastAsia"/>
          <w:color w:val="auto"/>
          <w:lang w:val="en-US" w:eastAsia="zh-CN"/>
        </w:rPr>
        <w:t>，</w:t>
      </w:r>
      <w:r>
        <w:rPr>
          <w:color w:val="auto"/>
        </w:rPr>
        <w:t>预防为主的方针。</w:t>
      </w:r>
    </w:p>
    <w:p w14:paraId="08D67621">
      <w:pPr>
        <w:bidi w:val="0"/>
        <w:rPr>
          <w:color w:val="auto"/>
        </w:rPr>
      </w:pPr>
      <w:r>
        <w:rPr>
          <w:rFonts w:hint="eastAsia"/>
          <w:color w:val="auto"/>
          <w:lang w:val="en-US" w:eastAsia="zh-CN"/>
        </w:rPr>
        <w:t>2、</w:t>
      </w:r>
      <w:r>
        <w:rPr>
          <w:color w:val="auto"/>
        </w:rPr>
        <w:t>制定安全管理制度，建立专项安全管理小组，确定安全责任人。</w:t>
      </w:r>
    </w:p>
    <w:p w14:paraId="68ED70D1">
      <w:pPr>
        <w:bidi w:val="0"/>
        <w:rPr>
          <w:color w:val="auto"/>
        </w:rPr>
      </w:pPr>
      <w:r>
        <w:rPr>
          <w:rFonts w:hint="eastAsia"/>
          <w:color w:val="auto"/>
          <w:lang w:val="en-US" w:eastAsia="zh-CN"/>
        </w:rPr>
        <w:t>3、</w:t>
      </w:r>
      <w:r>
        <w:rPr>
          <w:color w:val="auto"/>
        </w:rPr>
        <w:t>定期对消防设施进行检修。</w:t>
      </w:r>
    </w:p>
    <w:p w14:paraId="043E7431">
      <w:pPr>
        <w:bidi w:val="0"/>
        <w:rPr>
          <w:color w:val="auto"/>
        </w:rPr>
      </w:pPr>
      <w:r>
        <w:rPr>
          <w:rFonts w:hint="eastAsia"/>
          <w:color w:val="auto"/>
          <w:lang w:val="en-US" w:eastAsia="zh-CN"/>
        </w:rPr>
        <w:t>4、</w:t>
      </w:r>
      <w:r>
        <w:rPr>
          <w:color w:val="auto"/>
        </w:rPr>
        <w:t>定期组织对</w:t>
      </w:r>
      <w:r>
        <w:rPr>
          <w:rFonts w:hint="eastAsia"/>
          <w:color w:val="auto"/>
          <w:lang w:val="en-US" w:eastAsia="zh-CN"/>
        </w:rPr>
        <w:t>服务区</w:t>
      </w:r>
      <w:r>
        <w:rPr>
          <w:color w:val="auto"/>
        </w:rPr>
        <w:t>内的工作人员及特种作业人员进行安全教育和技能培训，以提高员</w:t>
      </w:r>
      <w:r>
        <w:rPr>
          <w:rFonts w:hint="eastAsia"/>
          <w:color w:val="auto"/>
          <w:lang w:val="en-US" w:eastAsia="zh-CN"/>
        </w:rPr>
        <w:t>工</w:t>
      </w:r>
      <w:r>
        <w:rPr>
          <w:color w:val="auto"/>
        </w:rPr>
        <w:t>对危险的辨识能力和应对力。</w:t>
      </w:r>
    </w:p>
    <w:p w14:paraId="1E3D228B">
      <w:pPr>
        <w:bidi w:val="0"/>
        <w:rPr>
          <w:color w:val="auto"/>
        </w:rPr>
      </w:pPr>
      <w:r>
        <w:rPr>
          <w:rFonts w:hint="eastAsia"/>
          <w:color w:val="auto"/>
          <w:lang w:val="en-US" w:eastAsia="zh-CN"/>
        </w:rPr>
        <w:t>5、</w:t>
      </w:r>
      <w:r>
        <w:rPr>
          <w:color w:val="auto"/>
        </w:rPr>
        <w:t>制定专项应急预案，包括触电，火灾，爆炸的预案，以便在事故发生时，将</w:t>
      </w:r>
      <w:r>
        <w:rPr>
          <w:rFonts w:hint="eastAsia"/>
          <w:color w:val="auto"/>
          <w:lang w:val="en-US" w:eastAsia="zh-CN"/>
        </w:rPr>
        <w:t>事</w:t>
      </w:r>
      <w:r>
        <w:rPr>
          <w:color w:val="auto"/>
        </w:rPr>
        <w:t>故对人和</w:t>
      </w:r>
      <w:r>
        <w:rPr>
          <w:rFonts w:hint="eastAsia"/>
          <w:color w:val="auto"/>
          <w:lang w:val="en-US" w:eastAsia="zh-CN"/>
        </w:rPr>
        <w:t>设备设施</w:t>
      </w:r>
      <w:r>
        <w:rPr>
          <w:color w:val="auto"/>
        </w:rPr>
        <w:t>的损失降到最低。</w:t>
      </w:r>
    </w:p>
    <w:p w14:paraId="00D02065">
      <w:pPr>
        <w:bidi w:val="0"/>
        <w:rPr>
          <w:rFonts w:hint="eastAsia" w:eastAsia="宋体"/>
          <w:color w:val="auto"/>
          <w:lang w:eastAsia="zh-CN"/>
        </w:rPr>
      </w:pPr>
      <w:r>
        <w:rPr>
          <w:rFonts w:hint="eastAsia"/>
          <w:color w:val="auto"/>
          <w:lang w:val="en-US" w:eastAsia="zh-CN"/>
        </w:rPr>
        <w:t>6、</w:t>
      </w:r>
      <w:r>
        <w:rPr>
          <w:color w:val="auto"/>
        </w:rPr>
        <w:t>未经过公司三级安全教育的员工不得上</w:t>
      </w:r>
      <w:r>
        <w:rPr>
          <w:rFonts w:hint="eastAsia"/>
          <w:color w:val="auto"/>
          <w:lang w:val="en-US" w:eastAsia="zh-CN"/>
        </w:rPr>
        <w:t>岗</w:t>
      </w:r>
      <w:r>
        <w:rPr>
          <w:rFonts w:hint="eastAsia"/>
          <w:color w:val="auto"/>
          <w:lang w:eastAsia="zh-CN"/>
        </w:rPr>
        <w:t>。</w:t>
      </w:r>
    </w:p>
    <w:p w14:paraId="6B103927">
      <w:pPr>
        <w:bidi w:val="0"/>
        <w:rPr>
          <w:rFonts w:hint="eastAsia" w:eastAsia="宋体"/>
          <w:color w:val="auto"/>
          <w:lang w:eastAsia="zh-CN"/>
        </w:rPr>
      </w:pPr>
      <w:r>
        <w:rPr>
          <w:rFonts w:hint="eastAsia"/>
          <w:color w:val="auto"/>
          <w:lang w:val="en-US" w:eastAsia="zh-CN"/>
        </w:rPr>
        <w:t>7、</w:t>
      </w:r>
      <w:r>
        <w:rPr>
          <w:color w:val="auto"/>
        </w:rPr>
        <w:t>特种</w:t>
      </w:r>
      <w:r>
        <w:rPr>
          <w:rFonts w:hint="eastAsia"/>
          <w:color w:val="auto"/>
          <w:lang w:val="en-US" w:eastAsia="zh-CN"/>
        </w:rPr>
        <w:t>作业人员</w:t>
      </w:r>
      <w:r>
        <w:rPr>
          <w:color w:val="auto"/>
        </w:rPr>
        <w:t>必须取得资格证</w:t>
      </w:r>
      <w:r>
        <w:rPr>
          <w:rFonts w:hint="eastAsia"/>
          <w:color w:val="auto"/>
          <w:lang w:val="en-US" w:eastAsia="zh-CN"/>
        </w:rPr>
        <w:t>书</w:t>
      </w:r>
      <w:r>
        <w:rPr>
          <w:color w:val="auto"/>
        </w:rPr>
        <w:t>才能上岗</w:t>
      </w:r>
      <w:r>
        <w:rPr>
          <w:rFonts w:hint="eastAsia"/>
          <w:color w:val="auto"/>
          <w:lang w:eastAsia="zh-CN"/>
        </w:rPr>
        <w:t>。</w:t>
      </w:r>
    </w:p>
    <w:p w14:paraId="647BA0B4">
      <w:pPr>
        <w:bidi w:val="0"/>
        <w:rPr>
          <w:color w:val="auto"/>
        </w:rPr>
      </w:pPr>
      <w:r>
        <w:rPr>
          <w:rFonts w:hint="eastAsia"/>
          <w:color w:val="auto"/>
          <w:lang w:val="en-US" w:eastAsia="zh-CN"/>
        </w:rPr>
        <w:t>8、</w:t>
      </w:r>
      <w:r>
        <w:rPr>
          <w:color w:val="auto"/>
        </w:rPr>
        <w:t>每月都应举行一次安全活动</w:t>
      </w:r>
      <w:r>
        <w:rPr>
          <w:rFonts w:hint="eastAsia"/>
          <w:color w:val="auto"/>
          <w:lang w:eastAsia="zh-CN"/>
        </w:rPr>
        <w:t>，</w:t>
      </w:r>
      <w:r>
        <w:rPr>
          <w:color w:val="auto"/>
        </w:rPr>
        <w:t>转达并学习上级下发的文件，结合</w:t>
      </w:r>
      <w:r>
        <w:rPr>
          <w:rFonts w:hint="eastAsia"/>
          <w:color w:val="auto"/>
          <w:lang w:val="en-US" w:eastAsia="zh-CN"/>
        </w:rPr>
        <w:t>服务区</w:t>
      </w:r>
      <w:r>
        <w:rPr>
          <w:color w:val="auto"/>
        </w:rPr>
        <w:t>整月的安全生产情况，按照安全生产规程找出本月有哪些违章的操作和危险有害因素，针对这些做出防范措施并落实到工作中。</w:t>
      </w:r>
    </w:p>
    <w:p w14:paraId="09324FAC">
      <w:pPr>
        <w:bidi w:val="0"/>
        <w:rPr>
          <w:rFonts w:hint="eastAsia" w:eastAsia="宋体"/>
          <w:color w:val="auto"/>
          <w:lang w:eastAsia="zh-CN"/>
        </w:rPr>
      </w:pPr>
      <w:r>
        <w:rPr>
          <w:rFonts w:hint="eastAsia"/>
          <w:color w:val="auto"/>
          <w:lang w:val="en-US" w:eastAsia="zh-CN"/>
        </w:rPr>
        <w:t>9、</w:t>
      </w:r>
      <w:r>
        <w:rPr>
          <w:color w:val="auto"/>
        </w:rPr>
        <w:t>要求活动中做好安全活动记录表，要详细的记录出活动中讨论的危险有害因</w:t>
      </w:r>
      <w:r>
        <w:rPr>
          <w:rFonts w:hint="eastAsia"/>
          <w:color w:val="auto"/>
          <w:lang w:val="en-US" w:eastAsia="zh-CN"/>
        </w:rPr>
        <w:t>素</w:t>
      </w:r>
      <w:r>
        <w:rPr>
          <w:color w:val="auto"/>
        </w:rPr>
        <w:t>以及提出的建议和制定的措施等</w:t>
      </w:r>
      <w:r>
        <w:rPr>
          <w:rFonts w:hint="eastAsia"/>
          <w:color w:val="auto"/>
          <w:lang w:eastAsia="zh-CN"/>
        </w:rPr>
        <w:t>。</w:t>
      </w:r>
    </w:p>
    <w:p w14:paraId="01F2734A">
      <w:pPr>
        <w:bidi w:val="0"/>
        <w:rPr>
          <w:color w:val="auto"/>
        </w:rPr>
      </w:pPr>
      <w:r>
        <w:rPr>
          <w:rFonts w:hint="eastAsia"/>
          <w:color w:val="auto"/>
          <w:lang w:val="en-US" w:eastAsia="zh-CN"/>
        </w:rPr>
        <w:t>10、服务区</w:t>
      </w:r>
      <w:r>
        <w:rPr>
          <w:color w:val="auto"/>
        </w:rPr>
        <w:t>应结合人员设</w:t>
      </w:r>
      <w:r>
        <w:rPr>
          <w:rFonts w:hint="eastAsia"/>
          <w:color w:val="auto"/>
          <w:lang w:val="en-US" w:eastAsia="zh-CN"/>
        </w:rPr>
        <w:t>备</w:t>
      </w:r>
      <w:r>
        <w:rPr>
          <w:color w:val="auto"/>
        </w:rPr>
        <w:t>和</w:t>
      </w:r>
      <w:r>
        <w:rPr>
          <w:rFonts w:hint="eastAsia"/>
          <w:color w:val="auto"/>
          <w:lang w:val="en-US" w:eastAsia="zh-CN"/>
        </w:rPr>
        <w:t>工</w:t>
      </w:r>
      <w:r>
        <w:rPr>
          <w:color w:val="auto"/>
        </w:rPr>
        <w:t>作情况制定安全管理目标</w:t>
      </w:r>
      <w:r>
        <w:rPr>
          <w:rFonts w:hint="eastAsia"/>
          <w:color w:val="auto"/>
          <w:lang w:eastAsia="zh-CN"/>
        </w:rPr>
        <w:t>，</w:t>
      </w:r>
      <w:r>
        <w:rPr>
          <w:color w:val="auto"/>
        </w:rPr>
        <w:t>每月检查</w:t>
      </w:r>
      <w:r>
        <w:rPr>
          <w:rFonts w:hint="eastAsia"/>
          <w:color w:val="auto"/>
          <w:lang w:val="en-US" w:eastAsia="zh-CN"/>
        </w:rPr>
        <w:t>目</w:t>
      </w:r>
      <w:r>
        <w:rPr>
          <w:color w:val="auto"/>
        </w:rPr>
        <w:t>标的完成情况，对存在的问题进行解决，在年终进行完成情况的总结。</w:t>
      </w:r>
    </w:p>
    <w:p w14:paraId="16B8D02D">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rPr>
      </w:pPr>
      <w:r>
        <w:rPr>
          <w:rFonts w:hint="eastAsia"/>
          <w:color w:val="auto"/>
          <w:sz w:val="28"/>
          <w:szCs w:val="28"/>
          <w:lang w:val="en-US" w:eastAsia="zh-CN"/>
        </w:rPr>
        <w:t>11、</w:t>
      </w:r>
      <w:r>
        <w:rPr>
          <w:rFonts w:hint="default" w:ascii="Times New Roman" w:hAnsi="Times New Roman" w:cs="Times New Roman"/>
          <w:color w:val="auto"/>
          <w:sz w:val="28"/>
        </w:rPr>
        <w:t>上岗前应按规定给员工办理工伤保险，并按要求</w:t>
      </w:r>
      <w:r>
        <w:rPr>
          <w:rFonts w:hint="default" w:ascii="Times New Roman" w:hAnsi="Times New Roman" w:cs="Times New Roman"/>
          <w:color w:val="auto"/>
          <w:sz w:val="28"/>
          <w:szCs w:val="28"/>
        </w:rPr>
        <w:t>进行安全投入</w:t>
      </w:r>
      <w:r>
        <w:rPr>
          <w:rFonts w:hint="default" w:ascii="Times New Roman" w:hAnsi="Times New Roman" w:cs="Times New Roman"/>
          <w:color w:val="auto"/>
          <w:sz w:val="28"/>
        </w:rPr>
        <w:t>。</w:t>
      </w:r>
    </w:p>
    <w:p w14:paraId="078209D0">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eastAsia" w:ascii="Times New Roman" w:hAnsi="Times New Roman" w:cs="Times New Roman"/>
          <w:color w:val="auto"/>
          <w:sz w:val="28"/>
          <w:lang w:val="en-US" w:eastAsia="zh-CN"/>
        </w:rPr>
        <w:t>12、</w:t>
      </w:r>
      <w:r>
        <w:rPr>
          <w:rFonts w:hint="default" w:ascii="Times New Roman" w:hAnsi="Times New Roman" w:cs="Times New Roman"/>
          <w:color w:val="auto"/>
          <w:sz w:val="28"/>
          <w:lang w:val="en-US" w:eastAsia="zh-CN"/>
        </w:rPr>
        <w:t>根据《生产安全事故应急条例》（国务院令【2019】第708号），</w:t>
      </w:r>
      <w:r>
        <w:rPr>
          <w:rFonts w:hint="eastAsia" w:ascii="Times New Roman" w:hAnsi="Times New Roman" w:cs="Times New Roman"/>
          <w:color w:val="auto"/>
          <w:sz w:val="28"/>
          <w:lang w:val="en-US" w:eastAsia="zh-CN"/>
        </w:rPr>
        <w:t>服务区管理</w:t>
      </w:r>
      <w:r>
        <w:rPr>
          <w:rFonts w:hint="default" w:ascii="Times New Roman" w:hAnsi="Times New Roman" w:cs="Times New Roman"/>
          <w:color w:val="auto"/>
          <w:sz w:val="28"/>
          <w:lang w:val="en-US" w:eastAsia="zh-CN"/>
        </w:rPr>
        <w:t>单位应：</w:t>
      </w:r>
    </w:p>
    <w:p w14:paraId="704B5098">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val="en-US" w:eastAsia="zh-CN"/>
        </w:rPr>
        <w:t>（1）针对</w:t>
      </w:r>
      <w:r>
        <w:rPr>
          <w:rFonts w:hint="eastAsia" w:ascii="Times New Roman" w:hAnsi="Times New Roman" w:cs="Times New Roman"/>
          <w:color w:val="auto"/>
          <w:sz w:val="28"/>
          <w:lang w:val="en-US" w:eastAsia="zh-CN"/>
        </w:rPr>
        <w:t>服务区</w:t>
      </w:r>
      <w:r>
        <w:rPr>
          <w:rFonts w:hint="default" w:ascii="Times New Roman" w:hAnsi="Times New Roman" w:cs="Times New Roman"/>
          <w:color w:val="auto"/>
          <w:sz w:val="28"/>
          <w:lang w:val="en-US" w:eastAsia="zh-CN"/>
        </w:rPr>
        <w:t xml:space="preserve">可能发生的生产安全事故的特点和危害，进行风险辨识和评估，制定相应的生产安全事故应急救援预案，并向本单位从业人员公布。  </w:t>
      </w:r>
    </w:p>
    <w:p w14:paraId="2E5DE1D5">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val="en-US" w:eastAsia="zh-CN"/>
        </w:rPr>
        <w:t>（2）应当将制定的生产安全事故应急救援预案按照国家有关规定报送县级</w:t>
      </w:r>
      <w:r>
        <w:rPr>
          <w:rFonts w:hint="eastAsia" w:ascii="Times New Roman" w:hAnsi="Times New Roman" w:cs="Times New Roman"/>
          <w:color w:val="auto"/>
          <w:sz w:val="28"/>
          <w:lang w:val="en-US" w:eastAsia="zh-CN"/>
        </w:rPr>
        <w:t>及</w:t>
      </w:r>
      <w:r>
        <w:rPr>
          <w:rFonts w:hint="default" w:ascii="Times New Roman" w:hAnsi="Times New Roman" w:cs="Times New Roman"/>
          <w:color w:val="auto"/>
          <w:sz w:val="28"/>
          <w:lang w:val="en-US" w:eastAsia="zh-CN"/>
        </w:rPr>
        <w:t>以上人民政府负有安全生产监督管理职责的部门备案，并依法向社会公布。</w:t>
      </w:r>
    </w:p>
    <w:p w14:paraId="28AE4C5D">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val="en-US" w:eastAsia="zh-CN"/>
        </w:rPr>
        <w:t>（3）应当至少每半年组织1次生产安全事故应急救援预案演练。</w:t>
      </w:r>
    </w:p>
    <w:p w14:paraId="5D2A37E5">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val="en-US" w:eastAsia="zh-CN"/>
        </w:rPr>
        <w:t>（4）应当指定兼职的应急救援人员，并且可以与邻近的应急救援队伍签订应急救援协议。应当按照国家有关规定对应急救援人员进行培训；应急救援人员经培训合格后，方可参加应急救援工作。应急救援队伍应当配备必要的应急救援装备和物资，并定期组织训练。</w:t>
      </w:r>
    </w:p>
    <w:p w14:paraId="1C44BCB3">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val="en-US" w:eastAsia="zh-CN"/>
        </w:rPr>
        <w:t>（5）应当根据本项目可能发生的生产安全事故的特点和危害，配备必要的灭火、排水、通风以及危险物品稀释、掩埋、收集等应急救援器材、设备和物资，并进行经常性维护、保养，保证正常运转。</w:t>
      </w:r>
    </w:p>
    <w:p w14:paraId="3995B3D4">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val="en-US" w:eastAsia="zh-CN"/>
        </w:rPr>
        <w:t>（6）应当建立应急值班制度，配备应急值班人员。</w:t>
      </w:r>
    </w:p>
    <w:p w14:paraId="1FB66F45">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val="en-US" w:eastAsia="zh-CN"/>
        </w:rPr>
        <w:t>（7）应当对从业人员进行应急教育和培训，保证从业人员具备必要的应急知识，掌握风险防范技能和事故应急措施。</w:t>
      </w:r>
    </w:p>
    <w:p w14:paraId="10E1AC83">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eastAsia" w:ascii="Times New Roman" w:hAnsi="Times New Roman" w:cs="Times New Roman"/>
          <w:color w:val="auto"/>
          <w:sz w:val="28"/>
          <w:lang w:val="en-US" w:eastAsia="zh-CN"/>
        </w:rPr>
        <w:t>13</w:t>
      </w:r>
      <w:r>
        <w:rPr>
          <w:rFonts w:hint="default" w:ascii="Times New Roman" w:hAnsi="Times New Roman" w:cs="Times New Roman"/>
          <w:color w:val="auto"/>
          <w:sz w:val="28"/>
          <w:lang w:val="en-US" w:eastAsia="zh-CN"/>
        </w:rPr>
        <w:t>、应按照消防法律、法规的要求，制定并遵守各项消防安全制度和保障消防安全的操作规程，确定消防安全重点部位，落实岗位职责和安全禁令，严格</w:t>
      </w:r>
      <w:r>
        <w:rPr>
          <w:rFonts w:hint="eastAsia" w:ascii="Times New Roman" w:hAnsi="Times New Roman" w:cs="Times New Roman"/>
          <w:color w:val="auto"/>
          <w:sz w:val="28"/>
          <w:lang w:val="en-US" w:eastAsia="zh-CN"/>
        </w:rPr>
        <w:t>服务区</w:t>
      </w:r>
      <w:r>
        <w:rPr>
          <w:rFonts w:hint="default" w:ascii="Times New Roman" w:hAnsi="Times New Roman" w:cs="Times New Roman"/>
          <w:color w:val="auto"/>
          <w:sz w:val="28"/>
          <w:lang w:val="en-US" w:eastAsia="zh-CN"/>
        </w:rPr>
        <w:t>内动火、用电管理，做好设备维护保养及防火、防爆工作，建立完善消防档案，做好基础信息管理建设。</w:t>
      </w:r>
    </w:p>
    <w:p w14:paraId="42F868DE">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default" w:ascii="Times New Roman" w:hAnsi="Times New Roman" w:cs="Times New Roman"/>
          <w:color w:val="auto"/>
          <w:sz w:val="28"/>
          <w:lang w:val="en-US" w:eastAsia="zh-CN"/>
        </w:rPr>
      </w:pPr>
      <w:r>
        <w:rPr>
          <w:rFonts w:hint="eastAsia" w:ascii="Times New Roman" w:hAnsi="Times New Roman" w:cs="Times New Roman"/>
          <w:color w:val="auto"/>
          <w:sz w:val="28"/>
          <w:lang w:val="en-US" w:eastAsia="zh-CN"/>
        </w:rPr>
        <w:t>14</w:t>
      </w:r>
      <w:r>
        <w:rPr>
          <w:rFonts w:hint="default" w:ascii="Times New Roman" w:hAnsi="Times New Roman" w:cs="Times New Roman"/>
          <w:color w:val="auto"/>
          <w:sz w:val="28"/>
          <w:lang w:val="en-US" w:eastAsia="zh-CN"/>
        </w:rPr>
        <w:t>、应设置安全管理岗位，配备人员和装备，结合</w:t>
      </w:r>
      <w:r>
        <w:rPr>
          <w:rFonts w:hint="eastAsia" w:ascii="Times New Roman" w:hAnsi="Times New Roman" w:cs="Times New Roman"/>
          <w:color w:val="auto"/>
          <w:sz w:val="28"/>
          <w:lang w:val="en-US" w:eastAsia="zh-CN"/>
        </w:rPr>
        <w:t>服务区</w:t>
      </w:r>
      <w:r>
        <w:rPr>
          <w:rFonts w:hint="default" w:ascii="Times New Roman" w:hAnsi="Times New Roman" w:cs="Times New Roman"/>
          <w:color w:val="auto"/>
          <w:sz w:val="28"/>
          <w:lang w:val="en-US" w:eastAsia="zh-CN"/>
        </w:rPr>
        <w:t>火灾特点做好经常性消防演练。</w:t>
      </w:r>
    </w:p>
    <w:p w14:paraId="5061827E">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eastAsia" w:ascii="Times New Roman" w:hAnsi="Times New Roman" w:cs="Times New Roman"/>
          <w:color w:val="auto"/>
          <w:sz w:val="28"/>
          <w:lang w:val="en-US" w:eastAsia="zh-CN"/>
        </w:rPr>
      </w:pPr>
      <w:r>
        <w:rPr>
          <w:rFonts w:hint="eastAsia" w:ascii="Times New Roman" w:hAnsi="Times New Roman" w:cs="Times New Roman"/>
          <w:color w:val="auto"/>
          <w:sz w:val="28"/>
          <w:lang w:val="en-US" w:eastAsia="zh-CN"/>
        </w:rPr>
        <w:t>15、除服务区定期组织的应急演练以外，还应与加油站定期组织联合应急演练，并签订安全协议。</w:t>
      </w:r>
    </w:p>
    <w:p w14:paraId="31BCCD63">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textAlignment w:val="auto"/>
        <w:rPr>
          <w:rFonts w:hint="eastAsia" w:ascii="Times New Roman" w:hAnsi="Times New Roman" w:cs="Times New Roman"/>
          <w:color w:val="auto"/>
          <w:sz w:val="28"/>
          <w:lang w:val="en-US" w:eastAsia="zh-CN"/>
        </w:rPr>
      </w:pPr>
      <w:r>
        <w:rPr>
          <w:rFonts w:hint="eastAsia" w:cs="Times New Roman"/>
          <w:color w:val="auto"/>
          <w:sz w:val="28"/>
          <w:lang w:val="en-US" w:eastAsia="zh-CN"/>
        </w:rPr>
        <w:t>16、应加强服务区内配套的服务商（铺）的安全管理，并定期组织安全教育培训和</w:t>
      </w:r>
      <w:r>
        <w:rPr>
          <w:rFonts w:hint="eastAsia" w:ascii="Times New Roman" w:hAnsi="Times New Roman" w:cs="Times New Roman"/>
          <w:color w:val="auto"/>
          <w:sz w:val="28"/>
          <w:lang w:val="en-US" w:eastAsia="zh-CN"/>
        </w:rPr>
        <w:t>联合应急演练，并签订安全协议。</w:t>
      </w:r>
    </w:p>
    <w:p w14:paraId="535AA9EC">
      <w:pPr>
        <w:pStyle w:val="5"/>
        <w:bidi w:val="0"/>
        <w:rPr>
          <w:color w:val="auto"/>
        </w:rPr>
      </w:pPr>
      <w:bookmarkStart w:id="148" w:name="_Toc16973"/>
      <w:bookmarkStart w:id="149" w:name="_Toc18162"/>
      <w:bookmarkStart w:id="150" w:name="_Toc16833"/>
      <w:bookmarkStart w:id="151" w:name="_Toc22161"/>
      <w:bookmarkStart w:id="152" w:name="_Toc6749"/>
      <w:r>
        <w:rPr>
          <w:rFonts w:hint="eastAsia"/>
          <w:color w:val="auto"/>
        </w:rPr>
        <w:t>7.</w:t>
      </w:r>
      <w:r>
        <w:rPr>
          <w:color w:val="auto"/>
        </w:rPr>
        <w:t>5施工</w:t>
      </w:r>
      <w:r>
        <w:rPr>
          <w:rFonts w:hint="eastAsia"/>
          <w:color w:val="auto"/>
          <w:lang w:val="en-US" w:eastAsia="zh-CN"/>
        </w:rPr>
        <w:t>过程</w:t>
      </w:r>
      <w:r>
        <w:rPr>
          <w:color w:val="auto"/>
        </w:rPr>
        <w:t>安全对策措施建议</w:t>
      </w:r>
      <w:bookmarkEnd w:id="148"/>
      <w:bookmarkEnd w:id="149"/>
      <w:bookmarkEnd w:id="150"/>
      <w:bookmarkEnd w:id="151"/>
      <w:bookmarkEnd w:id="152"/>
    </w:p>
    <w:p w14:paraId="0DF3B6C4">
      <w:pPr>
        <w:bidi w:val="0"/>
        <w:rPr>
          <w:rFonts w:hint="eastAsia"/>
          <w:color w:val="auto"/>
          <w:lang w:val="en-US" w:eastAsia="zh-CN"/>
        </w:rPr>
      </w:pPr>
      <w:r>
        <w:rPr>
          <w:rFonts w:hint="eastAsia"/>
          <w:color w:val="auto"/>
          <w:lang w:val="en-US" w:eastAsia="zh-CN"/>
        </w:rPr>
        <w:t>1、明确施工区域范围，并设置明显的警示标志，如围挡、标志牌，严禁非施工人员进入施工区域。</w:t>
      </w:r>
    </w:p>
    <w:p w14:paraId="07E4A3BF">
      <w:pPr>
        <w:bidi w:val="0"/>
        <w:rPr>
          <w:rFonts w:hint="eastAsia"/>
          <w:color w:val="auto"/>
          <w:lang w:val="en-US" w:eastAsia="zh-CN"/>
        </w:rPr>
      </w:pPr>
      <w:r>
        <w:rPr>
          <w:rFonts w:hint="eastAsia"/>
          <w:color w:val="auto"/>
          <w:lang w:val="en-US" w:eastAsia="zh-CN"/>
        </w:rPr>
        <w:t>2、根据施工区域的实际情况，设置临时交通标志和警示标志，引导驾驶员绕行或减速行驶，确保交通秩序和施工安全。</w:t>
      </w:r>
    </w:p>
    <w:p w14:paraId="07D00AAB">
      <w:pPr>
        <w:bidi w:val="0"/>
        <w:rPr>
          <w:rFonts w:hint="eastAsia"/>
          <w:color w:val="auto"/>
          <w:lang w:val="en-US" w:eastAsia="zh-CN"/>
        </w:rPr>
      </w:pPr>
      <w:r>
        <w:rPr>
          <w:rFonts w:hint="eastAsia"/>
          <w:color w:val="auto"/>
          <w:lang w:val="en-US" w:eastAsia="zh-CN"/>
        </w:rPr>
        <w:t>3、夜间施工时，施工区域的光照条件应满足正常施工作业的要求。</w:t>
      </w:r>
    </w:p>
    <w:p w14:paraId="03E0425F">
      <w:pPr>
        <w:rPr>
          <w:rFonts w:hint="eastAsia"/>
          <w:color w:val="auto"/>
          <w:lang w:val="en-US" w:eastAsia="zh-CN"/>
        </w:rPr>
      </w:pPr>
      <w:r>
        <w:rPr>
          <w:rFonts w:hint="eastAsia"/>
          <w:color w:val="auto"/>
          <w:lang w:val="en-US" w:eastAsia="zh-CN"/>
        </w:rPr>
        <w:t>4、对施工所使用的各种设备进行定期检查和维护，确保设备的安全性和可靠性，并保证设备操作人员具备相应的操作技能。</w:t>
      </w:r>
    </w:p>
    <w:p w14:paraId="2ACA6A4D">
      <w:pPr>
        <w:rPr>
          <w:rFonts w:hint="eastAsia"/>
          <w:color w:val="auto"/>
          <w:lang w:val="en-US" w:eastAsia="zh-CN"/>
        </w:rPr>
      </w:pPr>
      <w:r>
        <w:rPr>
          <w:rFonts w:hint="eastAsia"/>
          <w:color w:val="auto"/>
          <w:lang w:val="en-US" w:eastAsia="zh-CN"/>
        </w:rPr>
        <w:t>5、为保障施工人员的安全，施工设备必须配备相应的防护设施，如防护罩、防护网等，避免发生机械伤害等。</w:t>
      </w:r>
    </w:p>
    <w:p w14:paraId="0941C7B9">
      <w:pPr>
        <w:rPr>
          <w:rFonts w:hint="eastAsia"/>
          <w:color w:val="auto"/>
          <w:lang w:val="en-US" w:eastAsia="zh-CN"/>
        </w:rPr>
      </w:pPr>
      <w:r>
        <w:rPr>
          <w:rFonts w:hint="eastAsia"/>
          <w:color w:val="auto"/>
          <w:lang w:val="en-US" w:eastAsia="zh-CN"/>
        </w:rPr>
        <w:t>6、设备操作人员应按照操作规范进行操作，杜绝违规操作和酒后操作的情况发生，确保施工期间的人员安全。</w:t>
      </w:r>
    </w:p>
    <w:p w14:paraId="5E9A2767">
      <w:pPr>
        <w:rPr>
          <w:rFonts w:hint="eastAsia"/>
          <w:color w:val="auto"/>
          <w:lang w:val="en-US" w:eastAsia="zh-CN"/>
        </w:rPr>
      </w:pPr>
      <w:r>
        <w:rPr>
          <w:rFonts w:hint="eastAsia"/>
          <w:color w:val="auto"/>
          <w:lang w:val="en-US" w:eastAsia="zh-CN"/>
        </w:rPr>
        <w:t>7、施工人员在施工作业时，必须佩戴符合安全标准的安全帽、防护眼镜、耳塞等个人防护装备。</w:t>
      </w:r>
    </w:p>
    <w:p w14:paraId="42271928">
      <w:pPr>
        <w:rPr>
          <w:rFonts w:hint="eastAsia"/>
          <w:color w:val="auto"/>
          <w:lang w:val="en-US" w:eastAsia="zh-CN"/>
        </w:rPr>
      </w:pPr>
      <w:r>
        <w:rPr>
          <w:rFonts w:hint="eastAsia"/>
          <w:color w:val="auto"/>
          <w:lang w:val="en-US" w:eastAsia="zh-CN"/>
        </w:rPr>
        <w:t>8、制定施工作业标准，包括作业流程、操作方法、安全注意事项确保施工人员按照标准进行作业，降低事故风险。</w:t>
      </w:r>
    </w:p>
    <w:p w14:paraId="72C829C5">
      <w:pPr>
        <w:rPr>
          <w:rFonts w:hint="eastAsia"/>
          <w:color w:val="auto"/>
          <w:lang w:val="en-US" w:eastAsia="zh-CN"/>
        </w:rPr>
      </w:pPr>
      <w:r>
        <w:rPr>
          <w:rFonts w:hint="eastAsia"/>
          <w:color w:val="auto"/>
          <w:lang w:val="en-US" w:eastAsia="zh-CN"/>
        </w:rPr>
        <w:t>9、在施工过程中，进行环境监测，如噪音、尘埃等有害因素的监控，及时采取相应的措施，确保施工现场环境符合安全标准。</w:t>
      </w:r>
    </w:p>
    <w:p w14:paraId="62BEFAA9">
      <w:pPr>
        <w:rPr>
          <w:rFonts w:hint="eastAsia"/>
          <w:color w:val="auto"/>
          <w:lang w:val="en-US" w:eastAsia="zh-CN"/>
        </w:rPr>
      </w:pPr>
      <w:r>
        <w:rPr>
          <w:rFonts w:hint="eastAsia"/>
          <w:color w:val="auto"/>
          <w:lang w:val="en-US" w:eastAsia="zh-CN"/>
        </w:rPr>
        <w:t>10、定期对施工现场进行巡查，发现问题及时解决，如存在不符合安全要求的行为或设施，及时纠正并落实整改措施。</w:t>
      </w:r>
    </w:p>
    <w:p w14:paraId="1E8BF777">
      <w:pPr>
        <w:rPr>
          <w:rFonts w:hint="eastAsia"/>
          <w:color w:val="auto"/>
          <w:lang w:val="en-US" w:eastAsia="zh-CN"/>
        </w:rPr>
      </w:pPr>
      <w:r>
        <w:rPr>
          <w:rFonts w:hint="eastAsia"/>
          <w:color w:val="auto"/>
          <w:lang w:val="en-US" w:eastAsia="zh-CN"/>
        </w:rPr>
        <w:t>11、制定施工安全检查制度，定期进行安全检查，发现问题严重的要求施工方立即停工整改，并记录整改情况。</w:t>
      </w:r>
    </w:p>
    <w:p w14:paraId="027FEA66">
      <w:pPr>
        <w:rPr>
          <w:rFonts w:hint="eastAsia"/>
          <w:color w:val="auto"/>
          <w:lang w:val="en-US" w:eastAsia="zh-CN"/>
        </w:rPr>
      </w:pPr>
      <w:r>
        <w:rPr>
          <w:rFonts w:hint="eastAsia"/>
          <w:color w:val="auto"/>
          <w:lang w:val="en-US" w:eastAsia="zh-CN"/>
        </w:rPr>
        <w:t>12、定期进行应急演练，提高施工人员的应急反应能力和自救能力确保在紧急情况下能够迅速、有效地采取措施。</w:t>
      </w:r>
    </w:p>
    <w:p w14:paraId="402FB887">
      <w:pPr>
        <w:rPr>
          <w:rFonts w:hint="eastAsia"/>
          <w:color w:val="auto"/>
          <w:lang w:val="en-US" w:eastAsia="zh-CN"/>
        </w:rPr>
      </w:pPr>
      <w:r>
        <w:rPr>
          <w:rFonts w:hint="eastAsia"/>
          <w:color w:val="auto"/>
          <w:lang w:val="en-US" w:eastAsia="zh-CN"/>
        </w:rPr>
        <w:t>13、制定完善的应急预案，包括突发事故的报告、应急救援程序和应急资源等，确保在突发事故发生时能够及时有效地进行处置。</w:t>
      </w:r>
    </w:p>
    <w:p w14:paraId="7DD64DAC">
      <w:pPr>
        <w:rPr>
          <w:rFonts w:hint="eastAsia"/>
          <w:color w:val="auto"/>
          <w:lang w:val="en-US" w:eastAsia="zh-CN"/>
        </w:rPr>
      </w:pPr>
      <w:r>
        <w:rPr>
          <w:rFonts w:hint="eastAsia"/>
          <w:color w:val="auto"/>
          <w:lang w:val="en-US" w:eastAsia="zh-CN"/>
        </w:rPr>
        <w:t>14、制定相应的评估指标，对施工安全措施的实施效果进行评估，发现问题及时改进，提升施工安全管理水平。</w:t>
      </w:r>
    </w:p>
    <w:p w14:paraId="22421AA5">
      <w:pPr>
        <w:bidi w:val="0"/>
        <w:rPr>
          <w:color w:val="auto"/>
          <w:lang w:eastAsia="zh-CN"/>
        </w:rPr>
      </w:pPr>
      <w:r>
        <w:rPr>
          <w:rFonts w:hint="eastAsia"/>
          <w:color w:val="auto"/>
          <w:lang w:val="en-US" w:eastAsia="zh-CN"/>
        </w:rPr>
        <w:t>15</w:t>
      </w:r>
      <w:r>
        <w:rPr>
          <w:color w:val="auto"/>
          <w:lang w:eastAsia="zh-CN"/>
        </w:rPr>
        <w:t>、设计单位必须具备相应资质条件。</w:t>
      </w:r>
    </w:p>
    <w:p w14:paraId="47CCFFD4">
      <w:pPr>
        <w:bidi w:val="0"/>
        <w:rPr>
          <w:color w:val="auto"/>
        </w:rPr>
      </w:pPr>
      <w:r>
        <w:rPr>
          <w:rFonts w:hint="eastAsia"/>
          <w:color w:val="auto"/>
          <w:lang w:val="en-US" w:eastAsia="zh-CN"/>
        </w:rPr>
        <w:t>16</w:t>
      </w:r>
      <w:r>
        <w:rPr>
          <w:color w:val="auto"/>
          <w:lang w:eastAsia="zh-CN"/>
        </w:rPr>
        <w:t>、</w:t>
      </w:r>
      <w:r>
        <w:rPr>
          <w:color w:val="auto"/>
        </w:rPr>
        <w:t>在项目建造中，建设指挥部明确建设方、施工方、监理方等多方在施工期间的安全职责，加强与施工单位和工程监理部门的联系和沟通，监督和配合施工单位共同做好建筑施工过程中的安全防范工作。</w:t>
      </w:r>
    </w:p>
    <w:p w14:paraId="6C033858">
      <w:pPr>
        <w:bidi w:val="0"/>
        <w:rPr>
          <w:color w:val="auto"/>
          <w:lang w:eastAsia="zh-CN"/>
        </w:rPr>
      </w:pPr>
      <w:r>
        <w:rPr>
          <w:rFonts w:hint="eastAsia"/>
          <w:color w:val="auto"/>
          <w:lang w:val="en-US" w:eastAsia="zh-CN"/>
        </w:rPr>
        <w:t>17</w:t>
      </w:r>
      <w:r>
        <w:rPr>
          <w:color w:val="auto"/>
          <w:lang w:eastAsia="zh-CN"/>
        </w:rPr>
        <w:t>、承建</w:t>
      </w:r>
      <w:r>
        <w:rPr>
          <w:rFonts w:hint="eastAsia"/>
          <w:color w:val="auto"/>
          <w:lang w:eastAsia="zh-CN"/>
        </w:rPr>
        <w:t>项目</w:t>
      </w:r>
      <w:r>
        <w:rPr>
          <w:color w:val="auto"/>
          <w:lang w:eastAsia="zh-CN"/>
        </w:rPr>
        <w:t>的施工单位应具有相应资质。承建</w:t>
      </w:r>
      <w:r>
        <w:rPr>
          <w:rFonts w:hint="eastAsia"/>
          <w:color w:val="auto"/>
          <w:lang w:eastAsia="zh-CN"/>
        </w:rPr>
        <w:t>充电桩</w:t>
      </w:r>
      <w:r>
        <w:rPr>
          <w:color w:val="auto"/>
          <w:lang w:eastAsia="zh-CN"/>
        </w:rPr>
        <w:t>安装工程的施工单位应具有相应级别的安装许可证。承建防爆电气设备安装的施工单位应具有相应项目的资格证书。</w:t>
      </w:r>
    </w:p>
    <w:p w14:paraId="0B434AAD">
      <w:pPr>
        <w:bidi w:val="0"/>
        <w:rPr>
          <w:color w:val="auto"/>
          <w:lang w:eastAsia="zh-CN"/>
        </w:rPr>
      </w:pPr>
      <w:r>
        <w:rPr>
          <w:rFonts w:hint="eastAsia"/>
          <w:color w:val="auto"/>
          <w:lang w:val="en-US" w:eastAsia="zh-CN"/>
        </w:rPr>
        <w:t>18</w:t>
      </w:r>
      <w:r>
        <w:rPr>
          <w:color w:val="auto"/>
          <w:lang w:eastAsia="zh-CN"/>
        </w:rPr>
        <w:t>、工程施工应按工程设计文件及</w:t>
      </w:r>
      <w:r>
        <w:rPr>
          <w:rFonts w:hint="eastAsia"/>
          <w:color w:val="auto"/>
          <w:lang w:val="en-US" w:eastAsia="zh-CN"/>
        </w:rPr>
        <w:t>电气</w:t>
      </w:r>
      <w:r>
        <w:rPr>
          <w:color w:val="auto"/>
          <w:lang w:eastAsia="zh-CN"/>
        </w:rPr>
        <w:t>设备、电气仪表的产品使用说明书进行，如需修改设计或材料代用，应有原设计单位变更设计的书面文件或经原设计单位同意的设计变更书面文件。</w:t>
      </w:r>
    </w:p>
    <w:p w14:paraId="359D90F9">
      <w:pPr>
        <w:bidi w:val="0"/>
        <w:rPr>
          <w:color w:val="auto"/>
        </w:rPr>
      </w:pPr>
      <w:r>
        <w:rPr>
          <w:rFonts w:hint="eastAsia"/>
          <w:color w:val="auto"/>
          <w:lang w:val="en-US" w:eastAsia="zh-CN"/>
        </w:rPr>
        <w:t>19</w:t>
      </w:r>
      <w:r>
        <w:rPr>
          <w:color w:val="auto"/>
          <w:lang w:eastAsia="zh-CN"/>
        </w:rPr>
        <w:t>、</w:t>
      </w:r>
      <w:r>
        <w:rPr>
          <w:color w:val="auto"/>
        </w:rPr>
        <w:t>施工单位应编制施工方案，并在施工前进行设计交底和技术交底。施工方案宜包括下列内容：工程概况、施工部署、施工进度计划、资源配置计划、主要施工方法和质量标准、质量保证措施和安全保证措施、施工平面布置、施工记录。</w:t>
      </w:r>
    </w:p>
    <w:p w14:paraId="23696FE4">
      <w:pPr>
        <w:bidi w:val="0"/>
        <w:rPr>
          <w:color w:val="auto"/>
        </w:rPr>
      </w:pPr>
      <w:r>
        <w:rPr>
          <w:rFonts w:hint="eastAsia"/>
          <w:color w:val="auto"/>
          <w:lang w:val="en-US" w:eastAsia="zh-CN"/>
        </w:rPr>
        <w:t>20</w:t>
      </w:r>
      <w:r>
        <w:rPr>
          <w:color w:val="auto"/>
          <w:lang w:eastAsia="zh-CN"/>
        </w:rPr>
        <w:t>、</w:t>
      </w:r>
      <w:r>
        <w:rPr>
          <w:color w:val="auto"/>
        </w:rPr>
        <w:t>应做好施工记录，其中隐蔽工程施工记录应有建设或监理单位代表确认签字。</w:t>
      </w:r>
    </w:p>
    <w:p w14:paraId="4C4C8A42">
      <w:pPr>
        <w:bidi w:val="0"/>
        <w:rPr>
          <w:color w:val="auto"/>
          <w:lang w:eastAsia="zh-CN"/>
        </w:rPr>
      </w:pPr>
      <w:r>
        <w:rPr>
          <w:rFonts w:hint="eastAsia"/>
          <w:color w:val="auto"/>
          <w:lang w:val="en-US" w:eastAsia="zh-CN"/>
        </w:rPr>
        <w:t>21</w:t>
      </w:r>
      <w:r>
        <w:rPr>
          <w:color w:val="auto"/>
          <w:lang w:eastAsia="zh-CN"/>
        </w:rPr>
        <w:t>、</w:t>
      </w:r>
      <w:r>
        <w:rPr>
          <w:color w:val="auto"/>
        </w:rPr>
        <w:t>当在敷设有地下管道、线缆的地段进行土石方作业时，应采取安全施工措施。</w:t>
      </w:r>
    </w:p>
    <w:p w14:paraId="28EFBDD8">
      <w:pPr>
        <w:bidi w:val="0"/>
        <w:rPr>
          <w:rFonts w:hint="default"/>
          <w:color w:val="auto"/>
          <w:lang w:val="en-US" w:eastAsia="zh-CN"/>
        </w:rPr>
      </w:pPr>
      <w:r>
        <w:rPr>
          <w:rFonts w:hint="eastAsia"/>
          <w:color w:val="auto"/>
          <w:lang w:val="en-US" w:eastAsia="zh-CN"/>
        </w:rPr>
        <w:t>22、项目施工作业中的电工、电气焊工、起重吊装工、机械操作工、架子工等特殊工种实行持证上岗，无证者严禁从事特种作业。</w:t>
      </w:r>
    </w:p>
    <w:p w14:paraId="184ED19D">
      <w:pPr>
        <w:bidi w:val="0"/>
        <w:rPr>
          <w:color w:val="auto"/>
        </w:rPr>
      </w:pPr>
      <w:r>
        <w:rPr>
          <w:rFonts w:hint="eastAsia"/>
          <w:color w:val="auto"/>
          <w:lang w:val="en-US" w:eastAsia="zh-CN"/>
        </w:rPr>
        <w:t>23</w:t>
      </w:r>
      <w:r>
        <w:rPr>
          <w:color w:val="auto"/>
        </w:rPr>
        <w:t>、项目在试经营运行期间，应制订完备的试经营安全运行方案，保证试经营的安全，同时搜集和积累资料，不断补充和完善安全操作规程。</w:t>
      </w:r>
    </w:p>
    <w:p w14:paraId="6131F70D">
      <w:pPr>
        <w:bidi w:val="0"/>
        <w:rPr>
          <w:color w:val="auto"/>
        </w:rPr>
      </w:pPr>
      <w:r>
        <w:rPr>
          <w:rFonts w:hint="eastAsia"/>
          <w:color w:val="auto"/>
          <w:lang w:val="en-US" w:eastAsia="zh-CN"/>
        </w:rPr>
        <w:t>24</w:t>
      </w:r>
      <w:r>
        <w:rPr>
          <w:color w:val="auto"/>
        </w:rPr>
        <w:t>、工程建成后，应组织有关人员对工程进行验收，对建筑物、构筑物、生产装置、设备设施及隐蔽工程等进行全面验收，作出验收结论；应对安全设施、设备和与安全有关的装置、附件等按有关规范进行检验、调试保证其功能达到有关技术标准、产品质量的要求，并有详细调试记录。</w:t>
      </w:r>
    </w:p>
    <w:p w14:paraId="52F24936">
      <w:pPr>
        <w:bidi w:val="0"/>
        <w:rPr>
          <w:color w:val="auto"/>
        </w:rPr>
      </w:pPr>
      <w:r>
        <w:rPr>
          <w:rFonts w:hint="eastAsia"/>
          <w:color w:val="auto"/>
          <w:lang w:val="en-US" w:eastAsia="zh-CN"/>
        </w:rPr>
        <w:t>25</w:t>
      </w:r>
      <w:r>
        <w:rPr>
          <w:color w:val="auto"/>
        </w:rPr>
        <w:t>、工程建成后，应邀请检测、检验单位对工程的设备、附件、防雷、防静电设施进行检测、检验，确保安全设施有效。项目建成试运行</w:t>
      </w:r>
      <w:r>
        <w:rPr>
          <w:rFonts w:hint="eastAsia"/>
          <w:color w:val="auto"/>
          <w:lang w:val="en-US" w:eastAsia="zh-CN"/>
        </w:rPr>
        <w:t>一</w:t>
      </w:r>
      <w:r>
        <w:rPr>
          <w:color w:val="auto"/>
        </w:rPr>
        <w:t>个月后应申请“三同时”安全验收。</w:t>
      </w:r>
    </w:p>
    <w:p w14:paraId="5FBA2419">
      <w:pPr>
        <w:pStyle w:val="6"/>
        <w:bidi w:val="0"/>
        <w:rPr>
          <w:rFonts w:hint="eastAsia"/>
          <w:color w:val="auto"/>
          <w:lang w:val="en-US" w:eastAsia="zh-CN"/>
        </w:rPr>
      </w:pPr>
      <w:bookmarkStart w:id="153" w:name="_Toc23205"/>
      <w:r>
        <w:rPr>
          <w:rFonts w:hint="eastAsia"/>
          <w:color w:val="auto"/>
          <w:lang w:val="en-US" w:eastAsia="zh-CN"/>
        </w:rPr>
        <w:t>7.5.1基础、主体工程施工</w:t>
      </w:r>
      <w:bookmarkEnd w:id="153"/>
    </w:p>
    <w:p w14:paraId="45B10BD9">
      <w:pPr>
        <w:bidi w:val="0"/>
        <w:rPr>
          <w:rFonts w:hint="eastAsia"/>
          <w:color w:val="auto"/>
          <w:lang w:val="en-US" w:eastAsia="zh-CN"/>
        </w:rPr>
      </w:pPr>
      <w:r>
        <w:rPr>
          <w:rFonts w:hint="eastAsia"/>
          <w:color w:val="auto"/>
          <w:lang w:val="en-US" w:eastAsia="zh-CN"/>
        </w:rPr>
        <w:t>1、各分项工程作业人员必须严格按各工种安全技术操作规程和安全技术交底的内容施工，每道工序要在安全确认的条件下进行，强化安全检查。严禁野蛮施工。</w:t>
      </w:r>
    </w:p>
    <w:p w14:paraId="21611A00">
      <w:pPr>
        <w:bidi w:val="0"/>
        <w:rPr>
          <w:rFonts w:hint="eastAsia"/>
          <w:color w:val="auto"/>
          <w:lang w:val="en-US" w:eastAsia="zh-CN"/>
        </w:rPr>
      </w:pPr>
      <w:r>
        <w:rPr>
          <w:rFonts w:hint="eastAsia"/>
          <w:color w:val="auto"/>
          <w:lang w:val="en-US" w:eastAsia="zh-CN"/>
        </w:rPr>
        <w:t>2、对基坑、基槽周边、搭设的斜通道两侧边和卸料平台的外侧边，各层楼梯周边和楼层面周边，均及时搭设防护栏杆并刷黄黑相间(300mm)的油漆作警示。安全员应经常检查其完备性和可靠性。</w:t>
      </w:r>
    </w:p>
    <w:p w14:paraId="6A6B0FA8">
      <w:pPr>
        <w:bidi w:val="0"/>
        <w:rPr>
          <w:rFonts w:hint="eastAsia"/>
          <w:color w:val="auto"/>
          <w:lang w:val="en-US" w:eastAsia="zh-CN"/>
        </w:rPr>
      </w:pPr>
      <w:r>
        <w:rPr>
          <w:rFonts w:hint="eastAsia"/>
          <w:color w:val="auto"/>
          <w:lang w:val="en-US" w:eastAsia="zh-CN"/>
        </w:rPr>
        <w:t>3、在地下结构施工完毕后，汽车坡道的入口要进行封闭并对其基槽进行回填，一是增大上部结构工作面，二是防止地表水灌入及人员掉入。</w:t>
      </w:r>
    </w:p>
    <w:p w14:paraId="410CDCC0">
      <w:pPr>
        <w:bidi w:val="0"/>
        <w:rPr>
          <w:rFonts w:hint="eastAsia"/>
          <w:color w:val="auto"/>
          <w:lang w:val="en-US" w:eastAsia="zh-CN"/>
        </w:rPr>
      </w:pPr>
      <w:r>
        <w:rPr>
          <w:rFonts w:hint="eastAsia"/>
          <w:color w:val="auto"/>
          <w:lang w:val="en-US" w:eastAsia="zh-CN"/>
        </w:rPr>
        <w:t>4、主体施工采用钢管脚手架。脚手架铺设脚手板不少于两层，上层为作业层，下层有一层起防护作用。主体结构施工阶段模板支撑采用φ48×3.5扣件式钢管搭设，内装饰采用工具式移动脚手架或扣件式钢管搭设脚手架。</w:t>
      </w:r>
    </w:p>
    <w:p w14:paraId="2314A64B">
      <w:pPr>
        <w:bidi w:val="0"/>
        <w:rPr>
          <w:rFonts w:hint="eastAsia"/>
          <w:color w:val="auto"/>
          <w:lang w:val="en-US" w:eastAsia="zh-CN"/>
        </w:rPr>
      </w:pPr>
      <w:r>
        <w:rPr>
          <w:rFonts w:hint="eastAsia"/>
          <w:color w:val="auto"/>
          <w:lang w:val="en-US" w:eastAsia="zh-CN"/>
        </w:rPr>
        <w:t>5、脚手架所用材质必须符合要求，不得把弯曲、压扁、拉伤、裂缝的零件用上去。外架剪刀撑搭设到位，横杆与立杆交接点合理，扣件牢固。立面用密目安全网全封闭。平面用竹跳和安全网水平封闭。外架搭设必须高于作业面1.5m,并搭设牢固。</w:t>
      </w:r>
    </w:p>
    <w:p w14:paraId="2FCB9284">
      <w:pPr>
        <w:bidi w:val="0"/>
        <w:rPr>
          <w:rFonts w:hint="eastAsia"/>
          <w:color w:val="auto"/>
          <w:lang w:val="en-US" w:eastAsia="zh-CN"/>
        </w:rPr>
      </w:pPr>
      <w:r>
        <w:rPr>
          <w:rFonts w:hint="eastAsia"/>
          <w:color w:val="auto"/>
          <w:lang w:val="en-US" w:eastAsia="zh-CN"/>
        </w:rPr>
        <w:t>6、楼梯及休息平台设两道防护栏杆或用立挂安全网防护；通道出入口搭设3~5m长、3m宽的双层防护棚，第一层棚顶满铺竹跳板，第二层铺木胶板；楼层临边设钢管防护栏杆1.2m高，并按间距300mm刷黄黑相间油漆以作警示。</w:t>
      </w:r>
    </w:p>
    <w:p w14:paraId="2FD416FD">
      <w:pPr>
        <w:bidi w:val="0"/>
        <w:rPr>
          <w:rFonts w:hint="eastAsia"/>
          <w:color w:val="auto"/>
          <w:lang w:val="en-US" w:eastAsia="zh-CN"/>
        </w:rPr>
      </w:pPr>
      <w:r>
        <w:rPr>
          <w:rFonts w:hint="eastAsia"/>
          <w:color w:val="auto"/>
          <w:lang w:val="en-US" w:eastAsia="zh-CN"/>
        </w:rPr>
        <w:t>7、室内楼面各预留孔(给排水、通风)，采用木栅上钉10mm厚以上木胶板封闭。</w:t>
      </w:r>
    </w:p>
    <w:p w14:paraId="77F9ECFD">
      <w:pPr>
        <w:bidi w:val="0"/>
        <w:rPr>
          <w:rFonts w:hint="eastAsia"/>
          <w:color w:val="auto"/>
          <w:lang w:val="en-US" w:eastAsia="zh-CN"/>
        </w:rPr>
      </w:pPr>
      <w:r>
        <w:rPr>
          <w:rFonts w:hint="eastAsia"/>
          <w:color w:val="auto"/>
          <w:lang w:val="en-US" w:eastAsia="zh-CN"/>
        </w:rPr>
        <w:t>8、模板的支撑体系必须进行结构强度、刚度、和稳定性的验算，并规定模板的装拆程序。模板、钢管等周转材料拆除后从楼层内运出，不得用塔吊横向拉出，并应设置悬挑卸料平台使物料集中在平台上用塔吊垂直吊出。</w:t>
      </w:r>
    </w:p>
    <w:p w14:paraId="4F9F611F">
      <w:pPr>
        <w:bidi w:val="0"/>
        <w:rPr>
          <w:rFonts w:hint="eastAsia"/>
          <w:color w:val="auto"/>
          <w:lang w:val="en-US" w:eastAsia="zh-CN"/>
        </w:rPr>
      </w:pPr>
      <w:r>
        <w:rPr>
          <w:rFonts w:hint="eastAsia"/>
          <w:color w:val="auto"/>
          <w:lang w:val="en-US" w:eastAsia="zh-CN"/>
        </w:rPr>
        <w:t>9、卸料平台应自成受力系统，禁止与脚手架连接影响脚手架的稳定和平台的安全使用，脚手板铺平绑牢，周围设置防护栏杆。平台两边有不低于1.2m高的档脚板，前临边用安全绳锁口，防止零星物件的坠落。平台应在明显处设置标志牌，规定使用要求和限定荷载随时检查,严禁超重。</w:t>
      </w:r>
    </w:p>
    <w:p w14:paraId="0D4A894B">
      <w:pPr>
        <w:bidi w:val="0"/>
        <w:rPr>
          <w:rFonts w:hint="eastAsia"/>
          <w:color w:val="auto"/>
          <w:lang w:val="en-US" w:eastAsia="zh-CN"/>
        </w:rPr>
      </w:pPr>
      <w:r>
        <w:rPr>
          <w:rFonts w:hint="eastAsia"/>
          <w:color w:val="auto"/>
          <w:lang w:val="en-US" w:eastAsia="zh-CN"/>
        </w:rPr>
        <w:t>10、混凝土浇筑时搭设操作平台，杜绝工人在加固模板的支架上攀登和乱踩。</w:t>
      </w:r>
    </w:p>
    <w:p w14:paraId="68EAACC8">
      <w:pPr>
        <w:bidi w:val="0"/>
        <w:rPr>
          <w:rFonts w:hint="eastAsia"/>
          <w:color w:val="auto"/>
          <w:lang w:val="en-US" w:eastAsia="zh-CN"/>
        </w:rPr>
      </w:pPr>
      <w:r>
        <w:rPr>
          <w:rFonts w:hint="eastAsia"/>
          <w:color w:val="auto"/>
          <w:lang w:val="en-US" w:eastAsia="zh-CN"/>
        </w:rPr>
        <w:t>11、结构施工支撑架搭设必须满足相关规范，由项目技术负责人进行专门设计计算，结构支撑脚手架报施工单位审核批准，再由监理单位和建设单位审批后方可施工。</w:t>
      </w:r>
    </w:p>
    <w:p w14:paraId="7BEF3080">
      <w:pPr>
        <w:bidi w:val="0"/>
        <w:rPr>
          <w:rFonts w:hint="eastAsia"/>
          <w:color w:val="auto"/>
          <w:lang w:val="en-US" w:eastAsia="zh-CN"/>
        </w:rPr>
      </w:pPr>
      <w:r>
        <w:rPr>
          <w:rFonts w:hint="eastAsia"/>
          <w:color w:val="auto"/>
          <w:lang w:val="en-US" w:eastAsia="zh-CN"/>
        </w:rPr>
        <w:t>12、劳动保护及医药用品的必备和正确使用，机械操作定人且不准戴帆布手套，高空作业必须穿软底鞋。</w:t>
      </w:r>
    </w:p>
    <w:p w14:paraId="48BCFC42">
      <w:pPr>
        <w:pStyle w:val="6"/>
        <w:bidi w:val="0"/>
        <w:rPr>
          <w:rFonts w:hint="eastAsia"/>
          <w:color w:val="auto"/>
          <w:lang w:val="en-US" w:eastAsia="zh-CN"/>
        </w:rPr>
      </w:pPr>
      <w:bookmarkStart w:id="154" w:name="_Toc831"/>
      <w:r>
        <w:rPr>
          <w:rFonts w:hint="eastAsia"/>
          <w:color w:val="auto"/>
          <w:lang w:val="en-US" w:eastAsia="zh-CN"/>
        </w:rPr>
        <w:t>7.5.2装饰工程施工</w:t>
      </w:r>
      <w:bookmarkEnd w:id="154"/>
    </w:p>
    <w:p w14:paraId="17CDE9B8">
      <w:pPr>
        <w:bidi w:val="0"/>
        <w:rPr>
          <w:rFonts w:hint="eastAsia"/>
          <w:color w:val="auto"/>
          <w:lang w:val="en-US" w:eastAsia="zh-CN"/>
        </w:rPr>
      </w:pPr>
      <w:r>
        <w:rPr>
          <w:rFonts w:hint="eastAsia"/>
          <w:color w:val="auto"/>
          <w:lang w:val="en-US" w:eastAsia="zh-CN"/>
        </w:rPr>
        <w:t>1、按要求使用“安全帽、安全网、安全带”。进入施工现场，必须戴好安全帽，高空作业要系安全带，满挂密目网。</w:t>
      </w:r>
    </w:p>
    <w:p w14:paraId="2B547272">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color w:val="auto"/>
          <w:lang w:val="en-US" w:eastAsia="zh-CN"/>
        </w:rPr>
      </w:pPr>
      <w:r>
        <w:rPr>
          <w:rFonts w:hint="eastAsia"/>
          <w:color w:val="auto"/>
          <w:lang w:val="en-US" w:eastAsia="zh-CN"/>
        </w:rPr>
        <w:t>2、建筑物周围地面人行道按规定要求搭设双层防护棚作为安全通道。</w:t>
      </w:r>
    </w:p>
    <w:p w14:paraId="0C335EE6">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color w:val="auto"/>
          <w:lang w:val="en-US" w:eastAsia="zh-CN"/>
        </w:rPr>
      </w:pPr>
      <w:r>
        <w:rPr>
          <w:rFonts w:hint="eastAsia"/>
          <w:color w:val="auto"/>
          <w:lang w:val="en-US" w:eastAsia="zh-CN"/>
        </w:rPr>
        <w:t>3、施工层的脚手板要满铺，严禁探头板和一板二个接头现象，禁止单板作业。</w:t>
      </w:r>
    </w:p>
    <w:p w14:paraId="579C9FF2">
      <w:pPr>
        <w:bidi w:val="0"/>
        <w:rPr>
          <w:rFonts w:hint="eastAsia"/>
          <w:color w:val="auto"/>
          <w:lang w:val="en-US" w:eastAsia="zh-CN"/>
        </w:rPr>
      </w:pPr>
      <w:r>
        <w:rPr>
          <w:rFonts w:hint="eastAsia"/>
          <w:color w:val="auto"/>
          <w:lang w:val="en-US" w:eastAsia="zh-CN"/>
        </w:rPr>
        <w:t>4、安全员随时检查脚手架的牢固性，不得超载或荷载过于集中。</w:t>
      </w:r>
    </w:p>
    <w:p w14:paraId="31641702">
      <w:pPr>
        <w:bidi w:val="0"/>
        <w:rPr>
          <w:rFonts w:hint="eastAsia"/>
          <w:color w:val="auto"/>
          <w:lang w:val="en-US" w:eastAsia="zh-CN"/>
        </w:rPr>
      </w:pPr>
      <w:r>
        <w:rPr>
          <w:rFonts w:hint="eastAsia"/>
          <w:color w:val="auto"/>
          <w:lang w:val="en-US" w:eastAsia="zh-CN"/>
        </w:rPr>
        <w:t>5、严禁在施工作业面上互相抛掷材料、工具等物体，不得从施工作业面向下抛掷杂物。</w:t>
      </w:r>
    </w:p>
    <w:p w14:paraId="34368B2C">
      <w:pPr>
        <w:bidi w:val="0"/>
        <w:rPr>
          <w:rFonts w:hint="eastAsia"/>
          <w:color w:val="auto"/>
          <w:lang w:val="en-US" w:eastAsia="zh-CN"/>
        </w:rPr>
      </w:pPr>
      <w:r>
        <w:rPr>
          <w:rFonts w:hint="eastAsia"/>
          <w:color w:val="auto"/>
          <w:lang w:val="en-US" w:eastAsia="zh-CN"/>
        </w:rPr>
        <w:t>6、使用腐蚀性材料或其它含对人体有害物体的材料时，应穿戴好个人防护用品。</w:t>
      </w:r>
    </w:p>
    <w:p w14:paraId="7ABB67DE">
      <w:pPr>
        <w:pStyle w:val="6"/>
        <w:bidi w:val="0"/>
        <w:rPr>
          <w:rFonts w:hint="default"/>
          <w:color w:val="auto"/>
          <w:lang w:val="en-US" w:eastAsia="zh-CN"/>
        </w:rPr>
      </w:pPr>
      <w:bookmarkStart w:id="155" w:name="_Toc19021"/>
      <w:r>
        <w:rPr>
          <w:rFonts w:hint="eastAsia"/>
          <w:color w:val="auto"/>
          <w:lang w:val="en-US" w:eastAsia="zh-CN"/>
        </w:rPr>
        <w:t>7.5.3安装工程施工</w:t>
      </w:r>
      <w:bookmarkEnd w:id="155"/>
    </w:p>
    <w:p w14:paraId="1B837092">
      <w:pPr>
        <w:numPr>
          <w:ilvl w:val="0"/>
          <w:numId w:val="17"/>
        </w:numPr>
        <w:bidi w:val="0"/>
        <w:ind w:left="0" w:leftChars="0" w:firstLine="560" w:firstLineChars="200"/>
        <w:rPr>
          <w:rFonts w:hint="eastAsia"/>
          <w:color w:val="auto"/>
          <w:lang w:val="en-US" w:eastAsia="zh-CN"/>
        </w:rPr>
      </w:pPr>
      <w:r>
        <w:rPr>
          <w:rFonts w:hint="eastAsia"/>
          <w:color w:val="auto"/>
          <w:lang w:val="en-US" w:eastAsia="zh-CN"/>
        </w:rPr>
        <w:t>启动电焊前，检查电焊机和开关外壳接零是否良好。焊工工作时，穿着帆布工作服和工作鞋，戴好工作帽、手套，正确使用面罩。高空焊接时做好监护措施，防止火星落下引起火灾或烧伤他人。焊接前检查周围环境，特别是下部是否有可燃物体。</w:t>
      </w:r>
    </w:p>
    <w:p w14:paraId="4A26EDE7">
      <w:pPr>
        <w:numPr>
          <w:ilvl w:val="0"/>
          <w:numId w:val="17"/>
        </w:numPr>
        <w:bidi w:val="0"/>
        <w:ind w:left="0" w:leftChars="0" w:firstLine="560" w:firstLineChars="200"/>
        <w:rPr>
          <w:rFonts w:hint="eastAsia"/>
          <w:color w:val="auto"/>
          <w:lang w:val="en-US" w:eastAsia="zh-CN"/>
        </w:rPr>
      </w:pPr>
      <w:r>
        <w:rPr>
          <w:rFonts w:hint="eastAsia"/>
          <w:color w:val="auto"/>
          <w:lang w:val="en-US" w:eastAsia="zh-CN"/>
        </w:rPr>
        <w:t>穿楼板的管道安装就位后，及时封堵洞口，以免洞口掉落工具和物体伤人。</w:t>
      </w:r>
    </w:p>
    <w:p w14:paraId="7044C65A">
      <w:pPr>
        <w:numPr>
          <w:ilvl w:val="0"/>
          <w:numId w:val="17"/>
        </w:numPr>
        <w:bidi w:val="0"/>
        <w:ind w:left="0" w:leftChars="0" w:firstLine="560" w:firstLineChars="200"/>
        <w:rPr>
          <w:rFonts w:hint="eastAsia"/>
          <w:color w:val="auto"/>
          <w:lang w:val="en-US" w:eastAsia="zh-CN"/>
        </w:rPr>
      </w:pPr>
      <w:r>
        <w:rPr>
          <w:rFonts w:hint="eastAsia"/>
          <w:color w:val="auto"/>
          <w:lang w:val="en-US" w:eastAsia="zh-CN"/>
        </w:rPr>
        <w:t>井道施工和高空作业时，检查脚手架及跳板是否牢固，防止蹬滑及踩探头脚手板。管道吊装时，把管道绑扎牢固，防止脱落伤人。</w:t>
      </w:r>
    </w:p>
    <w:p w14:paraId="23CD6EE5">
      <w:pPr>
        <w:numPr>
          <w:ilvl w:val="0"/>
          <w:numId w:val="17"/>
        </w:numPr>
        <w:bidi w:val="0"/>
        <w:ind w:left="0" w:leftChars="0" w:firstLine="560" w:firstLineChars="200"/>
        <w:rPr>
          <w:rFonts w:hint="eastAsia"/>
          <w:color w:val="auto"/>
          <w:lang w:val="en-US" w:eastAsia="zh-CN"/>
        </w:rPr>
      </w:pPr>
      <w:r>
        <w:rPr>
          <w:rFonts w:hint="eastAsia"/>
          <w:color w:val="auto"/>
          <w:lang w:val="en-US" w:eastAsia="zh-CN"/>
        </w:rPr>
        <w:t>楼板洞口施工时，盖好上层洞口的防护板，防止上层施工时落物伤人。</w:t>
      </w:r>
    </w:p>
    <w:p w14:paraId="1453F950">
      <w:pPr>
        <w:numPr>
          <w:ilvl w:val="0"/>
          <w:numId w:val="17"/>
        </w:numPr>
        <w:bidi w:val="0"/>
        <w:ind w:left="0" w:leftChars="0" w:firstLine="560" w:firstLineChars="200"/>
        <w:rPr>
          <w:rFonts w:hint="eastAsia"/>
          <w:color w:val="auto"/>
          <w:lang w:val="en-US" w:eastAsia="zh-CN"/>
        </w:rPr>
      </w:pPr>
      <w:r>
        <w:rPr>
          <w:rFonts w:hint="eastAsia"/>
          <w:color w:val="auto"/>
          <w:lang w:val="en-US" w:eastAsia="zh-CN"/>
        </w:rPr>
        <w:t>材料、管材摆放应有秩序，不能随意堆放，随意攀爬物体。氧气、乙炔等危险品按要求分开存放，以免发生意外。</w:t>
      </w:r>
    </w:p>
    <w:p w14:paraId="22D256DD">
      <w:pPr>
        <w:numPr>
          <w:ilvl w:val="0"/>
          <w:numId w:val="17"/>
        </w:numPr>
        <w:bidi w:val="0"/>
        <w:ind w:left="0" w:leftChars="0" w:firstLine="560" w:firstLineChars="200"/>
        <w:rPr>
          <w:rFonts w:hint="eastAsia"/>
          <w:color w:val="auto"/>
          <w:lang w:val="en-US" w:eastAsia="zh-CN"/>
        </w:rPr>
      </w:pPr>
      <w:r>
        <w:rPr>
          <w:rFonts w:hint="eastAsia"/>
          <w:color w:val="auto"/>
          <w:lang w:val="en-US" w:eastAsia="zh-CN"/>
        </w:rPr>
        <w:t>加强各雨季、冬季、高温季节的劳动保护工作，及时配备防雨、防滑、防冻、防晒、防暑用品用具。</w:t>
      </w:r>
    </w:p>
    <w:p w14:paraId="2B583F7C">
      <w:pPr>
        <w:pStyle w:val="6"/>
        <w:bidi w:val="0"/>
        <w:rPr>
          <w:rFonts w:hint="eastAsia"/>
          <w:color w:val="auto"/>
          <w:lang w:val="en-US" w:eastAsia="zh-CN"/>
        </w:rPr>
      </w:pPr>
      <w:bookmarkStart w:id="156" w:name="_Toc8833"/>
      <w:r>
        <w:rPr>
          <w:rFonts w:hint="eastAsia"/>
          <w:color w:val="auto"/>
          <w:lang w:val="en-US" w:eastAsia="zh-CN"/>
        </w:rPr>
        <w:t>7.5.4电气工程施工</w:t>
      </w:r>
      <w:bookmarkEnd w:id="156"/>
    </w:p>
    <w:p w14:paraId="6CCBC093">
      <w:pPr>
        <w:bidi w:val="0"/>
        <w:rPr>
          <w:rFonts w:hint="eastAsia"/>
          <w:color w:val="auto"/>
          <w:lang w:val="en-US" w:eastAsia="zh-CN"/>
        </w:rPr>
      </w:pPr>
      <w:r>
        <w:rPr>
          <w:rFonts w:hint="eastAsia"/>
          <w:color w:val="auto"/>
          <w:lang w:val="en-US" w:eastAsia="zh-CN"/>
        </w:rPr>
        <w:t>1、按照相关施工安全法规、标准进行施工，避免发生安全事故。</w:t>
      </w:r>
    </w:p>
    <w:p w14:paraId="1E39F917">
      <w:pPr>
        <w:bidi w:val="0"/>
        <w:rPr>
          <w:rFonts w:hint="eastAsia"/>
          <w:color w:val="auto"/>
          <w:lang w:val="en-US" w:eastAsia="zh-CN"/>
        </w:rPr>
      </w:pPr>
      <w:r>
        <w:rPr>
          <w:rFonts w:hint="eastAsia"/>
          <w:color w:val="auto"/>
          <w:lang w:val="en-US" w:eastAsia="zh-CN"/>
        </w:rPr>
        <w:t>2、电气安装地点避免选择在低洼易积水位置且应与周围存在具有火灾爆炸性设施、地下管线保持安全距离，安装位置应远离明火、高温、粉尘及腐蚀环境，所选用产品外壳防护等级应与安装环境相适应。</w:t>
      </w:r>
    </w:p>
    <w:p w14:paraId="5DD0D192">
      <w:pPr>
        <w:bidi w:val="0"/>
        <w:rPr>
          <w:rFonts w:hint="eastAsia"/>
          <w:color w:val="auto"/>
          <w:lang w:val="en-US" w:eastAsia="zh-CN"/>
        </w:rPr>
      </w:pPr>
      <w:r>
        <w:rPr>
          <w:rFonts w:hint="eastAsia"/>
          <w:color w:val="auto"/>
          <w:lang w:val="en-US" w:eastAsia="zh-CN"/>
        </w:rPr>
        <w:t>3、电气安装位置强度必须满足要求，所有固定螺栓应紧固。</w:t>
      </w:r>
    </w:p>
    <w:p w14:paraId="1710F569">
      <w:pPr>
        <w:bidi w:val="0"/>
        <w:rPr>
          <w:rFonts w:hint="eastAsia"/>
          <w:color w:val="auto"/>
          <w:lang w:val="en-US" w:eastAsia="zh-CN"/>
        </w:rPr>
      </w:pPr>
      <w:r>
        <w:rPr>
          <w:rFonts w:hint="eastAsia"/>
          <w:color w:val="auto"/>
          <w:lang w:val="en-US" w:eastAsia="zh-CN"/>
        </w:rPr>
        <w:t>4、吊装作业时按照吊装示意图和吊点标识指示进行吊装，选用满足要求的起重设备和吊索具进行吊装。</w:t>
      </w:r>
    </w:p>
    <w:p w14:paraId="2E0EAD6D">
      <w:pPr>
        <w:bidi w:val="0"/>
        <w:rPr>
          <w:rFonts w:hint="eastAsia"/>
          <w:color w:val="auto"/>
          <w:lang w:val="en-US" w:eastAsia="zh-CN"/>
        </w:rPr>
      </w:pPr>
      <w:r>
        <w:rPr>
          <w:rFonts w:hint="eastAsia"/>
          <w:color w:val="auto"/>
          <w:lang w:val="en-US" w:eastAsia="zh-CN"/>
        </w:rPr>
        <w:t>5、安装所选用的电缆、接线端子等部件应符合电流需求，安装前后应确保电气设备相关所有接线紧固、绝缘良好、接线正确、无磨损、挤压破坏风险，否则存在火灾及触电风险。</w:t>
      </w:r>
    </w:p>
    <w:p w14:paraId="5E70B3EB">
      <w:pPr>
        <w:bidi w:val="0"/>
        <w:rPr>
          <w:rFonts w:hint="eastAsia"/>
          <w:color w:val="auto"/>
          <w:lang w:val="en-US" w:eastAsia="zh-CN"/>
        </w:rPr>
      </w:pPr>
      <w:r>
        <w:rPr>
          <w:rFonts w:hint="eastAsia"/>
          <w:color w:val="auto"/>
          <w:lang w:val="en-US" w:eastAsia="zh-CN"/>
        </w:rPr>
        <w:t>6、接线后应确保所有进入充电设备的孔洞应封堵良好，否则存在电缆延燃风险。</w:t>
      </w:r>
    </w:p>
    <w:p w14:paraId="50336C57">
      <w:pPr>
        <w:bidi w:val="0"/>
        <w:rPr>
          <w:rFonts w:hint="eastAsia"/>
          <w:color w:val="auto"/>
          <w:lang w:val="en-US" w:eastAsia="zh-CN"/>
        </w:rPr>
      </w:pPr>
      <w:r>
        <w:rPr>
          <w:rFonts w:hint="eastAsia"/>
          <w:color w:val="auto"/>
          <w:lang w:val="en-US" w:eastAsia="zh-CN"/>
        </w:rPr>
        <w:t>7、设备上电之前，务必确认设备是否接地良好，以免造成触电事故。</w:t>
      </w:r>
    </w:p>
    <w:p w14:paraId="66D9FF75">
      <w:pPr>
        <w:bidi w:val="0"/>
        <w:rPr>
          <w:rFonts w:hint="eastAsia"/>
          <w:color w:val="auto"/>
          <w:lang w:val="en-US" w:eastAsia="zh-CN"/>
        </w:rPr>
      </w:pPr>
      <w:r>
        <w:rPr>
          <w:rFonts w:hint="eastAsia"/>
          <w:color w:val="auto"/>
          <w:lang w:val="en-US" w:eastAsia="zh-CN"/>
        </w:rPr>
        <w:t>8、安装完成后确保所有电气元器件保护壳、绝缘套管等装置无遗失，否则会有触电风险。</w:t>
      </w:r>
    </w:p>
    <w:p w14:paraId="6C0CC255">
      <w:pPr>
        <w:bidi w:val="0"/>
        <w:rPr>
          <w:rFonts w:hint="eastAsia"/>
          <w:color w:val="auto"/>
          <w:lang w:val="en-US" w:eastAsia="zh-CN"/>
        </w:rPr>
      </w:pPr>
      <w:r>
        <w:rPr>
          <w:rFonts w:hint="eastAsia"/>
          <w:color w:val="auto"/>
          <w:lang w:val="en-US" w:eastAsia="zh-CN"/>
        </w:rPr>
        <w:t>9、设备安装过程中若产生部件损坏应及时修复和更换，避免带病使用。</w:t>
      </w:r>
    </w:p>
    <w:p w14:paraId="713A8DDA">
      <w:pPr>
        <w:bidi w:val="0"/>
        <w:rPr>
          <w:color w:val="auto"/>
          <w:lang w:eastAsia="zh-CN"/>
        </w:rPr>
      </w:pPr>
      <w:r>
        <w:rPr>
          <w:rFonts w:hint="eastAsia"/>
          <w:color w:val="auto"/>
          <w:lang w:val="en-US" w:eastAsia="zh-CN"/>
        </w:rPr>
        <w:t>10、安装完成后应确认电气设施内部是否遗留金属工具、可燃易燃物品，否则存在火灾风险。</w:t>
      </w:r>
    </w:p>
    <w:p w14:paraId="7B27AB32">
      <w:pPr>
        <w:pStyle w:val="5"/>
        <w:bidi w:val="0"/>
        <w:rPr>
          <w:rFonts w:hint="eastAsia"/>
          <w:color w:val="auto"/>
          <w:lang w:val="en-US" w:eastAsia="zh-CN"/>
        </w:rPr>
      </w:pPr>
      <w:bookmarkStart w:id="157" w:name="_Toc508"/>
      <w:r>
        <w:rPr>
          <w:rFonts w:hint="eastAsia"/>
          <w:color w:val="auto"/>
          <w:lang w:val="en-US" w:eastAsia="zh-CN"/>
        </w:rPr>
        <w:t>7.6项目运营期间的安全对策措施</w:t>
      </w:r>
      <w:bookmarkEnd w:id="157"/>
    </w:p>
    <w:p w14:paraId="5CE66278">
      <w:pPr>
        <w:numPr>
          <w:ilvl w:val="0"/>
          <w:numId w:val="18"/>
        </w:numPr>
        <w:bidi w:val="0"/>
        <w:ind w:left="0" w:leftChars="0" w:firstLine="560" w:firstLineChars="200"/>
        <w:rPr>
          <w:rFonts w:hint="eastAsia"/>
          <w:color w:val="auto"/>
          <w:lang w:val="en-US" w:eastAsia="zh-CN"/>
        </w:rPr>
      </w:pPr>
      <w:r>
        <w:rPr>
          <w:rFonts w:hint="eastAsia"/>
          <w:color w:val="auto"/>
          <w:lang w:val="en-US" w:eastAsia="zh-CN"/>
        </w:rPr>
        <w:t>坚持“安全第一、预防为主”的方针，加强安全生产的组织领导，建立以服务区负责人为第一责任人的安全网络，做到职责分明，层层落实。</w:t>
      </w:r>
    </w:p>
    <w:p w14:paraId="2D1C6735">
      <w:pPr>
        <w:numPr>
          <w:ilvl w:val="0"/>
          <w:numId w:val="18"/>
        </w:numPr>
        <w:bidi w:val="0"/>
        <w:ind w:left="0" w:leftChars="0" w:firstLine="560" w:firstLineChars="200"/>
        <w:rPr>
          <w:rFonts w:hint="eastAsia"/>
          <w:color w:val="auto"/>
          <w:lang w:val="en-US" w:eastAsia="zh-CN"/>
        </w:rPr>
      </w:pPr>
      <w:r>
        <w:rPr>
          <w:rFonts w:hint="eastAsia"/>
          <w:color w:val="auto"/>
        </w:rPr>
        <w:t>落实各级责任制，进一步完善各种规章制度，一级抓一级，严格检查、考核，并与奖金挂钩</w:t>
      </w:r>
      <w:r>
        <w:rPr>
          <w:rFonts w:hint="eastAsia"/>
          <w:color w:val="auto"/>
          <w:lang w:eastAsia="zh-CN"/>
        </w:rPr>
        <w:t>。</w:t>
      </w:r>
    </w:p>
    <w:p w14:paraId="76E15A38">
      <w:pPr>
        <w:numPr>
          <w:ilvl w:val="0"/>
          <w:numId w:val="18"/>
        </w:numPr>
        <w:bidi w:val="0"/>
        <w:ind w:left="0" w:leftChars="0" w:firstLine="560" w:firstLineChars="200"/>
        <w:rPr>
          <w:rFonts w:hint="eastAsia"/>
          <w:color w:val="auto"/>
          <w:lang w:val="en-US" w:eastAsia="zh-CN"/>
        </w:rPr>
      </w:pPr>
      <w:r>
        <w:rPr>
          <w:rFonts w:hint="eastAsia"/>
          <w:color w:val="auto"/>
          <w:lang w:val="en-US" w:eastAsia="zh-CN"/>
        </w:rPr>
        <w:t>做好安全生产的宣传和教育，经常组织职工进行安全学习和培训不断提高职工的安全意识，做到警钟常鸣，常抓不懈。</w:t>
      </w:r>
    </w:p>
    <w:p w14:paraId="24A40145">
      <w:pPr>
        <w:numPr>
          <w:ilvl w:val="0"/>
          <w:numId w:val="18"/>
        </w:numPr>
        <w:bidi w:val="0"/>
        <w:ind w:left="0" w:leftChars="0" w:firstLine="560" w:firstLineChars="200"/>
        <w:rPr>
          <w:rFonts w:hint="eastAsia"/>
          <w:color w:val="auto"/>
          <w:lang w:val="en-US" w:eastAsia="zh-CN"/>
        </w:rPr>
      </w:pPr>
      <w:r>
        <w:rPr>
          <w:rFonts w:hint="eastAsia"/>
          <w:color w:val="auto"/>
          <w:lang w:val="en-US" w:eastAsia="zh-CN"/>
        </w:rPr>
        <w:t>服务区经过消防审核和验收后，严禁擅自进行改、扩建。</w:t>
      </w:r>
    </w:p>
    <w:p w14:paraId="45CD82BB">
      <w:pPr>
        <w:numPr>
          <w:ilvl w:val="0"/>
          <w:numId w:val="18"/>
        </w:numPr>
        <w:bidi w:val="0"/>
        <w:ind w:left="0" w:leftChars="0" w:firstLine="560" w:firstLineChars="200"/>
        <w:rPr>
          <w:rFonts w:hint="eastAsia"/>
          <w:color w:val="auto"/>
          <w:lang w:val="en-US" w:eastAsia="zh-CN"/>
        </w:rPr>
      </w:pPr>
      <w:r>
        <w:rPr>
          <w:rFonts w:hint="eastAsia"/>
          <w:color w:val="auto"/>
          <w:lang w:val="en-US" w:eastAsia="zh-CN"/>
        </w:rPr>
        <w:t>服务区内人员流动量大、电气设备多、可燃物品集中，管理难度较大，应加强安全管理，严禁临时乱拉、乱接电气线路，过负荷用电，违规操作，违规使用可燃易燃化学物品等的行为。</w:t>
      </w:r>
    </w:p>
    <w:p w14:paraId="626DC676">
      <w:pPr>
        <w:numPr>
          <w:ilvl w:val="0"/>
          <w:numId w:val="18"/>
        </w:numPr>
        <w:bidi w:val="0"/>
        <w:ind w:left="0" w:leftChars="0" w:firstLine="560" w:firstLineChars="200"/>
        <w:rPr>
          <w:rFonts w:hint="eastAsia"/>
          <w:color w:val="auto"/>
          <w:lang w:val="en-US" w:eastAsia="zh-CN"/>
        </w:rPr>
      </w:pPr>
      <w:r>
        <w:rPr>
          <w:rFonts w:hint="eastAsia"/>
          <w:color w:val="auto"/>
          <w:lang w:val="en-US" w:eastAsia="zh-CN"/>
        </w:rPr>
        <w:t>按规定发放和正确使用防护用品，防护用品不准改制、变卖和不按规定穿戴，凡属设备防护装置，任何人不得擅自转移和拆除。未经操作者的许可不得操作不熟悉的设备、车辆，严禁带病操作。</w:t>
      </w:r>
    </w:p>
    <w:p w14:paraId="43636543">
      <w:pPr>
        <w:numPr>
          <w:ilvl w:val="0"/>
          <w:numId w:val="18"/>
        </w:numPr>
        <w:bidi w:val="0"/>
        <w:ind w:left="0" w:leftChars="0" w:firstLine="560" w:firstLineChars="200"/>
        <w:rPr>
          <w:rFonts w:hint="eastAsia"/>
          <w:color w:val="auto"/>
          <w:lang w:val="en-US" w:eastAsia="zh-CN"/>
        </w:rPr>
      </w:pPr>
      <w:r>
        <w:rPr>
          <w:rFonts w:hint="eastAsia"/>
          <w:color w:val="auto"/>
          <w:lang w:val="en-US" w:eastAsia="zh-CN"/>
        </w:rPr>
        <w:t>建立各工种和维修设备的安全操作规程，经常开展岗位练兵，及时推广安全生产的先进经验，提高职工自我防护能力，定期和不定期地进行安全检查，发现和纠正各种违章行为。</w:t>
      </w:r>
    </w:p>
    <w:p w14:paraId="2CCF6DAB">
      <w:pPr>
        <w:numPr>
          <w:ilvl w:val="0"/>
          <w:numId w:val="18"/>
        </w:numPr>
        <w:bidi w:val="0"/>
        <w:ind w:left="0" w:leftChars="0" w:firstLine="560" w:firstLineChars="200"/>
        <w:rPr>
          <w:color w:val="auto"/>
        </w:rPr>
      </w:pPr>
      <w:r>
        <w:rPr>
          <w:rFonts w:hint="eastAsia"/>
          <w:color w:val="auto"/>
          <w:lang w:val="en-US" w:eastAsia="zh-CN"/>
        </w:rPr>
        <w:t>每月召开一次安全例会，分析生产中不安全因素，对安全的薄弱环节提出预防整改措施，把事故的苗头消灭在萌芽状态当生产和安全发生矛盾时，生产必须服从安全，杜绝人身伤亡和重大事故的发生，抓好事故的及时分析处理，做好事故检查处理记录，建立考核制度，做到奖罚严明。</w:t>
      </w:r>
    </w:p>
    <w:p w14:paraId="7C5B60C9">
      <w:pPr>
        <w:numPr>
          <w:ilvl w:val="0"/>
          <w:numId w:val="18"/>
        </w:numPr>
        <w:bidi w:val="0"/>
        <w:ind w:left="0" w:leftChars="0" w:firstLine="560" w:firstLineChars="200"/>
        <w:rPr>
          <w:rFonts w:hint="eastAsia" w:eastAsia="宋体"/>
          <w:color w:val="auto"/>
          <w:lang w:eastAsia="zh-CN"/>
        </w:rPr>
      </w:pPr>
      <w:r>
        <w:rPr>
          <w:rFonts w:hint="eastAsia"/>
          <w:color w:val="auto"/>
        </w:rPr>
        <w:t>为提升服务区员工安全知识水平，保证从业人员具备必要的安全生产知识</w:t>
      </w:r>
      <w:r>
        <w:rPr>
          <w:rFonts w:hint="eastAsia"/>
          <w:color w:val="auto"/>
          <w:lang w:eastAsia="zh-CN"/>
        </w:rPr>
        <w:t>，</w:t>
      </w:r>
      <w:r>
        <w:rPr>
          <w:rFonts w:hint="eastAsia"/>
          <w:color w:val="auto"/>
        </w:rPr>
        <w:t>熟悉有关安全生产规章制度和安全操作规程，掌握本岗位的安全操作技能</w:t>
      </w:r>
      <w:r>
        <w:rPr>
          <w:rFonts w:hint="eastAsia"/>
          <w:color w:val="auto"/>
          <w:lang w:eastAsia="zh-CN"/>
        </w:rPr>
        <w:t>，</w:t>
      </w:r>
      <w:r>
        <w:rPr>
          <w:rFonts w:hint="eastAsia"/>
          <w:color w:val="auto"/>
        </w:rPr>
        <w:t>确保在发生事故时能够做出妥善处理,每年四次定期对员工进行安全知识培训和演练</w:t>
      </w:r>
      <w:r>
        <w:rPr>
          <w:rFonts w:hint="eastAsia"/>
          <w:color w:val="auto"/>
          <w:lang w:eastAsia="zh-CN"/>
        </w:rPr>
        <w:t>。</w:t>
      </w:r>
    </w:p>
    <w:p w14:paraId="1C4BF210">
      <w:pPr>
        <w:numPr>
          <w:ilvl w:val="0"/>
          <w:numId w:val="18"/>
        </w:numPr>
        <w:bidi w:val="0"/>
        <w:ind w:left="0" w:leftChars="0" w:firstLine="560" w:firstLineChars="200"/>
        <w:rPr>
          <w:rFonts w:hint="eastAsia" w:eastAsia="宋体"/>
          <w:color w:val="auto"/>
          <w:lang w:eastAsia="zh-CN"/>
        </w:rPr>
      </w:pPr>
      <w:r>
        <w:rPr>
          <w:rFonts w:hint="eastAsia"/>
          <w:color w:val="auto"/>
        </w:rPr>
        <w:t>安全教育培训包括</w:t>
      </w:r>
      <w:r>
        <w:rPr>
          <w:rFonts w:hint="eastAsia"/>
          <w:color w:val="auto"/>
          <w:lang w:eastAsia="zh-CN"/>
        </w:rPr>
        <w:t>：</w:t>
      </w:r>
      <w:r>
        <w:rPr>
          <w:rFonts w:hint="eastAsia"/>
          <w:color w:val="auto"/>
        </w:rPr>
        <w:t>各单位负责人及安全管理人员(含兼职安全员)安全教育培训，新进员工的岗前安全教育培训</w:t>
      </w:r>
      <w:r>
        <w:rPr>
          <w:rFonts w:hint="eastAsia"/>
          <w:color w:val="auto"/>
          <w:lang w:eastAsia="zh-CN"/>
        </w:rPr>
        <w:t>，</w:t>
      </w:r>
      <w:r>
        <w:rPr>
          <w:rFonts w:hint="eastAsia"/>
          <w:color w:val="auto"/>
        </w:rPr>
        <w:t>全体员工经常性安全教育培训特种作业人员培训等</w:t>
      </w:r>
      <w:r>
        <w:rPr>
          <w:rFonts w:hint="eastAsia"/>
          <w:color w:val="auto"/>
          <w:lang w:eastAsia="zh-CN"/>
        </w:rPr>
        <w:t>。</w:t>
      </w:r>
    </w:p>
    <w:p w14:paraId="0C196AFC">
      <w:pPr>
        <w:numPr>
          <w:ilvl w:val="0"/>
          <w:numId w:val="18"/>
        </w:numPr>
        <w:bidi w:val="0"/>
        <w:ind w:left="0" w:leftChars="0" w:firstLine="560" w:firstLineChars="200"/>
        <w:rPr>
          <w:rFonts w:hint="eastAsia" w:eastAsia="宋体"/>
          <w:color w:val="auto"/>
          <w:lang w:eastAsia="zh-CN"/>
        </w:rPr>
      </w:pPr>
      <w:r>
        <w:rPr>
          <w:rFonts w:hint="eastAsia"/>
          <w:color w:val="auto"/>
        </w:rPr>
        <w:t>安全知识培训内容包括</w:t>
      </w:r>
      <w:r>
        <w:rPr>
          <w:rFonts w:hint="eastAsia"/>
          <w:color w:val="auto"/>
          <w:lang w:eastAsia="zh-CN"/>
        </w:rPr>
        <w:t>：</w:t>
      </w:r>
      <w:r>
        <w:rPr>
          <w:rFonts w:hint="eastAsia"/>
          <w:color w:val="auto"/>
        </w:rPr>
        <w:t>熟悉国家、公司有关安全管理的规定及服务区安全工作预案</w:t>
      </w:r>
      <w:r>
        <w:rPr>
          <w:rFonts w:hint="eastAsia"/>
          <w:color w:val="auto"/>
          <w:lang w:eastAsia="zh-CN"/>
        </w:rPr>
        <w:t>；</w:t>
      </w:r>
      <w:r>
        <w:rPr>
          <w:rFonts w:hint="eastAsia"/>
          <w:color w:val="auto"/>
        </w:rPr>
        <w:t>熟练掌握灭火器材使用方法</w:t>
      </w:r>
      <w:r>
        <w:rPr>
          <w:rFonts w:hint="eastAsia"/>
          <w:color w:val="auto"/>
          <w:lang w:eastAsia="zh-CN"/>
        </w:rPr>
        <w:t>；</w:t>
      </w:r>
      <w:r>
        <w:rPr>
          <w:rFonts w:hint="eastAsia"/>
          <w:color w:val="auto"/>
        </w:rPr>
        <w:t>强化企业安全意识</w:t>
      </w:r>
      <w:r>
        <w:rPr>
          <w:rFonts w:hint="eastAsia"/>
          <w:color w:val="auto"/>
          <w:lang w:eastAsia="zh-CN"/>
        </w:rPr>
        <w:t>；</w:t>
      </w:r>
      <w:r>
        <w:rPr>
          <w:rFonts w:hint="eastAsia"/>
          <w:color w:val="auto"/>
        </w:rPr>
        <w:t>提高</w:t>
      </w:r>
      <w:r>
        <w:rPr>
          <w:rFonts w:hint="eastAsia"/>
          <w:color w:val="auto"/>
          <w:lang w:val="en-US" w:eastAsia="zh-CN"/>
        </w:rPr>
        <w:t>人</w:t>
      </w:r>
      <w:r>
        <w:rPr>
          <w:rFonts w:hint="eastAsia"/>
          <w:color w:val="auto"/>
        </w:rPr>
        <w:t>员危险源辨识能力等</w:t>
      </w:r>
      <w:r>
        <w:rPr>
          <w:rFonts w:hint="eastAsia"/>
          <w:color w:val="auto"/>
          <w:lang w:eastAsia="zh-CN"/>
        </w:rPr>
        <w:t>。</w:t>
      </w:r>
    </w:p>
    <w:p w14:paraId="53F4C2AD">
      <w:pPr>
        <w:numPr>
          <w:ilvl w:val="0"/>
          <w:numId w:val="18"/>
        </w:numPr>
        <w:bidi w:val="0"/>
        <w:ind w:left="0" w:leftChars="0" w:firstLine="560" w:firstLineChars="200"/>
        <w:rPr>
          <w:color w:val="auto"/>
        </w:rPr>
      </w:pPr>
      <w:r>
        <w:rPr>
          <w:rFonts w:hint="eastAsia"/>
          <w:color w:val="auto"/>
        </w:rPr>
        <w:t>服务区应按各项应急预案的程序，定期组织安全演练，提高员工对</w:t>
      </w:r>
      <w:r>
        <w:rPr>
          <w:rFonts w:hint="eastAsia"/>
          <w:color w:val="auto"/>
          <w:lang w:val="en-US" w:eastAsia="zh-CN"/>
        </w:rPr>
        <w:t>突发</w:t>
      </w:r>
      <w:r>
        <w:rPr>
          <w:rFonts w:hint="eastAsia"/>
          <w:color w:val="auto"/>
        </w:rPr>
        <w:t>事件的反应速度，其内容可以包括灭火、反抢劫等。</w:t>
      </w:r>
    </w:p>
    <w:p w14:paraId="4C3B6307">
      <w:pPr>
        <w:numPr>
          <w:ilvl w:val="0"/>
          <w:numId w:val="18"/>
        </w:numPr>
        <w:bidi w:val="0"/>
        <w:ind w:left="0" w:leftChars="0" w:firstLine="560" w:firstLineChars="200"/>
        <w:rPr>
          <w:rFonts w:hint="eastAsia" w:eastAsia="宋体"/>
          <w:color w:val="auto"/>
          <w:lang w:eastAsia="zh-CN"/>
        </w:rPr>
      </w:pPr>
      <w:r>
        <w:rPr>
          <w:rFonts w:hint="eastAsia"/>
          <w:color w:val="auto"/>
        </w:rPr>
        <w:t>服务区应积极配合协助高速交警、地方公安等部门做好服务区的治安安全工作</w:t>
      </w:r>
      <w:r>
        <w:rPr>
          <w:rFonts w:hint="eastAsia"/>
          <w:color w:val="auto"/>
          <w:lang w:eastAsia="zh-CN"/>
        </w:rPr>
        <w:t>。</w:t>
      </w:r>
    </w:p>
    <w:p w14:paraId="63DB2C66">
      <w:pPr>
        <w:numPr>
          <w:ilvl w:val="0"/>
          <w:numId w:val="18"/>
        </w:numPr>
        <w:bidi w:val="0"/>
        <w:ind w:left="0" w:leftChars="0" w:firstLine="560" w:firstLineChars="200"/>
        <w:rPr>
          <w:rFonts w:hint="eastAsia" w:eastAsia="宋体"/>
          <w:color w:val="auto"/>
          <w:lang w:eastAsia="zh-CN"/>
        </w:rPr>
      </w:pPr>
      <w:r>
        <w:rPr>
          <w:rFonts w:hint="eastAsia"/>
          <w:color w:val="auto"/>
        </w:rPr>
        <w:t>严格执行交接班制度，对当班情况作详细记录</w:t>
      </w:r>
      <w:r>
        <w:rPr>
          <w:rFonts w:hint="eastAsia"/>
          <w:color w:val="auto"/>
          <w:lang w:eastAsia="zh-CN"/>
        </w:rPr>
        <w:t>，</w:t>
      </w:r>
      <w:r>
        <w:rPr>
          <w:rFonts w:hint="eastAsia"/>
          <w:color w:val="auto"/>
        </w:rPr>
        <w:t>相关情况已处理的向接班人员通报，未处理的说明原因移交下一班处理</w:t>
      </w:r>
      <w:r>
        <w:rPr>
          <w:rFonts w:hint="eastAsia"/>
          <w:color w:val="auto"/>
          <w:lang w:eastAsia="zh-CN"/>
        </w:rPr>
        <w:t>。</w:t>
      </w:r>
    </w:p>
    <w:p w14:paraId="255327C7">
      <w:pPr>
        <w:numPr>
          <w:ilvl w:val="0"/>
          <w:numId w:val="18"/>
        </w:numPr>
        <w:bidi w:val="0"/>
        <w:ind w:left="0" w:leftChars="0" w:firstLine="560" w:firstLineChars="200"/>
        <w:rPr>
          <w:rFonts w:hint="default" w:eastAsia="宋体"/>
          <w:color w:val="auto"/>
          <w:lang w:val="en-US" w:eastAsia="zh-CN"/>
        </w:rPr>
      </w:pPr>
      <w:r>
        <w:rPr>
          <w:rFonts w:hint="eastAsia"/>
          <w:color w:val="auto"/>
        </w:rPr>
        <w:t>维护服务区广场的停车秩序，做好车辆的管理工作</w:t>
      </w:r>
      <w:r>
        <w:rPr>
          <w:rFonts w:hint="eastAsia"/>
          <w:color w:val="auto"/>
          <w:lang w:eastAsia="zh-CN"/>
        </w:rPr>
        <w:t>。</w:t>
      </w:r>
      <w:r>
        <w:rPr>
          <w:rFonts w:hint="eastAsia"/>
          <w:color w:val="auto"/>
          <w:lang w:val="en-US" w:eastAsia="zh-CN"/>
        </w:rPr>
        <w:t>节假日，车辆、人员较多时，应安排专人负责引导车辆、人员有序进出服务区。</w:t>
      </w:r>
    </w:p>
    <w:p w14:paraId="094595F6">
      <w:pPr>
        <w:numPr>
          <w:ilvl w:val="0"/>
          <w:numId w:val="18"/>
        </w:numPr>
        <w:bidi w:val="0"/>
        <w:ind w:left="0" w:leftChars="0" w:firstLine="560" w:firstLineChars="200"/>
        <w:rPr>
          <w:rFonts w:hint="eastAsia" w:eastAsia="宋体"/>
          <w:color w:val="auto"/>
          <w:lang w:eastAsia="zh-CN"/>
        </w:rPr>
      </w:pPr>
      <w:r>
        <w:rPr>
          <w:rFonts w:hint="eastAsia"/>
          <w:color w:val="auto"/>
        </w:rPr>
        <w:t>发现有横穿高速</w:t>
      </w:r>
      <w:r>
        <w:rPr>
          <w:rFonts w:hint="eastAsia"/>
          <w:color w:val="auto"/>
          <w:lang w:val="en-US" w:eastAsia="zh-CN"/>
        </w:rPr>
        <w:t>等违反交通规则情况</w:t>
      </w:r>
      <w:r>
        <w:rPr>
          <w:rFonts w:hint="eastAsia"/>
          <w:color w:val="auto"/>
        </w:rPr>
        <w:t>时，要及时加以劝阻、制止</w:t>
      </w:r>
      <w:r>
        <w:rPr>
          <w:rFonts w:hint="eastAsia"/>
          <w:color w:val="auto"/>
          <w:lang w:eastAsia="zh-CN"/>
        </w:rPr>
        <w:t>。</w:t>
      </w:r>
    </w:p>
    <w:p w14:paraId="1D2F57D2">
      <w:pPr>
        <w:numPr>
          <w:ilvl w:val="0"/>
          <w:numId w:val="18"/>
        </w:numPr>
        <w:bidi w:val="0"/>
        <w:ind w:left="0" w:leftChars="0" w:firstLine="560" w:firstLineChars="200"/>
        <w:rPr>
          <w:rFonts w:hint="eastAsia"/>
          <w:color w:val="auto"/>
          <w:lang w:val="en-US" w:eastAsia="zh-CN"/>
        </w:rPr>
      </w:pPr>
      <w:r>
        <w:rPr>
          <w:rFonts w:hint="eastAsia"/>
          <w:color w:val="auto"/>
          <w:lang w:val="en-US" w:eastAsia="zh-CN"/>
        </w:rPr>
        <w:t>应定期进行安全消防检查，及时提出不安全因素的整改意见，认真查处违反消防安全制度的人和事。</w:t>
      </w:r>
    </w:p>
    <w:p w14:paraId="7E4C367D">
      <w:pPr>
        <w:numPr>
          <w:ilvl w:val="0"/>
          <w:numId w:val="18"/>
        </w:numPr>
        <w:bidi w:val="0"/>
        <w:ind w:left="0" w:leftChars="0" w:firstLine="560" w:firstLineChars="200"/>
        <w:rPr>
          <w:rFonts w:hint="eastAsia"/>
          <w:color w:val="auto"/>
          <w:lang w:val="en-US" w:eastAsia="zh-CN"/>
        </w:rPr>
      </w:pPr>
      <w:r>
        <w:rPr>
          <w:rFonts w:hint="eastAsia"/>
          <w:color w:val="auto"/>
          <w:lang w:val="en-US" w:eastAsia="zh-CN"/>
        </w:rPr>
        <w:t>服务区各种消防设施做到布局合理、使用方便、性能可靠，严禁擅自改变</w:t>
      </w:r>
      <w:r>
        <w:rPr>
          <w:rFonts w:hint="eastAsia"/>
          <w:color w:val="auto"/>
          <w:lang w:val="en-US" w:eastAsia="zh-CN"/>
        </w:rPr>
        <w:fldChar w:fldCharType="begin"/>
      </w:r>
      <w:r>
        <w:rPr>
          <w:rFonts w:hint="eastAsia"/>
          <w:color w:val="auto"/>
          <w:lang w:val="en-US" w:eastAsia="zh-CN"/>
        </w:rPr>
        <w:instrText xml:space="preserve"> HYPERLINK "https://zhidao.baidu.com/search?word=%E5%BB%BA%E7%AD%91%E7%BB%93%E6%9E%84&amp;fr=iknow_pc_qb_highlight" </w:instrText>
      </w:r>
      <w:r>
        <w:rPr>
          <w:rFonts w:hint="eastAsia"/>
          <w:color w:val="auto"/>
          <w:lang w:val="en-US" w:eastAsia="zh-CN"/>
        </w:rPr>
        <w:fldChar w:fldCharType="separate"/>
      </w:r>
      <w:r>
        <w:rPr>
          <w:rFonts w:hint="eastAsia"/>
          <w:color w:val="auto"/>
          <w:lang w:val="en-US" w:eastAsia="zh-CN"/>
        </w:rPr>
        <w:t>建筑结构</w:t>
      </w:r>
      <w:r>
        <w:rPr>
          <w:rFonts w:hint="eastAsia"/>
          <w:color w:val="auto"/>
          <w:lang w:val="en-US" w:eastAsia="zh-CN"/>
        </w:rPr>
        <w:fldChar w:fldCharType="end"/>
      </w:r>
      <w:r>
        <w:rPr>
          <w:rFonts w:hint="eastAsia"/>
          <w:color w:val="auto"/>
          <w:lang w:val="en-US" w:eastAsia="zh-CN"/>
        </w:rPr>
        <w:t>和用途，破坏原有防火分隔；严禁占用、堵塞、封闭疏散通道、安全出口；严禁违规使用、储存易燃易爆危险品。每月定期对消防器材进行检查，发现问题及时整改，建立消防安全检查台帐。</w:t>
      </w:r>
    </w:p>
    <w:p w14:paraId="399FC348">
      <w:pPr>
        <w:numPr>
          <w:ilvl w:val="0"/>
          <w:numId w:val="18"/>
        </w:numPr>
        <w:bidi w:val="0"/>
        <w:ind w:left="0" w:leftChars="0" w:firstLine="560" w:firstLineChars="200"/>
        <w:rPr>
          <w:rFonts w:hint="eastAsia"/>
          <w:color w:val="auto"/>
          <w:lang w:val="en-US" w:eastAsia="zh-CN"/>
        </w:rPr>
      </w:pPr>
      <w:r>
        <w:rPr>
          <w:rFonts w:hint="eastAsia"/>
          <w:color w:val="auto"/>
          <w:lang w:val="en-US" w:eastAsia="zh-CN"/>
        </w:rPr>
        <w:t>不断完善消防设施，建立消防器材配备管理台帐。</w:t>
      </w:r>
    </w:p>
    <w:p w14:paraId="3E11DA80">
      <w:pPr>
        <w:numPr>
          <w:ilvl w:val="0"/>
          <w:numId w:val="18"/>
        </w:numPr>
        <w:bidi w:val="0"/>
        <w:ind w:left="0" w:leftChars="0" w:firstLine="560" w:firstLineChars="200"/>
        <w:rPr>
          <w:rFonts w:hint="eastAsia"/>
          <w:color w:val="auto"/>
          <w:lang w:val="en-US" w:eastAsia="zh-CN"/>
        </w:rPr>
      </w:pPr>
      <w:r>
        <w:rPr>
          <w:rFonts w:hint="eastAsia"/>
          <w:color w:val="auto"/>
          <w:lang w:val="en-US" w:eastAsia="zh-CN"/>
        </w:rPr>
        <w:t>凡特殊工作岗位作业人员都必须持证上岗，严格遵守有关安全规章制度。</w:t>
      </w:r>
    </w:p>
    <w:p w14:paraId="33734C21">
      <w:pPr>
        <w:numPr>
          <w:ilvl w:val="0"/>
          <w:numId w:val="18"/>
        </w:numPr>
        <w:bidi w:val="0"/>
        <w:ind w:left="0" w:leftChars="0" w:firstLine="560" w:firstLineChars="200"/>
        <w:rPr>
          <w:rFonts w:hint="eastAsia"/>
          <w:color w:val="auto"/>
          <w:lang w:val="en-US" w:eastAsia="zh-CN"/>
        </w:rPr>
      </w:pPr>
      <w:r>
        <w:rPr>
          <w:rFonts w:hint="eastAsia"/>
          <w:color w:val="auto"/>
          <w:lang w:val="en-US" w:eastAsia="zh-CN"/>
        </w:rPr>
        <w:t>组织员工开展消防安全意识教育以及消防知识的学习，普及消防安全工作，使服务区人员人人掌握消防常识，提高自救力，并会使用消防器材。</w:t>
      </w:r>
    </w:p>
    <w:p w14:paraId="0DC59CD4">
      <w:pPr>
        <w:numPr>
          <w:ilvl w:val="0"/>
          <w:numId w:val="18"/>
        </w:numPr>
        <w:bidi w:val="0"/>
        <w:ind w:left="0" w:leftChars="0" w:firstLine="560" w:firstLineChars="200"/>
        <w:rPr>
          <w:rFonts w:hint="eastAsia" w:eastAsia="宋体"/>
          <w:color w:val="auto"/>
          <w:lang w:eastAsia="zh-CN"/>
        </w:rPr>
      </w:pPr>
      <w:r>
        <w:rPr>
          <w:rFonts w:hint="eastAsia"/>
          <w:color w:val="auto"/>
        </w:rPr>
        <w:t>定期做好灭火器材的维护保养和检查工作，每月检查不少于一次</w:t>
      </w:r>
      <w:r>
        <w:rPr>
          <w:rFonts w:hint="eastAsia"/>
          <w:color w:val="auto"/>
          <w:lang w:eastAsia="zh-CN"/>
        </w:rPr>
        <w:t>，</w:t>
      </w:r>
      <w:r>
        <w:rPr>
          <w:rFonts w:hint="eastAsia"/>
          <w:color w:val="auto"/>
        </w:rPr>
        <w:t>保证灭火器材完好与有效</w:t>
      </w:r>
      <w:r>
        <w:rPr>
          <w:rFonts w:hint="eastAsia"/>
          <w:color w:val="auto"/>
          <w:lang w:eastAsia="zh-CN"/>
        </w:rPr>
        <w:t>。</w:t>
      </w:r>
    </w:p>
    <w:p w14:paraId="37337CAB">
      <w:pPr>
        <w:numPr>
          <w:ilvl w:val="0"/>
          <w:numId w:val="18"/>
        </w:numPr>
        <w:bidi w:val="0"/>
        <w:ind w:left="0" w:leftChars="0" w:firstLine="560" w:firstLineChars="200"/>
        <w:rPr>
          <w:rFonts w:hint="eastAsia" w:eastAsia="宋体"/>
          <w:color w:val="auto"/>
          <w:lang w:eastAsia="zh-CN"/>
        </w:rPr>
      </w:pPr>
      <w:r>
        <w:rPr>
          <w:rFonts w:hint="eastAsia"/>
          <w:color w:val="auto"/>
        </w:rPr>
        <w:t>消防水带在使用完毕后，应晒干、卷好放回原处</w:t>
      </w:r>
      <w:r>
        <w:rPr>
          <w:rFonts w:hint="eastAsia"/>
          <w:color w:val="auto"/>
          <w:lang w:eastAsia="zh-CN"/>
        </w:rPr>
        <w:t>。</w:t>
      </w:r>
    </w:p>
    <w:p w14:paraId="27741C1A">
      <w:pPr>
        <w:numPr>
          <w:ilvl w:val="0"/>
          <w:numId w:val="18"/>
        </w:numPr>
        <w:bidi w:val="0"/>
        <w:ind w:left="0" w:leftChars="0" w:firstLine="560" w:firstLineChars="200"/>
        <w:rPr>
          <w:rFonts w:hint="eastAsia"/>
          <w:color w:val="auto"/>
          <w:lang w:val="en-US" w:eastAsia="zh-CN"/>
        </w:rPr>
      </w:pPr>
      <w:r>
        <w:rPr>
          <w:rFonts w:hint="eastAsia"/>
          <w:color w:val="auto"/>
          <w:lang w:val="en-US" w:eastAsia="zh-CN"/>
        </w:rPr>
        <w:t>服务区经营维修站的应向所在地县级道路运输管理机构提出申请,并取得相应类别的维修经营许可证。</w:t>
      </w:r>
    </w:p>
    <w:p w14:paraId="70006D60">
      <w:pPr>
        <w:numPr>
          <w:ilvl w:val="0"/>
          <w:numId w:val="18"/>
        </w:numPr>
        <w:bidi w:val="0"/>
        <w:ind w:left="0" w:leftChars="0" w:firstLine="560" w:firstLineChars="200"/>
        <w:rPr>
          <w:rFonts w:hint="eastAsia"/>
          <w:color w:val="auto"/>
          <w:lang w:val="en-US" w:eastAsia="zh-CN"/>
        </w:rPr>
      </w:pPr>
      <w:r>
        <w:rPr>
          <w:rFonts w:hint="eastAsia"/>
          <w:color w:val="auto"/>
          <w:lang w:val="en-US" w:eastAsia="zh-CN"/>
        </w:rPr>
        <w:t>汽修站内使用有机溶剂清洗和喷漆的工段，当超过3个车位时，均应采用防火隔墙等分隔措施。</w:t>
      </w:r>
    </w:p>
    <w:p w14:paraId="7FB29E9A">
      <w:pPr>
        <w:numPr>
          <w:ilvl w:val="0"/>
          <w:numId w:val="18"/>
        </w:numPr>
        <w:bidi w:val="0"/>
        <w:ind w:left="0" w:leftChars="0" w:firstLine="560" w:firstLineChars="200"/>
        <w:rPr>
          <w:rFonts w:hint="eastAsia"/>
          <w:color w:val="auto"/>
          <w:lang w:val="en-US" w:eastAsia="zh-CN"/>
        </w:rPr>
      </w:pPr>
      <w:r>
        <w:rPr>
          <w:rFonts w:hint="eastAsia"/>
          <w:color w:val="auto"/>
          <w:lang w:val="en-US" w:eastAsia="zh-CN"/>
        </w:rPr>
        <w:t>汽修站内不应设置汽油罐、加油机、液化石油气或液化天然气储罐、加气机。</w:t>
      </w:r>
    </w:p>
    <w:p w14:paraId="09021422">
      <w:pPr>
        <w:numPr>
          <w:ilvl w:val="0"/>
          <w:numId w:val="18"/>
        </w:numPr>
        <w:bidi w:val="0"/>
        <w:ind w:left="0" w:leftChars="0" w:firstLine="560" w:firstLineChars="200"/>
        <w:rPr>
          <w:rFonts w:hint="eastAsia"/>
          <w:color w:val="auto"/>
          <w:lang w:val="en-US" w:eastAsia="zh-CN"/>
        </w:rPr>
      </w:pPr>
      <w:r>
        <w:rPr>
          <w:rFonts w:hint="eastAsia"/>
          <w:color w:val="auto"/>
          <w:lang w:val="en-US" w:eastAsia="zh-CN"/>
        </w:rPr>
        <w:t>汽修安全注意事项：</w:t>
      </w:r>
    </w:p>
    <w:p w14:paraId="145D861F">
      <w:pPr>
        <w:bidi w:val="0"/>
        <w:rPr>
          <w:rFonts w:hint="default"/>
          <w:color w:val="auto"/>
          <w:lang w:val="en-US" w:eastAsia="zh-CN"/>
        </w:rPr>
      </w:pPr>
      <w:r>
        <w:rPr>
          <w:rFonts w:hint="eastAsia"/>
          <w:color w:val="auto"/>
          <w:lang w:val="en-US" w:eastAsia="zh-CN"/>
        </w:rPr>
        <w:t>1）、</w:t>
      </w:r>
      <w:r>
        <w:rPr>
          <w:rFonts w:hint="default"/>
          <w:color w:val="auto"/>
          <w:lang w:val="en-US" w:eastAsia="zh-CN"/>
        </w:rPr>
        <w:t>当易燃易爆品车辆维修时，应确保车辆无危险和周边无明火操作的前提下才可维修</w:t>
      </w:r>
      <w:r>
        <w:rPr>
          <w:rFonts w:hint="eastAsia"/>
          <w:color w:val="auto"/>
          <w:lang w:val="en-US" w:eastAsia="zh-CN"/>
        </w:rPr>
        <w:t>。</w:t>
      </w:r>
    </w:p>
    <w:p w14:paraId="64F21238">
      <w:pPr>
        <w:bidi w:val="0"/>
        <w:rPr>
          <w:rFonts w:hint="default"/>
          <w:color w:val="auto"/>
          <w:lang w:val="en-US" w:eastAsia="zh-CN"/>
        </w:rPr>
      </w:pPr>
      <w:r>
        <w:rPr>
          <w:rFonts w:hint="eastAsia"/>
          <w:color w:val="auto"/>
          <w:lang w:val="en-US" w:eastAsia="zh-CN"/>
        </w:rPr>
        <w:t>2）、</w:t>
      </w:r>
      <w:r>
        <w:rPr>
          <w:rFonts w:hint="default"/>
          <w:color w:val="auto"/>
          <w:lang w:val="en-US" w:eastAsia="zh-CN"/>
        </w:rPr>
        <w:t>当气割、气焊、明火操作时，氧气和乙炔摆放距离应不得少于5米，并在乙块减压阀上安装回火装置，确保安全的前提下操作</w:t>
      </w:r>
      <w:r>
        <w:rPr>
          <w:rFonts w:hint="eastAsia"/>
          <w:color w:val="auto"/>
          <w:lang w:val="en-US" w:eastAsia="zh-CN"/>
        </w:rPr>
        <w:t>。</w:t>
      </w:r>
    </w:p>
    <w:p w14:paraId="4C1C46CA">
      <w:pPr>
        <w:bidi w:val="0"/>
        <w:rPr>
          <w:rFonts w:hint="default"/>
          <w:color w:val="auto"/>
          <w:lang w:val="en-US" w:eastAsia="zh-CN"/>
        </w:rPr>
      </w:pPr>
      <w:r>
        <w:rPr>
          <w:rFonts w:hint="eastAsia"/>
          <w:color w:val="auto"/>
          <w:lang w:val="en-US" w:eastAsia="zh-CN"/>
        </w:rPr>
        <w:t>3）</w:t>
      </w:r>
      <w:r>
        <w:rPr>
          <w:rFonts w:hint="default"/>
          <w:color w:val="auto"/>
          <w:lang w:val="en-US" w:eastAsia="zh-CN"/>
        </w:rPr>
        <w:t>、当拆装起动机时，应等排气管冷却后方可修理</w:t>
      </w:r>
      <w:r>
        <w:rPr>
          <w:rFonts w:hint="eastAsia"/>
          <w:color w:val="auto"/>
          <w:lang w:val="en-US" w:eastAsia="zh-CN"/>
        </w:rPr>
        <w:t>。</w:t>
      </w:r>
    </w:p>
    <w:p w14:paraId="635700DD">
      <w:pPr>
        <w:bidi w:val="0"/>
        <w:rPr>
          <w:rFonts w:hint="default"/>
          <w:color w:val="auto"/>
          <w:lang w:val="en-US" w:eastAsia="zh-CN"/>
        </w:rPr>
      </w:pPr>
      <w:r>
        <w:rPr>
          <w:rFonts w:hint="eastAsia"/>
          <w:color w:val="auto"/>
          <w:lang w:val="en-US" w:eastAsia="zh-CN"/>
        </w:rPr>
        <w:t>4）</w:t>
      </w:r>
      <w:r>
        <w:rPr>
          <w:rFonts w:hint="default"/>
          <w:color w:val="auto"/>
          <w:lang w:val="en-US" w:eastAsia="zh-CN"/>
        </w:rPr>
        <w:t>、当水冲轮胎时，应防止轮胎过热引发爆炸，等轮胎冷却后，还看轮胎质量好坏是否可操作</w:t>
      </w:r>
      <w:r>
        <w:rPr>
          <w:rFonts w:hint="eastAsia"/>
          <w:color w:val="auto"/>
          <w:lang w:val="en-US" w:eastAsia="zh-CN"/>
        </w:rPr>
        <w:t>。</w:t>
      </w:r>
    </w:p>
    <w:p w14:paraId="3FBDB34E">
      <w:pPr>
        <w:bidi w:val="0"/>
        <w:rPr>
          <w:rFonts w:hint="default" w:eastAsia="宋体"/>
          <w:color w:val="auto"/>
          <w:lang w:val="en-US" w:eastAsia="zh-CN"/>
        </w:rPr>
      </w:pPr>
      <w:r>
        <w:rPr>
          <w:rFonts w:hint="eastAsia"/>
          <w:color w:val="auto"/>
          <w:lang w:val="en-US" w:eastAsia="zh-CN"/>
        </w:rPr>
        <w:t>28、</w:t>
      </w:r>
      <w:r>
        <w:rPr>
          <w:rFonts w:hint="eastAsia"/>
          <w:color w:val="auto"/>
          <w:sz w:val="28"/>
          <w:szCs w:val="28"/>
          <w:lang w:val="en-US" w:eastAsia="zh-CN"/>
        </w:rPr>
        <w:t>服务区应做好承包单位和承租单位等的资质审查工作，必须与承包单位和承租单位签订安全生产管理协议，明确各自的安全生产管理职责，并对承包单位和承租单位的安全生产进行统一协调和管理。</w:t>
      </w:r>
    </w:p>
    <w:p w14:paraId="3DFD62DD">
      <w:pPr>
        <w:rPr>
          <w:rFonts w:hint="eastAsia"/>
          <w:color w:val="auto"/>
          <w:lang w:eastAsia="zh-CN"/>
        </w:rPr>
      </w:pPr>
      <w:bookmarkStart w:id="158" w:name="_Toc23637"/>
      <w:bookmarkStart w:id="159" w:name="_Toc15197"/>
      <w:r>
        <w:rPr>
          <w:rFonts w:hint="eastAsia"/>
          <w:color w:val="auto"/>
          <w:lang w:eastAsia="zh-CN"/>
        </w:rPr>
        <w:br w:type="page"/>
      </w:r>
    </w:p>
    <w:p w14:paraId="5A1D4DDE">
      <w:pPr>
        <w:pStyle w:val="4"/>
        <w:rPr>
          <w:color w:val="auto"/>
          <w:sz w:val="32"/>
          <w:szCs w:val="32"/>
        </w:rPr>
      </w:pPr>
      <w:bookmarkStart w:id="160" w:name="_Toc6844"/>
      <w:r>
        <w:rPr>
          <w:rFonts w:hint="eastAsia"/>
          <w:color w:val="auto"/>
          <w:lang w:eastAsia="zh-CN"/>
        </w:rPr>
        <w:t xml:space="preserve">8 </w:t>
      </w:r>
      <w:r>
        <w:rPr>
          <w:color w:val="auto"/>
          <w:lang w:eastAsia="zh-CN"/>
        </w:rPr>
        <w:t>评价结论及建议</w:t>
      </w:r>
      <w:bookmarkEnd w:id="158"/>
      <w:bookmarkEnd w:id="159"/>
      <w:bookmarkEnd w:id="160"/>
    </w:p>
    <w:p w14:paraId="2C3F1C89">
      <w:pPr>
        <w:pStyle w:val="5"/>
        <w:rPr>
          <w:color w:val="auto"/>
        </w:rPr>
      </w:pPr>
      <w:bookmarkStart w:id="161" w:name="_Toc1132"/>
      <w:bookmarkStart w:id="162" w:name="_Toc21782"/>
      <w:bookmarkStart w:id="163" w:name="_Toc7321"/>
      <w:r>
        <w:rPr>
          <w:rFonts w:hint="eastAsia"/>
          <w:color w:val="auto"/>
        </w:rPr>
        <w:t>8</w:t>
      </w:r>
      <w:r>
        <w:rPr>
          <w:color w:val="auto"/>
        </w:rPr>
        <w:t>.1</w:t>
      </w:r>
      <w:r>
        <w:rPr>
          <w:rFonts w:hint="eastAsia"/>
          <w:color w:val="auto"/>
        </w:rPr>
        <w:t>项目评价综述</w:t>
      </w:r>
      <w:bookmarkEnd w:id="161"/>
      <w:bookmarkEnd w:id="162"/>
      <w:bookmarkEnd w:id="163"/>
    </w:p>
    <w:p w14:paraId="1B66DC06">
      <w:pPr>
        <w:spacing w:line="600" w:lineRule="exact"/>
        <w:ind w:firstLine="560" w:firstLineChars="200"/>
        <w:rPr>
          <w:color w:val="auto"/>
          <w:sz w:val="28"/>
        </w:rPr>
      </w:pPr>
      <w:r>
        <w:rPr>
          <w:color w:val="auto"/>
          <w:sz w:val="28"/>
        </w:rPr>
        <w:t>通过对</w:t>
      </w:r>
      <w:r>
        <w:rPr>
          <w:rFonts w:hint="eastAsia"/>
          <w:color w:val="auto"/>
          <w:sz w:val="28"/>
          <w:szCs w:val="28"/>
          <w:lang w:eastAsia="zh-CN"/>
        </w:rPr>
        <w:t>江西省交通投资集团有限责任公司大广高速修水服务区提质升级改造项目</w:t>
      </w:r>
      <w:r>
        <w:rPr>
          <w:color w:val="auto"/>
          <w:sz w:val="28"/>
        </w:rPr>
        <w:t>的危险、有害分析及定性、定量分析，结果为：</w:t>
      </w:r>
    </w:p>
    <w:p w14:paraId="5AA426CD">
      <w:pPr>
        <w:adjustRightInd w:val="0"/>
        <w:snapToGrid w:val="0"/>
        <w:spacing w:line="600" w:lineRule="exact"/>
        <w:ind w:firstLine="560" w:firstLineChars="200"/>
        <w:rPr>
          <w:rFonts w:hint="eastAsia"/>
          <w:color w:val="auto"/>
          <w:sz w:val="28"/>
        </w:rPr>
      </w:pPr>
      <w:r>
        <w:rPr>
          <w:rFonts w:hint="eastAsia"/>
          <w:color w:val="auto"/>
          <w:sz w:val="28"/>
        </w:rPr>
        <w:t>1、</w:t>
      </w:r>
      <w:r>
        <w:rPr>
          <w:color w:val="auto"/>
          <w:sz w:val="28"/>
        </w:rPr>
        <w:t>本项目存在</w:t>
      </w:r>
      <w:r>
        <w:rPr>
          <w:rFonts w:hint="eastAsia"/>
          <w:color w:val="auto"/>
          <w:sz w:val="28"/>
        </w:rPr>
        <w:t>的主要</w:t>
      </w:r>
      <w:r>
        <w:rPr>
          <w:color w:val="auto"/>
          <w:sz w:val="28"/>
        </w:rPr>
        <w:t>危险因素有</w:t>
      </w:r>
      <w:r>
        <w:rPr>
          <w:rFonts w:hint="eastAsia"/>
          <w:color w:val="auto"/>
          <w:sz w:val="28"/>
        </w:rPr>
        <w:t>触电、</w:t>
      </w:r>
      <w:r>
        <w:rPr>
          <w:color w:val="auto"/>
          <w:sz w:val="28"/>
        </w:rPr>
        <w:t>火灾</w:t>
      </w:r>
      <w:r>
        <w:rPr>
          <w:rFonts w:hint="eastAsia"/>
          <w:color w:val="auto"/>
          <w:sz w:val="28"/>
        </w:rPr>
        <w:t>和</w:t>
      </w:r>
      <w:r>
        <w:rPr>
          <w:color w:val="auto"/>
          <w:sz w:val="28"/>
        </w:rPr>
        <w:t>爆炸</w:t>
      </w:r>
      <w:r>
        <w:rPr>
          <w:rFonts w:hint="eastAsia"/>
          <w:color w:val="auto"/>
          <w:sz w:val="28"/>
        </w:rPr>
        <w:t>、</w:t>
      </w:r>
      <w:r>
        <w:rPr>
          <w:color w:val="auto"/>
          <w:sz w:val="28"/>
        </w:rPr>
        <w:t>车辆伤害</w:t>
      </w:r>
      <w:r>
        <w:rPr>
          <w:rFonts w:hint="eastAsia"/>
          <w:color w:val="auto"/>
          <w:sz w:val="28"/>
        </w:rPr>
        <w:t>、物体打击、</w:t>
      </w:r>
      <w:r>
        <w:rPr>
          <w:rFonts w:hint="eastAsia"/>
          <w:color w:val="auto"/>
          <w:sz w:val="28"/>
          <w:lang w:val="en-US" w:eastAsia="zh-CN"/>
        </w:rPr>
        <w:t>机械伤害</w:t>
      </w:r>
      <w:r>
        <w:rPr>
          <w:color w:val="auto"/>
          <w:sz w:val="28"/>
        </w:rPr>
        <w:t>等</w:t>
      </w:r>
      <w:r>
        <w:rPr>
          <w:rFonts w:hint="eastAsia"/>
          <w:color w:val="auto"/>
          <w:sz w:val="28"/>
        </w:rPr>
        <w:t>；主要有害因素有噪声、高温等。</w:t>
      </w:r>
      <w:r>
        <w:rPr>
          <w:color w:val="auto"/>
          <w:sz w:val="28"/>
          <w:szCs w:val="28"/>
        </w:rPr>
        <w:t>需重点防范的危险有害因素为</w:t>
      </w:r>
      <w:r>
        <w:rPr>
          <w:rFonts w:hint="eastAsia"/>
          <w:color w:val="auto"/>
          <w:sz w:val="28"/>
          <w:szCs w:val="28"/>
        </w:rPr>
        <w:t>触电、</w:t>
      </w:r>
      <w:r>
        <w:rPr>
          <w:color w:val="auto"/>
          <w:sz w:val="28"/>
          <w:szCs w:val="28"/>
        </w:rPr>
        <w:t>火灾</w:t>
      </w:r>
      <w:r>
        <w:rPr>
          <w:rFonts w:hint="eastAsia"/>
          <w:color w:val="auto"/>
          <w:sz w:val="28"/>
          <w:szCs w:val="28"/>
        </w:rPr>
        <w:t>。</w:t>
      </w:r>
    </w:p>
    <w:p w14:paraId="52BCFFDE">
      <w:pPr>
        <w:autoSpaceDE w:val="0"/>
        <w:autoSpaceDN w:val="0"/>
        <w:adjustRightInd w:val="0"/>
        <w:spacing w:line="600" w:lineRule="exact"/>
        <w:ind w:firstLine="560" w:firstLineChars="200"/>
        <w:rPr>
          <w:color w:val="auto"/>
        </w:rPr>
      </w:pPr>
      <w:r>
        <w:rPr>
          <w:rFonts w:hint="eastAsia"/>
          <w:color w:val="auto"/>
          <w:sz w:val="28"/>
          <w:lang w:val="en-US" w:eastAsia="zh-CN"/>
        </w:rPr>
        <w:t>2</w:t>
      </w:r>
      <w:r>
        <w:rPr>
          <w:color w:val="auto"/>
          <w:sz w:val="28"/>
        </w:rPr>
        <w:t>、预先危险分析表明火灾、爆炸</w:t>
      </w:r>
      <w:r>
        <w:rPr>
          <w:rFonts w:hint="eastAsia"/>
          <w:color w:val="auto"/>
          <w:sz w:val="28"/>
        </w:rPr>
        <w:t>，</w:t>
      </w:r>
      <w:r>
        <w:rPr>
          <w:color w:val="auto"/>
          <w:sz w:val="28"/>
        </w:rPr>
        <w:t>触电的危险等级为</w:t>
      </w:r>
      <w:r>
        <w:rPr>
          <w:b/>
          <w:bCs/>
          <w:color w:val="auto"/>
          <w:sz w:val="28"/>
        </w:rPr>
        <w:t>Ⅲ</w:t>
      </w:r>
      <w:r>
        <w:rPr>
          <w:color w:val="auto"/>
          <w:sz w:val="28"/>
        </w:rPr>
        <w:t>级，其余危险等级为</w:t>
      </w:r>
      <w:r>
        <w:rPr>
          <w:b/>
          <w:bCs/>
          <w:color w:val="auto"/>
          <w:sz w:val="28"/>
        </w:rPr>
        <w:t>Ⅱ</w:t>
      </w:r>
      <w:r>
        <w:rPr>
          <w:color w:val="auto"/>
          <w:sz w:val="28"/>
        </w:rPr>
        <w:t>级。</w:t>
      </w:r>
    </w:p>
    <w:p w14:paraId="4BC8916D">
      <w:pPr>
        <w:spacing w:line="600" w:lineRule="exact"/>
        <w:ind w:firstLine="560" w:firstLineChars="200"/>
        <w:rPr>
          <w:bCs/>
          <w:color w:val="auto"/>
          <w:sz w:val="28"/>
          <w:szCs w:val="21"/>
        </w:rPr>
      </w:pPr>
      <w:r>
        <w:rPr>
          <w:rFonts w:hint="eastAsia"/>
          <w:color w:val="auto"/>
          <w:sz w:val="28"/>
          <w:lang w:val="en-US" w:eastAsia="zh-CN"/>
        </w:rPr>
        <w:t>4</w:t>
      </w:r>
      <w:r>
        <w:rPr>
          <w:color w:val="auto"/>
          <w:sz w:val="28"/>
        </w:rPr>
        <w:t>、从作业条件危险性分析</w:t>
      </w:r>
      <w:r>
        <w:rPr>
          <w:bCs/>
          <w:color w:val="auto"/>
          <w:sz w:val="28"/>
          <w:szCs w:val="21"/>
        </w:rPr>
        <w:t>结果可以看出，在选定的单元中作业条件</w:t>
      </w:r>
      <w:r>
        <w:rPr>
          <w:rFonts w:hAnsi="宋体"/>
          <w:bCs/>
          <w:color w:val="auto"/>
          <w:spacing w:val="-4"/>
          <w:sz w:val="28"/>
          <w:szCs w:val="28"/>
        </w:rPr>
        <w:t>均在</w:t>
      </w:r>
      <w:r>
        <w:rPr>
          <w:rFonts w:hint="eastAsia" w:hAnsi="宋体"/>
          <w:bCs/>
          <w:color w:val="auto"/>
          <w:spacing w:val="-4"/>
          <w:sz w:val="28"/>
          <w:szCs w:val="28"/>
        </w:rPr>
        <w:t>“</w:t>
      </w:r>
      <w:r>
        <w:rPr>
          <w:rFonts w:hAnsi="宋体"/>
          <w:color w:val="auto"/>
          <w:spacing w:val="-4"/>
          <w:sz w:val="28"/>
          <w:szCs w:val="28"/>
        </w:rPr>
        <w:t>一般危险</w:t>
      </w:r>
      <w:r>
        <w:rPr>
          <w:rFonts w:hint="eastAsia" w:hAnsi="宋体"/>
          <w:color w:val="auto"/>
          <w:spacing w:val="-4"/>
          <w:sz w:val="28"/>
          <w:szCs w:val="28"/>
        </w:rPr>
        <w:t>”“稍有危险</w:t>
      </w:r>
      <w:r>
        <w:rPr>
          <w:rFonts w:hint="eastAsia" w:hAnsi="宋体"/>
          <w:bCs/>
          <w:color w:val="auto"/>
          <w:spacing w:val="-4"/>
          <w:sz w:val="28"/>
          <w:szCs w:val="28"/>
        </w:rPr>
        <w:t>”</w:t>
      </w:r>
      <w:r>
        <w:rPr>
          <w:rFonts w:hAnsi="宋体"/>
          <w:bCs/>
          <w:color w:val="auto"/>
          <w:spacing w:val="-4"/>
          <w:sz w:val="28"/>
          <w:szCs w:val="28"/>
        </w:rPr>
        <w:t>范围，作业条件相对安全。</w:t>
      </w:r>
    </w:p>
    <w:p w14:paraId="246C6D1C">
      <w:pPr>
        <w:spacing w:line="600" w:lineRule="exact"/>
        <w:ind w:firstLine="560" w:firstLineChars="200"/>
        <w:rPr>
          <w:color w:val="auto"/>
          <w:sz w:val="28"/>
        </w:rPr>
      </w:pPr>
      <w:r>
        <w:rPr>
          <w:rFonts w:hint="eastAsia"/>
          <w:color w:val="auto"/>
          <w:sz w:val="28"/>
          <w:lang w:val="en-US" w:eastAsia="zh-CN"/>
        </w:rPr>
        <w:t>5</w:t>
      </w:r>
      <w:r>
        <w:rPr>
          <w:color w:val="auto"/>
          <w:sz w:val="28"/>
        </w:rPr>
        <w:t>、</w:t>
      </w:r>
      <w:r>
        <w:rPr>
          <w:rFonts w:hint="eastAsia"/>
          <w:color w:val="auto"/>
          <w:sz w:val="28"/>
          <w:lang w:val="en-US" w:eastAsia="zh-CN"/>
        </w:rPr>
        <w:t>本项目为原址扩建，</w:t>
      </w:r>
      <w:r>
        <w:rPr>
          <w:color w:val="auto"/>
          <w:sz w:val="28"/>
          <w:szCs w:val="28"/>
        </w:rPr>
        <w:t>选址能够符合当地规划，外部环境总体相对安全</w:t>
      </w:r>
      <w:r>
        <w:rPr>
          <w:bCs/>
          <w:color w:val="auto"/>
          <w:sz w:val="28"/>
          <w:szCs w:val="28"/>
        </w:rPr>
        <w:t>。</w:t>
      </w:r>
    </w:p>
    <w:p w14:paraId="37EEB881">
      <w:pPr>
        <w:snapToGrid w:val="0"/>
        <w:spacing w:line="600" w:lineRule="exact"/>
        <w:ind w:firstLine="560" w:firstLineChars="200"/>
        <w:rPr>
          <w:color w:val="auto"/>
          <w:sz w:val="28"/>
        </w:rPr>
      </w:pPr>
      <w:r>
        <w:rPr>
          <w:rFonts w:hint="eastAsia"/>
          <w:color w:val="auto"/>
          <w:sz w:val="28"/>
          <w:lang w:val="en-US" w:eastAsia="zh-CN"/>
        </w:rPr>
        <w:t>6</w:t>
      </w:r>
      <w:r>
        <w:rPr>
          <w:color w:val="auto"/>
          <w:sz w:val="28"/>
        </w:rPr>
        <w:t>、本</w:t>
      </w:r>
      <w:r>
        <w:rPr>
          <w:rFonts w:hint="eastAsia"/>
          <w:color w:val="auto"/>
          <w:sz w:val="28"/>
        </w:rPr>
        <w:t>建设</w:t>
      </w:r>
      <w:r>
        <w:rPr>
          <w:color w:val="auto"/>
          <w:sz w:val="28"/>
        </w:rPr>
        <w:t>项目采用成熟的设备</w:t>
      </w:r>
      <w:r>
        <w:rPr>
          <w:rFonts w:hint="eastAsia"/>
          <w:color w:val="auto"/>
          <w:sz w:val="28"/>
          <w:lang w:val="en-US" w:eastAsia="zh-CN"/>
        </w:rPr>
        <w:t>设施</w:t>
      </w:r>
      <w:r>
        <w:rPr>
          <w:color w:val="auto"/>
          <w:sz w:val="28"/>
        </w:rPr>
        <w:t>，项目在严格按照国家相关法规、法规及技术标准制造、安装、检测检验的情况下，其安全生产风险程度在可接受范围。</w:t>
      </w:r>
    </w:p>
    <w:p w14:paraId="05B91D10">
      <w:pPr>
        <w:pStyle w:val="5"/>
        <w:rPr>
          <w:color w:val="auto"/>
        </w:rPr>
      </w:pPr>
      <w:bookmarkStart w:id="164" w:name="_Toc478378224"/>
      <w:bookmarkStart w:id="165" w:name="_Toc7574"/>
      <w:bookmarkStart w:id="166" w:name="_Toc382922582"/>
      <w:bookmarkStart w:id="167" w:name="_Toc28275"/>
      <w:r>
        <w:rPr>
          <w:color w:val="auto"/>
        </w:rPr>
        <w:t>8.</w:t>
      </w:r>
      <w:r>
        <w:rPr>
          <w:rFonts w:hint="eastAsia"/>
          <w:color w:val="auto"/>
          <w:lang w:val="en-US" w:eastAsia="zh-CN"/>
        </w:rPr>
        <w:t>2</w:t>
      </w:r>
      <w:r>
        <w:rPr>
          <w:color w:val="auto"/>
        </w:rPr>
        <w:t>建议</w:t>
      </w:r>
      <w:bookmarkEnd w:id="164"/>
      <w:bookmarkEnd w:id="165"/>
      <w:bookmarkEnd w:id="166"/>
      <w:bookmarkEnd w:id="167"/>
    </w:p>
    <w:p w14:paraId="64AF909E">
      <w:pPr>
        <w:snapToGrid w:val="0"/>
        <w:spacing w:line="600" w:lineRule="exact"/>
        <w:ind w:firstLine="560" w:firstLineChars="200"/>
        <w:rPr>
          <w:color w:val="auto"/>
          <w:sz w:val="28"/>
          <w:szCs w:val="28"/>
        </w:rPr>
      </w:pPr>
      <w:r>
        <w:rPr>
          <w:color w:val="auto"/>
          <w:sz w:val="28"/>
          <w:szCs w:val="28"/>
        </w:rPr>
        <w:t>1、该项目在设计、施工建设过程中应认真落实提出的安全对策措施，竣工后必须进行竣工检测检查及验收。</w:t>
      </w:r>
    </w:p>
    <w:p w14:paraId="3AE37208">
      <w:pPr>
        <w:snapToGrid w:val="0"/>
        <w:spacing w:line="600" w:lineRule="exact"/>
        <w:ind w:firstLine="560" w:firstLineChars="200"/>
        <w:rPr>
          <w:color w:val="auto"/>
          <w:sz w:val="28"/>
          <w:szCs w:val="28"/>
        </w:rPr>
      </w:pPr>
      <w:r>
        <w:rPr>
          <w:rFonts w:hint="eastAsia"/>
          <w:color w:val="auto"/>
          <w:sz w:val="28"/>
          <w:szCs w:val="28"/>
          <w:lang w:val="en-US" w:eastAsia="zh-CN"/>
        </w:rPr>
        <w:t>2</w:t>
      </w:r>
      <w:r>
        <w:rPr>
          <w:color w:val="auto"/>
          <w:sz w:val="28"/>
          <w:szCs w:val="28"/>
        </w:rPr>
        <w:t>、安全设施在施工、安装过程及完成后应经相应的检测检验。</w:t>
      </w:r>
    </w:p>
    <w:p w14:paraId="0342898D">
      <w:pPr>
        <w:snapToGrid w:val="0"/>
        <w:spacing w:line="600" w:lineRule="exact"/>
        <w:ind w:firstLine="560" w:firstLineChars="200"/>
        <w:rPr>
          <w:color w:val="auto"/>
          <w:sz w:val="28"/>
          <w:szCs w:val="28"/>
        </w:rPr>
      </w:pPr>
      <w:r>
        <w:rPr>
          <w:rFonts w:hint="eastAsia"/>
          <w:color w:val="auto"/>
          <w:sz w:val="28"/>
          <w:szCs w:val="28"/>
          <w:lang w:val="en-US" w:eastAsia="zh-CN"/>
        </w:rPr>
        <w:t>3</w:t>
      </w:r>
      <w:r>
        <w:rPr>
          <w:color w:val="auto"/>
          <w:sz w:val="28"/>
          <w:szCs w:val="28"/>
        </w:rPr>
        <w:t>、建立安全保证体系，实施安全标准化管理。</w:t>
      </w:r>
    </w:p>
    <w:p w14:paraId="05F90D53">
      <w:pPr>
        <w:snapToGrid w:val="0"/>
        <w:spacing w:line="600" w:lineRule="exact"/>
        <w:ind w:firstLine="560" w:firstLineChars="200"/>
        <w:rPr>
          <w:rFonts w:hint="eastAsia"/>
          <w:color w:val="auto"/>
          <w:sz w:val="28"/>
          <w:szCs w:val="28"/>
          <w:lang w:val="en-US" w:eastAsia="zh-CN"/>
        </w:rPr>
      </w:pPr>
      <w:r>
        <w:rPr>
          <w:rFonts w:hint="eastAsia"/>
          <w:color w:val="auto"/>
          <w:sz w:val="28"/>
          <w:szCs w:val="28"/>
          <w:lang w:val="en-US" w:eastAsia="zh-CN"/>
        </w:rPr>
        <w:t>4、</w:t>
      </w:r>
      <w:r>
        <w:rPr>
          <w:color w:val="auto"/>
          <w:sz w:val="28"/>
          <w:szCs w:val="28"/>
        </w:rPr>
        <w:t>该项目与原有加油站</w:t>
      </w:r>
      <w:r>
        <w:rPr>
          <w:rFonts w:hint="eastAsia"/>
          <w:color w:val="auto"/>
          <w:sz w:val="28"/>
          <w:szCs w:val="28"/>
          <w:lang w:val="en-US" w:eastAsia="zh-CN"/>
        </w:rPr>
        <w:t>属于同一经营区域内</w:t>
      </w:r>
      <w:r>
        <w:rPr>
          <w:color w:val="auto"/>
          <w:sz w:val="28"/>
          <w:szCs w:val="28"/>
        </w:rPr>
        <w:t>，该</w:t>
      </w:r>
      <w:r>
        <w:rPr>
          <w:rFonts w:hint="eastAsia"/>
          <w:color w:val="auto"/>
          <w:sz w:val="28"/>
          <w:szCs w:val="28"/>
          <w:lang w:val="en-US" w:eastAsia="zh-CN"/>
        </w:rPr>
        <w:t>服务区与加油站应强化安全共同管理，并签订安全协议。</w:t>
      </w:r>
    </w:p>
    <w:p w14:paraId="27703D43">
      <w:pPr>
        <w:pStyle w:val="2"/>
        <w:rPr>
          <w:rFonts w:hint="default"/>
          <w:color w:val="auto"/>
          <w:lang w:val="en-US"/>
        </w:rPr>
      </w:pPr>
      <w:r>
        <w:rPr>
          <w:rFonts w:hint="eastAsia"/>
          <w:color w:val="auto"/>
          <w:sz w:val="28"/>
          <w:szCs w:val="28"/>
          <w:lang w:val="en-US" w:eastAsia="zh-CN"/>
        </w:rPr>
        <w:t>5、服务区应做好承包单位和承租单位等的资质审查工作，必须与承包单位和承租单位签订安全生产管理协议，明确各自的安全生产管理职责，并对承包单位和承租单位的安全生产进行统一协调和管理。‌</w:t>
      </w:r>
    </w:p>
    <w:p w14:paraId="60A514D8">
      <w:pPr>
        <w:pStyle w:val="5"/>
        <w:rPr>
          <w:color w:val="auto"/>
        </w:rPr>
      </w:pPr>
      <w:bookmarkStart w:id="168" w:name="_Toc27259"/>
      <w:bookmarkStart w:id="169" w:name="_Toc10803"/>
      <w:bookmarkStart w:id="170" w:name="_Toc1549"/>
      <w:r>
        <w:rPr>
          <w:rFonts w:hint="eastAsia"/>
          <w:color w:val="auto"/>
        </w:rPr>
        <w:t>8</w:t>
      </w:r>
      <w:r>
        <w:rPr>
          <w:color w:val="auto"/>
        </w:rPr>
        <w:t>.</w:t>
      </w:r>
      <w:r>
        <w:rPr>
          <w:rFonts w:hint="eastAsia"/>
          <w:color w:val="auto"/>
          <w:lang w:val="en-US" w:eastAsia="zh-CN"/>
        </w:rPr>
        <w:t>3</w:t>
      </w:r>
      <w:r>
        <w:rPr>
          <w:color w:val="auto"/>
        </w:rPr>
        <w:t>评价结论</w:t>
      </w:r>
      <w:bookmarkEnd w:id="168"/>
      <w:bookmarkEnd w:id="169"/>
      <w:bookmarkEnd w:id="170"/>
    </w:p>
    <w:p w14:paraId="44532D2F">
      <w:pPr>
        <w:snapToGrid w:val="0"/>
        <w:spacing w:line="620" w:lineRule="exact"/>
        <w:ind w:firstLine="560" w:firstLineChars="200"/>
        <w:rPr>
          <w:rFonts w:hint="eastAsia"/>
          <w:color w:val="auto"/>
          <w:sz w:val="28"/>
          <w:szCs w:val="28"/>
        </w:rPr>
      </w:pPr>
      <w:r>
        <w:rPr>
          <w:bCs/>
          <w:color w:val="auto"/>
          <w:sz w:val="28"/>
          <w:szCs w:val="28"/>
        </w:rPr>
        <w:t>1</w:t>
      </w:r>
      <w:r>
        <w:rPr>
          <w:rFonts w:hAnsi="宋体"/>
          <w:bCs/>
          <w:color w:val="auto"/>
          <w:sz w:val="28"/>
          <w:szCs w:val="28"/>
        </w:rPr>
        <w:t>、</w:t>
      </w:r>
      <w:r>
        <w:rPr>
          <w:rFonts w:hint="eastAsia"/>
          <w:color w:val="auto"/>
          <w:sz w:val="28"/>
          <w:szCs w:val="28"/>
          <w:lang w:eastAsia="zh-CN"/>
        </w:rPr>
        <w:t>江西省交通投资集团有限责任公司大广高速修水服务区提质升级改造项目</w:t>
      </w:r>
      <w:r>
        <w:rPr>
          <w:rFonts w:hAnsi="宋体"/>
          <w:color w:val="auto"/>
          <w:sz w:val="28"/>
        </w:rPr>
        <w:t>采用的</w:t>
      </w:r>
      <w:r>
        <w:rPr>
          <w:rFonts w:hAnsi="宋体"/>
          <w:color w:val="auto"/>
          <w:sz w:val="28"/>
          <w:szCs w:val="28"/>
        </w:rPr>
        <w:t>设备设施成熟，且同类</w:t>
      </w:r>
      <w:r>
        <w:rPr>
          <w:rFonts w:hint="eastAsia" w:hAnsi="宋体"/>
          <w:color w:val="auto"/>
          <w:sz w:val="28"/>
          <w:szCs w:val="28"/>
        </w:rPr>
        <w:t>项目</w:t>
      </w:r>
      <w:r>
        <w:rPr>
          <w:rFonts w:hAnsi="宋体"/>
          <w:color w:val="auto"/>
          <w:sz w:val="28"/>
          <w:szCs w:val="28"/>
        </w:rPr>
        <w:t>在国内有</w:t>
      </w:r>
      <w:r>
        <w:rPr>
          <w:rFonts w:hint="eastAsia" w:hAnsi="宋体"/>
          <w:color w:val="auto"/>
          <w:sz w:val="28"/>
          <w:szCs w:val="28"/>
        </w:rPr>
        <w:t>许</w:t>
      </w:r>
      <w:r>
        <w:rPr>
          <w:rFonts w:hAnsi="宋体"/>
          <w:color w:val="auto"/>
          <w:sz w:val="28"/>
          <w:szCs w:val="28"/>
        </w:rPr>
        <w:t>多成功运行的先例，工程风险小</w:t>
      </w:r>
      <w:r>
        <w:rPr>
          <w:rFonts w:hint="eastAsia" w:hAnsi="宋体"/>
          <w:color w:val="auto"/>
          <w:sz w:val="28"/>
          <w:szCs w:val="28"/>
        </w:rPr>
        <w:t>。</w:t>
      </w:r>
    </w:p>
    <w:p w14:paraId="414C7F5F">
      <w:pPr>
        <w:snapToGrid w:val="0"/>
        <w:spacing w:line="620" w:lineRule="exact"/>
        <w:ind w:firstLine="560" w:firstLineChars="200"/>
        <w:rPr>
          <w:rFonts w:hint="eastAsia"/>
          <w:color w:val="auto"/>
          <w:sz w:val="28"/>
          <w:szCs w:val="28"/>
        </w:rPr>
      </w:pPr>
      <w:r>
        <w:rPr>
          <w:color w:val="auto"/>
          <w:sz w:val="28"/>
          <w:szCs w:val="28"/>
        </w:rPr>
        <w:t>2</w:t>
      </w:r>
      <w:r>
        <w:rPr>
          <w:rFonts w:hAnsi="宋体"/>
          <w:color w:val="auto"/>
          <w:sz w:val="28"/>
          <w:szCs w:val="28"/>
        </w:rPr>
        <w:t>、项目的建成能够为企业的发展带来新的</w:t>
      </w:r>
      <w:r>
        <w:rPr>
          <w:rFonts w:hint="eastAsia" w:hAnsi="宋体"/>
          <w:color w:val="auto"/>
          <w:sz w:val="28"/>
          <w:szCs w:val="28"/>
        </w:rPr>
        <w:t>增</w:t>
      </w:r>
      <w:r>
        <w:rPr>
          <w:rFonts w:hAnsi="宋体"/>
          <w:color w:val="auto"/>
          <w:sz w:val="28"/>
          <w:szCs w:val="28"/>
        </w:rPr>
        <w:t>长点，对活跃当地经济、为人民生活提供便利均具有积极意义；同时项目具有清洁经营、环境保护性好的特点，符合国家政策</w:t>
      </w:r>
      <w:r>
        <w:rPr>
          <w:rFonts w:hint="eastAsia" w:hAnsi="宋体"/>
          <w:color w:val="auto"/>
          <w:sz w:val="28"/>
          <w:szCs w:val="28"/>
        </w:rPr>
        <w:t>。</w:t>
      </w:r>
    </w:p>
    <w:p w14:paraId="1E26F7CB">
      <w:pPr>
        <w:spacing w:line="600" w:lineRule="exact"/>
        <w:ind w:firstLine="560" w:firstLineChars="200"/>
        <w:rPr>
          <w:rFonts w:hint="eastAsia"/>
          <w:color w:val="auto"/>
          <w:sz w:val="28"/>
          <w:szCs w:val="28"/>
        </w:rPr>
      </w:pPr>
      <w:r>
        <w:rPr>
          <w:color w:val="auto"/>
          <w:sz w:val="28"/>
          <w:szCs w:val="28"/>
        </w:rPr>
        <w:t>3</w:t>
      </w:r>
      <w:r>
        <w:rPr>
          <w:rFonts w:hAnsi="宋体"/>
          <w:color w:val="auto"/>
          <w:sz w:val="28"/>
          <w:szCs w:val="28"/>
        </w:rPr>
        <w:t>、</w:t>
      </w:r>
      <w:r>
        <w:rPr>
          <w:color w:val="auto"/>
          <w:sz w:val="28"/>
          <w:szCs w:val="28"/>
        </w:rPr>
        <w:t>项目选址</w:t>
      </w:r>
      <w:r>
        <w:rPr>
          <w:rFonts w:hint="eastAsia"/>
          <w:color w:val="auto"/>
          <w:sz w:val="28"/>
          <w:szCs w:val="28"/>
          <w:lang w:val="en-US" w:eastAsia="zh-CN"/>
        </w:rPr>
        <w:t>与</w:t>
      </w:r>
      <w:r>
        <w:rPr>
          <w:color w:val="auto"/>
          <w:sz w:val="28"/>
          <w:szCs w:val="28"/>
        </w:rPr>
        <w:t>外部环境</w:t>
      </w:r>
      <w:r>
        <w:rPr>
          <w:rFonts w:hint="eastAsia"/>
          <w:color w:val="auto"/>
          <w:sz w:val="28"/>
          <w:szCs w:val="28"/>
          <w:lang w:val="en-US" w:eastAsia="zh-CN"/>
        </w:rPr>
        <w:t>安全间距</w:t>
      </w:r>
      <w:r>
        <w:rPr>
          <w:color w:val="auto"/>
          <w:sz w:val="28"/>
          <w:szCs w:val="28"/>
        </w:rPr>
        <w:t>满足安全要求</w:t>
      </w:r>
      <w:r>
        <w:rPr>
          <w:rFonts w:hint="eastAsia" w:hAnsi="宋体"/>
          <w:color w:val="auto"/>
          <w:sz w:val="28"/>
          <w:szCs w:val="28"/>
        </w:rPr>
        <w:t>。</w:t>
      </w:r>
    </w:p>
    <w:p w14:paraId="227321CB">
      <w:pPr>
        <w:spacing w:line="600" w:lineRule="exact"/>
        <w:ind w:firstLine="554" w:firstLineChars="200"/>
        <w:rPr>
          <w:b/>
          <w:bCs/>
          <w:color w:val="auto"/>
          <w:spacing w:val="-2"/>
          <w:sz w:val="28"/>
          <w:szCs w:val="28"/>
        </w:rPr>
      </w:pPr>
      <w:r>
        <w:rPr>
          <w:b/>
          <w:color w:val="auto"/>
          <w:spacing w:val="-2"/>
          <w:sz w:val="28"/>
          <w:szCs w:val="28"/>
        </w:rPr>
        <w:t>综上所述：在项目建设和运行阶段，</w:t>
      </w:r>
      <w:r>
        <w:rPr>
          <w:rFonts w:hint="eastAsia"/>
          <w:b/>
          <w:color w:val="auto"/>
          <w:spacing w:val="-2"/>
          <w:sz w:val="28"/>
          <w:szCs w:val="28"/>
        </w:rPr>
        <w:t>如初步设计</w:t>
      </w:r>
      <w:r>
        <w:rPr>
          <w:b/>
          <w:color w:val="auto"/>
          <w:spacing w:val="-2"/>
          <w:sz w:val="28"/>
          <w:szCs w:val="28"/>
        </w:rPr>
        <w:t>和建设施工、安装调试及</w:t>
      </w:r>
      <w:r>
        <w:rPr>
          <w:rFonts w:hint="eastAsia"/>
          <w:b/>
          <w:color w:val="auto"/>
          <w:spacing w:val="-2"/>
          <w:sz w:val="28"/>
          <w:szCs w:val="28"/>
          <w:lang w:val="en-US" w:eastAsia="zh-CN"/>
        </w:rPr>
        <w:t>经营管理</w:t>
      </w:r>
      <w:r>
        <w:rPr>
          <w:b/>
          <w:color w:val="auto"/>
          <w:spacing w:val="-2"/>
          <w:sz w:val="28"/>
          <w:szCs w:val="28"/>
        </w:rPr>
        <w:t>运行中，应严格执行国家有关安全生产法律、法规和有关标准、规范，合理采纳本报告书中安全对策措施建议，真正做到安全设施与主体工程同时设计、同时施工、同时投入生产和使用，同时保证</w:t>
      </w:r>
      <w:r>
        <w:rPr>
          <w:b/>
          <w:color w:val="auto"/>
          <w:spacing w:val="-2"/>
          <w:sz w:val="28"/>
        </w:rPr>
        <w:t>企业的安全设施设备和安全管理体系、制度综合发挥作用，</w:t>
      </w:r>
      <w:r>
        <w:rPr>
          <w:b/>
          <w:color w:val="auto"/>
          <w:spacing w:val="-2"/>
          <w:sz w:val="28"/>
          <w:szCs w:val="28"/>
        </w:rPr>
        <w:t>拟建的</w:t>
      </w:r>
      <w:r>
        <w:rPr>
          <w:rFonts w:hint="eastAsia"/>
          <w:b/>
          <w:color w:val="auto"/>
          <w:spacing w:val="-2"/>
          <w:sz w:val="28"/>
          <w:szCs w:val="28"/>
          <w:lang w:eastAsia="zh-CN"/>
        </w:rPr>
        <w:t>江西省交通投资集团有限责任公司大广高速修水服务区提质升级改造项目</w:t>
      </w:r>
      <w:r>
        <w:rPr>
          <w:b/>
          <w:color w:val="auto"/>
          <w:spacing w:val="-2"/>
          <w:sz w:val="28"/>
        </w:rPr>
        <w:t>则能够</w:t>
      </w:r>
      <w:r>
        <w:rPr>
          <w:b/>
          <w:bCs/>
          <w:color w:val="auto"/>
          <w:spacing w:val="-2"/>
          <w:sz w:val="28"/>
          <w:szCs w:val="28"/>
        </w:rPr>
        <w:t>符合现行安全生产法律、法规和技术标准、规范的要求，工程建成后运行系统的安全风险在可接受范围。</w:t>
      </w:r>
    </w:p>
    <w:p w14:paraId="668F698F">
      <w:pPr>
        <w:snapToGrid w:val="0"/>
        <w:spacing w:line="600" w:lineRule="exact"/>
        <w:ind w:firstLine="560" w:firstLineChars="200"/>
        <w:rPr>
          <w:color w:val="auto"/>
          <w:sz w:val="28"/>
          <w:szCs w:val="28"/>
        </w:rPr>
      </w:pPr>
    </w:p>
    <w:p w14:paraId="43B91BD7">
      <w:pPr>
        <w:snapToGrid w:val="0"/>
        <w:spacing w:line="620" w:lineRule="exact"/>
        <w:rPr>
          <w:color w:val="auto"/>
          <w:sz w:val="28"/>
          <w:szCs w:val="28"/>
        </w:rPr>
      </w:pPr>
    </w:p>
    <w:p w14:paraId="57EE9B46">
      <w:pPr>
        <w:pStyle w:val="51"/>
        <w:rPr>
          <w:rFonts w:ascii="Verdana" w:hAnsi="Verdana"/>
          <w:color w:val="auto"/>
          <w:kern w:val="0"/>
          <w:sz w:val="20"/>
          <w:szCs w:val="20"/>
        </w:rPr>
        <w:sectPr>
          <w:pgSz w:w="11906" w:h="16838"/>
          <w:pgMar w:top="1418" w:right="1418" w:bottom="1418" w:left="1418" w:header="851" w:footer="992" w:gutter="0"/>
          <w:pgBorders>
            <w:top w:val="none" w:sz="0" w:space="0"/>
            <w:left w:val="none" w:sz="0" w:space="0"/>
            <w:bottom w:val="none" w:sz="0" w:space="0"/>
            <w:right w:val="none" w:sz="0" w:space="0"/>
          </w:pgBorders>
          <w:pgNumType w:start="1"/>
          <w:cols w:space="720" w:num="1"/>
          <w:docGrid w:linePitch="312" w:charSpace="0"/>
        </w:sectPr>
      </w:pPr>
    </w:p>
    <w:bookmarkEnd w:id="116"/>
    <w:bookmarkEnd w:id="117"/>
    <w:p w14:paraId="1B8B48C9">
      <w:pPr>
        <w:pStyle w:val="4"/>
        <w:bidi w:val="0"/>
        <w:rPr>
          <w:rFonts w:hint="eastAsia" w:eastAsia="宋体"/>
          <w:color w:val="auto"/>
          <w:lang w:eastAsia="zh-CN"/>
        </w:rPr>
      </w:pPr>
      <w:bookmarkStart w:id="171" w:name="_Toc28191"/>
      <w:bookmarkStart w:id="172" w:name="_Toc46760280"/>
      <w:bookmarkStart w:id="173" w:name="_Toc19662"/>
      <w:r>
        <w:rPr>
          <w:rStyle w:val="53"/>
          <w:rFonts w:hint="eastAsia"/>
          <w:b/>
          <w:bCs/>
          <w:color w:val="auto"/>
        </w:rPr>
        <w:t>附件</w:t>
      </w:r>
      <w:bookmarkEnd w:id="171"/>
      <w:bookmarkEnd w:id="172"/>
      <w:r>
        <w:rPr>
          <w:rStyle w:val="53"/>
          <w:rFonts w:hint="eastAsia"/>
          <w:b/>
          <w:bCs/>
          <w:color w:val="auto"/>
          <w:lang w:eastAsia="zh-CN"/>
        </w:rPr>
        <w:t>：</w:t>
      </w:r>
      <w:bookmarkEnd w:id="173"/>
    </w:p>
    <w:p w14:paraId="00702233">
      <w:pPr>
        <w:numPr>
          <w:ilvl w:val="0"/>
          <w:numId w:val="19"/>
        </w:numPr>
        <w:spacing w:line="360" w:lineRule="auto"/>
        <w:ind w:left="70" w:firstLine="560"/>
        <w:rPr>
          <w:rFonts w:hint="eastAsia"/>
          <w:color w:val="auto"/>
          <w:sz w:val="28"/>
          <w:szCs w:val="28"/>
        </w:rPr>
      </w:pPr>
      <w:r>
        <w:rPr>
          <w:rFonts w:hint="eastAsia"/>
          <w:color w:val="auto"/>
          <w:sz w:val="28"/>
          <w:szCs w:val="28"/>
          <w:lang w:val="en-US" w:eastAsia="zh-CN"/>
        </w:rPr>
        <w:t>安全评估报告专家组评审意见</w:t>
      </w:r>
    </w:p>
    <w:p w14:paraId="5C2D4BC8">
      <w:pPr>
        <w:numPr>
          <w:ilvl w:val="0"/>
          <w:numId w:val="19"/>
        </w:numPr>
        <w:spacing w:line="360" w:lineRule="auto"/>
        <w:ind w:left="70" w:firstLine="560"/>
        <w:rPr>
          <w:rFonts w:hint="eastAsia"/>
          <w:color w:val="auto"/>
          <w:sz w:val="28"/>
          <w:szCs w:val="28"/>
        </w:rPr>
      </w:pPr>
      <w:r>
        <w:rPr>
          <w:rFonts w:hint="eastAsia"/>
          <w:color w:val="auto"/>
          <w:sz w:val="28"/>
          <w:szCs w:val="28"/>
          <w:lang w:val="en-US" w:eastAsia="zh-CN"/>
        </w:rPr>
        <w:t>安全评估报告专家组评审意见回复</w:t>
      </w:r>
    </w:p>
    <w:p w14:paraId="2A3298FA">
      <w:pPr>
        <w:numPr>
          <w:ilvl w:val="0"/>
          <w:numId w:val="19"/>
        </w:numPr>
        <w:spacing w:line="360" w:lineRule="auto"/>
        <w:ind w:left="70" w:firstLine="560"/>
        <w:rPr>
          <w:rFonts w:hint="eastAsia"/>
          <w:color w:val="auto"/>
          <w:sz w:val="28"/>
          <w:szCs w:val="28"/>
        </w:rPr>
      </w:pPr>
      <w:r>
        <w:rPr>
          <w:rFonts w:hint="eastAsia"/>
          <w:color w:val="auto"/>
          <w:sz w:val="28"/>
          <w:szCs w:val="28"/>
          <w:lang w:val="en-US" w:eastAsia="zh-CN"/>
        </w:rPr>
        <w:t>建设单位</w:t>
      </w:r>
      <w:r>
        <w:rPr>
          <w:rFonts w:hint="eastAsia"/>
          <w:color w:val="auto"/>
          <w:sz w:val="28"/>
          <w:szCs w:val="28"/>
        </w:rPr>
        <w:t>营业执照</w:t>
      </w:r>
    </w:p>
    <w:p w14:paraId="0327152C">
      <w:pPr>
        <w:numPr>
          <w:ilvl w:val="0"/>
          <w:numId w:val="19"/>
        </w:numPr>
        <w:spacing w:line="360" w:lineRule="auto"/>
        <w:ind w:left="70" w:firstLine="560"/>
        <w:rPr>
          <w:rFonts w:hint="eastAsia"/>
          <w:color w:val="auto"/>
          <w:sz w:val="28"/>
          <w:szCs w:val="28"/>
        </w:rPr>
      </w:pPr>
      <w:r>
        <w:rPr>
          <w:rFonts w:hint="eastAsia"/>
          <w:color w:val="auto"/>
          <w:sz w:val="28"/>
          <w:szCs w:val="28"/>
          <w:lang w:val="en-US" w:eastAsia="zh-CN"/>
        </w:rPr>
        <w:t>立项文件</w:t>
      </w:r>
    </w:p>
    <w:p w14:paraId="293E6D5F">
      <w:pPr>
        <w:numPr>
          <w:ilvl w:val="0"/>
          <w:numId w:val="19"/>
        </w:numPr>
        <w:ind w:left="70" w:firstLine="560"/>
        <w:rPr>
          <w:color w:val="auto"/>
          <w:sz w:val="28"/>
          <w:szCs w:val="36"/>
        </w:rPr>
      </w:pPr>
      <w:r>
        <w:rPr>
          <w:rFonts w:hint="eastAsia"/>
          <w:color w:val="auto"/>
          <w:sz w:val="28"/>
          <w:szCs w:val="28"/>
          <w:lang w:val="en-US" w:eastAsia="zh-CN"/>
        </w:rPr>
        <w:t>土地证</w:t>
      </w:r>
    </w:p>
    <w:p w14:paraId="0F8369E2">
      <w:pPr>
        <w:numPr>
          <w:ilvl w:val="0"/>
          <w:numId w:val="19"/>
        </w:numPr>
        <w:ind w:left="70" w:firstLine="560"/>
        <w:rPr>
          <w:color w:val="auto"/>
          <w:sz w:val="28"/>
          <w:szCs w:val="36"/>
        </w:rPr>
      </w:pPr>
      <w:r>
        <w:rPr>
          <w:rFonts w:hint="eastAsia"/>
          <w:color w:val="auto"/>
          <w:sz w:val="28"/>
          <w:szCs w:val="36"/>
          <w:lang w:val="en-US" w:eastAsia="zh-CN"/>
        </w:rPr>
        <w:t>用地红线图</w:t>
      </w:r>
    </w:p>
    <w:p w14:paraId="51765EC2">
      <w:pPr>
        <w:numPr>
          <w:ilvl w:val="0"/>
          <w:numId w:val="19"/>
        </w:numPr>
        <w:ind w:left="70" w:firstLine="560"/>
        <w:rPr>
          <w:color w:val="auto"/>
          <w:sz w:val="28"/>
          <w:szCs w:val="36"/>
        </w:rPr>
      </w:pPr>
      <w:r>
        <w:rPr>
          <w:color w:val="auto"/>
          <w:sz w:val="28"/>
          <w:szCs w:val="36"/>
        </w:rPr>
        <w:t>总平面布置图</w:t>
      </w:r>
    </w:p>
    <w:p w14:paraId="4F9A5E12">
      <w:pPr>
        <w:ind w:left="0" w:leftChars="0" w:firstLine="0" w:firstLineChars="0"/>
        <w:rPr>
          <w:rFonts w:hint="eastAsia" w:eastAsia="宋体"/>
          <w:color w:val="auto"/>
          <w:sz w:val="28"/>
          <w:szCs w:val="36"/>
          <w:lang w:eastAsia="zh-CN"/>
        </w:rPr>
      </w:pPr>
    </w:p>
    <w:sectPr>
      <w:headerReference r:id="rId10" w:type="default"/>
      <w:footerReference r:id="rId11" w:type="default"/>
      <w:pgSz w:w="11906" w:h="16838"/>
      <w:pgMar w:top="1417" w:right="1417" w:bottom="1417" w:left="141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Book Antiqua">
    <w:panose1 w:val="02040602050305030304"/>
    <w:charset w:val="00"/>
    <w:family w:val="roman"/>
    <w:pitch w:val="default"/>
    <w:sig w:usb0="00000287" w:usb1="00000000" w:usb2="00000000" w:usb3="00000000" w:csb0="2000009F" w:csb1="DFD7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AngsanaUPC">
    <w:altName w:val="Microsoft Sans Serif"/>
    <w:panose1 w:val="02020603050405020304"/>
    <w:charset w:val="DE"/>
    <w:family w:val="roman"/>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ST Song">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41B29">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F5D2B5A">
                          <w:pPr>
                            <w:pStyle w:val="2"/>
                          </w:pPr>
                          <w:r>
                            <w:fldChar w:fldCharType="begin"/>
                          </w:r>
                          <w:r>
                            <w:instrText xml:space="preserve"> PAGE  \* MERGEFORMAT </w:instrText>
                          </w:r>
                          <w:r>
                            <w:fldChar w:fldCharType="separate"/>
                          </w:r>
                          <w:r>
                            <w:t>I</w:t>
                          </w:r>
                          <w:r>
                            <w:fldChar w:fldCharType="end"/>
                          </w:r>
                        </w:p>
                      </w:txbxContent>
                    </wps:txbx>
                    <wps:bodyPr vert="horz" wrap="none" lIns="0" tIns="0" rIns="0" bIns="0" anchor="t" anchorCtr="0" upright="0">
                      <a:spAutoFit/>
                    </wps:bodyPr>
                  </wps:wsp>
                </a:graphicData>
              </a:graphic>
            </wp:anchor>
          </w:drawing>
        </mc:Choice>
        <mc:Fallback>
          <w:pict>
            <v:shape id="文本框 3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aGmCS9MAAAAF&#10;AQAADwAAAAAAAAABACAAAAAiAAAAZHJzL2Rvd25yZXYueG1sUEsBAhQAFAAAAAgAh07iQC8KgSDo&#10;AQAAygMAAA4AAAAAAAAAAQAgAAAAIgEAAGRycy9lMm9Eb2MueG1sUEsFBgAAAAAGAAYAWQEAAHwF&#10;AAAAAA==&#10;">
              <v:fill on="f" focussize="0,0"/>
              <v:stroke on="f" weight="1.25pt"/>
              <v:imagedata o:title=""/>
              <o:lock v:ext="edit" aspectratio="f"/>
              <v:textbox inset="0mm,0mm,0mm,0mm" style="mso-fit-shape-to-text:t;">
                <w:txbxContent>
                  <w:p w14:paraId="4F5D2B5A">
                    <w:pPr>
                      <w:pStyle w:val="2"/>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8D44F">
    <w:pPr>
      <w:pStyle w:val="2"/>
      <w:keepNext w:val="0"/>
      <w:keepLines w:val="0"/>
      <w:pageBreakBefore w:val="0"/>
      <w:framePr w:wrap="around" w:vAnchor="text" w:hAnchor="margin" w:xAlign="center" w:y="1"/>
      <w:widowControl w:val="0"/>
      <w:kinsoku/>
      <w:wordWrap/>
      <w:overflowPunct/>
      <w:topLinePunct w:val="0"/>
      <w:bidi w:val="0"/>
      <w:adjustRightInd/>
      <w:snapToGrid w:val="0"/>
      <w:spacing w:line="240" w:lineRule="auto"/>
      <w:ind w:firstLine="0" w:firstLineChars="0"/>
      <w:textAlignment w:val="auto"/>
      <w:rPr>
        <w:rStyle w:val="38"/>
      </w:rPr>
    </w:pPr>
    <w:r>
      <w:fldChar w:fldCharType="begin"/>
    </w:r>
    <w:r>
      <w:rPr>
        <w:rStyle w:val="38"/>
      </w:rPr>
      <w:instrText xml:space="preserve">PAGE  </w:instrText>
    </w:r>
    <w:r>
      <w:fldChar w:fldCharType="separate"/>
    </w:r>
    <w:r>
      <w:rPr>
        <w:rStyle w:val="38"/>
      </w:rPr>
      <w:t>VII</w:t>
    </w:r>
    <w:r>
      <w:fldChar w:fldCharType="end"/>
    </w:r>
  </w:p>
  <w:p w14:paraId="31A06A88">
    <w:pPr>
      <w:pStyle w:val="2"/>
      <w:keepNext w:val="0"/>
      <w:keepLines w:val="0"/>
      <w:pageBreakBefore w:val="0"/>
      <w:widowControl w:val="0"/>
      <w:pBdr>
        <w:top w:val="single" w:color="auto" w:sz="4" w:space="1"/>
      </w:pBdr>
      <w:kinsoku/>
      <w:wordWrap/>
      <w:overflowPunct/>
      <w:topLinePunct w:val="0"/>
      <w:bidi w:val="0"/>
      <w:adjustRightInd/>
      <w:snapToGrid w:val="0"/>
      <w:spacing w:line="240" w:lineRule="auto"/>
      <w:ind w:firstLine="0" w:firstLineChars="0"/>
      <w:jc w:val="both"/>
      <w:textAlignment w:val="auto"/>
      <w:rPr>
        <w:rFonts w:hint="eastAsia"/>
      </w:rPr>
    </w:pPr>
    <w:r>
      <w:rPr>
        <w:rFonts w:hint="eastAsia"/>
        <w:kern w:val="0"/>
        <w:szCs w:val="21"/>
      </w:rPr>
      <w:t xml:space="preserve">江西赣安安全生产科学技术咨询服务中心                                                   </w:t>
    </w:r>
    <w:r>
      <w:rPr>
        <w:kern w:val="0"/>
        <w:szCs w:val="21"/>
      </w:rPr>
      <w:t>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A599C">
    <w:pPr>
      <w:pStyle w:val="2"/>
      <w:keepNext w:val="0"/>
      <w:keepLines w:val="0"/>
      <w:pageBreakBefore w:val="0"/>
      <w:widowControl w:val="0"/>
      <w:pBdr>
        <w:top w:val="single" w:color="auto" w:sz="4" w:space="1"/>
      </w:pBdr>
      <w:kinsoku/>
      <w:wordWrap/>
      <w:overflowPunct/>
      <w:topLinePunct w:val="0"/>
      <w:bidi w:val="0"/>
      <w:adjustRightInd/>
      <w:snapToGrid w:val="0"/>
      <w:spacing w:line="240" w:lineRule="auto"/>
      <w:ind w:firstLine="0" w:firstLineChars="0"/>
      <w:jc w:val="both"/>
      <w:textAlignment w:val="auto"/>
      <w:rPr>
        <w:rFonts w:hint="eastAsia"/>
      </w:rPr>
    </w:pPr>
    <w:r>
      <w:rPr>
        <w:rFonts w:hint="eastAsia"/>
        <w:kern w:val="0"/>
        <w:szCs w:val="21"/>
      </w:rPr>
      <w:t xml:space="preserve">江西赣安安全生产科学技术咨询服务中心                   </w:t>
    </w:r>
    <w:r>
      <w:rPr>
        <w:rFonts w:hint="eastAsia"/>
        <w:kern w:val="0"/>
        <w:szCs w:val="21"/>
        <w:lang w:val="en-US" w:eastAsia="zh-CN"/>
      </w:rPr>
      <w:t>103</w:t>
    </w:r>
    <w:r>
      <w:rPr>
        <w:rFonts w:hint="eastAsia"/>
        <w:kern w:val="0"/>
        <w:szCs w:val="21"/>
      </w:rPr>
      <w:t xml:space="preserve">                    </w:t>
    </w:r>
    <w:r>
      <w:rPr>
        <w:rFonts w:hint="eastAsia"/>
        <w:kern w:val="0"/>
        <w:szCs w:val="21"/>
        <w:lang w:val="en-US" w:eastAsia="zh-CN"/>
      </w:rPr>
      <w:t xml:space="preserve">    </w:t>
    </w:r>
    <w:r>
      <w:rPr>
        <w:rFonts w:hint="eastAsia"/>
        <w:kern w:val="0"/>
        <w:szCs w:val="21"/>
      </w:rPr>
      <w:t xml:space="preserve">    </w:t>
    </w:r>
    <w:r>
      <w:rPr>
        <w:kern w:val="0"/>
        <w:szCs w:val="21"/>
      </w:rPr>
      <w:t>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EE5D3">
    <w:pPr>
      <w:pStyle w:val="2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BC63A">
    <w:pPr>
      <w:pStyle w:val="22"/>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2849D">
    <w:pPr>
      <w:pStyle w:val="22"/>
      <w:pBdr>
        <w:bottom w:val="single" w:color="auto" w:sz="4" w:space="1"/>
      </w:pBdr>
      <w:spacing w:line="240" w:lineRule="auto"/>
      <w:ind w:left="0" w:leftChars="0" w:firstLine="0" w:firstLineChars="0"/>
      <w:jc w:val="left"/>
      <w:rPr>
        <w:rFonts w:hint="eastAsia"/>
      </w:rPr>
    </w:pPr>
    <w:r>
      <w:rPr>
        <w:rFonts w:hint="eastAsia" w:hAnsi="宋体"/>
        <w:lang w:eastAsia="zh-CN"/>
      </w:rPr>
      <w:t>江西省交通投资集团有限责任公司大广高速修水服务区提质升级改造项目</w:t>
    </w:r>
    <w:r>
      <w:rPr>
        <w:rFonts w:hint="eastAsia" w:hAnsi="宋体"/>
        <w:lang w:val="en-US" w:eastAsia="zh-CN"/>
      </w:rPr>
      <w:t>安全评估报告       GAAP[2024]0430号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3F1A61">
    <w:pPr>
      <w:pStyle w:val="22"/>
      <w:pBdr>
        <w:bottom w:val="single" w:color="auto" w:sz="4" w:space="1"/>
      </w:pBdr>
      <w:spacing w:line="240" w:lineRule="auto"/>
      <w:ind w:left="0" w:leftChars="0" w:firstLine="0" w:firstLineChars="0"/>
      <w:jc w:val="left"/>
      <w:rPr>
        <w:rFonts w:hint="eastAsia"/>
      </w:rPr>
    </w:pPr>
    <w:r>
      <w:rPr>
        <w:rFonts w:hint="eastAsia" w:hAnsi="宋体"/>
        <w:lang w:eastAsia="zh-CN"/>
      </w:rPr>
      <w:t>江西省交通投资集团有限责任公司大广高速修水服务区提质升级改造项目</w:t>
    </w:r>
    <w:r>
      <w:rPr>
        <w:rFonts w:hint="eastAsia" w:hAnsi="宋体"/>
        <w:lang w:val="en-US" w:eastAsia="zh-CN"/>
      </w:rPr>
      <w:t>安全评估报告       GAAP[2024]0430号</w:t>
    </w:r>
  </w:p>
  <w:p w14:paraId="7C48EB02">
    <w:pPr>
      <w:pStyle w:val="22"/>
      <w:pBdr>
        <w:bottom w:val="none" w:color="auto" w:sz="0" w:space="1"/>
      </w:pBdr>
      <w:rPr>
        <w:rFonts w:hint="eastAsia"/>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AAD5AE"/>
    <w:multiLevelType w:val="singleLevel"/>
    <w:tmpl w:val="80AAD5AE"/>
    <w:lvl w:ilvl="0" w:tentative="0">
      <w:start w:val="5"/>
      <w:numFmt w:val="decimal"/>
      <w:suff w:val="nothing"/>
      <w:lvlText w:val="（%1）"/>
      <w:lvlJc w:val="left"/>
    </w:lvl>
  </w:abstractNum>
  <w:abstractNum w:abstractNumId="1">
    <w:nsid w:val="8B0753A0"/>
    <w:multiLevelType w:val="singleLevel"/>
    <w:tmpl w:val="8B0753A0"/>
    <w:lvl w:ilvl="0" w:tentative="0">
      <w:start w:val="1"/>
      <w:numFmt w:val="decimal"/>
      <w:suff w:val="nothing"/>
      <w:lvlText w:val="%1、"/>
      <w:lvlJc w:val="left"/>
    </w:lvl>
  </w:abstractNum>
  <w:abstractNum w:abstractNumId="2">
    <w:nsid w:val="9E111295"/>
    <w:multiLevelType w:val="singleLevel"/>
    <w:tmpl w:val="9E111295"/>
    <w:lvl w:ilvl="0" w:tentative="0">
      <w:start w:val="1"/>
      <w:numFmt w:val="decimal"/>
      <w:suff w:val="nothing"/>
      <w:lvlText w:val="%1、"/>
      <w:lvlJc w:val="left"/>
      <w:pPr>
        <w:ind w:left="0" w:leftChars="0" w:firstLine="40" w:firstLineChars="0"/>
      </w:pPr>
    </w:lvl>
  </w:abstractNum>
  <w:abstractNum w:abstractNumId="3">
    <w:nsid w:val="A07B1A15"/>
    <w:multiLevelType w:val="singleLevel"/>
    <w:tmpl w:val="A07B1A15"/>
    <w:lvl w:ilvl="0" w:tentative="0">
      <w:start w:val="1"/>
      <w:numFmt w:val="decimal"/>
      <w:suff w:val="nothing"/>
      <w:lvlText w:val="%1"/>
      <w:lvlJc w:val="left"/>
      <w:pPr>
        <w:ind w:left="0" w:firstLine="0"/>
      </w:pPr>
      <w:rPr>
        <w:rFonts w:hint="default"/>
      </w:rPr>
    </w:lvl>
  </w:abstractNum>
  <w:abstractNum w:abstractNumId="4">
    <w:nsid w:val="A2DE33BF"/>
    <w:multiLevelType w:val="singleLevel"/>
    <w:tmpl w:val="A2DE33BF"/>
    <w:lvl w:ilvl="0" w:tentative="0">
      <w:start w:val="1"/>
      <w:numFmt w:val="decimal"/>
      <w:suff w:val="nothing"/>
      <w:lvlText w:val="%1"/>
      <w:lvlJc w:val="left"/>
      <w:pPr>
        <w:ind w:left="0" w:firstLine="0"/>
      </w:pPr>
      <w:rPr>
        <w:rFonts w:hint="default"/>
      </w:rPr>
    </w:lvl>
  </w:abstractNum>
  <w:abstractNum w:abstractNumId="5">
    <w:nsid w:val="C1F38A7A"/>
    <w:multiLevelType w:val="singleLevel"/>
    <w:tmpl w:val="C1F38A7A"/>
    <w:lvl w:ilvl="0" w:tentative="0">
      <w:start w:val="1"/>
      <w:numFmt w:val="decimal"/>
      <w:suff w:val="nothing"/>
      <w:lvlText w:val="%1"/>
      <w:lvlJc w:val="left"/>
      <w:pPr>
        <w:ind w:left="0" w:firstLine="0"/>
      </w:pPr>
      <w:rPr>
        <w:rFonts w:hint="default"/>
      </w:rPr>
    </w:lvl>
  </w:abstractNum>
  <w:abstractNum w:abstractNumId="6">
    <w:nsid w:val="CE014279"/>
    <w:multiLevelType w:val="singleLevel"/>
    <w:tmpl w:val="CE014279"/>
    <w:lvl w:ilvl="0" w:tentative="0">
      <w:start w:val="1"/>
      <w:numFmt w:val="decimal"/>
      <w:suff w:val="nothing"/>
      <w:lvlText w:val="%1．"/>
      <w:lvlJc w:val="left"/>
      <w:pPr>
        <w:ind w:left="210" w:firstLine="400"/>
      </w:pPr>
      <w:rPr>
        <w:rFonts w:hint="default"/>
        <w:sz w:val="28"/>
        <w:szCs w:val="28"/>
      </w:rPr>
    </w:lvl>
  </w:abstractNum>
  <w:abstractNum w:abstractNumId="7">
    <w:nsid w:val="D1E1C149"/>
    <w:multiLevelType w:val="singleLevel"/>
    <w:tmpl w:val="D1E1C149"/>
    <w:lvl w:ilvl="0" w:tentative="0">
      <w:start w:val="1"/>
      <w:numFmt w:val="lowerLetter"/>
      <w:lvlText w:val="%1)"/>
      <w:lvlJc w:val="left"/>
      <w:pPr>
        <w:tabs>
          <w:tab w:val="left" w:pos="312"/>
        </w:tabs>
      </w:pPr>
    </w:lvl>
  </w:abstractNum>
  <w:abstractNum w:abstractNumId="8">
    <w:nsid w:val="E035EDD0"/>
    <w:multiLevelType w:val="singleLevel"/>
    <w:tmpl w:val="E035EDD0"/>
    <w:lvl w:ilvl="0" w:tentative="0">
      <w:start w:val="23"/>
      <w:numFmt w:val="decimal"/>
      <w:suff w:val="nothing"/>
      <w:lvlText w:val="%1、"/>
      <w:lvlJc w:val="left"/>
    </w:lvl>
  </w:abstractNum>
  <w:abstractNum w:abstractNumId="9">
    <w:nsid w:val="F1A77C7B"/>
    <w:multiLevelType w:val="singleLevel"/>
    <w:tmpl w:val="F1A77C7B"/>
    <w:lvl w:ilvl="0" w:tentative="0">
      <w:start w:val="1"/>
      <w:numFmt w:val="decimal"/>
      <w:suff w:val="nothing"/>
      <w:lvlText w:val="%1、"/>
      <w:lvlJc w:val="left"/>
    </w:lvl>
  </w:abstractNum>
  <w:abstractNum w:abstractNumId="10">
    <w:nsid w:val="0F73E205"/>
    <w:multiLevelType w:val="singleLevel"/>
    <w:tmpl w:val="0F73E205"/>
    <w:lvl w:ilvl="0" w:tentative="0">
      <w:start w:val="1"/>
      <w:numFmt w:val="lowerLetter"/>
      <w:suff w:val="nothing"/>
      <w:lvlText w:val="%1）"/>
      <w:lvlJc w:val="left"/>
    </w:lvl>
  </w:abstractNum>
  <w:abstractNum w:abstractNumId="11">
    <w:nsid w:val="132B83CE"/>
    <w:multiLevelType w:val="singleLevel"/>
    <w:tmpl w:val="132B83CE"/>
    <w:lvl w:ilvl="0" w:tentative="0">
      <w:start w:val="1"/>
      <w:numFmt w:val="decimal"/>
      <w:suff w:val="nothing"/>
      <w:lvlText w:val="%1、"/>
      <w:lvlJc w:val="left"/>
      <w:pPr>
        <w:ind w:left="0" w:leftChars="0" w:firstLine="40" w:firstLineChars="0"/>
      </w:pPr>
    </w:lvl>
  </w:abstractNum>
  <w:abstractNum w:abstractNumId="12">
    <w:nsid w:val="2C625B3B"/>
    <w:multiLevelType w:val="singleLevel"/>
    <w:tmpl w:val="2C625B3B"/>
    <w:lvl w:ilvl="0" w:tentative="0">
      <w:start w:val="1"/>
      <w:numFmt w:val="decimal"/>
      <w:suff w:val="nothing"/>
      <w:lvlText w:val="%1、"/>
      <w:lvlJc w:val="left"/>
    </w:lvl>
  </w:abstractNum>
  <w:abstractNum w:abstractNumId="13">
    <w:nsid w:val="2D4B22F2"/>
    <w:multiLevelType w:val="singleLevel"/>
    <w:tmpl w:val="2D4B22F2"/>
    <w:lvl w:ilvl="0" w:tentative="0">
      <w:start w:val="1"/>
      <w:numFmt w:val="decimal"/>
      <w:suff w:val="nothing"/>
      <w:lvlText w:val="%1"/>
      <w:lvlJc w:val="left"/>
      <w:pPr>
        <w:ind w:left="0" w:firstLine="0"/>
      </w:pPr>
      <w:rPr>
        <w:rFonts w:hint="default"/>
      </w:rPr>
    </w:lvl>
  </w:abstractNum>
  <w:abstractNum w:abstractNumId="14">
    <w:nsid w:val="3FF32BCA"/>
    <w:multiLevelType w:val="singleLevel"/>
    <w:tmpl w:val="3FF32BCA"/>
    <w:lvl w:ilvl="0" w:tentative="0">
      <w:start w:val="1"/>
      <w:numFmt w:val="decimal"/>
      <w:suff w:val="nothing"/>
      <w:lvlText w:val="%1、"/>
      <w:lvlJc w:val="left"/>
      <w:pPr>
        <w:tabs>
          <w:tab w:val="left" w:pos="0"/>
        </w:tabs>
        <w:ind w:left="0" w:leftChars="0" w:firstLine="40" w:firstLineChars="0"/>
      </w:pPr>
      <w:rPr>
        <w:rFonts w:hint="default"/>
      </w:rPr>
    </w:lvl>
  </w:abstractNum>
  <w:abstractNum w:abstractNumId="15">
    <w:nsid w:val="4E58F0B8"/>
    <w:multiLevelType w:val="singleLevel"/>
    <w:tmpl w:val="4E58F0B8"/>
    <w:lvl w:ilvl="0" w:tentative="0">
      <w:start w:val="1"/>
      <w:numFmt w:val="decimal"/>
      <w:suff w:val="nothing"/>
      <w:lvlText w:val="%1、"/>
      <w:lvlJc w:val="left"/>
    </w:lvl>
  </w:abstractNum>
  <w:abstractNum w:abstractNumId="16">
    <w:nsid w:val="66E62717"/>
    <w:multiLevelType w:val="multilevel"/>
    <w:tmpl w:val="66E62717"/>
    <w:lvl w:ilvl="0" w:tentative="0">
      <w:start w:val="1"/>
      <w:numFmt w:val="bullet"/>
      <w:lvlText w:val=""/>
      <w:lvlJc w:val="left"/>
      <w:pPr>
        <w:tabs>
          <w:tab w:val="left" w:pos="420"/>
        </w:tabs>
        <w:ind w:left="0" w:leftChars="0" w:firstLine="420" w:firstLineChars="0"/>
      </w:pPr>
      <w:rPr>
        <w:rFonts w:hint="default" w:ascii="Wingdings" w:hAnsi="Wingdings"/>
      </w:rPr>
    </w:lvl>
    <w:lvl w:ilvl="1" w:tentative="0">
      <w:start w:val="1"/>
      <w:numFmt w:val="decimal"/>
      <w:lvlText w:val="%2."/>
      <w:lvlJc w:val="left"/>
      <w:pPr>
        <w:tabs>
          <w:tab w:val="left" w:pos="420"/>
        </w:tabs>
        <w:ind w:left="0" w:firstLine="0"/>
      </w:pPr>
      <w:rPr>
        <w:rFonts w:hint="eastAsia"/>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7">
    <w:nsid w:val="6F5DF8C2"/>
    <w:multiLevelType w:val="singleLevel"/>
    <w:tmpl w:val="6F5DF8C2"/>
    <w:lvl w:ilvl="0" w:tentative="0">
      <w:start w:val="1"/>
      <w:numFmt w:val="decimal"/>
      <w:suff w:val="nothing"/>
      <w:lvlText w:val="%1"/>
      <w:lvlJc w:val="left"/>
      <w:pPr>
        <w:ind w:left="0" w:firstLine="0"/>
      </w:pPr>
      <w:rPr>
        <w:rFonts w:hint="default"/>
      </w:rPr>
    </w:lvl>
  </w:abstractNum>
  <w:abstractNum w:abstractNumId="18">
    <w:nsid w:val="7D1C940A"/>
    <w:multiLevelType w:val="singleLevel"/>
    <w:tmpl w:val="7D1C940A"/>
    <w:lvl w:ilvl="0" w:tentative="0">
      <w:start w:val="1"/>
      <w:numFmt w:val="decimal"/>
      <w:suff w:val="nothing"/>
      <w:lvlText w:val="%1"/>
      <w:lvlJc w:val="left"/>
      <w:pPr>
        <w:ind w:left="0" w:firstLine="0"/>
      </w:pPr>
      <w:rPr>
        <w:rFonts w:hint="default"/>
      </w:rPr>
    </w:lvl>
  </w:abstractNum>
  <w:num w:numId="1">
    <w:abstractNumId w:val="16"/>
  </w:num>
  <w:num w:numId="2">
    <w:abstractNumId w:val="13"/>
  </w:num>
  <w:num w:numId="3">
    <w:abstractNumId w:val="17"/>
  </w:num>
  <w:num w:numId="4">
    <w:abstractNumId w:val="10"/>
  </w:num>
  <w:num w:numId="5">
    <w:abstractNumId w:val="0"/>
  </w:num>
  <w:num w:numId="6">
    <w:abstractNumId w:val="18"/>
  </w:num>
  <w:num w:numId="7">
    <w:abstractNumId w:val="3"/>
  </w:num>
  <w:num w:numId="8">
    <w:abstractNumId w:val="5"/>
  </w:num>
  <w:num w:numId="9">
    <w:abstractNumId w:val="7"/>
  </w:num>
  <w:num w:numId="10">
    <w:abstractNumId w:val="4"/>
  </w:num>
  <w:num w:numId="11">
    <w:abstractNumId w:val="11"/>
  </w:num>
  <w:num w:numId="12">
    <w:abstractNumId w:val="9"/>
  </w:num>
  <w:num w:numId="13">
    <w:abstractNumId w:val="8"/>
  </w:num>
  <w:num w:numId="14">
    <w:abstractNumId w:val="12"/>
  </w:num>
  <w:num w:numId="15">
    <w:abstractNumId w:val="15"/>
  </w:num>
  <w:num w:numId="16">
    <w:abstractNumId w:val="1"/>
  </w:num>
  <w:num w:numId="17">
    <w:abstractNumId w:val="2"/>
  </w:num>
  <w:num w:numId="18">
    <w:abstractNumId w:val="14"/>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lM2Q4ZGY0ZDBkYjlhODU1NzBlMTkwY2E3YWRkMzEifQ=="/>
    <w:docVar w:name="KSO_WPS_MARK_KEY" w:val="6c2df52b-4556-4c3f-a28a-49dd4e7d59ba"/>
  </w:docVars>
  <w:rsids>
    <w:rsidRoot w:val="00172A27"/>
    <w:rsid w:val="00004B8F"/>
    <w:rsid w:val="00044E6A"/>
    <w:rsid w:val="00047145"/>
    <w:rsid w:val="00055580"/>
    <w:rsid w:val="0008047F"/>
    <w:rsid w:val="00082399"/>
    <w:rsid w:val="00094DE2"/>
    <w:rsid w:val="000978AC"/>
    <w:rsid w:val="000A648F"/>
    <w:rsid w:val="000D31C7"/>
    <w:rsid w:val="001407A5"/>
    <w:rsid w:val="001463ED"/>
    <w:rsid w:val="00181574"/>
    <w:rsid w:val="00183352"/>
    <w:rsid w:val="001C2599"/>
    <w:rsid w:val="001C60D3"/>
    <w:rsid w:val="001D205B"/>
    <w:rsid w:val="001F3A6B"/>
    <w:rsid w:val="00211BD4"/>
    <w:rsid w:val="00233A4E"/>
    <w:rsid w:val="00235F79"/>
    <w:rsid w:val="00236493"/>
    <w:rsid w:val="00243193"/>
    <w:rsid w:val="00244C98"/>
    <w:rsid w:val="002620EC"/>
    <w:rsid w:val="00264878"/>
    <w:rsid w:val="00273E02"/>
    <w:rsid w:val="00291DD6"/>
    <w:rsid w:val="00295C79"/>
    <w:rsid w:val="002A4DD0"/>
    <w:rsid w:val="002A66B7"/>
    <w:rsid w:val="002A77B7"/>
    <w:rsid w:val="002B0AC7"/>
    <w:rsid w:val="002E072B"/>
    <w:rsid w:val="002E7D84"/>
    <w:rsid w:val="002F2A38"/>
    <w:rsid w:val="002F5B17"/>
    <w:rsid w:val="00302DB9"/>
    <w:rsid w:val="00322F0B"/>
    <w:rsid w:val="00323075"/>
    <w:rsid w:val="003236E3"/>
    <w:rsid w:val="0032387F"/>
    <w:rsid w:val="00336652"/>
    <w:rsid w:val="00341311"/>
    <w:rsid w:val="0035330F"/>
    <w:rsid w:val="0036722C"/>
    <w:rsid w:val="00383093"/>
    <w:rsid w:val="003960DB"/>
    <w:rsid w:val="003C75CF"/>
    <w:rsid w:val="003D2BFE"/>
    <w:rsid w:val="003E5FF5"/>
    <w:rsid w:val="003F0C92"/>
    <w:rsid w:val="004110CC"/>
    <w:rsid w:val="00454993"/>
    <w:rsid w:val="00460E38"/>
    <w:rsid w:val="00476CD1"/>
    <w:rsid w:val="00483E73"/>
    <w:rsid w:val="00490F2B"/>
    <w:rsid w:val="004A1280"/>
    <w:rsid w:val="004D0D7C"/>
    <w:rsid w:val="004D3F41"/>
    <w:rsid w:val="004F1E43"/>
    <w:rsid w:val="004F36EE"/>
    <w:rsid w:val="00510A4C"/>
    <w:rsid w:val="00532E67"/>
    <w:rsid w:val="00541E16"/>
    <w:rsid w:val="005535AA"/>
    <w:rsid w:val="00574647"/>
    <w:rsid w:val="005977E0"/>
    <w:rsid w:val="005D01D6"/>
    <w:rsid w:val="005E122B"/>
    <w:rsid w:val="005E18C4"/>
    <w:rsid w:val="005E533F"/>
    <w:rsid w:val="005F29AA"/>
    <w:rsid w:val="00636FBD"/>
    <w:rsid w:val="00646B6B"/>
    <w:rsid w:val="00653440"/>
    <w:rsid w:val="00660C20"/>
    <w:rsid w:val="00685727"/>
    <w:rsid w:val="0068605E"/>
    <w:rsid w:val="00692061"/>
    <w:rsid w:val="006956C4"/>
    <w:rsid w:val="006A5945"/>
    <w:rsid w:val="006C2F8D"/>
    <w:rsid w:val="006D0437"/>
    <w:rsid w:val="006F0B2F"/>
    <w:rsid w:val="007252C4"/>
    <w:rsid w:val="00726DC7"/>
    <w:rsid w:val="00734AEB"/>
    <w:rsid w:val="00745CF1"/>
    <w:rsid w:val="00754B14"/>
    <w:rsid w:val="00762CDE"/>
    <w:rsid w:val="00785131"/>
    <w:rsid w:val="00785889"/>
    <w:rsid w:val="00792435"/>
    <w:rsid w:val="00797C9E"/>
    <w:rsid w:val="007B3EEF"/>
    <w:rsid w:val="007E6536"/>
    <w:rsid w:val="007F1252"/>
    <w:rsid w:val="00807C44"/>
    <w:rsid w:val="008343FF"/>
    <w:rsid w:val="008574B6"/>
    <w:rsid w:val="00880010"/>
    <w:rsid w:val="00882C4D"/>
    <w:rsid w:val="00885097"/>
    <w:rsid w:val="00886C0E"/>
    <w:rsid w:val="0089671C"/>
    <w:rsid w:val="008C190D"/>
    <w:rsid w:val="008D1FC5"/>
    <w:rsid w:val="008E41F3"/>
    <w:rsid w:val="009116EF"/>
    <w:rsid w:val="00926D84"/>
    <w:rsid w:val="009416AB"/>
    <w:rsid w:val="00944C98"/>
    <w:rsid w:val="00957EC0"/>
    <w:rsid w:val="00961B91"/>
    <w:rsid w:val="0096290B"/>
    <w:rsid w:val="00974650"/>
    <w:rsid w:val="00977B56"/>
    <w:rsid w:val="009B70FD"/>
    <w:rsid w:val="009D59DD"/>
    <w:rsid w:val="00A12C9F"/>
    <w:rsid w:val="00A13DD5"/>
    <w:rsid w:val="00A43054"/>
    <w:rsid w:val="00A47F80"/>
    <w:rsid w:val="00A50E8B"/>
    <w:rsid w:val="00A65295"/>
    <w:rsid w:val="00AA0B3A"/>
    <w:rsid w:val="00AC170C"/>
    <w:rsid w:val="00AC2FE7"/>
    <w:rsid w:val="00AD33A8"/>
    <w:rsid w:val="00AE4423"/>
    <w:rsid w:val="00AF0B28"/>
    <w:rsid w:val="00AF157B"/>
    <w:rsid w:val="00AF54FC"/>
    <w:rsid w:val="00B003C3"/>
    <w:rsid w:val="00B17429"/>
    <w:rsid w:val="00B17E45"/>
    <w:rsid w:val="00B44457"/>
    <w:rsid w:val="00B54189"/>
    <w:rsid w:val="00B633B9"/>
    <w:rsid w:val="00B63B8C"/>
    <w:rsid w:val="00B729DF"/>
    <w:rsid w:val="00BA50A5"/>
    <w:rsid w:val="00BA548B"/>
    <w:rsid w:val="00BB2FE6"/>
    <w:rsid w:val="00BC5B3F"/>
    <w:rsid w:val="00C04BAB"/>
    <w:rsid w:val="00C224F3"/>
    <w:rsid w:val="00C343BF"/>
    <w:rsid w:val="00C55545"/>
    <w:rsid w:val="00C66F48"/>
    <w:rsid w:val="00C76E62"/>
    <w:rsid w:val="00C83D3F"/>
    <w:rsid w:val="00C90BAD"/>
    <w:rsid w:val="00CA05B5"/>
    <w:rsid w:val="00CA491C"/>
    <w:rsid w:val="00CB0D75"/>
    <w:rsid w:val="00CF18BE"/>
    <w:rsid w:val="00D01A3B"/>
    <w:rsid w:val="00D1446A"/>
    <w:rsid w:val="00D2013C"/>
    <w:rsid w:val="00D2475D"/>
    <w:rsid w:val="00D26C98"/>
    <w:rsid w:val="00D27778"/>
    <w:rsid w:val="00D33F0F"/>
    <w:rsid w:val="00D34B51"/>
    <w:rsid w:val="00D43C7B"/>
    <w:rsid w:val="00D50946"/>
    <w:rsid w:val="00D55E6C"/>
    <w:rsid w:val="00D67D17"/>
    <w:rsid w:val="00D7393E"/>
    <w:rsid w:val="00DB7138"/>
    <w:rsid w:val="00DC0BD7"/>
    <w:rsid w:val="00E24163"/>
    <w:rsid w:val="00E357B9"/>
    <w:rsid w:val="00E956C2"/>
    <w:rsid w:val="00E95D48"/>
    <w:rsid w:val="00EB7277"/>
    <w:rsid w:val="00EC5D1C"/>
    <w:rsid w:val="00ED7AE5"/>
    <w:rsid w:val="00EF455D"/>
    <w:rsid w:val="00F10C12"/>
    <w:rsid w:val="00F45C2A"/>
    <w:rsid w:val="00F74725"/>
    <w:rsid w:val="00F80828"/>
    <w:rsid w:val="00F87813"/>
    <w:rsid w:val="00FB08A3"/>
    <w:rsid w:val="00FC059C"/>
    <w:rsid w:val="01542BCA"/>
    <w:rsid w:val="015D704A"/>
    <w:rsid w:val="017D5380"/>
    <w:rsid w:val="0184241E"/>
    <w:rsid w:val="01937524"/>
    <w:rsid w:val="019571A4"/>
    <w:rsid w:val="01995CAB"/>
    <w:rsid w:val="01AB5192"/>
    <w:rsid w:val="029E5458"/>
    <w:rsid w:val="02AC4771"/>
    <w:rsid w:val="02B17112"/>
    <w:rsid w:val="030B388D"/>
    <w:rsid w:val="030D350D"/>
    <w:rsid w:val="031A67DB"/>
    <w:rsid w:val="0333594B"/>
    <w:rsid w:val="03537505"/>
    <w:rsid w:val="039C2CAF"/>
    <w:rsid w:val="03DB0262"/>
    <w:rsid w:val="045A6A33"/>
    <w:rsid w:val="047A5981"/>
    <w:rsid w:val="0493359A"/>
    <w:rsid w:val="04BE5EAA"/>
    <w:rsid w:val="04C63A71"/>
    <w:rsid w:val="04ED1825"/>
    <w:rsid w:val="051C78B7"/>
    <w:rsid w:val="05602E9B"/>
    <w:rsid w:val="058E35AC"/>
    <w:rsid w:val="05972365"/>
    <w:rsid w:val="059B1A02"/>
    <w:rsid w:val="05AF5900"/>
    <w:rsid w:val="05E3586B"/>
    <w:rsid w:val="05EE7C62"/>
    <w:rsid w:val="060C5F2C"/>
    <w:rsid w:val="063517BC"/>
    <w:rsid w:val="063C0CC3"/>
    <w:rsid w:val="063E6912"/>
    <w:rsid w:val="064F51B1"/>
    <w:rsid w:val="06593B65"/>
    <w:rsid w:val="06840641"/>
    <w:rsid w:val="069A5F7B"/>
    <w:rsid w:val="06E64E63"/>
    <w:rsid w:val="06F918BA"/>
    <w:rsid w:val="07067897"/>
    <w:rsid w:val="072B3E84"/>
    <w:rsid w:val="073203DA"/>
    <w:rsid w:val="077961C6"/>
    <w:rsid w:val="078F0773"/>
    <w:rsid w:val="07927288"/>
    <w:rsid w:val="07C46A66"/>
    <w:rsid w:val="080055AF"/>
    <w:rsid w:val="080A46F0"/>
    <w:rsid w:val="080B3940"/>
    <w:rsid w:val="08571EB1"/>
    <w:rsid w:val="08693710"/>
    <w:rsid w:val="086E6BFD"/>
    <w:rsid w:val="08703C2E"/>
    <w:rsid w:val="089708E2"/>
    <w:rsid w:val="08A069C0"/>
    <w:rsid w:val="09032877"/>
    <w:rsid w:val="09215687"/>
    <w:rsid w:val="093C09A4"/>
    <w:rsid w:val="09425DAE"/>
    <w:rsid w:val="09645F56"/>
    <w:rsid w:val="0972418C"/>
    <w:rsid w:val="09A11A04"/>
    <w:rsid w:val="09E9764E"/>
    <w:rsid w:val="0A031AE6"/>
    <w:rsid w:val="0A0965B2"/>
    <w:rsid w:val="0A165B98"/>
    <w:rsid w:val="0A1D4F7F"/>
    <w:rsid w:val="0A1E44C3"/>
    <w:rsid w:val="0A274F6F"/>
    <w:rsid w:val="0A280437"/>
    <w:rsid w:val="0A2E1D88"/>
    <w:rsid w:val="0A3A2B21"/>
    <w:rsid w:val="0AA12680"/>
    <w:rsid w:val="0ABF5171"/>
    <w:rsid w:val="0B01399E"/>
    <w:rsid w:val="0BB579E9"/>
    <w:rsid w:val="0BDE2087"/>
    <w:rsid w:val="0C3F3951"/>
    <w:rsid w:val="0C7677A6"/>
    <w:rsid w:val="0C780449"/>
    <w:rsid w:val="0CFF0F1B"/>
    <w:rsid w:val="0DA03BB0"/>
    <w:rsid w:val="0DD2659D"/>
    <w:rsid w:val="0DED293F"/>
    <w:rsid w:val="0DF31C43"/>
    <w:rsid w:val="0DFB6B7F"/>
    <w:rsid w:val="0E52758D"/>
    <w:rsid w:val="0E860ED3"/>
    <w:rsid w:val="0EA0184A"/>
    <w:rsid w:val="0EA144D0"/>
    <w:rsid w:val="0EFE67AE"/>
    <w:rsid w:val="0F0911CE"/>
    <w:rsid w:val="0F174442"/>
    <w:rsid w:val="0F2D4F53"/>
    <w:rsid w:val="0F52196E"/>
    <w:rsid w:val="0F585E17"/>
    <w:rsid w:val="0F5F56E2"/>
    <w:rsid w:val="0FAF07F7"/>
    <w:rsid w:val="0FC33F6C"/>
    <w:rsid w:val="10162F2B"/>
    <w:rsid w:val="10732A8B"/>
    <w:rsid w:val="10BB05D5"/>
    <w:rsid w:val="10D762D3"/>
    <w:rsid w:val="10F1115B"/>
    <w:rsid w:val="11C101AE"/>
    <w:rsid w:val="11E506FF"/>
    <w:rsid w:val="123910F2"/>
    <w:rsid w:val="12662284"/>
    <w:rsid w:val="129634BF"/>
    <w:rsid w:val="12EA1748"/>
    <w:rsid w:val="12FB75AC"/>
    <w:rsid w:val="1306384D"/>
    <w:rsid w:val="1346693C"/>
    <w:rsid w:val="135463C6"/>
    <w:rsid w:val="137741E2"/>
    <w:rsid w:val="138D3FA2"/>
    <w:rsid w:val="139B7E01"/>
    <w:rsid w:val="13A12C5D"/>
    <w:rsid w:val="13B2095E"/>
    <w:rsid w:val="146D1091"/>
    <w:rsid w:val="14773A8D"/>
    <w:rsid w:val="148324C4"/>
    <w:rsid w:val="14E03E93"/>
    <w:rsid w:val="150F669C"/>
    <w:rsid w:val="151A4794"/>
    <w:rsid w:val="15495B21"/>
    <w:rsid w:val="156947AC"/>
    <w:rsid w:val="15F26165"/>
    <w:rsid w:val="1604242C"/>
    <w:rsid w:val="16294BEB"/>
    <w:rsid w:val="163361EB"/>
    <w:rsid w:val="16815279"/>
    <w:rsid w:val="1696199B"/>
    <w:rsid w:val="16A02AE3"/>
    <w:rsid w:val="16A22ADB"/>
    <w:rsid w:val="16A436F5"/>
    <w:rsid w:val="16AD3C66"/>
    <w:rsid w:val="16EA29EF"/>
    <w:rsid w:val="17156172"/>
    <w:rsid w:val="171D56F0"/>
    <w:rsid w:val="175B29DE"/>
    <w:rsid w:val="178C1E9D"/>
    <w:rsid w:val="178F0374"/>
    <w:rsid w:val="17C15DE0"/>
    <w:rsid w:val="17D53F72"/>
    <w:rsid w:val="185873EF"/>
    <w:rsid w:val="1872382B"/>
    <w:rsid w:val="18D32B97"/>
    <w:rsid w:val="19694CBC"/>
    <w:rsid w:val="19BC23FD"/>
    <w:rsid w:val="19D20E68"/>
    <w:rsid w:val="19FB3F66"/>
    <w:rsid w:val="1A841F91"/>
    <w:rsid w:val="1AB339DA"/>
    <w:rsid w:val="1AF464F4"/>
    <w:rsid w:val="1B003AD9"/>
    <w:rsid w:val="1B4A0A55"/>
    <w:rsid w:val="1BC6422E"/>
    <w:rsid w:val="1BED17B1"/>
    <w:rsid w:val="1C0A79A4"/>
    <w:rsid w:val="1C146DDD"/>
    <w:rsid w:val="1C2A532F"/>
    <w:rsid w:val="1C787514"/>
    <w:rsid w:val="1C7C1E48"/>
    <w:rsid w:val="1CB55D6F"/>
    <w:rsid w:val="1CED3497"/>
    <w:rsid w:val="1D0B3F40"/>
    <w:rsid w:val="1D28626C"/>
    <w:rsid w:val="1D464DDE"/>
    <w:rsid w:val="1D805D19"/>
    <w:rsid w:val="1E2248D7"/>
    <w:rsid w:val="1E3D60D1"/>
    <w:rsid w:val="1E540BC4"/>
    <w:rsid w:val="1E6D287C"/>
    <w:rsid w:val="1EA93BC2"/>
    <w:rsid w:val="1EB93414"/>
    <w:rsid w:val="1EEF7FE2"/>
    <w:rsid w:val="1EF67B6C"/>
    <w:rsid w:val="1F15395A"/>
    <w:rsid w:val="1F3B285E"/>
    <w:rsid w:val="1F410729"/>
    <w:rsid w:val="1F6410B2"/>
    <w:rsid w:val="1F730AA4"/>
    <w:rsid w:val="1FD6583B"/>
    <w:rsid w:val="1FDD2FF2"/>
    <w:rsid w:val="1FF325E9"/>
    <w:rsid w:val="202937FF"/>
    <w:rsid w:val="206C4540"/>
    <w:rsid w:val="20E24984"/>
    <w:rsid w:val="210F3D49"/>
    <w:rsid w:val="21100065"/>
    <w:rsid w:val="2133338F"/>
    <w:rsid w:val="21373A51"/>
    <w:rsid w:val="215C6E55"/>
    <w:rsid w:val="21772473"/>
    <w:rsid w:val="2198332C"/>
    <w:rsid w:val="21C71231"/>
    <w:rsid w:val="21D7200F"/>
    <w:rsid w:val="222B744D"/>
    <w:rsid w:val="224333FE"/>
    <w:rsid w:val="22526812"/>
    <w:rsid w:val="22737BD5"/>
    <w:rsid w:val="228F423C"/>
    <w:rsid w:val="22D022B6"/>
    <w:rsid w:val="22DE4344"/>
    <w:rsid w:val="234B6811"/>
    <w:rsid w:val="2364201F"/>
    <w:rsid w:val="236C5333"/>
    <w:rsid w:val="23A866B1"/>
    <w:rsid w:val="23B23B5F"/>
    <w:rsid w:val="23DC390D"/>
    <w:rsid w:val="240A3AB2"/>
    <w:rsid w:val="2435301D"/>
    <w:rsid w:val="24AD20B3"/>
    <w:rsid w:val="24ED0821"/>
    <w:rsid w:val="253A3632"/>
    <w:rsid w:val="25B16DA7"/>
    <w:rsid w:val="25B22B68"/>
    <w:rsid w:val="25B4606C"/>
    <w:rsid w:val="25BB0620"/>
    <w:rsid w:val="25C74149"/>
    <w:rsid w:val="25D06245"/>
    <w:rsid w:val="26601378"/>
    <w:rsid w:val="26616CBA"/>
    <w:rsid w:val="26BE45B3"/>
    <w:rsid w:val="275F6D2E"/>
    <w:rsid w:val="27604855"/>
    <w:rsid w:val="277C14AA"/>
    <w:rsid w:val="27884D72"/>
    <w:rsid w:val="27A26A64"/>
    <w:rsid w:val="27DD6B89"/>
    <w:rsid w:val="280E2503"/>
    <w:rsid w:val="2811454F"/>
    <w:rsid w:val="28361A7A"/>
    <w:rsid w:val="28460BE9"/>
    <w:rsid w:val="286F5EE4"/>
    <w:rsid w:val="28702D10"/>
    <w:rsid w:val="289C74AE"/>
    <w:rsid w:val="295142D9"/>
    <w:rsid w:val="298E0E4D"/>
    <w:rsid w:val="29AC681D"/>
    <w:rsid w:val="29C0458C"/>
    <w:rsid w:val="29C27A8F"/>
    <w:rsid w:val="29D50F10"/>
    <w:rsid w:val="29DD5778"/>
    <w:rsid w:val="2A24682F"/>
    <w:rsid w:val="2A3C4F46"/>
    <w:rsid w:val="2A4D353D"/>
    <w:rsid w:val="2A6F342B"/>
    <w:rsid w:val="2A7E3929"/>
    <w:rsid w:val="2A8B0E45"/>
    <w:rsid w:val="2AA22CDA"/>
    <w:rsid w:val="2AA23A1B"/>
    <w:rsid w:val="2AD54544"/>
    <w:rsid w:val="2AE90B77"/>
    <w:rsid w:val="2AED757D"/>
    <w:rsid w:val="2AF04C7E"/>
    <w:rsid w:val="2B196150"/>
    <w:rsid w:val="2B293371"/>
    <w:rsid w:val="2B656168"/>
    <w:rsid w:val="2BA3170C"/>
    <w:rsid w:val="2BB248B0"/>
    <w:rsid w:val="2BE32DAA"/>
    <w:rsid w:val="2C0C0B07"/>
    <w:rsid w:val="2C9805ED"/>
    <w:rsid w:val="2C9E7065"/>
    <w:rsid w:val="2D4C47FC"/>
    <w:rsid w:val="2D5B72F6"/>
    <w:rsid w:val="2D5D05FB"/>
    <w:rsid w:val="2D7F400A"/>
    <w:rsid w:val="2D93706D"/>
    <w:rsid w:val="2DA354EC"/>
    <w:rsid w:val="2DE805F4"/>
    <w:rsid w:val="2E057F04"/>
    <w:rsid w:val="2E86076C"/>
    <w:rsid w:val="2EC73639"/>
    <w:rsid w:val="2ED459C3"/>
    <w:rsid w:val="2EEF6985"/>
    <w:rsid w:val="2EF8259B"/>
    <w:rsid w:val="2F1E127D"/>
    <w:rsid w:val="2F5E7E15"/>
    <w:rsid w:val="2F697F3B"/>
    <w:rsid w:val="2F8E3D93"/>
    <w:rsid w:val="2FB177CB"/>
    <w:rsid w:val="301D15E0"/>
    <w:rsid w:val="30605C48"/>
    <w:rsid w:val="30A00A13"/>
    <w:rsid w:val="30B319D3"/>
    <w:rsid w:val="31365957"/>
    <w:rsid w:val="31453464"/>
    <w:rsid w:val="3204001F"/>
    <w:rsid w:val="322B0F7F"/>
    <w:rsid w:val="32791981"/>
    <w:rsid w:val="32C24308"/>
    <w:rsid w:val="330E4A64"/>
    <w:rsid w:val="33332C90"/>
    <w:rsid w:val="334653BF"/>
    <w:rsid w:val="33716EF1"/>
    <w:rsid w:val="33963E69"/>
    <w:rsid w:val="33D23A93"/>
    <w:rsid w:val="33E65459"/>
    <w:rsid w:val="342015F4"/>
    <w:rsid w:val="346C0DF0"/>
    <w:rsid w:val="348C11E7"/>
    <w:rsid w:val="348C4593"/>
    <w:rsid w:val="348C6C89"/>
    <w:rsid w:val="34D658BF"/>
    <w:rsid w:val="34F82760"/>
    <w:rsid w:val="35074561"/>
    <w:rsid w:val="35082216"/>
    <w:rsid w:val="35210533"/>
    <w:rsid w:val="3543002A"/>
    <w:rsid w:val="354A1FFA"/>
    <w:rsid w:val="3569702C"/>
    <w:rsid w:val="3592207D"/>
    <w:rsid w:val="35946F77"/>
    <w:rsid w:val="35DF5619"/>
    <w:rsid w:val="36315F80"/>
    <w:rsid w:val="365732C7"/>
    <w:rsid w:val="367217D1"/>
    <w:rsid w:val="36806602"/>
    <w:rsid w:val="36FA179D"/>
    <w:rsid w:val="370F6463"/>
    <w:rsid w:val="37103EE5"/>
    <w:rsid w:val="3720417F"/>
    <w:rsid w:val="37373DA4"/>
    <w:rsid w:val="37581DE6"/>
    <w:rsid w:val="375E7809"/>
    <w:rsid w:val="378C70B1"/>
    <w:rsid w:val="379231B9"/>
    <w:rsid w:val="37B36F71"/>
    <w:rsid w:val="38001127"/>
    <w:rsid w:val="38173412"/>
    <w:rsid w:val="38360444"/>
    <w:rsid w:val="38C22985"/>
    <w:rsid w:val="38C4681F"/>
    <w:rsid w:val="39052F73"/>
    <w:rsid w:val="390655D5"/>
    <w:rsid w:val="390C57E0"/>
    <w:rsid w:val="39144813"/>
    <w:rsid w:val="39160F9D"/>
    <w:rsid w:val="392034F8"/>
    <w:rsid w:val="3942482E"/>
    <w:rsid w:val="397642EF"/>
    <w:rsid w:val="39A62C24"/>
    <w:rsid w:val="3A0D261A"/>
    <w:rsid w:val="3A145456"/>
    <w:rsid w:val="3A2F3A82"/>
    <w:rsid w:val="3A3D2D97"/>
    <w:rsid w:val="3A8A3AB8"/>
    <w:rsid w:val="3AD60D98"/>
    <w:rsid w:val="3ADE123E"/>
    <w:rsid w:val="3B0752BB"/>
    <w:rsid w:val="3B514E5E"/>
    <w:rsid w:val="3B62097B"/>
    <w:rsid w:val="3B7E40E5"/>
    <w:rsid w:val="3BA20A6F"/>
    <w:rsid w:val="3BBE1CB6"/>
    <w:rsid w:val="3BCC6FEC"/>
    <w:rsid w:val="3BE15B0C"/>
    <w:rsid w:val="3BF33A92"/>
    <w:rsid w:val="3C2C14A5"/>
    <w:rsid w:val="3C99720B"/>
    <w:rsid w:val="3CE05E7D"/>
    <w:rsid w:val="3D061817"/>
    <w:rsid w:val="3D0A2E41"/>
    <w:rsid w:val="3D153845"/>
    <w:rsid w:val="3D3561A5"/>
    <w:rsid w:val="3D4848B7"/>
    <w:rsid w:val="3D7E68C7"/>
    <w:rsid w:val="3DB868D1"/>
    <w:rsid w:val="3E5906C1"/>
    <w:rsid w:val="3E675770"/>
    <w:rsid w:val="3E726904"/>
    <w:rsid w:val="3EDD6FEC"/>
    <w:rsid w:val="3EF32DD6"/>
    <w:rsid w:val="3EFA0D2B"/>
    <w:rsid w:val="3F0874F8"/>
    <w:rsid w:val="3F164CDA"/>
    <w:rsid w:val="3F472860"/>
    <w:rsid w:val="3F54703A"/>
    <w:rsid w:val="3F8719ED"/>
    <w:rsid w:val="3F9457EA"/>
    <w:rsid w:val="3F961308"/>
    <w:rsid w:val="3FAE7C86"/>
    <w:rsid w:val="3FB402DE"/>
    <w:rsid w:val="3FBF2071"/>
    <w:rsid w:val="3FEC40D4"/>
    <w:rsid w:val="400C38A3"/>
    <w:rsid w:val="40533F4D"/>
    <w:rsid w:val="40C81A57"/>
    <w:rsid w:val="4102653D"/>
    <w:rsid w:val="4128778B"/>
    <w:rsid w:val="412E56A8"/>
    <w:rsid w:val="41554B3E"/>
    <w:rsid w:val="41874E64"/>
    <w:rsid w:val="41931657"/>
    <w:rsid w:val="41A86B47"/>
    <w:rsid w:val="41CA4DC3"/>
    <w:rsid w:val="41D7394A"/>
    <w:rsid w:val="41DC7361"/>
    <w:rsid w:val="421361F6"/>
    <w:rsid w:val="423A1DB1"/>
    <w:rsid w:val="423D15C3"/>
    <w:rsid w:val="42417305"/>
    <w:rsid w:val="42780119"/>
    <w:rsid w:val="42797037"/>
    <w:rsid w:val="427C45A1"/>
    <w:rsid w:val="42931FC8"/>
    <w:rsid w:val="42C92ECE"/>
    <w:rsid w:val="432033BE"/>
    <w:rsid w:val="434D1CD9"/>
    <w:rsid w:val="436E42C5"/>
    <w:rsid w:val="4388101F"/>
    <w:rsid w:val="43C1464C"/>
    <w:rsid w:val="43EC4188"/>
    <w:rsid w:val="43FB1735"/>
    <w:rsid w:val="44202F3D"/>
    <w:rsid w:val="442C571D"/>
    <w:rsid w:val="4431076F"/>
    <w:rsid w:val="44340BA5"/>
    <w:rsid w:val="451C7473"/>
    <w:rsid w:val="459D5443"/>
    <w:rsid w:val="45EF0E26"/>
    <w:rsid w:val="468D006E"/>
    <w:rsid w:val="46AC5600"/>
    <w:rsid w:val="471362A9"/>
    <w:rsid w:val="47400072"/>
    <w:rsid w:val="47883CE9"/>
    <w:rsid w:val="47A37959"/>
    <w:rsid w:val="47E714F2"/>
    <w:rsid w:val="480B0A3F"/>
    <w:rsid w:val="4826706B"/>
    <w:rsid w:val="48355DE1"/>
    <w:rsid w:val="48491D0F"/>
    <w:rsid w:val="48B4669B"/>
    <w:rsid w:val="491D12BB"/>
    <w:rsid w:val="49234394"/>
    <w:rsid w:val="49317E22"/>
    <w:rsid w:val="495B7468"/>
    <w:rsid w:val="49A02346"/>
    <w:rsid w:val="49AB66DB"/>
    <w:rsid w:val="49B455B2"/>
    <w:rsid w:val="49C16F6F"/>
    <w:rsid w:val="49F92273"/>
    <w:rsid w:val="4A1C2C32"/>
    <w:rsid w:val="4A3426DE"/>
    <w:rsid w:val="4AA76976"/>
    <w:rsid w:val="4AAA6714"/>
    <w:rsid w:val="4AD52CE0"/>
    <w:rsid w:val="4B15553F"/>
    <w:rsid w:val="4B1658F2"/>
    <w:rsid w:val="4B9F0DD5"/>
    <w:rsid w:val="4C017095"/>
    <w:rsid w:val="4C265FBD"/>
    <w:rsid w:val="4C274FFC"/>
    <w:rsid w:val="4C2D5A85"/>
    <w:rsid w:val="4C5658B2"/>
    <w:rsid w:val="4C660364"/>
    <w:rsid w:val="4C8555C6"/>
    <w:rsid w:val="4CA536CC"/>
    <w:rsid w:val="4CD83849"/>
    <w:rsid w:val="4D3162DF"/>
    <w:rsid w:val="4D331F40"/>
    <w:rsid w:val="4D3A3BC0"/>
    <w:rsid w:val="4D6C5694"/>
    <w:rsid w:val="4D8B5F48"/>
    <w:rsid w:val="4D8C618A"/>
    <w:rsid w:val="4DBC4566"/>
    <w:rsid w:val="4DE374C2"/>
    <w:rsid w:val="4E4446C6"/>
    <w:rsid w:val="4E7E543D"/>
    <w:rsid w:val="4EA16454"/>
    <w:rsid w:val="4EF462BB"/>
    <w:rsid w:val="4F4B0870"/>
    <w:rsid w:val="4F7B0E4F"/>
    <w:rsid w:val="4F7C2E75"/>
    <w:rsid w:val="4F8F276E"/>
    <w:rsid w:val="4F9F2C9A"/>
    <w:rsid w:val="503235F2"/>
    <w:rsid w:val="50501F54"/>
    <w:rsid w:val="506D11BD"/>
    <w:rsid w:val="50834F8C"/>
    <w:rsid w:val="50896599"/>
    <w:rsid w:val="50BC3801"/>
    <w:rsid w:val="50E20471"/>
    <w:rsid w:val="50EA500B"/>
    <w:rsid w:val="50FB4B23"/>
    <w:rsid w:val="51477DB6"/>
    <w:rsid w:val="51975645"/>
    <w:rsid w:val="51A07D23"/>
    <w:rsid w:val="51AF6DC6"/>
    <w:rsid w:val="51BD46A9"/>
    <w:rsid w:val="51C41F00"/>
    <w:rsid w:val="522054CC"/>
    <w:rsid w:val="523E5EFC"/>
    <w:rsid w:val="52485A31"/>
    <w:rsid w:val="527F3A54"/>
    <w:rsid w:val="529A3E5D"/>
    <w:rsid w:val="52B43B7C"/>
    <w:rsid w:val="52B757C5"/>
    <w:rsid w:val="52EB3A96"/>
    <w:rsid w:val="531F5CAB"/>
    <w:rsid w:val="533F77C3"/>
    <w:rsid w:val="53855614"/>
    <w:rsid w:val="53B62D07"/>
    <w:rsid w:val="53C77F81"/>
    <w:rsid w:val="53D8496D"/>
    <w:rsid w:val="53FE7170"/>
    <w:rsid w:val="54265849"/>
    <w:rsid w:val="54275A1C"/>
    <w:rsid w:val="5430412D"/>
    <w:rsid w:val="545442A5"/>
    <w:rsid w:val="54691D09"/>
    <w:rsid w:val="547B7561"/>
    <w:rsid w:val="549434CC"/>
    <w:rsid w:val="54A977F5"/>
    <w:rsid w:val="557E7F76"/>
    <w:rsid w:val="55B2266F"/>
    <w:rsid w:val="56166782"/>
    <w:rsid w:val="56220A9D"/>
    <w:rsid w:val="56770E36"/>
    <w:rsid w:val="56BC6CDA"/>
    <w:rsid w:val="56E83021"/>
    <w:rsid w:val="56FA4BB7"/>
    <w:rsid w:val="57326A92"/>
    <w:rsid w:val="57347C1D"/>
    <w:rsid w:val="57542A3F"/>
    <w:rsid w:val="57673BE4"/>
    <w:rsid w:val="577F009D"/>
    <w:rsid w:val="578F4AB3"/>
    <w:rsid w:val="57B204EC"/>
    <w:rsid w:val="57B974E6"/>
    <w:rsid w:val="57CD4D3F"/>
    <w:rsid w:val="5800200F"/>
    <w:rsid w:val="58013AEE"/>
    <w:rsid w:val="580B36D7"/>
    <w:rsid w:val="583A4287"/>
    <w:rsid w:val="58ED0C9D"/>
    <w:rsid w:val="5911172D"/>
    <w:rsid w:val="59181464"/>
    <w:rsid w:val="591B3265"/>
    <w:rsid w:val="59560B9C"/>
    <w:rsid w:val="596E2717"/>
    <w:rsid w:val="59B2711D"/>
    <w:rsid w:val="59FB29AF"/>
    <w:rsid w:val="5A5451F1"/>
    <w:rsid w:val="5A770DF6"/>
    <w:rsid w:val="5A861C18"/>
    <w:rsid w:val="5AC52078"/>
    <w:rsid w:val="5AE900E2"/>
    <w:rsid w:val="5B0B1F95"/>
    <w:rsid w:val="5B2776A4"/>
    <w:rsid w:val="5B4D35C8"/>
    <w:rsid w:val="5B647768"/>
    <w:rsid w:val="5B781C41"/>
    <w:rsid w:val="5BA07E7D"/>
    <w:rsid w:val="5BA54F69"/>
    <w:rsid w:val="5BB45797"/>
    <w:rsid w:val="5BFD0E7B"/>
    <w:rsid w:val="5C1E1B93"/>
    <w:rsid w:val="5D4073BD"/>
    <w:rsid w:val="5D501F27"/>
    <w:rsid w:val="5D6F0919"/>
    <w:rsid w:val="5D7A166C"/>
    <w:rsid w:val="5DE1433D"/>
    <w:rsid w:val="5DE35818"/>
    <w:rsid w:val="5E0B243B"/>
    <w:rsid w:val="5E0C6E26"/>
    <w:rsid w:val="5E190CDE"/>
    <w:rsid w:val="5E763CF9"/>
    <w:rsid w:val="5E885FA6"/>
    <w:rsid w:val="5EC34829"/>
    <w:rsid w:val="5EF41669"/>
    <w:rsid w:val="5F0F1702"/>
    <w:rsid w:val="5F657924"/>
    <w:rsid w:val="5F841854"/>
    <w:rsid w:val="5FBB0FA4"/>
    <w:rsid w:val="5FFA0406"/>
    <w:rsid w:val="60227CED"/>
    <w:rsid w:val="607E588E"/>
    <w:rsid w:val="60837066"/>
    <w:rsid w:val="60976482"/>
    <w:rsid w:val="60E173FF"/>
    <w:rsid w:val="60E32902"/>
    <w:rsid w:val="60F10042"/>
    <w:rsid w:val="614920D1"/>
    <w:rsid w:val="61637D56"/>
    <w:rsid w:val="616B7363"/>
    <w:rsid w:val="61EE40B9"/>
    <w:rsid w:val="61F71146"/>
    <w:rsid w:val="62024F71"/>
    <w:rsid w:val="62196F18"/>
    <w:rsid w:val="622D72DA"/>
    <w:rsid w:val="625C68EC"/>
    <w:rsid w:val="626A7D5A"/>
    <w:rsid w:val="634405AB"/>
    <w:rsid w:val="63461B81"/>
    <w:rsid w:val="639E1064"/>
    <w:rsid w:val="63D07AD2"/>
    <w:rsid w:val="640956AE"/>
    <w:rsid w:val="640E1F8A"/>
    <w:rsid w:val="642D54E3"/>
    <w:rsid w:val="644E3437"/>
    <w:rsid w:val="6476203D"/>
    <w:rsid w:val="648E02B3"/>
    <w:rsid w:val="64AC7263"/>
    <w:rsid w:val="64CA7CEA"/>
    <w:rsid w:val="64E03583"/>
    <w:rsid w:val="65336B29"/>
    <w:rsid w:val="658A505E"/>
    <w:rsid w:val="65BB267B"/>
    <w:rsid w:val="65FC4FF2"/>
    <w:rsid w:val="66331FB0"/>
    <w:rsid w:val="66522FDF"/>
    <w:rsid w:val="66602917"/>
    <w:rsid w:val="66807B4C"/>
    <w:rsid w:val="66950069"/>
    <w:rsid w:val="66F36075"/>
    <w:rsid w:val="671D6001"/>
    <w:rsid w:val="67333CC5"/>
    <w:rsid w:val="67410373"/>
    <w:rsid w:val="67655206"/>
    <w:rsid w:val="67706CC4"/>
    <w:rsid w:val="677536B2"/>
    <w:rsid w:val="68112184"/>
    <w:rsid w:val="68220CE6"/>
    <w:rsid w:val="68357041"/>
    <w:rsid w:val="684010DF"/>
    <w:rsid w:val="684D48DB"/>
    <w:rsid w:val="687419EA"/>
    <w:rsid w:val="68971E56"/>
    <w:rsid w:val="68BC6E36"/>
    <w:rsid w:val="69243D8C"/>
    <w:rsid w:val="69971AB2"/>
    <w:rsid w:val="69992D86"/>
    <w:rsid w:val="69F3315F"/>
    <w:rsid w:val="69F72302"/>
    <w:rsid w:val="6A120191"/>
    <w:rsid w:val="6A255D00"/>
    <w:rsid w:val="6A5512F0"/>
    <w:rsid w:val="6A580905"/>
    <w:rsid w:val="6A5E0B45"/>
    <w:rsid w:val="6AA8778B"/>
    <w:rsid w:val="6AB525A4"/>
    <w:rsid w:val="6ABF15AE"/>
    <w:rsid w:val="6ACE3B8B"/>
    <w:rsid w:val="6B323077"/>
    <w:rsid w:val="6B714C55"/>
    <w:rsid w:val="6B910CC5"/>
    <w:rsid w:val="6BF07722"/>
    <w:rsid w:val="6C1A765E"/>
    <w:rsid w:val="6CCD6F3E"/>
    <w:rsid w:val="6CD25143"/>
    <w:rsid w:val="6D286357"/>
    <w:rsid w:val="6D2D29EC"/>
    <w:rsid w:val="6D3D1543"/>
    <w:rsid w:val="6D4575D1"/>
    <w:rsid w:val="6DC960AE"/>
    <w:rsid w:val="6DCE2536"/>
    <w:rsid w:val="6DFF2D05"/>
    <w:rsid w:val="6E6F2F14"/>
    <w:rsid w:val="6E761835"/>
    <w:rsid w:val="6E7E4454"/>
    <w:rsid w:val="6EB47D25"/>
    <w:rsid w:val="6EDA3A91"/>
    <w:rsid w:val="6EDD59A6"/>
    <w:rsid w:val="6F1F395C"/>
    <w:rsid w:val="6F6D300B"/>
    <w:rsid w:val="6F6E27A2"/>
    <w:rsid w:val="6F7318F9"/>
    <w:rsid w:val="6F7A0971"/>
    <w:rsid w:val="6F9A6F92"/>
    <w:rsid w:val="6FA14630"/>
    <w:rsid w:val="6FB26526"/>
    <w:rsid w:val="6FEE472F"/>
    <w:rsid w:val="6FF80ECF"/>
    <w:rsid w:val="7039118A"/>
    <w:rsid w:val="7048597B"/>
    <w:rsid w:val="705362D1"/>
    <w:rsid w:val="70792114"/>
    <w:rsid w:val="70BB05FF"/>
    <w:rsid w:val="710A1155"/>
    <w:rsid w:val="71123B75"/>
    <w:rsid w:val="711C739F"/>
    <w:rsid w:val="714E6AD4"/>
    <w:rsid w:val="717E19C2"/>
    <w:rsid w:val="718438CB"/>
    <w:rsid w:val="71AB15C7"/>
    <w:rsid w:val="71BB0D81"/>
    <w:rsid w:val="71C449E7"/>
    <w:rsid w:val="71F37403"/>
    <w:rsid w:val="7278770A"/>
    <w:rsid w:val="72910586"/>
    <w:rsid w:val="72B6031C"/>
    <w:rsid w:val="72B64F42"/>
    <w:rsid w:val="72EA6C6F"/>
    <w:rsid w:val="732B79E6"/>
    <w:rsid w:val="73B21561"/>
    <w:rsid w:val="73DC4D25"/>
    <w:rsid w:val="73DE26DE"/>
    <w:rsid w:val="743F3744"/>
    <w:rsid w:val="749C2049"/>
    <w:rsid w:val="74B64688"/>
    <w:rsid w:val="74DB35C2"/>
    <w:rsid w:val="750A3E3C"/>
    <w:rsid w:val="750B0F29"/>
    <w:rsid w:val="756B0CB3"/>
    <w:rsid w:val="75757894"/>
    <w:rsid w:val="75830558"/>
    <w:rsid w:val="758336FA"/>
    <w:rsid w:val="75B20A95"/>
    <w:rsid w:val="75C75101"/>
    <w:rsid w:val="75D21478"/>
    <w:rsid w:val="75DD2917"/>
    <w:rsid w:val="75E46534"/>
    <w:rsid w:val="763B1D04"/>
    <w:rsid w:val="763B75EC"/>
    <w:rsid w:val="76557EC3"/>
    <w:rsid w:val="7680467D"/>
    <w:rsid w:val="769F582D"/>
    <w:rsid w:val="76A916E0"/>
    <w:rsid w:val="76D93296"/>
    <w:rsid w:val="770167CB"/>
    <w:rsid w:val="770976EA"/>
    <w:rsid w:val="77850FA2"/>
    <w:rsid w:val="77BC6234"/>
    <w:rsid w:val="78460C19"/>
    <w:rsid w:val="786C3735"/>
    <w:rsid w:val="78711EA5"/>
    <w:rsid w:val="788B1B55"/>
    <w:rsid w:val="789E7AD0"/>
    <w:rsid w:val="78A60180"/>
    <w:rsid w:val="79300FDE"/>
    <w:rsid w:val="79352EE7"/>
    <w:rsid w:val="798A3C76"/>
    <w:rsid w:val="79907355"/>
    <w:rsid w:val="79A27982"/>
    <w:rsid w:val="79B325B0"/>
    <w:rsid w:val="79C1634F"/>
    <w:rsid w:val="79ED2696"/>
    <w:rsid w:val="79FE72AE"/>
    <w:rsid w:val="7A7A316E"/>
    <w:rsid w:val="7A892603"/>
    <w:rsid w:val="7AA00695"/>
    <w:rsid w:val="7AF244C2"/>
    <w:rsid w:val="7AFE15D9"/>
    <w:rsid w:val="7B1578B9"/>
    <w:rsid w:val="7BA80BFF"/>
    <w:rsid w:val="7BBC0438"/>
    <w:rsid w:val="7C4902F7"/>
    <w:rsid w:val="7C7158FA"/>
    <w:rsid w:val="7C800451"/>
    <w:rsid w:val="7C842503"/>
    <w:rsid w:val="7C877DDC"/>
    <w:rsid w:val="7C92616D"/>
    <w:rsid w:val="7CA1610D"/>
    <w:rsid w:val="7CB45056"/>
    <w:rsid w:val="7CCE015A"/>
    <w:rsid w:val="7D032FA8"/>
    <w:rsid w:val="7D4B430E"/>
    <w:rsid w:val="7D68280C"/>
    <w:rsid w:val="7EA47732"/>
    <w:rsid w:val="7F2851D9"/>
    <w:rsid w:val="7F36010F"/>
    <w:rsid w:val="7F7D45B6"/>
    <w:rsid w:val="7FA97826"/>
    <w:rsid w:val="7FF31FF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883" w:firstLineChars="200"/>
      <w:jc w:val="both"/>
    </w:pPr>
    <w:rPr>
      <w:rFonts w:ascii="Times New Roman" w:hAnsi="Times New Roman" w:eastAsia="宋体" w:cs="Times New Roman"/>
      <w:kern w:val="2"/>
      <w:sz w:val="28"/>
      <w:szCs w:val="24"/>
      <w:lang w:val="en-US" w:eastAsia="zh-CN" w:bidi="ar-SA"/>
    </w:rPr>
  </w:style>
  <w:style w:type="paragraph" w:styleId="4">
    <w:name w:val="heading 1"/>
    <w:basedOn w:val="1"/>
    <w:next w:val="1"/>
    <w:link w:val="53"/>
    <w:qFormat/>
    <w:uiPriority w:val="0"/>
    <w:pPr>
      <w:widowControl/>
      <w:spacing w:beforeLines="0" w:beforeAutospacing="0" w:afterLines="0" w:afterAutospacing="0" w:line="600" w:lineRule="exact"/>
      <w:ind w:firstLine="0" w:firstLineChars="0"/>
      <w:jc w:val="left"/>
      <w:outlineLvl w:val="0"/>
    </w:pPr>
    <w:rPr>
      <w:b/>
      <w:bCs/>
      <w:kern w:val="36"/>
      <w:sz w:val="32"/>
      <w:szCs w:val="28"/>
    </w:rPr>
  </w:style>
  <w:style w:type="paragraph" w:styleId="5">
    <w:name w:val="heading 2"/>
    <w:basedOn w:val="1"/>
    <w:next w:val="1"/>
    <w:link w:val="54"/>
    <w:qFormat/>
    <w:uiPriority w:val="0"/>
    <w:pPr>
      <w:keepNext/>
      <w:keepLines/>
      <w:spacing w:before="100" w:beforeLines="100" w:beforeAutospacing="0" w:after="50" w:afterLines="50" w:afterAutospacing="0" w:line="240" w:lineRule="auto"/>
      <w:ind w:firstLine="0" w:firstLineChars="0"/>
      <w:outlineLvl w:val="1"/>
    </w:pPr>
    <w:rPr>
      <w:rFonts w:ascii="Times New Roman" w:hAnsi="Times New Roman" w:eastAsia="宋体"/>
      <w:b/>
      <w:sz w:val="30"/>
      <w:szCs w:val="28"/>
    </w:rPr>
  </w:style>
  <w:style w:type="paragraph" w:styleId="6">
    <w:name w:val="heading 3"/>
    <w:basedOn w:val="1"/>
    <w:next w:val="1"/>
    <w:link w:val="45"/>
    <w:qFormat/>
    <w:uiPriority w:val="0"/>
    <w:pPr>
      <w:keepNext/>
      <w:keepLines/>
      <w:spacing w:beforeLines="0" w:beforeAutospacing="0" w:afterLines="0" w:afterAutospacing="0" w:line="600" w:lineRule="exact"/>
      <w:ind w:firstLine="0" w:firstLineChars="0"/>
      <w:outlineLvl w:val="2"/>
    </w:pPr>
    <w:rPr>
      <w:b/>
      <w:szCs w:val="28"/>
    </w:rPr>
  </w:style>
  <w:style w:type="paragraph" w:styleId="7">
    <w:name w:val="heading 4"/>
    <w:basedOn w:val="1"/>
    <w:next w:val="1"/>
    <w:qFormat/>
    <w:uiPriority w:val="0"/>
    <w:pPr>
      <w:keepNext/>
      <w:keepLines/>
      <w:spacing w:beforeLines="0" w:beforeAutospacing="0" w:afterLines="0" w:afterAutospacing="0" w:line="580" w:lineRule="exact"/>
      <w:outlineLvl w:val="3"/>
    </w:pPr>
    <w:rPr>
      <w:rFonts w:ascii="Times New Roman" w:hAnsi="Times New Roman" w:eastAsia="宋体" w:cs="Times New Roman"/>
      <w:b/>
    </w:rPr>
  </w:style>
  <w:style w:type="character" w:default="1" w:styleId="35">
    <w:name w:val="Default Paragraph Font"/>
    <w:link w:val="36"/>
    <w:qFormat/>
    <w:uiPriority w:val="0"/>
    <w:rPr>
      <w:rFonts w:ascii="Verdana" w:hAnsi="Verdana"/>
      <w:kern w:val="0"/>
      <w:sz w:val="20"/>
      <w:szCs w:val="20"/>
      <w:lang w:eastAsia="en-US"/>
    </w:rPr>
  </w:style>
  <w:style w:type="table" w:default="1" w:styleId="33">
    <w:name w:val="Normal Table"/>
    <w:unhideWhenUsed/>
    <w:qFormat/>
    <w:uiPriority w:val="99"/>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szCs w:val="18"/>
    </w:rPr>
  </w:style>
  <w:style w:type="paragraph" w:styleId="3">
    <w:name w:val="Normal (Web)"/>
    <w:basedOn w:val="1"/>
    <w:next w:val="1"/>
    <w:qFormat/>
    <w:uiPriority w:val="0"/>
    <w:pPr>
      <w:widowControl/>
      <w:spacing w:before="100" w:beforeLines="0" w:beforeAutospacing="1" w:after="100" w:afterLines="0" w:afterAutospacing="1"/>
      <w:jc w:val="left"/>
    </w:pPr>
    <w:rPr>
      <w:rFonts w:ascii="宋体" w:hAnsi="宋体"/>
      <w:kern w:val="0"/>
      <w:sz w:val="24"/>
    </w:rPr>
  </w:style>
  <w:style w:type="paragraph" w:styleId="8">
    <w:name w:val="toc 7"/>
    <w:basedOn w:val="1"/>
    <w:next w:val="1"/>
    <w:qFormat/>
    <w:uiPriority w:val="0"/>
    <w:pPr>
      <w:ind w:left="2520" w:leftChars="1200"/>
    </w:pPr>
  </w:style>
  <w:style w:type="paragraph" w:styleId="9">
    <w:name w:val="Normal Indent"/>
    <w:basedOn w:val="1"/>
    <w:autoRedefine/>
    <w:qFormat/>
    <w:uiPriority w:val="0"/>
    <w:pPr>
      <w:ind w:firstLine="420" w:firstLineChars="200"/>
    </w:pPr>
  </w:style>
  <w:style w:type="paragraph" w:styleId="10">
    <w:name w:val="Document Map"/>
    <w:basedOn w:val="1"/>
    <w:next w:val="11"/>
    <w:qFormat/>
    <w:uiPriority w:val="0"/>
    <w:pPr>
      <w:shd w:val="clear" w:color="auto" w:fill="000080"/>
      <w:jc w:val="center"/>
    </w:pPr>
    <w:rPr>
      <w:rFonts w:ascii="Times New Roman" w:hAnsi="Times New Roman" w:eastAsia="宋体"/>
    </w:rPr>
  </w:style>
  <w:style w:type="paragraph" w:customStyle="1" w:styleId="11">
    <w:name w:val="表格中文字1"/>
    <w:basedOn w:val="1"/>
    <w:qFormat/>
    <w:uiPriority w:val="0"/>
    <w:pPr>
      <w:tabs>
        <w:tab w:val="left" w:pos="2655"/>
      </w:tabs>
      <w:spacing w:line="240" w:lineRule="exact"/>
      <w:jc w:val="center"/>
    </w:pPr>
    <w:rPr>
      <w:rFonts w:ascii="Times New Roman" w:hAnsi="Times New Roman"/>
      <w:bCs/>
      <w:color w:val="auto"/>
      <w:sz w:val="21"/>
      <w:szCs w:val="21"/>
    </w:rPr>
  </w:style>
  <w:style w:type="paragraph" w:styleId="12">
    <w:name w:val="annotation text"/>
    <w:basedOn w:val="1"/>
    <w:qFormat/>
    <w:uiPriority w:val="0"/>
    <w:pPr>
      <w:jc w:val="left"/>
    </w:pPr>
  </w:style>
  <w:style w:type="paragraph" w:styleId="13">
    <w:name w:val="Body Text"/>
    <w:basedOn w:val="1"/>
    <w:next w:val="1"/>
    <w:qFormat/>
    <w:uiPriority w:val="0"/>
    <w:pPr>
      <w:widowControl/>
      <w:spacing w:before="100" w:beforeLines="0" w:beforeAutospacing="1" w:after="100" w:afterLines="0" w:afterAutospacing="1"/>
      <w:jc w:val="left"/>
    </w:pPr>
    <w:rPr>
      <w:rFonts w:ascii="宋体" w:hAnsi="宋体"/>
      <w:kern w:val="0"/>
      <w:sz w:val="24"/>
    </w:rPr>
  </w:style>
  <w:style w:type="paragraph" w:styleId="14">
    <w:name w:val="Body Text Indent"/>
    <w:basedOn w:val="1"/>
    <w:link w:val="52"/>
    <w:qFormat/>
    <w:uiPriority w:val="0"/>
    <w:pPr>
      <w:spacing w:after="120" w:afterLines="0"/>
      <w:ind w:left="420" w:leftChars="200"/>
    </w:pPr>
    <w:rPr>
      <w:kern w:val="2"/>
      <w:sz w:val="21"/>
      <w:szCs w:val="24"/>
    </w:rPr>
  </w:style>
  <w:style w:type="paragraph" w:styleId="15">
    <w:name w:val="toc 5"/>
    <w:basedOn w:val="1"/>
    <w:next w:val="1"/>
    <w:qFormat/>
    <w:uiPriority w:val="0"/>
    <w:pPr>
      <w:ind w:left="1680" w:leftChars="800"/>
    </w:pPr>
  </w:style>
  <w:style w:type="paragraph" w:styleId="16">
    <w:name w:val="toc 3"/>
    <w:basedOn w:val="1"/>
    <w:next w:val="1"/>
    <w:qFormat/>
    <w:uiPriority w:val="39"/>
    <w:pPr>
      <w:ind w:left="840" w:leftChars="400"/>
    </w:pPr>
  </w:style>
  <w:style w:type="paragraph" w:styleId="17">
    <w:name w:val="Plain Text"/>
    <w:basedOn w:val="1"/>
    <w:qFormat/>
    <w:uiPriority w:val="0"/>
    <w:rPr>
      <w:rFonts w:ascii="宋体" w:hAnsi="Courier New"/>
    </w:rPr>
  </w:style>
  <w:style w:type="paragraph" w:styleId="18">
    <w:name w:val="toc 8"/>
    <w:basedOn w:val="1"/>
    <w:next w:val="1"/>
    <w:qFormat/>
    <w:uiPriority w:val="0"/>
    <w:pPr>
      <w:ind w:left="2940" w:leftChars="1400"/>
    </w:pPr>
  </w:style>
  <w:style w:type="paragraph" w:styleId="19">
    <w:name w:val="Date"/>
    <w:basedOn w:val="1"/>
    <w:next w:val="1"/>
    <w:qFormat/>
    <w:uiPriority w:val="0"/>
    <w:pPr>
      <w:ind w:left="100" w:leftChars="2500"/>
    </w:pPr>
    <w:rPr>
      <w:sz w:val="28"/>
    </w:rPr>
  </w:style>
  <w:style w:type="paragraph" w:styleId="20">
    <w:name w:val="Body Text Indent 2"/>
    <w:basedOn w:val="1"/>
    <w:qFormat/>
    <w:uiPriority w:val="0"/>
    <w:pPr>
      <w:ind w:firstLine="570"/>
    </w:pPr>
    <w:rPr>
      <w:kern w:val="2"/>
      <w:sz w:val="28"/>
      <w:szCs w:val="24"/>
    </w:rPr>
  </w:style>
  <w:style w:type="paragraph" w:styleId="21">
    <w:name w:val="Balloon Text"/>
    <w:basedOn w:val="1"/>
    <w:qFormat/>
    <w:uiPriority w:val="0"/>
    <w:rPr>
      <w:sz w:val="18"/>
      <w:szCs w:val="18"/>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style>
  <w:style w:type="paragraph" w:styleId="24">
    <w:name w:val="toc 4"/>
    <w:basedOn w:val="1"/>
    <w:next w:val="1"/>
    <w:qFormat/>
    <w:uiPriority w:val="0"/>
    <w:pPr>
      <w:ind w:left="1260" w:leftChars="600"/>
    </w:pPr>
  </w:style>
  <w:style w:type="paragraph" w:styleId="25">
    <w:name w:val="toc 6"/>
    <w:basedOn w:val="1"/>
    <w:next w:val="1"/>
    <w:qFormat/>
    <w:uiPriority w:val="0"/>
    <w:pPr>
      <w:ind w:left="2100" w:leftChars="1000"/>
    </w:pPr>
  </w:style>
  <w:style w:type="paragraph" w:styleId="26">
    <w:name w:val="Body Text Indent 3"/>
    <w:basedOn w:val="1"/>
    <w:qFormat/>
    <w:uiPriority w:val="0"/>
    <w:pPr>
      <w:spacing w:after="120" w:afterLines="0"/>
      <w:ind w:left="420" w:leftChars="200"/>
    </w:pPr>
    <w:rPr>
      <w:sz w:val="16"/>
      <w:szCs w:val="16"/>
    </w:rPr>
  </w:style>
  <w:style w:type="paragraph" w:styleId="27">
    <w:name w:val="toc 2"/>
    <w:basedOn w:val="1"/>
    <w:next w:val="1"/>
    <w:qFormat/>
    <w:uiPriority w:val="39"/>
    <w:pPr>
      <w:ind w:left="420" w:leftChars="200"/>
    </w:pPr>
  </w:style>
  <w:style w:type="paragraph" w:styleId="28">
    <w:name w:val="toc 9"/>
    <w:basedOn w:val="1"/>
    <w:next w:val="1"/>
    <w:qFormat/>
    <w:uiPriority w:val="0"/>
    <w:pPr>
      <w:ind w:left="3360" w:leftChars="1600"/>
    </w:pPr>
  </w:style>
  <w:style w:type="paragraph" w:styleId="29">
    <w:name w:val="Body Text 2"/>
    <w:basedOn w:val="1"/>
    <w:autoRedefine/>
    <w:qFormat/>
    <w:uiPriority w:val="0"/>
    <w:pPr>
      <w:spacing w:after="120" w:afterLines="0" w:afterAutospacing="0" w:line="480" w:lineRule="auto"/>
    </w:pPr>
  </w:style>
  <w:style w:type="paragraph" w:styleId="3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1">
    <w:name w:val="Body Text First Indent"/>
    <w:basedOn w:val="1"/>
    <w:qFormat/>
    <w:uiPriority w:val="0"/>
    <w:pPr>
      <w:spacing w:after="120" w:afterLines="0"/>
      <w:ind w:firstLine="420" w:firstLineChars="100"/>
    </w:pPr>
    <w:rPr>
      <w:sz w:val="21"/>
    </w:rPr>
  </w:style>
  <w:style w:type="paragraph" w:styleId="32">
    <w:name w:val="Body Text First Indent 2"/>
    <w:basedOn w:val="13"/>
    <w:next w:val="1"/>
    <w:autoRedefine/>
    <w:qFormat/>
    <w:uiPriority w:val="99"/>
    <w:pPr>
      <w:tabs>
        <w:tab w:val="left" w:pos="0"/>
        <w:tab w:val="left" w:pos="870"/>
        <w:tab w:val="left" w:pos="3150"/>
      </w:tabs>
      <w:autoSpaceDE w:val="0"/>
      <w:autoSpaceDN w:val="0"/>
      <w:adjustRightInd w:val="0"/>
      <w:spacing w:line="360" w:lineRule="auto"/>
      <w:ind w:firstLine="527"/>
    </w:pPr>
    <w:rPr>
      <w:rFonts w:ascii="宋体" w:cs="宋体"/>
      <w:sz w:val="24"/>
      <w:szCs w:val="24"/>
    </w:rPr>
  </w:style>
  <w:style w:type="table" w:styleId="34">
    <w:name w:val="Table Grid"/>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6">
    <w:name w:val=" Char Char1 Char Char Char Char Char Char Char Char Char Char Char Char Char Char Char1 Char1 Char Char Char Char Char Char Char Char Char"/>
    <w:basedOn w:val="1"/>
    <w:link w:val="35"/>
    <w:qFormat/>
    <w:uiPriority w:val="0"/>
    <w:pPr>
      <w:widowControl/>
      <w:spacing w:after="160" w:afterLines="0" w:line="240" w:lineRule="exact"/>
      <w:jc w:val="left"/>
    </w:pPr>
    <w:rPr>
      <w:rFonts w:ascii="Verdana" w:hAnsi="Verdana"/>
      <w:kern w:val="0"/>
      <w:sz w:val="20"/>
      <w:szCs w:val="20"/>
      <w:lang w:eastAsia="en-US"/>
    </w:rPr>
  </w:style>
  <w:style w:type="character" w:styleId="37">
    <w:name w:val="Strong"/>
    <w:qFormat/>
    <w:uiPriority w:val="0"/>
    <w:rPr>
      <w:rFonts w:ascii="Verdana" w:hAnsi="Verdana"/>
      <w:b/>
      <w:bCs/>
      <w:kern w:val="0"/>
      <w:sz w:val="20"/>
      <w:szCs w:val="20"/>
      <w:lang w:eastAsia="en-US"/>
    </w:rPr>
  </w:style>
  <w:style w:type="character" w:styleId="38">
    <w:name w:val="page number"/>
    <w:qFormat/>
    <w:uiPriority w:val="0"/>
    <w:rPr>
      <w:lang w:eastAsia="en-US"/>
    </w:rPr>
  </w:style>
  <w:style w:type="character" w:styleId="39">
    <w:name w:val="FollowedHyperlink"/>
    <w:qFormat/>
    <w:uiPriority w:val="0"/>
    <w:rPr>
      <w:rFonts w:ascii="Verdana" w:hAnsi="Verdana"/>
      <w:color w:val="800080"/>
      <w:kern w:val="0"/>
      <w:sz w:val="20"/>
      <w:szCs w:val="20"/>
      <w:u w:val="none"/>
      <w:lang w:eastAsia="en-US"/>
    </w:rPr>
  </w:style>
  <w:style w:type="character" w:styleId="40">
    <w:name w:val="Hyperlink"/>
    <w:qFormat/>
    <w:uiPriority w:val="99"/>
    <w:rPr>
      <w:rFonts w:ascii="Verdana" w:hAnsi="Verdana"/>
      <w:color w:val="0000FF"/>
      <w:kern w:val="0"/>
      <w:sz w:val="20"/>
      <w:szCs w:val="20"/>
      <w:u w:val="none"/>
      <w:lang w:eastAsia="en-US"/>
    </w:rPr>
  </w:style>
  <w:style w:type="paragraph" w:customStyle="1" w:styleId="41">
    <w:name w:val="0正文"/>
    <w:unhideWhenUsed/>
    <w:qFormat/>
    <w:uiPriority w:val="0"/>
    <w:pPr>
      <w:widowControl w:val="0"/>
      <w:spacing w:line="360" w:lineRule="auto"/>
      <w:ind w:firstLine="720" w:firstLineChars="200"/>
    </w:pPr>
    <w:rPr>
      <w:rFonts w:ascii="Calibri" w:hAnsi="Calibri" w:eastAsia="宋体" w:cstheme="minorBidi"/>
      <w:sz w:val="28"/>
      <w:szCs w:val="22"/>
      <w:lang w:val="en-US" w:eastAsia="zh-CN" w:bidi="ar-SA"/>
    </w:rPr>
  </w:style>
  <w:style w:type="paragraph" w:customStyle="1" w:styleId="42">
    <w:name w:val="表头"/>
    <w:basedOn w:val="29"/>
    <w:next w:val="9"/>
    <w:autoRedefine/>
    <w:qFormat/>
    <w:uiPriority w:val="0"/>
    <w:pPr>
      <w:autoSpaceDE w:val="0"/>
      <w:autoSpaceDN w:val="0"/>
      <w:adjustRightInd w:val="0"/>
      <w:snapToGrid w:val="0"/>
      <w:spacing w:before="100" w:beforeLines="100" w:line="240" w:lineRule="auto"/>
      <w:ind w:firstLine="0" w:firstLineChars="0"/>
      <w:jc w:val="center"/>
      <w:textAlignment w:val="baseline"/>
    </w:pPr>
    <w:rPr>
      <w:b/>
      <w:snapToGrid w:val="0"/>
      <w:spacing w:val="6"/>
      <w:kern w:val="10"/>
      <w:sz w:val="24"/>
    </w:rPr>
  </w:style>
  <w:style w:type="paragraph" w:customStyle="1" w:styleId="43">
    <w:name w:val="表格中文字"/>
    <w:basedOn w:val="1"/>
    <w:link w:val="75"/>
    <w:qFormat/>
    <w:uiPriority w:val="0"/>
    <w:pPr>
      <w:adjustRightInd w:val="0"/>
      <w:snapToGrid w:val="0"/>
      <w:spacing w:line="240" w:lineRule="auto"/>
      <w:ind w:firstLine="0" w:firstLineChars="0"/>
      <w:jc w:val="center"/>
    </w:pPr>
    <w:rPr>
      <w:kern w:val="18"/>
      <w:sz w:val="21"/>
      <w:szCs w:val="21"/>
    </w:rPr>
  </w:style>
  <w:style w:type="character" w:customStyle="1" w:styleId="44">
    <w:name w:val="标题 2 Char"/>
    <w:link w:val="5"/>
    <w:qFormat/>
    <w:uiPriority w:val="9"/>
    <w:rPr>
      <w:rFonts w:ascii="Arial" w:hAnsi="Arial" w:eastAsia="黑体"/>
      <w:b/>
      <w:bCs/>
      <w:kern w:val="2"/>
      <w:sz w:val="32"/>
      <w:szCs w:val="32"/>
      <w:lang w:val="en-US" w:eastAsia="zh-CN" w:bidi="ar-SA"/>
    </w:rPr>
  </w:style>
  <w:style w:type="character" w:customStyle="1" w:styleId="45">
    <w:name w:val="标题 3 Char"/>
    <w:link w:val="6"/>
    <w:qFormat/>
    <w:uiPriority w:val="0"/>
    <w:rPr>
      <w:rFonts w:ascii="Times New Roman" w:hAnsi="Times New Roman" w:eastAsia="宋体"/>
      <w:b/>
      <w:sz w:val="28"/>
      <w:szCs w:val="28"/>
    </w:rPr>
  </w:style>
  <w:style w:type="paragraph" w:customStyle="1" w:styleId="46">
    <w:name w:val="安全专篇正方"/>
    <w:basedOn w:val="1"/>
    <w:next w:val="1"/>
    <w:qFormat/>
    <w:uiPriority w:val="0"/>
    <w:pPr>
      <w:autoSpaceDE w:val="0"/>
      <w:autoSpaceDN w:val="0"/>
      <w:adjustRightInd w:val="0"/>
      <w:spacing w:line="360" w:lineRule="auto"/>
      <w:ind w:firstLine="200" w:firstLineChars="200"/>
      <w:jc w:val="left"/>
    </w:pPr>
    <w:rPr>
      <w:rFonts w:hAnsi="宋体"/>
      <w:color w:val="000000"/>
      <w:sz w:val="28"/>
      <w:szCs w:val="28"/>
    </w:rPr>
  </w:style>
  <w:style w:type="character" w:customStyle="1" w:styleId="47">
    <w:name w:val="标题 1 Char"/>
    <w:link w:val="4"/>
    <w:qFormat/>
    <w:uiPriority w:val="0"/>
    <w:rPr>
      <w:rFonts w:ascii="宋体" w:hAnsi="宋体"/>
      <w:b/>
      <w:bCs/>
      <w:kern w:val="36"/>
      <w:sz w:val="48"/>
      <w:szCs w:val="48"/>
    </w:rPr>
  </w:style>
  <w:style w:type="paragraph" w:customStyle="1" w:styleId="48">
    <w:name w:val="表格表头"/>
    <w:basedOn w:val="17"/>
    <w:next w:val="43"/>
    <w:link w:val="74"/>
    <w:qFormat/>
    <w:uiPriority w:val="0"/>
    <w:pPr>
      <w:adjustRightInd w:val="0"/>
      <w:spacing w:before="50" w:beforeLines="50" w:line="240" w:lineRule="auto"/>
      <w:ind w:firstLine="0" w:firstLineChars="0"/>
      <w:jc w:val="center"/>
      <w:textAlignment w:val="baseline"/>
    </w:pPr>
    <w:rPr>
      <w:rFonts w:ascii="Times New Roman" w:hAnsi="Times New Roman" w:cs="Times New Roman"/>
      <w:b/>
      <w:sz w:val="24"/>
      <w:szCs w:val="24"/>
    </w:rPr>
  </w:style>
  <w:style w:type="paragraph" w:customStyle="1" w:styleId="49">
    <w:name w:val="图表名"/>
    <w:basedOn w:val="1"/>
    <w:qFormat/>
    <w:uiPriority w:val="0"/>
    <w:pPr>
      <w:spacing w:line="480" w:lineRule="auto"/>
      <w:jc w:val="center"/>
    </w:pPr>
    <w:rPr>
      <w:rFonts w:ascii="Calibri" w:hAnsi="Calibri" w:eastAsia="黑体"/>
      <w:sz w:val="24"/>
    </w:rPr>
  </w:style>
  <w:style w:type="paragraph" w:styleId="50">
    <w:name w:val="No Spacing"/>
    <w:autoRedefine/>
    <w:qFormat/>
    <w:uiPriority w:val="1"/>
    <w:pPr>
      <w:widowControl w:val="0"/>
      <w:spacing w:line="600" w:lineRule="exact"/>
      <w:ind w:firstLine="200" w:firstLineChars="200"/>
      <w:jc w:val="both"/>
    </w:pPr>
    <w:rPr>
      <w:rFonts w:ascii="Times New Roman" w:hAnsi="Times New Roman" w:eastAsia="宋体" w:cs="Times New Roman"/>
      <w:kern w:val="2"/>
      <w:sz w:val="28"/>
      <w:szCs w:val="22"/>
      <w:lang w:val="en-US" w:eastAsia="zh-CN" w:bidi="ar-SA"/>
    </w:rPr>
  </w:style>
  <w:style w:type="paragraph" w:customStyle="1" w:styleId="51">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52">
    <w:name w:val="正文文本缩进 Char"/>
    <w:link w:val="14"/>
    <w:qFormat/>
    <w:uiPriority w:val="0"/>
    <w:rPr>
      <w:rFonts w:ascii="Verdana" w:hAnsi="Verdana"/>
      <w:kern w:val="2"/>
      <w:sz w:val="21"/>
      <w:szCs w:val="24"/>
      <w:lang w:eastAsia="en-US"/>
    </w:rPr>
  </w:style>
  <w:style w:type="character" w:customStyle="1" w:styleId="53">
    <w:name w:val="标题 1 字符"/>
    <w:link w:val="4"/>
    <w:qFormat/>
    <w:uiPriority w:val="0"/>
    <w:rPr>
      <w:rFonts w:ascii="Times New Roman" w:hAnsi="Times New Roman" w:eastAsia="宋体"/>
      <w:b/>
      <w:bCs/>
      <w:kern w:val="36"/>
      <w:sz w:val="32"/>
      <w:szCs w:val="28"/>
    </w:rPr>
  </w:style>
  <w:style w:type="character" w:customStyle="1" w:styleId="54">
    <w:name w:val="标题 2 字符"/>
    <w:link w:val="5"/>
    <w:qFormat/>
    <w:uiPriority w:val="0"/>
    <w:rPr>
      <w:rFonts w:ascii="Times New Roman" w:hAnsi="Times New Roman" w:eastAsia="宋体"/>
      <w:b/>
      <w:sz w:val="30"/>
      <w:szCs w:val="28"/>
    </w:rPr>
  </w:style>
  <w:style w:type="paragraph" w:customStyle="1" w:styleId="55">
    <w:name w:val="样式 标题 2"/>
    <w:basedOn w:val="5"/>
    <w:qFormat/>
    <w:uiPriority w:val="0"/>
    <w:pPr>
      <w:adjustRightInd w:val="0"/>
      <w:snapToGrid w:val="0"/>
      <w:spacing w:before="120" w:beforeLines="0" w:after="120" w:afterLines="0" w:line="240" w:lineRule="auto"/>
      <w:textAlignment w:val="baseline"/>
    </w:pPr>
    <w:rPr>
      <w:rFonts w:ascii="Arial" w:hAnsi="Arial" w:eastAsia="宋体" w:cs="宋体"/>
      <w:sz w:val="32"/>
      <w:szCs w:val="32"/>
    </w:rPr>
  </w:style>
  <w:style w:type="character" w:customStyle="1" w:styleId="56">
    <w:name w:val="正文文本 (2) + Book Antiqua"/>
    <w:qFormat/>
    <w:uiPriority w:val="0"/>
    <w:rPr>
      <w:rFonts w:ascii="Book Antiqua" w:hAnsi="Book Antiqua" w:eastAsia="Book Antiqua" w:cs="Book Antiqua"/>
      <w:b/>
      <w:bCs/>
      <w:color w:val="000000"/>
      <w:spacing w:val="0"/>
      <w:w w:val="100"/>
      <w:kern w:val="0"/>
      <w:position w:val="0"/>
      <w:sz w:val="13"/>
      <w:szCs w:val="13"/>
      <w:u w:val="none"/>
      <w:lang w:val="en-US" w:eastAsia="en-US" w:bidi="en-US"/>
    </w:rPr>
  </w:style>
  <w:style w:type="character" w:customStyle="1" w:styleId="57">
    <w:name w:val="正文文本 + MingLiU"/>
    <w:qFormat/>
    <w:uiPriority w:val="0"/>
    <w:rPr>
      <w:rFonts w:ascii="MingLiU" w:hAnsi="MingLiU" w:eastAsia="MingLiU" w:cs="MingLiU"/>
      <w:color w:val="000000"/>
      <w:spacing w:val="0"/>
      <w:w w:val="100"/>
      <w:kern w:val="0"/>
      <w:position w:val="0"/>
      <w:sz w:val="13"/>
      <w:szCs w:val="13"/>
      <w:u w:val="none"/>
      <w:shd w:val="clear" w:color="auto" w:fill="FFFFFF"/>
      <w:lang w:val="zh-CN" w:eastAsia="zh-CN" w:bidi="zh-CN"/>
    </w:rPr>
  </w:style>
  <w:style w:type="character" w:customStyle="1" w:styleId="58">
    <w:name w:val="正文文本 (2)_"/>
    <w:link w:val="59"/>
    <w:qFormat/>
    <w:uiPriority w:val="0"/>
    <w:rPr>
      <w:rFonts w:ascii="AngsanaUPC" w:hAnsi="AngsanaUPC" w:eastAsia="AngsanaUPC" w:cs="AngsanaUPC"/>
      <w:b/>
      <w:bCs/>
      <w:kern w:val="0"/>
      <w:sz w:val="20"/>
      <w:szCs w:val="21"/>
      <w:lang w:eastAsia="en-US"/>
    </w:rPr>
  </w:style>
  <w:style w:type="paragraph" w:customStyle="1" w:styleId="59">
    <w:name w:val="正文文本 (2)"/>
    <w:basedOn w:val="1"/>
    <w:link w:val="58"/>
    <w:qFormat/>
    <w:uiPriority w:val="0"/>
    <w:pPr>
      <w:shd w:val="clear" w:color="auto" w:fill="FFFFFF"/>
      <w:spacing w:before="240" w:line="269" w:lineRule="exact"/>
      <w:jc w:val="left"/>
    </w:pPr>
    <w:rPr>
      <w:rFonts w:ascii="AngsanaUPC" w:hAnsi="AngsanaUPC" w:eastAsia="AngsanaUPC" w:cs="AngsanaUPC"/>
      <w:b/>
      <w:bCs/>
      <w:szCs w:val="21"/>
    </w:rPr>
  </w:style>
  <w:style w:type="character" w:customStyle="1" w:styleId="60">
    <w:name w:val="question-title2"/>
    <w:qFormat/>
    <w:uiPriority w:val="0"/>
    <w:rPr>
      <w:lang w:eastAsia="en-US"/>
    </w:rPr>
  </w:style>
  <w:style w:type="character" w:customStyle="1" w:styleId="61">
    <w:name w:val="正文1"/>
    <w:qFormat/>
    <w:uiPriority w:val="0"/>
    <w:rPr>
      <w:rFonts w:hint="eastAsia" w:ascii="宋体" w:hAnsi="宋体" w:eastAsia="宋体"/>
      <w:kern w:val="0"/>
      <w:sz w:val="20"/>
      <w:szCs w:val="20"/>
      <w:lang w:eastAsia="en-US"/>
    </w:rPr>
  </w:style>
  <w:style w:type="paragraph" w:customStyle="1" w:styleId="62">
    <w:name w:val=" Char Char Char Char1 Char Char Char2 Char Char Char Char Char Char4"/>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63">
    <w:name w:val="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 w:type="paragraph" w:customStyle="1" w:styleId="64">
    <w:name w:val="默认段落字体 Para Char"/>
    <w:basedOn w:val="1"/>
    <w:qFormat/>
    <w:uiPriority w:val="0"/>
    <w:pPr>
      <w:spacing w:line="360" w:lineRule="auto"/>
      <w:ind w:firstLine="200" w:firstLineChars="200"/>
    </w:pPr>
    <w:rPr>
      <w:rFonts w:ascii="宋体" w:hAnsi="宋体" w:cs="宋体"/>
      <w:sz w:val="24"/>
    </w:rPr>
  </w:style>
  <w:style w:type="paragraph" w:customStyle="1" w:styleId="65">
    <w:name w:val=" Char"/>
    <w:basedOn w:val="1"/>
    <w:qFormat/>
    <w:uiPriority w:val="0"/>
    <w:pPr>
      <w:spacing w:line="360" w:lineRule="auto"/>
      <w:ind w:firstLine="200" w:firstLineChars="200"/>
    </w:pPr>
    <w:rPr>
      <w:rFonts w:ascii="宋体" w:hAnsi="宋体" w:cs="宋体"/>
      <w:sz w:val="24"/>
    </w:rPr>
  </w:style>
  <w:style w:type="paragraph" w:customStyle="1" w:styleId="66">
    <w:name w:val="p0"/>
    <w:basedOn w:val="1"/>
    <w:qFormat/>
    <w:uiPriority w:val="0"/>
    <w:pPr>
      <w:widowControl/>
    </w:pPr>
    <w:rPr>
      <w:rFonts w:ascii="Calibri" w:hAnsi="Calibri" w:cs="宋体"/>
      <w:kern w:val="0"/>
      <w:szCs w:val="21"/>
    </w:rPr>
  </w:style>
  <w:style w:type="paragraph" w:customStyle="1" w:styleId="67">
    <w:name w:val="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 w:type="paragraph" w:customStyle="1" w:styleId="6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9">
    <w:name w:val="_Style 57"/>
    <w:basedOn w:val="4"/>
    <w:next w:val="1"/>
    <w:qFormat/>
    <w:uiPriority w:val="39"/>
    <w:pPr>
      <w:keepNext/>
      <w:keepLines/>
      <w:spacing w:before="240" w:line="259" w:lineRule="auto"/>
      <w:jc w:val="left"/>
      <w:outlineLvl w:val="9"/>
    </w:pPr>
    <w:rPr>
      <w:rFonts w:ascii="等线 Light" w:hAnsi="等线 Light" w:eastAsia="等线 Light" w:cs="Times New Roman"/>
      <w:b w:val="0"/>
      <w:bCs w:val="0"/>
      <w:color w:val="2F5496"/>
      <w:kern w:val="0"/>
      <w:szCs w:val="32"/>
    </w:rPr>
  </w:style>
  <w:style w:type="paragraph" w:customStyle="1" w:styleId="70">
    <w:name w:val="Default1"/>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1">
    <w:name w:val="正文文本1"/>
    <w:basedOn w:val="1"/>
    <w:link w:val="72"/>
    <w:qFormat/>
    <w:uiPriority w:val="0"/>
    <w:pPr>
      <w:widowControl w:val="0"/>
      <w:shd w:val="clear" w:color="auto" w:fill="auto"/>
      <w:spacing w:line="463" w:lineRule="auto"/>
      <w:ind w:firstLine="400"/>
    </w:pPr>
    <w:rPr>
      <w:rFonts w:ascii="宋体" w:hAnsi="宋体" w:eastAsia="宋体" w:cs="宋体"/>
      <w:sz w:val="26"/>
      <w:szCs w:val="26"/>
      <w:u w:val="none"/>
      <w:lang w:val="zh-CN" w:eastAsia="zh-CN" w:bidi="zh-CN"/>
    </w:rPr>
  </w:style>
  <w:style w:type="character" w:customStyle="1" w:styleId="72">
    <w:name w:val="正文文本_"/>
    <w:basedOn w:val="35"/>
    <w:link w:val="71"/>
    <w:qFormat/>
    <w:uiPriority w:val="0"/>
    <w:rPr>
      <w:rFonts w:ascii="宋体" w:hAnsi="宋体" w:eastAsia="宋体" w:cs="宋体"/>
      <w:sz w:val="26"/>
      <w:szCs w:val="26"/>
      <w:u w:val="none"/>
      <w:lang w:val="zh-CN" w:eastAsia="zh-CN" w:bidi="zh-CN"/>
    </w:rPr>
  </w:style>
  <w:style w:type="paragraph" w:customStyle="1" w:styleId="73">
    <w:name w:val="表格文字"/>
    <w:basedOn w:val="43"/>
    <w:qFormat/>
    <w:uiPriority w:val="0"/>
    <w:rPr>
      <w:rFonts w:hint="eastAsia" w:ascii="Times New Roman" w:hAnsi="Times New Roman"/>
    </w:rPr>
  </w:style>
  <w:style w:type="character" w:customStyle="1" w:styleId="74">
    <w:name w:val="表格表头 Char1"/>
    <w:link w:val="48"/>
    <w:qFormat/>
    <w:uiPriority w:val="0"/>
    <w:rPr>
      <w:rFonts w:ascii="Times New Roman" w:hAnsi="Times New Roman" w:cs="Times New Roman"/>
      <w:b/>
      <w:sz w:val="24"/>
      <w:szCs w:val="24"/>
    </w:rPr>
  </w:style>
  <w:style w:type="character" w:customStyle="1" w:styleId="75">
    <w:name w:val="表格中文字 Char1"/>
    <w:link w:val="43"/>
    <w:qFormat/>
    <w:uiPriority w:val="0"/>
    <w:rPr>
      <w:rFonts w:ascii="Times New Roman" w:hAnsi="Times New Roman" w:eastAsia="宋体"/>
      <w:kern w:val="18"/>
      <w:sz w:val="21"/>
      <w:szCs w:val="21"/>
    </w:rPr>
  </w:style>
  <w:style w:type="paragraph" w:customStyle="1" w:styleId="76">
    <w:name w:val="Default"/>
    <w:basedOn w:val="77"/>
    <w:next w:val="32"/>
    <w:qFormat/>
    <w:uiPriority w:val="0"/>
    <w:pPr>
      <w:widowControl w:val="0"/>
      <w:autoSpaceDE w:val="0"/>
      <w:autoSpaceDN w:val="0"/>
      <w:adjustRightInd w:val="0"/>
    </w:pPr>
    <w:rPr>
      <w:rFonts w:ascii="ST Song" w:eastAsia="ST Song" w:cs="ST Song"/>
      <w:color w:val="000000"/>
      <w:sz w:val="24"/>
      <w:szCs w:val="24"/>
      <w:lang w:val="en-US" w:eastAsia="zh-CN" w:bidi="ar-SA"/>
    </w:rPr>
  </w:style>
  <w:style w:type="paragraph" w:customStyle="1" w:styleId="77">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78">
    <w:name w:val="A0表格内字体"/>
    <w:basedOn w:val="79"/>
    <w:qFormat/>
    <w:uiPriority w:val="0"/>
    <w:pPr>
      <w:adjustRightInd w:val="0"/>
      <w:snapToGrid w:val="0"/>
    </w:pPr>
  </w:style>
  <w:style w:type="paragraph" w:customStyle="1" w:styleId="79">
    <w:name w:val="【表格内】"/>
    <w:next w:val="31"/>
    <w:autoRedefine/>
    <w:qFormat/>
    <w:uiPriority w:val="0"/>
    <w:pPr>
      <w:jc w:val="center"/>
    </w:pPr>
    <w:rPr>
      <w:rFonts w:ascii="Times New Roman" w:hAnsi="Times New Roman" w:eastAsia="宋体" w:cs="Times New Roman"/>
      <w:sz w:val="21"/>
      <w:szCs w:val="24"/>
      <w:lang w:val="en-US" w:eastAsia="zh-CN" w:bidi="ar-SA"/>
    </w:rPr>
  </w:style>
  <w:style w:type="table" w:customStyle="1" w:styleId="80">
    <w:name w:val="A0表格"/>
    <w:basedOn w:val="33"/>
    <w:autoRedefine/>
    <w:qFormat/>
    <w:uiPriority w:val="99"/>
    <w:pPr>
      <w:adjustRightInd w:val="0"/>
      <w:snapToGrid w:val="0"/>
      <w:jc w:val="center"/>
    </w:pPr>
    <w:tblPr>
      <w:tblBorders>
        <w:top w:val="single" w:color="auto" w:sz="12" w:space="0"/>
        <w:bottom w:val="single" w:color="auto" w:sz="12" w:space="0"/>
        <w:insideH w:val="single" w:color="auto" w:sz="4" w:space="0"/>
        <w:insideV w:val="single" w:color="auto" w:sz="4" w:space="0"/>
      </w:tblBorders>
    </w:tblPr>
    <w:tcPr>
      <w:vAlign w:val="center"/>
    </w:tcPr>
  </w:style>
  <w:style w:type="paragraph" w:customStyle="1" w:styleId="81">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Corporation</Company>
  <Pages>113</Pages>
  <Words>6476</Words>
  <Characters>8035</Characters>
  <Lines>349</Lines>
  <Paragraphs>98</Paragraphs>
  <TotalTime>3</TotalTime>
  <ScaleCrop>false</ScaleCrop>
  <LinksUpToDate>false</LinksUpToDate>
  <CharactersWithSpaces>8276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2020-07-27T06:10:00Z</dcterms:created>
  <dc:creator>万晋亮</dc:creator>
  <cp:lastModifiedBy>长青藤</cp:lastModifiedBy>
  <cp:lastPrinted>2023-05-22T03:14:00Z</cp:lastPrinted>
  <dcterms:modified xsi:type="dcterms:W3CDTF">2024-12-18T06:43:08Z</dcterms:modified>
  <dc:title>修水县古市镇月塘加油站</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30AE0215B284483E8C3A9522CCC47F27_13</vt:lpwstr>
  </property>
</Properties>
</file>