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C5ECF7">
      <w:pPr>
        <w:jc w:val="center"/>
        <w:rPr>
          <w:rFonts w:hint="eastAsia" w:ascii="仿宋_GB2312" w:hAnsi="宋体" w:eastAsia="华文中宋"/>
          <w:b/>
          <w:bCs/>
          <w:color w:val="auto"/>
          <w:kern w:val="0"/>
          <w:sz w:val="48"/>
          <w:szCs w:val="48"/>
        </w:rPr>
      </w:pPr>
    </w:p>
    <w:p w14:paraId="64B0DF4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仿宋_GB2312" w:hAnsi="宋体" w:eastAsia="华文中宋"/>
          <w:b/>
          <w:bCs/>
          <w:color w:val="auto"/>
          <w:kern w:val="0"/>
          <w:sz w:val="48"/>
          <w:szCs w:val="48"/>
        </w:rPr>
      </w:pPr>
      <w:r>
        <w:rPr>
          <w:rFonts w:hint="eastAsia" w:ascii="仿宋_GB2312" w:hAnsi="宋体" w:eastAsia="华文中宋"/>
          <w:b/>
          <w:bCs/>
          <w:color w:val="auto"/>
          <w:kern w:val="0"/>
          <w:sz w:val="48"/>
          <w:szCs w:val="48"/>
        </w:rPr>
        <w:t>江西亚东水泥有限公司</w:t>
      </w:r>
    </w:p>
    <w:p w14:paraId="3259FE1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eastAsia="华文中宋" w:cs="Times New Roman"/>
          <w:b/>
          <w:bCs/>
          <w:color w:val="auto"/>
          <w:kern w:val="0"/>
          <w:sz w:val="48"/>
          <w:szCs w:val="48"/>
          <w:highlight w:val="none"/>
          <w:lang w:eastAsia="zh-CN"/>
        </w:rPr>
      </w:pPr>
      <w:r>
        <w:rPr>
          <w:rFonts w:hint="default" w:ascii="Times New Roman" w:hAnsi="Times New Roman" w:eastAsia="华文中宋" w:cs="Times New Roman"/>
          <w:b/>
          <w:bCs/>
          <w:color w:val="auto"/>
          <w:kern w:val="0"/>
          <w:sz w:val="48"/>
          <w:szCs w:val="48"/>
          <w:highlight w:val="none"/>
        </w:rPr>
        <w:t>瑞昌制造二厂降低二氧化硫排放项目</w:t>
      </w:r>
      <w:r>
        <w:rPr>
          <w:rFonts w:hint="eastAsia" w:eastAsia="华文中宋" w:cs="Times New Roman"/>
          <w:b/>
          <w:bCs/>
          <w:color w:val="auto"/>
          <w:kern w:val="0"/>
          <w:sz w:val="48"/>
          <w:szCs w:val="48"/>
          <w:highlight w:val="none"/>
          <w:lang w:eastAsia="zh-CN"/>
        </w:rPr>
        <w:t>（</w:t>
      </w:r>
      <w:r>
        <w:rPr>
          <w:rFonts w:hint="default" w:ascii="Times New Roman" w:hAnsi="Times New Roman" w:eastAsia="华文中宋" w:cs="Times New Roman"/>
          <w:b/>
          <w:bCs/>
          <w:color w:val="auto"/>
          <w:kern w:val="0"/>
          <w:sz w:val="48"/>
          <w:szCs w:val="48"/>
          <w:highlight w:val="none"/>
        </w:rPr>
        <w:t>2*6000t/d</w:t>
      </w:r>
      <w:r>
        <w:rPr>
          <w:rFonts w:hint="eastAsia" w:eastAsia="华文中宋" w:cs="Times New Roman"/>
          <w:b/>
          <w:bCs/>
          <w:color w:val="auto"/>
          <w:kern w:val="0"/>
          <w:sz w:val="48"/>
          <w:szCs w:val="48"/>
          <w:highlight w:val="none"/>
          <w:lang w:eastAsia="zh-CN"/>
        </w:rPr>
        <w:t>）</w:t>
      </w:r>
    </w:p>
    <w:p w14:paraId="228D249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仿宋_GB2312" w:hAnsi="宋体" w:eastAsia="华文中宋"/>
          <w:b/>
          <w:bCs/>
          <w:color w:val="auto"/>
          <w:kern w:val="0"/>
          <w:sz w:val="52"/>
          <w:szCs w:val="24"/>
          <w:lang w:val="en-US" w:eastAsia="zh-CN"/>
        </w:rPr>
      </w:pPr>
      <w:r>
        <w:rPr>
          <w:rFonts w:hint="eastAsia" w:ascii="仿宋_GB2312" w:hAnsi="宋体" w:eastAsia="华文中宋"/>
          <w:b/>
          <w:bCs/>
          <w:color w:val="auto"/>
          <w:kern w:val="0"/>
          <w:sz w:val="52"/>
          <w:szCs w:val="24"/>
        </w:rPr>
        <w:t>安全</w:t>
      </w:r>
      <w:r>
        <w:rPr>
          <w:rFonts w:hint="eastAsia" w:ascii="仿宋_GB2312" w:hAnsi="宋体" w:eastAsia="华文中宋"/>
          <w:b/>
          <w:bCs/>
          <w:color w:val="auto"/>
          <w:kern w:val="0"/>
          <w:sz w:val="52"/>
          <w:szCs w:val="24"/>
          <w:lang w:val="en-US" w:eastAsia="zh-CN"/>
        </w:rPr>
        <w:t>设施验收评价报告</w:t>
      </w:r>
    </w:p>
    <w:p w14:paraId="7824843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b/>
          <w:bCs/>
          <w:color w:val="auto"/>
          <w:sz w:val="44"/>
          <w:lang w:eastAsia="zh-CN"/>
        </w:rPr>
      </w:pPr>
      <w:r>
        <w:rPr>
          <w:rFonts w:hint="eastAsia"/>
          <w:b/>
          <w:bCs/>
          <w:color w:val="auto"/>
          <w:sz w:val="44"/>
          <w:lang w:eastAsia="zh-CN"/>
        </w:rPr>
        <w:t>（</w:t>
      </w:r>
      <w:r>
        <w:rPr>
          <w:rFonts w:hint="eastAsia"/>
          <w:b/>
          <w:bCs/>
          <w:color w:val="auto"/>
          <w:sz w:val="44"/>
          <w:lang w:val="en-US" w:eastAsia="zh-CN"/>
        </w:rPr>
        <w:t>终稿</w:t>
      </w:r>
      <w:r>
        <w:rPr>
          <w:rFonts w:hint="eastAsia"/>
          <w:b/>
          <w:bCs/>
          <w:color w:val="auto"/>
          <w:sz w:val="44"/>
          <w:lang w:eastAsia="zh-CN"/>
        </w:rPr>
        <w:t>）</w:t>
      </w:r>
    </w:p>
    <w:p w14:paraId="0FB66E0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6BE7896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624E656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1161366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3E6B87A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50FC72E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6F7DFBC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p>
    <w:p w14:paraId="30FC0EC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pPr>
      <w:r>
        <w:rPr>
          <w:rFonts w:ascii="Times New Roman" w:hAnsi="Times New Roman"/>
          <w:b/>
          <w:bCs/>
          <w:color w:val="auto"/>
          <w:sz w:val="44"/>
        </w:rPr>
        <w:t>江西赣安安全生产科学技术咨询服务中心</w:t>
      </w:r>
    </w:p>
    <w:p w14:paraId="577BEE7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b/>
          <w:bCs/>
          <w:color w:val="auto"/>
          <w:sz w:val="32"/>
        </w:rPr>
      </w:pPr>
      <w:r>
        <w:rPr>
          <w:rFonts w:ascii="Times New Roman" w:hAnsi="Times New Roman"/>
          <w:b/>
          <w:bCs/>
          <w:color w:val="auto"/>
          <w:sz w:val="32"/>
        </w:rPr>
        <w:t>APJ</w:t>
      </w:r>
      <w:r>
        <w:rPr>
          <w:rFonts w:hint="eastAsia" w:ascii="Times New Roman" w:hAnsi="Times New Roman"/>
          <w:b/>
          <w:bCs/>
          <w:color w:val="auto"/>
          <w:sz w:val="32"/>
        </w:rPr>
        <w:t>-（赣）-002</w:t>
      </w:r>
    </w:p>
    <w:p w14:paraId="7EDD0E9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b/>
          <w:bCs/>
          <w:color w:val="auto"/>
          <w:sz w:val="44"/>
        </w:rPr>
      </w:pPr>
      <w:r>
        <w:rPr>
          <w:rFonts w:hint="eastAsia" w:ascii="Times New Roman" w:hAnsi="Times New Roman"/>
          <w:b/>
          <w:bCs/>
          <w:color w:val="auto"/>
          <w:sz w:val="32"/>
        </w:rPr>
        <w:t>202</w:t>
      </w:r>
      <w:r>
        <w:rPr>
          <w:rFonts w:hint="eastAsia" w:ascii="Times New Roman" w:hAnsi="Times New Roman"/>
          <w:b/>
          <w:bCs/>
          <w:color w:val="auto"/>
          <w:sz w:val="32"/>
          <w:lang w:val="en-US" w:eastAsia="zh-CN"/>
        </w:rPr>
        <w:t>4</w:t>
      </w:r>
      <w:r>
        <w:rPr>
          <w:rFonts w:ascii="Times New Roman" w:hAnsi="Times New Roman"/>
          <w:b/>
          <w:bCs/>
          <w:color w:val="auto"/>
          <w:sz w:val="32"/>
        </w:rPr>
        <w:t>年</w:t>
      </w:r>
      <w:r>
        <w:rPr>
          <w:rFonts w:hint="eastAsia"/>
          <w:b/>
          <w:bCs/>
          <w:color w:val="auto"/>
          <w:sz w:val="32"/>
          <w:lang w:val="en-US" w:eastAsia="zh-CN"/>
        </w:rPr>
        <w:t>12</w:t>
      </w:r>
      <w:r>
        <w:rPr>
          <w:rFonts w:ascii="Times New Roman" w:hAnsi="Times New Roman"/>
          <w:b/>
          <w:bCs/>
          <w:color w:val="auto"/>
          <w:sz w:val="32"/>
        </w:rPr>
        <w:t>月</w:t>
      </w:r>
      <w:r>
        <w:rPr>
          <w:rFonts w:hint="eastAsia"/>
          <w:b/>
          <w:bCs/>
          <w:color w:val="auto"/>
          <w:sz w:val="32"/>
          <w:lang w:val="en-US" w:eastAsia="zh-CN"/>
        </w:rPr>
        <w:t>5</w:t>
      </w:r>
      <w:r>
        <w:rPr>
          <w:rFonts w:hint="eastAsia" w:ascii="Times New Roman" w:hAnsi="Times New Roman"/>
          <w:b/>
          <w:bCs/>
          <w:color w:val="auto"/>
          <w:sz w:val="32"/>
        </w:rPr>
        <w:t>日</w:t>
      </w:r>
    </w:p>
    <w:p w14:paraId="30CB4BF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b/>
          <w:bCs/>
          <w:color w:val="auto"/>
          <w:sz w:val="44"/>
        </w:rPr>
        <w:sectPr>
          <w:headerReference r:id="rId5" w:type="default"/>
          <w:pgSz w:w="11906"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89" w:charSpace="0"/>
        </w:sectPr>
      </w:pPr>
    </w:p>
    <w:p w14:paraId="2CD5C31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color w:val="auto"/>
          <w:sz w:val="32"/>
          <w:szCs w:val="32"/>
          <w:lang w:eastAsia="zh-CN"/>
        </w:rPr>
      </w:pPr>
    </w:p>
    <w:p w14:paraId="67B54F5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color w:val="auto"/>
          <w:sz w:val="32"/>
          <w:szCs w:val="32"/>
          <w:lang w:eastAsia="zh-CN"/>
        </w:rPr>
      </w:pPr>
    </w:p>
    <w:p w14:paraId="7DD8FEA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color w:val="auto"/>
          <w:sz w:val="32"/>
          <w:szCs w:val="32"/>
          <w:lang w:eastAsia="zh-CN"/>
        </w:rPr>
      </w:pPr>
    </w:p>
    <w:p w14:paraId="4AA1AD0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color w:val="auto"/>
          <w:sz w:val="36"/>
          <w:szCs w:val="36"/>
          <w:lang w:eastAsia="zh-CN"/>
        </w:rPr>
      </w:pPr>
      <w:r>
        <w:rPr>
          <w:rFonts w:hint="eastAsia" w:ascii="Times New Roman" w:hAnsi="Times New Roman"/>
          <w:b/>
          <w:color w:val="auto"/>
          <w:sz w:val="36"/>
          <w:szCs w:val="36"/>
          <w:lang w:eastAsia="zh-CN"/>
        </w:rPr>
        <w:t>江西亚东水泥有限公司</w:t>
      </w:r>
    </w:p>
    <w:p w14:paraId="535411B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color w:val="auto"/>
          <w:sz w:val="36"/>
          <w:szCs w:val="36"/>
          <w:lang w:eastAsia="zh-CN"/>
        </w:rPr>
      </w:pPr>
      <w:r>
        <w:rPr>
          <w:rFonts w:hint="eastAsia" w:ascii="Times New Roman" w:hAnsi="Times New Roman"/>
          <w:b/>
          <w:color w:val="auto"/>
          <w:sz w:val="36"/>
          <w:szCs w:val="36"/>
          <w:lang w:eastAsia="zh-CN"/>
        </w:rPr>
        <w:t>瑞昌制造二厂降低二氧化硫排放项目（2*6000t/d）</w:t>
      </w:r>
    </w:p>
    <w:p w14:paraId="2FAB390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b/>
          <w:color w:val="auto"/>
          <w:sz w:val="36"/>
          <w:szCs w:val="36"/>
        </w:rPr>
      </w:pPr>
      <w:r>
        <w:rPr>
          <w:rFonts w:hint="eastAsia" w:ascii="Times New Roman" w:hAnsi="Times New Roman"/>
          <w:b/>
          <w:color w:val="auto"/>
          <w:sz w:val="36"/>
          <w:szCs w:val="36"/>
          <w:lang w:eastAsia="zh-CN"/>
        </w:rPr>
        <w:t>安全</w:t>
      </w:r>
      <w:r>
        <w:rPr>
          <w:rFonts w:hint="eastAsia"/>
          <w:b/>
          <w:color w:val="auto"/>
          <w:sz w:val="36"/>
          <w:szCs w:val="36"/>
          <w:lang w:val="en-US" w:eastAsia="zh-CN"/>
        </w:rPr>
        <w:t>设施验收评价报告</w:t>
      </w:r>
    </w:p>
    <w:p w14:paraId="3879AA5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黑体"/>
          <w:b/>
          <w:color w:val="auto"/>
          <w:sz w:val="44"/>
          <w:szCs w:val="44"/>
          <w:lang w:eastAsia="zh-CN"/>
        </w:rPr>
      </w:pPr>
      <w:r>
        <w:rPr>
          <w:rFonts w:hint="eastAsia" w:ascii="Times New Roman" w:hAnsi="Times New Roman" w:eastAsia="黑体"/>
          <w:b/>
          <w:color w:val="auto"/>
          <w:sz w:val="44"/>
          <w:szCs w:val="44"/>
          <w:lang w:eastAsia="zh-CN"/>
        </w:rPr>
        <w:t>（</w:t>
      </w:r>
      <w:r>
        <w:rPr>
          <w:rFonts w:hint="eastAsia" w:eastAsia="黑体"/>
          <w:b/>
          <w:color w:val="auto"/>
          <w:sz w:val="44"/>
          <w:szCs w:val="44"/>
          <w:lang w:val="en-US" w:eastAsia="zh-CN"/>
        </w:rPr>
        <w:t>终</w:t>
      </w:r>
      <w:r>
        <w:rPr>
          <w:rFonts w:hint="eastAsia" w:ascii="Times New Roman" w:hAnsi="Times New Roman" w:eastAsia="黑体"/>
          <w:b/>
          <w:color w:val="auto"/>
          <w:sz w:val="44"/>
          <w:szCs w:val="44"/>
          <w:lang w:val="en-US" w:eastAsia="zh-CN"/>
        </w:rPr>
        <w:t>稿</w:t>
      </w:r>
      <w:r>
        <w:rPr>
          <w:rFonts w:hint="eastAsia" w:ascii="Times New Roman" w:hAnsi="Times New Roman" w:eastAsia="黑体"/>
          <w:b/>
          <w:color w:val="auto"/>
          <w:sz w:val="44"/>
          <w:szCs w:val="44"/>
          <w:lang w:eastAsia="zh-CN"/>
        </w:rPr>
        <w:t>）</w:t>
      </w:r>
    </w:p>
    <w:p w14:paraId="6629030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b/>
          <w:color w:val="auto"/>
          <w:sz w:val="44"/>
          <w:szCs w:val="44"/>
        </w:rPr>
      </w:pPr>
    </w:p>
    <w:p w14:paraId="045AAD2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b/>
          <w:color w:val="auto"/>
          <w:sz w:val="44"/>
          <w:szCs w:val="44"/>
        </w:rPr>
      </w:pPr>
    </w:p>
    <w:p w14:paraId="5634BEC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b/>
          <w:color w:val="auto"/>
          <w:sz w:val="44"/>
          <w:szCs w:val="44"/>
        </w:rPr>
      </w:pPr>
    </w:p>
    <w:p w14:paraId="2A18287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黑体"/>
          <w:b/>
          <w:color w:val="auto"/>
          <w:sz w:val="44"/>
          <w:szCs w:val="44"/>
        </w:rPr>
      </w:pPr>
    </w:p>
    <w:p w14:paraId="5857461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黑体"/>
          <w:b/>
          <w:color w:val="auto"/>
          <w:sz w:val="44"/>
          <w:szCs w:val="44"/>
        </w:rPr>
      </w:pPr>
    </w:p>
    <w:p w14:paraId="07A5B37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b/>
          <w:color w:val="auto"/>
          <w:sz w:val="44"/>
          <w:szCs w:val="44"/>
        </w:rPr>
      </w:pPr>
    </w:p>
    <w:p w14:paraId="38399B6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olor w:val="auto"/>
          <w:lang w:eastAsia="zh-CN"/>
        </w:rPr>
      </w:pPr>
      <w:r>
        <w:rPr>
          <w:rFonts w:ascii="Times New Roman" w:hAnsi="Times New Roman"/>
          <w:color w:val="auto"/>
        </w:rPr>
        <w:t>法</w:t>
      </w:r>
      <w:r>
        <w:rPr>
          <w:rFonts w:hint="eastAsia" w:ascii="Times New Roman" w:hAnsi="Times New Roman"/>
          <w:color w:val="auto"/>
        </w:rPr>
        <w:t xml:space="preserve"> 定 </w:t>
      </w:r>
      <w:r>
        <w:rPr>
          <w:rFonts w:ascii="Times New Roman" w:hAnsi="Times New Roman"/>
          <w:color w:val="auto"/>
        </w:rPr>
        <w:t>代</w:t>
      </w:r>
      <w:r>
        <w:rPr>
          <w:rFonts w:hint="eastAsia" w:ascii="Times New Roman" w:hAnsi="Times New Roman"/>
          <w:color w:val="auto"/>
        </w:rPr>
        <w:t xml:space="preserve"> </w:t>
      </w:r>
      <w:r>
        <w:rPr>
          <w:rFonts w:ascii="Times New Roman" w:hAnsi="Times New Roman"/>
          <w:color w:val="auto"/>
        </w:rPr>
        <w:t>表</w:t>
      </w:r>
      <w:r>
        <w:rPr>
          <w:rFonts w:hint="eastAsia" w:ascii="Times New Roman" w:hAnsi="Times New Roman"/>
          <w:color w:val="auto"/>
        </w:rPr>
        <w:t xml:space="preserve"> </w:t>
      </w:r>
      <w:r>
        <w:rPr>
          <w:rFonts w:ascii="Times New Roman" w:hAnsi="Times New Roman"/>
          <w:color w:val="auto"/>
        </w:rPr>
        <w:t>人：</w:t>
      </w:r>
      <w:r>
        <w:rPr>
          <w:rFonts w:hint="eastAsia" w:ascii="Times New Roman" w:hAnsi="Times New Roman"/>
          <w:color w:val="auto"/>
          <w:lang w:val="en-US" w:eastAsia="zh-CN"/>
        </w:rPr>
        <w:t>应  宏</w:t>
      </w:r>
    </w:p>
    <w:p w14:paraId="0ED93FD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olor w:val="auto"/>
          <w:lang w:val="en-US" w:eastAsia="zh-CN"/>
        </w:rPr>
      </w:pPr>
      <w:r>
        <w:rPr>
          <w:rFonts w:ascii="Times New Roman" w:hAnsi="Times New Roman"/>
          <w:color w:val="auto"/>
        </w:rPr>
        <w:t>技</w:t>
      </w:r>
      <w:r>
        <w:rPr>
          <w:rFonts w:hint="eastAsia" w:ascii="Times New Roman" w:hAnsi="Times New Roman"/>
          <w:color w:val="auto"/>
        </w:rPr>
        <w:t xml:space="preserve"> </w:t>
      </w:r>
      <w:r>
        <w:rPr>
          <w:rFonts w:ascii="Times New Roman" w:hAnsi="Times New Roman"/>
          <w:color w:val="auto"/>
        </w:rPr>
        <w:t>术</w:t>
      </w:r>
      <w:r>
        <w:rPr>
          <w:rFonts w:hint="eastAsia" w:ascii="Times New Roman" w:hAnsi="Times New Roman"/>
          <w:color w:val="auto"/>
        </w:rPr>
        <w:t xml:space="preserve"> </w:t>
      </w:r>
      <w:r>
        <w:rPr>
          <w:rFonts w:ascii="Times New Roman" w:hAnsi="Times New Roman"/>
          <w:color w:val="auto"/>
        </w:rPr>
        <w:t>负</w:t>
      </w:r>
      <w:r>
        <w:rPr>
          <w:rFonts w:hint="eastAsia" w:ascii="Times New Roman" w:hAnsi="Times New Roman"/>
          <w:color w:val="auto"/>
        </w:rPr>
        <w:t xml:space="preserve"> </w:t>
      </w:r>
      <w:r>
        <w:rPr>
          <w:rFonts w:ascii="Times New Roman" w:hAnsi="Times New Roman"/>
          <w:color w:val="auto"/>
        </w:rPr>
        <w:t>责</w:t>
      </w:r>
      <w:r>
        <w:rPr>
          <w:rFonts w:hint="eastAsia" w:ascii="Times New Roman" w:hAnsi="Times New Roman"/>
          <w:color w:val="auto"/>
        </w:rPr>
        <w:t xml:space="preserve"> </w:t>
      </w:r>
      <w:r>
        <w:rPr>
          <w:rFonts w:ascii="Times New Roman" w:hAnsi="Times New Roman"/>
          <w:color w:val="auto"/>
        </w:rPr>
        <w:t>人：</w:t>
      </w:r>
      <w:r>
        <w:rPr>
          <w:rFonts w:hint="eastAsia"/>
          <w:color w:val="auto"/>
          <w:lang w:val="en-US" w:eastAsia="zh-CN"/>
        </w:rPr>
        <w:t>周红波</w:t>
      </w:r>
    </w:p>
    <w:p w14:paraId="1A8AD33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ascii="Times New Roman" w:hAnsi="Times New Roman"/>
          <w:color w:val="auto"/>
        </w:rPr>
        <w:t>评价项目负责人：</w:t>
      </w:r>
      <w:r>
        <w:rPr>
          <w:rFonts w:hint="eastAsia"/>
          <w:color w:val="auto"/>
          <w:lang w:val="en-US" w:eastAsia="zh-CN"/>
        </w:rPr>
        <w:t>黄伯扬</w:t>
      </w:r>
    </w:p>
    <w:p w14:paraId="3C1B944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p>
    <w:p w14:paraId="2F3CC45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color w:val="auto"/>
        </w:rPr>
      </w:pPr>
    </w:p>
    <w:p w14:paraId="0FAB928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bCs/>
          <w:color w:val="auto"/>
          <w:spacing w:val="20"/>
          <w:sz w:val="24"/>
        </w:rPr>
      </w:pPr>
      <w:r>
        <w:rPr>
          <w:rFonts w:ascii="Times New Roman" w:hAnsi="Times New Roman"/>
          <w:b/>
          <w:bCs/>
          <w:color w:val="auto"/>
          <w:sz w:val="24"/>
        </w:rPr>
        <w:t>评价报告完成日期：</w:t>
      </w:r>
      <w:r>
        <w:rPr>
          <w:rFonts w:hint="eastAsia" w:ascii="Times New Roman" w:hAnsi="Times New Roman"/>
          <w:b/>
          <w:bCs/>
          <w:color w:val="auto"/>
          <w:spacing w:val="20"/>
          <w:sz w:val="24"/>
        </w:rPr>
        <w:t>202</w:t>
      </w:r>
      <w:r>
        <w:rPr>
          <w:rFonts w:hint="eastAsia" w:ascii="Times New Roman" w:hAnsi="Times New Roman"/>
          <w:b/>
          <w:bCs/>
          <w:color w:val="auto"/>
          <w:spacing w:val="20"/>
          <w:sz w:val="24"/>
          <w:lang w:val="en-US" w:eastAsia="zh-CN"/>
        </w:rPr>
        <w:t>4</w:t>
      </w:r>
      <w:r>
        <w:rPr>
          <w:rFonts w:hint="eastAsia" w:ascii="Times New Roman" w:hAnsi="Times New Roman"/>
          <w:b/>
          <w:bCs/>
          <w:color w:val="auto"/>
          <w:spacing w:val="20"/>
          <w:sz w:val="24"/>
        </w:rPr>
        <w:t>年</w:t>
      </w:r>
      <w:r>
        <w:rPr>
          <w:rFonts w:hint="eastAsia"/>
          <w:b/>
          <w:bCs/>
          <w:color w:val="auto"/>
          <w:spacing w:val="20"/>
          <w:sz w:val="24"/>
          <w:lang w:val="en-US" w:eastAsia="zh-CN"/>
        </w:rPr>
        <w:t>12</w:t>
      </w:r>
      <w:r>
        <w:rPr>
          <w:rFonts w:hint="eastAsia" w:ascii="Times New Roman" w:hAnsi="Times New Roman"/>
          <w:b/>
          <w:bCs/>
          <w:color w:val="auto"/>
          <w:spacing w:val="20"/>
          <w:sz w:val="24"/>
        </w:rPr>
        <w:t>月</w:t>
      </w:r>
      <w:r>
        <w:rPr>
          <w:rFonts w:hint="eastAsia"/>
          <w:b/>
          <w:bCs/>
          <w:color w:val="auto"/>
          <w:spacing w:val="20"/>
          <w:sz w:val="24"/>
          <w:lang w:val="en-US" w:eastAsia="zh-CN"/>
        </w:rPr>
        <w:t>5</w:t>
      </w:r>
      <w:r>
        <w:rPr>
          <w:rFonts w:hint="eastAsia" w:ascii="Times New Roman" w:hAnsi="Times New Roman"/>
          <w:b/>
          <w:bCs/>
          <w:color w:val="auto"/>
          <w:spacing w:val="20"/>
          <w:sz w:val="24"/>
        </w:rPr>
        <w:t>日</w:t>
      </w:r>
    </w:p>
    <w:p w14:paraId="20877EB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p>
    <w:p w14:paraId="55F517B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p>
    <w:p w14:paraId="3A2B897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p>
    <w:p w14:paraId="048542C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Times New Roman" w:hAnsi="Times New Roman"/>
          <w:color w:val="auto"/>
          <w:sz w:val="36"/>
          <w:szCs w:val="36"/>
          <w:lang w:eastAsia="zh-CN"/>
        </w:rPr>
      </w:pPr>
      <w:r>
        <w:rPr>
          <w:rFonts w:hint="eastAsia" w:ascii="Times New Roman" w:hAnsi="Times New Roman"/>
          <w:color w:val="auto"/>
          <w:sz w:val="36"/>
          <w:szCs w:val="36"/>
          <w:lang w:eastAsia="zh-CN"/>
        </w:rPr>
        <w:t>江西亚东水泥有限公司</w:t>
      </w:r>
    </w:p>
    <w:p w14:paraId="067D94D8">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Times New Roman" w:hAnsi="Times New Roman"/>
          <w:color w:val="auto"/>
          <w:sz w:val="36"/>
          <w:szCs w:val="36"/>
          <w:lang w:eastAsia="zh-CN"/>
        </w:rPr>
      </w:pPr>
      <w:r>
        <w:rPr>
          <w:rFonts w:hint="eastAsia" w:ascii="Times New Roman" w:hAnsi="Times New Roman"/>
          <w:color w:val="auto"/>
          <w:sz w:val="36"/>
          <w:szCs w:val="36"/>
          <w:lang w:eastAsia="zh-CN"/>
        </w:rPr>
        <w:t>瑞昌制造二厂降低二氧化硫排放项目（2*6000t/d）</w:t>
      </w:r>
    </w:p>
    <w:p w14:paraId="198560E5">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Times New Roman" w:hAnsi="Times New Roman" w:cs="宋体"/>
          <w:color w:val="auto"/>
          <w:kern w:val="0"/>
          <w:sz w:val="36"/>
          <w:szCs w:val="36"/>
        </w:rPr>
      </w:pPr>
      <w:r>
        <w:rPr>
          <w:rFonts w:hint="eastAsia" w:ascii="Times New Roman" w:hAnsi="Times New Roman"/>
          <w:color w:val="auto"/>
          <w:sz w:val="36"/>
          <w:szCs w:val="36"/>
          <w:lang w:eastAsia="zh-CN"/>
        </w:rPr>
        <w:t>安全</w:t>
      </w:r>
      <w:r>
        <w:rPr>
          <w:rFonts w:hint="eastAsia"/>
          <w:color w:val="auto"/>
          <w:sz w:val="36"/>
          <w:szCs w:val="36"/>
          <w:lang w:val="en-US" w:eastAsia="zh-CN"/>
        </w:rPr>
        <w:t>设施验收评价报告</w:t>
      </w:r>
    </w:p>
    <w:p w14:paraId="3300C629">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Times New Roman" w:hAnsi="Times New Roman" w:eastAsia="仿宋" w:cs="宋体"/>
          <w:color w:val="auto"/>
          <w:kern w:val="0"/>
          <w:sz w:val="32"/>
          <w:szCs w:val="32"/>
        </w:rPr>
      </w:pPr>
      <w:r>
        <w:rPr>
          <w:rFonts w:hint="eastAsia" w:ascii="Times New Roman" w:hAnsi="Times New Roman" w:eastAsia="仿宋" w:cs="宋体"/>
          <w:color w:val="auto"/>
          <w:kern w:val="0"/>
          <w:sz w:val="32"/>
          <w:szCs w:val="32"/>
        </w:rPr>
        <w:t>一、在本项目安全评价活动过程中，我单位严格遵守《安全生产法》及相关法律、法规和标准的要求。</w:t>
      </w:r>
    </w:p>
    <w:p w14:paraId="3C39E142">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Times New Roman" w:hAnsi="Times New Roman" w:cs="宋体"/>
          <w:color w:val="auto"/>
          <w:kern w:val="0"/>
          <w:sz w:val="36"/>
          <w:szCs w:val="36"/>
        </w:rPr>
      </w:pPr>
      <w:r>
        <w:rPr>
          <w:rFonts w:hint="eastAsia" w:ascii="Times New Roman" w:hAnsi="Times New Roman" w:eastAsia="仿宋" w:cs="宋体"/>
          <w:color w:val="auto"/>
          <w:kern w:val="0"/>
          <w:sz w:val="32"/>
          <w:szCs w:val="32"/>
        </w:rPr>
        <w:t>二、在本项目安全评价活动过程中，我单位作为第三方，未受到任何组织和个人的干预和影响，依法独立开展工作，保证了技术服务活动的客观公正性。</w:t>
      </w:r>
    </w:p>
    <w:p w14:paraId="3924D955">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kern w:val="0"/>
          <w:sz w:val="32"/>
          <w:szCs w:val="32"/>
        </w:rPr>
      </w:pPr>
      <w:r>
        <w:rPr>
          <w:rFonts w:hint="eastAsia" w:ascii="Times New Roman" w:hAnsi="Times New Roman" w:eastAsia="仿宋" w:cs="宋体"/>
          <w:color w:val="auto"/>
          <w:kern w:val="0"/>
          <w:sz w:val="32"/>
          <w:szCs w:val="32"/>
        </w:rPr>
        <w:t>三、我单位按照实事求是的原则，对本项目进行安全评价，确保出具的报告均真实有效，报告所提出的措施具有针对性、有效性和可行性。</w:t>
      </w:r>
    </w:p>
    <w:p w14:paraId="3B83AEB8">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kern w:val="0"/>
          <w:sz w:val="32"/>
          <w:szCs w:val="32"/>
        </w:rPr>
      </w:pPr>
      <w:r>
        <w:rPr>
          <w:rFonts w:hint="eastAsia" w:ascii="Times New Roman" w:hAnsi="Times New Roman" w:eastAsia="仿宋" w:cs="宋体"/>
          <w:color w:val="auto"/>
          <w:kern w:val="0"/>
          <w:sz w:val="32"/>
          <w:szCs w:val="32"/>
        </w:rPr>
        <w:t>四、我单位对本项目安全评价报告中结论性内容承担法律责任。</w:t>
      </w:r>
    </w:p>
    <w:p w14:paraId="11C3E79F">
      <w:pPr>
        <w:bidi w:val="0"/>
        <w:rPr>
          <w:rFonts w:hint="eastAsia" w:ascii="Times New Roman" w:hAnsi="Times New Roman"/>
          <w:color w:val="auto"/>
        </w:rPr>
      </w:pPr>
    </w:p>
    <w:p w14:paraId="37910C8C">
      <w:pPr>
        <w:widowControl/>
        <w:spacing w:before="100" w:beforeAutospacing="1" w:after="100" w:afterAutospacing="1" w:line="425" w:lineRule="auto"/>
        <w:ind w:left="5258" w:leftChars="228" w:hanging="4620" w:hangingChars="1650"/>
        <w:jc w:val="right"/>
        <w:rPr>
          <w:rFonts w:ascii="Times New Roman" w:hAnsi="Times New Roman"/>
          <w:color w:val="auto"/>
          <w:szCs w:val="28"/>
        </w:rPr>
      </w:pPr>
    </w:p>
    <w:p w14:paraId="46B9A76E">
      <w:pPr>
        <w:widowControl/>
        <w:spacing w:before="100" w:beforeAutospacing="1" w:after="100" w:afterAutospacing="1" w:line="425" w:lineRule="auto"/>
        <w:ind w:left="5258" w:leftChars="228" w:hanging="4620" w:hangingChars="1650"/>
        <w:jc w:val="right"/>
        <w:rPr>
          <w:rFonts w:ascii="Times New Roman" w:hAnsi="Times New Roman"/>
          <w:color w:val="auto"/>
          <w:kern w:val="0"/>
          <w:szCs w:val="28"/>
        </w:rPr>
      </w:pPr>
      <w:r>
        <w:rPr>
          <w:rFonts w:ascii="Times New Roman" w:hAnsi="Times New Roman"/>
          <w:color w:val="auto"/>
          <w:szCs w:val="28"/>
        </w:rPr>
        <w:t>江西赣安安全生产科学技术咨询服务中心</w:t>
      </w:r>
    </w:p>
    <w:p w14:paraId="043F4909">
      <w:pPr>
        <w:rPr>
          <w:color w:val="auto"/>
        </w:rPr>
      </w:pPr>
      <w:r>
        <w:rPr>
          <w:rFonts w:hint="eastAsia" w:ascii="Times New Roman" w:hAnsi="Times New Roman"/>
          <w:color w:val="auto"/>
          <w:kern w:val="0"/>
          <w:szCs w:val="28"/>
          <w:lang w:val="en-US" w:eastAsia="zh-CN"/>
        </w:rPr>
        <w:t xml:space="preserve">                                    </w:t>
      </w:r>
      <w:r>
        <w:rPr>
          <w:rFonts w:ascii="Times New Roman" w:hAnsi="Times New Roman"/>
          <w:color w:val="auto"/>
          <w:kern w:val="0"/>
          <w:szCs w:val="28"/>
        </w:rPr>
        <w:t>202</w:t>
      </w:r>
      <w:r>
        <w:rPr>
          <w:rFonts w:hint="eastAsia" w:ascii="Times New Roman" w:hAnsi="Times New Roman"/>
          <w:color w:val="auto"/>
          <w:kern w:val="0"/>
          <w:szCs w:val="28"/>
          <w:lang w:val="en-US" w:eastAsia="zh-CN"/>
        </w:rPr>
        <w:t>4</w:t>
      </w:r>
      <w:r>
        <w:rPr>
          <w:rFonts w:ascii="Times New Roman" w:hAnsi="Times New Roman"/>
          <w:color w:val="auto"/>
          <w:kern w:val="0"/>
          <w:szCs w:val="28"/>
        </w:rPr>
        <w:t>年</w:t>
      </w:r>
      <w:r>
        <w:rPr>
          <w:rFonts w:hint="eastAsia"/>
          <w:color w:val="auto"/>
          <w:kern w:val="0"/>
          <w:szCs w:val="28"/>
          <w:lang w:val="en-US" w:eastAsia="zh-CN"/>
        </w:rPr>
        <w:t>12</w:t>
      </w:r>
      <w:r>
        <w:rPr>
          <w:rFonts w:ascii="Times New Roman" w:hAnsi="Times New Roman"/>
          <w:color w:val="auto"/>
          <w:kern w:val="0"/>
          <w:szCs w:val="28"/>
        </w:rPr>
        <w:t>月</w:t>
      </w:r>
      <w:r>
        <w:rPr>
          <w:rFonts w:hint="eastAsia"/>
          <w:color w:val="auto"/>
          <w:kern w:val="0"/>
          <w:szCs w:val="28"/>
          <w:lang w:val="en-US" w:eastAsia="zh-CN"/>
        </w:rPr>
        <w:t>5</w:t>
      </w:r>
      <w:bookmarkStart w:id="131" w:name="_GoBack"/>
      <w:bookmarkEnd w:id="131"/>
      <w:r>
        <w:rPr>
          <w:rFonts w:ascii="Times New Roman" w:hAnsi="Times New Roman"/>
          <w:color w:val="auto"/>
          <w:kern w:val="0"/>
          <w:szCs w:val="28"/>
        </w:rPr>
        <w:t>日</w:t>
      </w:r>
      <w:r>
        <w:rPr>
          <w:rFonts w:ascii="Times New Roman" w:hAnsi="Times New Roman"/>
          <w:b/>
          <w:color w:val="auto"/>
          <w:szCs w:val="28"/>
        </w:rPr>
        <w:br w:type="page"/>
      </w:r>
    </w:p>
    <w:p w14:paraId="60B0A370">
      <w:pPr>
        <w:keepNext w:val="0"/>
        <w:keepLines w:val="0"/>
        <w:pageBreakBefore w:val="0"/>
        <w:widowControl/>
        <w:kinsoku/>
        <w:wordWrap/>
        <w:overflowPunct/>
        <w:topLinePunct w:val="0"/>
        <w:autoSpaceDE/>
        <w:autoSpaceDN/>
        <w:bidi w:val="0"/>
        <w:adjustRightInd/>
        <w:snapToGrid/>
        <w:spacing w:beforeAutospacing="0" w:afterAutospacing="0" w:line="720" w:lineRule="exact"/>
        <w:ind w:firstLine="0" w:firstLineChars="0"/>
        <w:jc w:val="center"/>
        <w:textAlignment w:val="auto"/>
        <w:rPr>
          <w:color w:val="auto"/>
        </w:rPr>
      </w:pPr>
      <w:r>
        <w:rPr>
          <w:rFonts w:ascii="Times New Roman" w:hAnsi="Times New Roman" w:eastAsia="方正小标宋简体" w:cs="Times New Roman"/>
          <w:color w:val="auto"/>
          <w:sz w:val="44"/>
          <w:szCs w:val="44"/>
        </w:rPr>
        <w:t>规范安全生产中介行为的九条禁令</w:t>
      </w:r>
    </w:p>
    <w:p w14:paraId="53D8BBEF">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Times New Roman" w:cs="Times New Roman"/>
          <w:color w:val="auto"/>
          <w:sz w:val="32"/>
          <w:szCs w:val="32"/>
        </w:rPr>
      </w:pPr>
      <w:r>
        <w:rPr>
          <w:rFonts w:hint="eastAsia" w:ascii="Times New Roman" w:hAnsi="Times New Roman" w:eastAsia="宋体" w:cs="Times New Roman"/>
          <w:color w:val="auto"/>
          <w:sz w:val="28"/>
          <w:szCs w:val="28"/>
        </w:rPr>
        <w:t>赣安监管规划字〔2017〕178号</w:t>
      </w:r>
    </w:p>
    <w:p w14:paraId="799980AB">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32"/>
          <w:szCs w:val="32"/>
        </w:rPr>
      </w:pPr>
      <w:r>
        <w:rPr>
          <w:rFonts w:ascii="Times New Roman" w:hAnsi="Times New Roman" w:cs="Times New Roman"/>
          <w:color w:val="auto"/>
          <w:sz w:val="32"/>
          <w:szCs w:val="32"/>
        </w:rPr>
        <w:t>一、禁止从事安全生产和职业卫生服务的中介服务机构（以下统称中介机构）租借资质证书、非法挂靠、转包服务项目的行为；</w:t>
      </w:r>
    </w:p>
    <w:p w14:paraId="78AA73A8">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18"/>
          <w:szCs w:val="18"/>
        </w:rPr>
      </w:pPr>
      <w:r>
        <w:rPr>
          <w:rFonts w:ascii="Times New Roman" w:hAnsi="Times New Roman" w:cs="Times New Roman"/>
          <w:color w:val="auto"/>
          <w:sz w:val="32"/>
          <w:szCs w:val="32"/>
        </w:rPr>
        <w:t>二、禁止中介机构假借、冒用他人名义要求服务对象接受有偿服务，或者恶意低价竞争以及采取串标、围标等不正当竞争手段，扰乱技术服务市场秩序的行为；</w:t>
      </w:r>
    </w:p>
    <w:p w14:paraId="5ED731B4">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18"/>
          <w:szCs w:val="18"/>
        </w:rPr>
      </w:pPr>
      <w:r>
        <w:rPr>
          <w:rFonts w:ascii="Times New Roman" w:hAnsi="Times New Roman" w:cs="Times New Roman"/>
          <w:color w:val="auto"/>
          <w:sz w:val="32"/>
          <w:szCs w:val="32"/>
        </w:rPr>
        <w:t>三、禁止中介机构出具虚假或漏项、缺项技术报告的行为；</w:t>
      </w:r>
    </w:p>
    <w:p w14:paraId="63805D24">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32"/>
          <w:szCs w:val="32"/>
        </w:rPr>
      </w:pPr>
      <w:r>
        <w:rPr>
          <w:rFonts w:ascii="Times New Roman" w:hAnsi="Times New Roman" w:cs="Times New Roman"/>
          <w:color w:val="auto"/>
          <w:sz w:val="32"/>
          <w:szCs w:val="32"/>
        </w:rPr>
        <w:t>四、禁止中介机构出租、出借资格证书、在报告上冒用他人签名的行为；</w:t>
      </w:r>
    </w:p>
    <w:p w14:paraId="168F2FB6">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18"/>
          <w:szCs w:val="18"/>
        </w:rPr>
      </w:pPr>
      <w:r>
        <w:rPr>
          <w:rFonts w:ascii="Times New Roman" w:hAnsi="Times New Roman" w:cs="Times New Roman"/>
          <w:color w:val="auto"/>
          <w:sz w:val="32"/>
          <w:szCs w:val="32"/>
        </w:rPr>
        <w:t>五、禁止中介机构有应到而不到现场开展技术服务的行为；</w:t>
      </w:r>
      <w:r>
        <w:rPr>
          <w:rFonts w:ascii="Times New Roman" w:hAnsi="Times New Roman" w:cs="Times New Roman"/>
          <w:color w:val="auto"/>
          <w:sz w:val="18"/>
          <w:szCs w:val="18"/>
        </w:rPr>
        <w:t xml:space="preserve"> </w:t>
      </w:r>
    </w:p>
    <w:p w14:paraId="1921F392">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18"/>
          <w:szCs w:val="18"/>
        </w:rPr>
      </w:pPr>
      <w:r>
        <w:rPr>
          <w:rFonts w:ascii="Times New Roman" w:hAnsi="Times New Roman" w:cs="Times New Roman"/>
          <w:color w:val="auto"/>
          <w:sz w:val="32"/>
          <w:szCs w:val="32"/>
        </w:rPr>
        <w:t>六、禁止安全生产监管部门及其工作人员要求生产经营单位接受指定的中介机构开展技术服务的行为；</w:t>
      </w:r>
    </w:p>
    <w:p w14:paraId="30E80285">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18"/>
          <w:szCs w:val="18"/>
        </w:rPr>
      </w:pPr>
      <w:r>
        <w:rPr>
          <w:rFonts w:ascii="Times New Roman" w:hAnsi="Times New Roman" w:cs="Times New Roman"/>
          <w:color w:val="auto"/>
          <w:sz w:val="32"/>
          <w:szCs w:val="32"/>
        </w:rPr>
        <w:t>七、禁止安全生产监管部门及其工作人员没有法律依据组织由生产经营单位或机构支付费用的行政性评审的行为；</w:t>
      </w:r>
    </w:p>
    <w:p w14:paraId="242B07D4">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32"/>
          <w:szCs w:val="32"/>
        </w:rPr>
      </w:pPr>
      <w:r>
        <w:rPr>
          <w:rFonts w:ascii="Times New Roman" w:hAnsi="Times New Roman" w:cs="Times New Roman"/>
          <w:color w:val="auto"/>
          <w:sz w:val="32"/>
          <w:szCs w:val="32"/>
        </w:rPr>
        <w:t>八、禁止安全生产监管部门及其工作人员干预市场定价，违规擅自出台技术服务收费标准的行为；</w:t>
      </w:r>
    </w:p>
    <w:p w14:paraId="4C53B459">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ascii="Times New Roman" w:hAnsi="Times New Roman" w:cs="Times New Roman"/>
          <w:color w:val="auto"/>
          <w:sz w:val="32"/>
          <w:szCs w:val="32"/>
        </w:rPr>
      </w:pPr>
      <w:r>
        <w:rPr>
          <w:rFonts w:ascii="Times New Roman" w:hAnsi="Times New Roman" w:cs="Times New Roman"/>
          <w:color w:val="auto"/>
          <w:sz w:val="32"/>
          <w:szCs w:val="32"/>
        </w:rPr>
        <w:t>九、禁止安全生产监管部门及其工作人员参与、擅自干预中介机构从业活动，或者有获取不正当利益的行为。</w:t>
      </w:r>
    </w:p>
    <w:p w14:paraId="0B7FC67F">
      <w:pPr>
        <w:pStyle w:val="12"/>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eastAsia" w:ascii="Times New Roman" w:hAnsi="Times New Roman" w:eastAsia="宋体" w:cs="Times New Roman"/>
          <w:color w:val="auto"/>
          <w:sz w:val="32"/>
          <w:szCs w:val="32"/>
          <w:lang w:eastAsia="zh-CN"/>
        </w:rPr>
      </w:pPr>
    </w:p>
    <w:p w14:paraId="5D75CAD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t>评 价 人 员</w:t>
      </w:r>
    </w:p>
    <w:p w14:paraId="18ECC4EA">
      <w:pPr>
        <w:bidi w:val="0"/>
        <w:rPr>
          <w:rFonts w:ascii="Times New Roman" w:hAnsi="Times New Roman"/>
          <w:color w:val="auto"/>
        </w:rPr>
      </w:pP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1218"/>
        <w:gridCol w:w="2958"/>
        <w:gridCol w:w="1402"/>
        <w:gridCol w:w="1614"/>
      </w:tblGrid>
      <w:tr w14:paraId="11BC1E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1926" w:type="dxa"/>
            <w:tcBorders>
              <w:top w:val="single" w:color="auto" w:sz="12" w:space="0"/>
              <w:left w:val="single" w:color="auto" w:sz="12" w:space="0"/>
              <w:bottom w:val="single" w:color="auto" w:sz="4" w:space="0"/>
              <w:right w:val="single" w:color="auto" w:sz="4" w:space="0"/>
            </w:tcBorders>
            <w:noWrap w:val="0"/>
            <w:vAlign w:val="center"/>
          </w:tcPr>
          <w:p w14:paraId="0B94C964">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c>
          <w:tcPr>
            <w:tcW w:w="1218" w:type="dxa"/>
            <w:tcBorders>
              <w:top w:val="single" w:color="auto" w:sz="12" w:space="0"/>
              <w:left w:val="single" w:color="auto" w:sz="4" w:space="0"/>
              <w:bottom w:val="single" w:color="auto" w:sz="4" w:space="0"/>
              <w:right w:val="single" w:color="auto" w:sz="4" w:space="0"/>
            </w:tcBorders>
            <w:noWrap w:val="0"/>
            <w:vAlign w:val="center"/>
          </w:tcPr>
          <w:p w14:paraId="0514945A">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姓名</w:t>
            </w:r>
          </w:p>
        </w:tc>
        <w:tc>
          <w:tcPr>
            <w:tcW w:w="2958" w:type="dxa"/>
            <w:tcBorders>
              <w:top w:val="single" w:color="auto" w:sz="12" w:space="0"/>
              <w:left w:val="single" w:color="auto" w:sz="4" w:space="0"/>
              <w:bottom w:val="single" w:color="auto" w:sz="4" w:space="0"/>
              <w:right w:val="single" w:color="auto" w:sz="4" w:space="0"/>
            </w:tcBorders>
            <w:noWrap w:val="0"/>
            <w:vAlign w:val="center"/>
          </w:tcPr>
          <w:p w14:paraId="334D1610">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职业资格证书编号</w:t>
            </w:r>
          </w:p>
        </w:tc>
        <w:tc>
          <w:tcPr>
            <w:tcW w:w="1402" w:type="dxa"/>
            <w:tcBorders>
              <w:top w:val="single" w:color="auto" w:sz="12" w:space="0"/>
              <w:left w:val="single" w:color="auto" w:sz="4" w:space="0"/>
              <w:bottom w:val="single" w:color="auto" w:sz="4" w:space="0"/>
              <w:right w:val="single" w:color="auto" w:sz="4" w:space="0"/>
            </w:tcBorders>
            <w:noWrap w:val="0"/>
            <w:vAlign w:val="center"/>
          </w:tcPr>
          <w:p w14:paraId="16E983F3">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从业编号</w:t>
            </w:r>
          </w:p>
        </w:tc>
        <w:tc>
          <w:tcPr>
            <w:tcW w:w="1614" w:type="dxa"/>
            <w:tcBorders>
              <w:top w:val="single" w:color="auto" w:sz="12" w:space="0"/>
              <w:left w:val="single" w:color="auto" w:sz="4" w:space="0"/>
              <w:bottom w:val="single" w:color="auto" w:sz="4" w:space="0"/>
              <w:right w:val="single" w:color="auto" w:sz="12" w:space="0"/>
            </w:tcBorders>
            <w:noWrap w:val="0"/>
            <w:vAlign w:val="center"/>
          </w:tcPr>
          <w:p w14:paraId="5324DE11">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签字</w:t>
            </w:r>
          </w:p>
        </w:tc>
      </w:tr>
      <w:tr w14:paraId="6F1B48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tcBorders>
              <w:top w:val="single" w:color="auto" w:sz="4" w:space="0"/>
              <w:left w:val="single" w:color="auto" w:sz="12" w:space="0"/>
              <w:bottom w:val="single" w:color="auto" w:sz="4" w:space="0"/>
              <w:right w:val="single" w:color="auto" w:sz="4" w:space="0"/>
            </w:tcBorders>
            <w:noWrap w:val="0"/>
            <w:vAlign w:val="center"/>
          </w:tcPr>
          <w:p w14:paraId="54B26F00">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项目负责人</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0EB97AE2">
            <w:pPr>
              <w:overflowPunct w:val="0"/>
              <w:adjustRightInd w:val="0"/>
              <w:snapToGrid/>
              <w:spacing w:before="40" w:after="60" w:line="200" w:lineRule="atLeast"/>
              <w:ind w:firstLine="0" w:firstLineChars="0"/>
              <w:jc w:val="center"/>
              <w:textAlignment w:val="baseline"/>
              <w:rPr>
                <w:rFonts w:hint="eastAsia" w:ascii="Times New Roman" w:hAnsi="Times New Roman" w:eastAsia="宋体" w:cs="Times New Roman"/>
                <w:color w:val="auto"/>
                <w:kern w:val="2"/>
                <w:sz w:val="24"/>
                <w:szCs w:val="24"/>
                <w:lang w:eastAsia="zh-CN"/>
              </w:rPr>
            </w:pPr>
            <w:r>
              <w:rPr>
                <w:rFonts w:hint="eastAsia" w:cs="Times New Roman"/>
                <w:color w:val="auto"/>
                <w:kern w:val="0"/>
                <w:sz w:val="24"/>
                <w:szCs w:val="24"/>
                <w:lang w:val="en-US" w:eastAsia="zh-CN"/>
              </w:rPr>
              <w:t>黄伯扬</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41698664">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2"/>
                <w:sz w:val="24"/>
                <w:szCs w:val="24"/>
              </w:rPr>
            </w:pPr>
            <w:r>
              <w:rPr>
                <w:rFonts w:hint="eastAsia" w:ascii="Times New Roman" w:hAnsi="Times New Roman" w:eastAsia="宋体" w:cs="Times New Roman"/>
                <w:color w:val="auto"/>
                <w:kern w:val="0"/>
                <w:sz w:val="24"/>
                <w:szCs w:val="24"/>
              </w:rPr>
              <w:t>CAWS350000230200232</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75AC757A">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2"/>
                <w:sz w:val="24"/>
                <w:szCs w:val="24"/>
              </w:rPr>
            </w:pPr>
            <w:r>
              <w:rPr>
                <w:rFonts w:ascii="Times New Roman" w:hAnsi="Times New Roman" w:eastAsia="宋体" w:cs="Times New Roman"/>
                <w:color w:val="auto"/>
                <w:kern w:val="0"/>
                <w:sz w:val="24"/>
                <w:szCs w:val="24"/>
              </w:rPr>
              <w:t>032737</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220C7F7B">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07EE3A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vMerge w:val="restart"/>
            <w:tcBorders>
              <w:top w:val="single" w:color="auto" w:sz="4" w:space="0"/>
              <w:left w:val="single" w:color="auto" w:sz="12" w:space="0"/>
              <w:right w:val="single" w:color="auto" w:sz="4" w:space="0"/>
            </w:tcBorders>
            <w:noWrap w:val="0"/>
            <w:vAlign w:val="center"/>
          </w:tcPr>
          <w:p w14:paraId="12D35C02">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项目组成员</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2B3F6B27">
            <w:pPr>
              <w:adjustRightInd/>
              <w:snapToGrid/>
              <w:spacing w:line="240" w:lineRule="auto"/>
              <w:ind w:firstLine="0" w:firstLineChars="0"/>
              <w:jc w:val="center"/>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0"/>
                <w:sz w:val="24"/>
                <w:szCs w:val="24"/>
              </w:rPr>
              <w:t>王冠</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09316EB9">
            <w:pPr>
              <w:adjustRightInd/>
              <w:snapToGrid/>
              <w:spacing w:line="240" w:lineRule="auto"/>
              <w:ind w:firstLine="0" w:firstLineChars="0"/>
              <w:jc w:val="center"/>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0"/>
                <w:sz w:val="24"/>
                <w:szCs w:val="24"/>
              </w:rPr>
              <w:t>S011035000110192001523</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450B31E9">
            <w:pPr>
              <w:adjustRightInd/>
              <w:snapToGrid/>
              <w:spacing w:line="240" w:lineRule="auto"/>
              <w:ind w:firstLine="0" w:firstLineChars="0"/>
              <w:jc w:val="center"/>
              <w:rPr>
                <w:rFonts w:hint="eastAsia"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0"/>
                <w:sz w:val="24"/>
                <w:szCs w:val="24"/>
              </w:rPr>
              <w:t>027086</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394C8D33">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4771FB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vMerge w:val="continue"/>
            <w:tcBorders>
              <w:left w:val="single" w:color="auto" w:sz="12" w:space="0"/>
              <w:right w:val="single" w:color="auto" w:sz="4" w:space="0"/>
            </w:tcBorders>
            <w:noWrap w:val="0"/>
            <w:vAlign w:val="center"/>
          </w:tcPr>
          <w:p w14:paraId="3125F5E7">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c>
          <w:tcPr>
            <w:tcW w:w="1218" w:type="dxa"/>
            <w:tcBorders>
              <w:top w:val="single" w:color="auto" w:sz="4" w:space="0"/>
              <w:left w:val="single" w:color="auto" w:sz="4" w:space="0"/>
              <w:bottom w:val="single" w:color="auto" w:sz="4" w:space="0"/>
              <w:right w:val="single" w:color="auto" w:sz="4" w:space="0"/>
            </w:tcBorders>
            <w:noWrap w:val="0"/>
            <w:vAlign w:val="center"/>
          </w:tcPr>
          <w:p w14:paraId="5E7986F5">
            <w:pPr>
              <w:adjustRightInd/>
              <w:snapToGrid/>
              <w:spacing w:line="240" w:lineRule="auto"/>
              <w:ind w:firstLine="0" w:firstLineChars="0"/>
              <w:jc w:val="center"/>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aps w:val="0"/>
                <w:smallCaps w:val="0"/>
                <w:color w:val="auto"/>
                <w:kern w:val="0"/>
                <w:sz w:val="24"/>
                <w:szCs w:val="20"/>
              </w:rPr>
              <w:t>许玉才</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5CFAEDE4">
            <w:pPr>
              <w:adjustRightInd/>
              <w:snapToGrid/>
              <w:spacing w:line="240" w:lineRule="auto"/>
              <w:ind w:firstLine="0" w:firstLineChars="0"/>
              <w:jc w:val="center"/>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aps w:val="0"/>
                <w:smallCaps w:val="0"/>
                <w:color w:val="auto"/>
                <w:kern w:val="0"/>
                <w:sz w:val="24"/>
                <w:szCs w:val="20"/>
              </w:rPr>
              <w:t>1800000000200658</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667D4FB6">
            <w:pPr>
              <w:adjustRightInd/>
              <w:snapToGrid/>
              <w:spacing w:line="240" w:lineRule="auto"/>
              <w:ind w:firstLine="0" w:firstLineChars="0"/>
              <w:jc w:val="center"/>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aps w:val="0"/>
                <w:smallCaps w:val="0"/>
                <w:color w:val="auto"/>
                <w:kern w:val="0"/>
                <w:sz w:val="24"/>
                <w:szCs w:val="20"/>
              </w:rPr>
              <w:t>033460</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063FEBFB">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58FCD5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vMerge w:val="continue"/>
            <w:tcBorders>
              <w:left w:val="single" w:color="auto" w:sz="12" w:space="0"/>
              <w:right w:val="single" w:color="auto" w:sz="4" w:space="0"/>
            </w:tcBorders>
            <w:noWrap w:val="0"/>
            <w:vAlign w:val="center"/>
          </w:tcPr>
          <w:p w14:paraId="2295D3CA">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c>
          <w:tcPr>
            <w:tcW w:w="1218" w:type="dxa"/>
            <w:tcBorders>
              <w:top w:val="single" w:color="auto" w:sz="4" w:space="0"/>
              <w:left w:val="single" w:color="auto" w:sz="4" w:space="0"/>
              <w:bottom w:val="single" w:color="auto" w:sz="4" w:space="0"/>
              <w:right w:val="single" w:color="auto" w:sz="4" w:space="0"/>
            </w:tcBorders>
            <w:noWrap w:val="0"/>
            <w:vAlign w:val="center"/>
          </w:tcPr>
          <w:p w14:paraId="1B648DC9">
            <w:pPr>
              <w:adjustRightInd/>
              <w:snapToGrid/>
              <w:spacing w:line="240" w:lineRule="auto"/>
              <w:ind w:firstLine="0" w:firstLineChars="0"/>
              <w:jc w:val="center"/>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lang w:val="en-US" w:eastAsia="zh-CN"/>
              </w:rPr>
              <w:t>郑强</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796F10B2">
            <w:pPr>
              <w:adjustRightInd/>
              <w:snapToGrid/>
              <w:spacing w:line="240" w:lineRule="auto"/>
              <w:ind w:firstLine="0" w:firstLineChars="0"/>
              <w:jc w:val="center"/>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rPr>
              <w:t>0800000000101605</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29B19F5D">
            <w:pPr>
              <w:adjustRightInd/>
              <w:snapToGrid/>
              <w:spacing w:line="240" w:lineRule="auto"/>
              <w:ind w:firstLine="0" w:firstLineChars="0"/>
              <w:jc w:val="center"/>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rPr>
              <w:t>001851</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09F3F64B">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38DA86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vMerge w:val="continue"/>
            <w:tcBorders>
              <w:left w:val="single" w:color="auto" w:sz="12" w:space="0"/>
              <w:bottom w:val="single" w:color="auto" w:sz="4" w:space="0"/>
              <w:right w:val="single" w:color="auto" w:sz="4" w:space="0"/>
            </w:tcBorders>
            <w:noWrap w:val="0"/>
            <w:vAlign w:val="center"/>
          </w:tcPr>
          <w:p w14:paraId="4E48731D">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c>
          <w:tcPr>
            <w:tcW w:w="1218" w:type="dxa"/>
            <w:tcBorders>
              <w:top w:val="single" w:color="auto" w:sz="4" w:space="0"/>
              <w:left w:val="single" w:color="auto" w:sz="4" w:space="0"/>
              <w:bottom w:val="single" w:color="auto" w:sz="4" w:space="0"/>
              <w:right w:val="single" w:color="auto" w:sz="4" w:space="0"/>
            </w:tcBorders>
            <w:noWrap w:val="0"/>
            <w:vAlign w:val="center"/>
          </w:tcPr>
          <w:p w14:paraId="3918BB0B">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黄伯扬</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6A7D4580">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rPr>
              <w:t>CAWS350000230200232</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4F154F21">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032737</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3F03DD84">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74EEF0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tcBorders>
              <w:left w:val="single" w:color="auto" w:sz="12" w:space="0"/>
              <w:right w:val="single" w:color="auto" w:sz="4" w:space="0"/>
            </w:tcBorders>
            <w:noWrap w:val="0"/>
            <w:vAlign w:val="center"/>
          </w:tcPr>
          <w:p w14:paraId="0024D996">
            <w:pPr>
              <w:overflowPunct w:val="0"/>
              <w:adjustRightInd w:val="0"/>
              <w:snapToGrid/>
              <w:spacing w:before="40" w:after="60" w:line="200" w:lineRule="atLeast"/>
              <w:ind w:firstLine="0" w:firstLineChars="0"/>
              <w:jc w:val="center"/>
              <w:textAlignment w:val="baseline"/>
              <w:rPr>
                <w:rFonts w:hint="eastAsia" w:ascii="Times New Roman" w:hAnsi="Times New Roman" w:eastAsia="宋体" w:cs="Times New Roman"/>
                <w:color w:val="auto"/>
                <w:kern w:val="0"/>
                <w:sz w:val="24"/>
                <w:szCs w:val="24"/>
                <w:lang w:val="en-US" w:eastAsia="zh-CN"/>
              </w:rPr>
            </w:pPr>
            <w:r>
              <w:rPr>
                <w:rFonts w:hint="eastAsia" w:cs="Times New Roman"/>
                <w:color w:val="auto"/>
                <w:kern w:val="0"/>
                <w:sz w:val="24"/>
                <w:szCs w:val="24"/>
                <w:lang w:val="en-US" w:eastAsia="zh-CN"/>
              </w:rPr>
              <w:t>报告编制人</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1D6D11D4">
            <w:pPr>
              <w:overflowPunct w:val="0"/>
              <w:adjustRightInd w:val="0"/>
              <w:snapToGrid/>
              <w:spacing w:before="40" w:after="60" w:line="200" w:lineRule="atLeast"/>
              <w:ind w:firstLine="0" w:firstLineChars="0"/>
              <w:jc w:val="center"/>
              <w:textAlignment w:val="baseline"/>
              <w:rPr>
                <w:rFonts w:hint="eastAsia" w:ascii="Times New Roman" w:hAnsi="Times New Roman" w:eastAsia="宋体" w:cs="Times New Roman"/>
                <w:color w:val="auto"/>
                <w:kern w:val="0"/>
                <w:sz w:val="24"/>
                <w:szCs w:val="24"/>
                <w:lang w:eastAsia="zh-CN"/>
              </w:rPr>
            </w:pPr>
            <w:r>
              <w:rPr>
                <w:rFonts w:hint="eastAsia" w:cs="Times New Roman"/>
                <w:color w:val="auto"/>
                <w:kern w:val="0"/>
                <w:sz w:val="24"/>
                <w:szCs w:val="24"/>
                <w:lang w:val="en-US" w:eastAsia="zh-CN"/>
              </w:rPr>
              <w:t>许玉才</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04FA3BEF">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1800000000200658</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1955B050">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033460</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5C8E5751">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74766E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tcBorders>
              <w:top w:val="single" w:color="auto" w:sz="4" w:space="0"/>
              <w:left w:val="single" w:color="auto" w:sz="12" w:space="0"/>
              <w:bottom w:val="single" w:color="auto" w:sz="4" w:space="0"/>
              <w:right w:val="single" w:color="auto" w:sz="4" w:space="0"/>
            </w:tcBorders>
            <w:noWrap w:val="0"/>
            <w:vAlign w:val="center"/>
          </w:tcPr>
          <w:p w14:paraId="577024A2">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报告审核人</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24D430E6">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rPr>
              <w:t>王波</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7ECB1FBB">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rPr>
              <w:t>S011035000110202001263</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283EE33C">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hint="eastAsia" w:ascii="Times New Roman" w:hAnsi="Times New Roman" w:eastAsia="宋体" w:cs="宋体"/>
                <w:color w:val="auto"/>
                <w:kern w:val="0"/>
                <w:sz w:val="24"/>
                <w:szCs w:val="20"/>
              </w:rPr>
              <w:t>040122</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572FA76C">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4A719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926" w:type="dxa"/>
            <w:tcBorders>
              <w:top w:val="single" w:color="auto" w:sz="4" w:space="0"/>
              <w:left w:val="single" w:color="auto" w:sz="12" w:space="0"/>
              <w:bottom w:val="single" w:color="auto" w:sz="4" w:space="0"/>
              <w:right w:val="single" w:color="auto" w:sz="4" w:space="0"/>
            </w:tcBorders>
            <w:noWrap w:val="0"/>
            <w:vAlign w:val="center"/>
          </w:tcPr>
          <w:p w14:paraId="03CC1C76">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过程控制负责人</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09C830D6">
            <w:pPr>
              <w:adjustRightInd/>
              <w:snapToGrid/>
              <w:spacing w:line="240" w:lineRule="auto"/>
              <w:ind w:firstLine="0" w:firstLineChars="0"/>
              <w:jc w:val="center"/>
              <w:rPr>
                <w:rFonts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rPr>
              <w:t>王海波</w:t>
            </w:r>
          </w:p>
        </w:tc>
        <w:tc>
          <w:tcPr>
            <w:tcW w:w="2958" w:type="dxa"/>
            <w:tcBorders>
              <w:top w:val="single" w:color="auto" w:sz="4" w:space="0"/>
              <w:left w:val="single" w:color="auto" w:sz="4" w:space="0"/>
              <w:bottom w:val="single" w:color="auto" w:sz="4" w:space="0"/>
              <w:right w:val="single" w:color="auto" w:sz="4" w:space="0"/>
            </w:tcBorders>
            <w:noWrap w:val="0"/>
            <w:vAlign w:val="center"/>
          </w:tcPr>
          <w:p w14:paraId="33C5429F">
            <w:pPr>
              <w:adjustRightInd/>
              <w:snapToGrid/>
              <w:spacing w:line="240" w:lineRule="auto"/>
              <w:ind w:firstLine="0" w:firstLineChars="0"/>
              <w:jc w:val="center"/>
              <w:rPr>
                <w:rFonts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rPr>
              <w:t>S011035000110201000579</w:t>
            </w:r>
          </w:p>
        </w:tc>
        <w:tc>
          <w:tcPr>
            <w:tcW w:w="1402" w:type="dxa"/>
            <w:tcBorders>
              <w:top w:val="single" w:color="auto" w:sz="4" w:space="0"/>
              <w:left w:val="single" w:color="auto" w:sz="4" w:space="0"/>
              <w:bottom w:val="single" w:color="auto" w:sz="4" w:space="0"/>
              <w:right w:val="single" w:color="auto" w:sz="4" w:space="0"/>
            </w:tcBorders>
            <w:noWrap w:val="0"/>
            <w:vAlign w:val="center"/>
          </w:tcPr>
          <w:p w14:paraId="371CFCC3">
            <w:pPr>
              <w:adjustRightInd/>
              <w:snapToGrid/>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032727</w:t>
            </w:r>
          </w:p>
        </w:tc>
        <w:tc>
          <w:tcPr>
            <w:tcW w:w="1614" w:type="dxa"/>
            <w:tcBorders>
              <w:top w:val="single" w:color="auto" w:sz="4" w:space="0"/>
              <w:left w:val="single" w:color="auto" w:sz="4" w:space="0"/>
              <w:bottom w:val="single" w:color="auto" w:sz="4" w:space="0"/>
              <w:right w:val="single" w:color="auto" w:sz="12" w:space="0"/>
            </w:tcBorders>
            <w:noWrap w:val="0"/>
            <w:vAlign w:val="center"/>
          </w:tcPr>
          <w:p w14:paraId="28CEA351">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r w14:paraId="2D51EC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926" w:type="dxa"/>
            <w:tcBorders>
              <w:top w:val="single" w:color="auto" w:sz="4" w:space="0"/>
              <w:left w:val="single" w:color="auto" w:sz="12" w:space="0"/>
              <w:bottom w:val="single" w:color="auto" w:sz="12" w:space="0"/>
              <w:right w:val="single" w:color="auto" w:sz="4" w:space="0"/>
            </w:tcBorders>
            <w:noWrap w:val="0"/>
            <w:vAlign w:val="center"/>
          </w:tcPr>
          <w:p w14:paraId="51D7EEDF">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技术负责人</w:t>
            </w:r>
          </w:p>
        </w:tc>
        <w:tc>
          <w:tcPr>
            <w:tcW w:w="1218" w:type="dxa"/>
            <w:tcBorders>
              <w:top w:val="single" w:color="auto" w:sz="4" w:space="0"/>
              <w:left w:val="single" w:color="auto" w:sz="4" w:space="0"/>
              <w:bottom w:val="single" w:color="auto" w:sz="12" w:space="0"/>
              <w:right w:val="single" w:color="auto" w:sz="4" w:space="0"/>
            </w:tcBorders>
            <w:noWrap w:val="0"/>
            <w:vAlign w:val="center"/>
          </w:tcPr>
          <w:p w14:paraId="5F444F1F">
            <w:pPr>
              <w:adjustRightInd/>
              <w:snapToGrid/>
              <w:spacing w:line="240" w:lineRule="auto"/>
              <w:ind w:firstLine="0" w:firstLineChars="0"/>
              <w:jc w:val="center"/>
              <w:rPr>
                <w:rFonts w:ascii="Times New Roman" w:hAnsi="Times New Roman" w:eastAsia="宋体" w:cs="宋体"/>
                <w:color w:val="auto"/>
                <w:kern w:val="0"/>
                <w:sz w:val="24"/>
                <w:szCs w:val="20"/>
              </w:rPr>
            </w:pPr>
            <w:r>
              <w:rPr>
                <w:rFonts w:ascii="Times New Roman" w:hAnsi="Times New Roman" w:eastAsia="宋体" w:cs="Times New Roman"/>
                <w:color w:val="auto"/>
                <w:kern w:val="0"/>
                <w:sz w:val="24"/>
                <w:szCs w:val="20"/>
              </w:rPr>
              <w:t>周红波</w:t>
            </w:r>
          </w:p>
        </w:tc>
        <w:tc>
          <w:tcPr>
            <w:tcW w:w="2958" w:type="dxa"/>
            <w:tcBorders>
              <w:top w:val="single" w:color="auto" w:sz="4" w:space="0"/>
              <w:left w:val="single" w:color="auto" w:sz="4" w:space="0"/>
              <w:bottom w:val="single" w:color="auto" w:sz="12" w:space="0"/>
              <w:right w:val="single" w:color="auto" w:sz="4" w:space="0"/>
            </w:tcBorders>
            <w:noWrap w:val="0"/>
            <w:vAlign w:val="center"/>
          </w:tcPr>
          <w:p w14:paraId="65848624">
            <w:pPr>
              <w:adjustRightInd/>
              <w:snapToGrid/>
              <w:spacing w:line="240" w:lineRule="auto"/>
              <w:ind w:firstLine="0" w:firstLineChars="0"/>
              <w:jc w:val="center"/>
              <w:rPr>
                <w:rFonts w:ascii="Times New Roman" w:hAnsi="Times New Roman" w:eastAsia="宋体" w:cs="Times New Roman"/>
                <w:color w:val="auto"/>
                <w:kern w:val="0"/>
                <w:sz w:val="24"/>
                <w:szCs w:val="20"/>
              </w:rPr>
            </w:pPr>
            <w:r>
              <w:rPr>
                <w:rFonts w:ascii="Times New Roman" w:hAnsi="Times New Roman" w:eastAsia="宋体" w:cs="Times New Roman"/>
                <w:color w:val="auto"/>
                <w:kern w:val="0"/>
                <w:sz w:val="24"/>
                <w:szCs w:val="20"/>
              </w:rPr>
              <w:t>1700000000100121</w:t>
            </w:r>
          </w:p>
        </w:tc>
        <w:tc>
          <w:tcPr>
            <w:tcW w:w="1402" w:type="dxa"/>
            <w:tcBorders>
              <w:top w:val="single" w:color="auto" w:sz="4" w:space="0"/>
              <w:left w:val="single" w:color="auto" w:sz="4" w:space="0"/>
              <w:bottom w:val="single" w:color="auto" w:sz="12" w:space="0"/>
              <w:right w:val="single" w:color="auto" w:sz="4" w:space="0"/>
            </w:tcBorders>
            <w:noWrap w:val="0"/>
            <w:vAlign w:val="center"/>
          </w:tcPr>
          <w:p w14:paraId="65595C31">
            <w:pPr>
              <w:adjustRightInd/>
              <w:snapToGrid/>
              <w:spacing w:line="240" w:lineRule="auto"/>
              <w:ind w:firstLine="0" w:firstLineChars="0"/>
              <w:jc w:val="center"/>
              <w:rPr>
                <w:rFonts w:ascii="Times New Roman" w:hAnsi="Times New Roman" w:eastAsia="宋体" w:cs="Times New Roman"/>
                <w:color w:val="auto"/>
                <w:kern w:val="0"/>
                <w:sz w:val="24"/>
                <w:szCs w:val="20"/>
              </w:rPr>
            </w:pPr>
            <w:r>
              <w:rPr>
                <w:rFonts w:ascii="Times New Roman" w:hAnsi="Times New Roman" w:eastAsia="宋体" w:cs="Times New Roman"/>
                <w:color w:val="auto"/>
                <w:kern w:val="0"/>
                <w:sz w:val="24"/>
                <w:szCs w:val="20"/>
              </w:rPr>
              <w:t>020702</w:t>
            </w:r>
          </w:p>
        </w:tc>
        <w:tc>
          <w:tcPr>
            <w:tcW w:w="1614" w:type="dxa"/>
            <w:tcBorders>
              <w:top w:val="single" w:color="auto" w:sz="4" w:space="0"/>
              <w:left w:val="single" w:color="auto" w:sz="4" w:space="0"/>
              <w:bottom w:val="single" w:color="auto" w:sz="12" w:space="0"/>
              <w:right w:val="single" w:color="auto" w:sz="12" w:space="0"/>
            </w:tcBorders>
            <w:noWrap w:val="0"/>
            <w:vAlign w:val="center"/>
          </w:tcPr>
          <w:p w14:paraId="6D7D7D6E">
            <w:pPr>
              <w:overflowPunct w:val="0"/>
              <w:adjustRightInd w:val="0"/>
              <w:snapToGrid/>
              <w:spacing w:before="40" w:after="60" w:line="200" w:lineRule="atLeast"/>
              <w:ind w:firstLine="0" w:firstLineChars="0"/>
              <w:jc w:val="center"/>
              <w:textAlignment w:val="baseline"/>
              <w:rPr>
                <w:rFonts w:ascii="Times New Roman" w:hAnsi="Times New Roman" w:eastAsia="宋体" w:cs="Times New Roman"/>
                <w:color w:val="auto"/>
                <w:kern w:val="0"/>
                <w:sz w:val="24"/>
                <w:szCs w:val="24"/>
              </w:rPr>
            </w:pPr>
          </w:p>
        </w:tc>
      </w:tr>
    </w:tbl>
    <w:p w14:paraId="534E657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rPr>
      </w:pPr>
    </w:p>
    <w:p w14:paraId="0CF6EE05">
      <w:pPr>
        <w:bidi w:val="0"/>
        <w:rPr>
          <w:rFonts w:ascii="Times New Roman" w:hAnsi="Times New Roman"/>
          <w:color w:val="auto"/>
        </w:rPr>
      </w:pPr>
    </w:p>
    <w:p w14:paraId="0D342A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Times New Roman" w:hAnsi="Times New Roman" w:eastAsia="黑体" w:cs="黑体"/>
          <w:b/>
          <w:bCs/>
          <w:color w:val="auto"/>
          <w:sz w:val="32"/>
          <w:szCs w:val="32"/>
        </w:rPr>
      </w:pPr>
      <w:r>
        <w:rPr>
          <w:rFonts w:hint="eastAsia" w:ascii="Times New Roman" w:hAnsi="Times New Roman" w:eastAsia="宋体" w:cs="Times New Roman"/>
          <w:color w:val="auto"/>
          <w:sz w:val="32"/>
          <w:szCs w:val="32"/>
          <w:lang w:eastAsia="zh-CN"/>
        </w:rPr>
        <w:br w:type="page"/>
      </w:r>
      <w:bookmarkStart w:id="0" w:name="_Toc28377"/>
      <w:r>
        <w:rPr>
          <w:rStyle w:val="19"/>
          <w:rFonts w:hint="eastAsia"/>
          <w:color w:val="auto"/>
        </w:rPr>
        <w:t>前言</w:t>
      </w:r>
      <w:bookmarkEnd w:id="0"/>
    </w:p>
    <w:p w14:paraId="166C88AA">
      <w:pPr>
        <w:spacing w:line="360" w:lineRule="auto"/>
        <w:ind w:firstLine="560" w:firstLineChars="200"/>
        <w:rPr>
          <w:rFonts w:hint="eastAsia" w:ascii="Times New Roman" w:hAnsi="Times New Roman" w:eastAsia="宋体" w:cs="Times New Roman"/>
          <w:color w:val="auto"/>
        </w:rPr>
      </w:pPr>
      <w:r>
        <w:rPr>
          <w:rFonts w:hint="eastAsia" w:ascii="Times New Roman" w:hAnsi="Times New Roman" w:eastAsia="宋体" w:cs="Times New Roman"/>
          <w:color w:val="auto"/>
        </w:rPr>
        <w:t>江西亚东水泥有限公司</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以下简称“该公司”。</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是由台湾远东集团旗下的亚洲水泥股份有限公司与江西省投资集团公司共同成立的合资企业</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也是目前江西省最大的中外合资企业之一。江西亚东水泥有限公司成立于1997年10月09日，注册地位于江西省九江市瑞昌市码头镇亚东大道6号，法定代表人为张振昆。</w:t>
      </w:r>
    </w:p>
    <w:p w14:paraId="7F45C4E7">
      <w:pPr>
        <w:spacing w:line="360" w:lineRule="auto"/>
        <w:ind w:firstLine="560" w:firstLineChars="200"/>
        <w:rPr>
          <w:rFonts w:hint="eastAsia"/>
          <w:color w:val="auto"/>
          <w:lang w:val="en-US" w:eastAsia="zh-CN"/>
        </w:rPr>
      </w:pPr>
      <w:r>
        <w:rPr>
          <w:rFonts w:hint="eastAsia"/>
          <w:color w:val="auto"/>
          <w:lang w:val="en-US" w:eastAsia="zh-CN"/>
        </w:rPr>
        <w:t>为了响应政府相关政策，</w:t>
      </w:r>
      <w:r>
        <w:rPr>
          <w:rFonts w:hint="eastAsia" w:ascii="Times New Roman" w:hAnsi="Times New Roman" w:eastAsia="宋体" w:cs="Times New Roman"/>
          <w:color w:val="auto"/>
          <w:lang w:val="en-US" w:eastAsia="zh-CN"/>
        </w:rPr>
        <w:t>增强企业的产品竞争能力及企业社会责任，江西亚东水泥有限公司瑞昌制造厂对现有的六条水泥熟料生产线实施降低二氧化硫项目建设，削减SO</w:t>
      </w:r>
      <w:r>
        <w:rPr>
          <w:rFonts w:hint="eastAsia" w:ascii="Times New Roman" w:hAnsi="Times New Roman" w:eastAsia="宋体" w:cs="Times New Roman"/>
          <w:color w:val="auto"/>
          <w:vertAlign w:val="subscript"/>
          <w:lang w:val="en-US" w:eastAsia="zh-CN"/>
        </w:rPr>
        <w:t>2</w:t>
      </w:r>
      <w:r>
        <w:rPr>
          <w:rFonts w:hint="eastAsia" w:ascii="Times New Roman" w:hAnsi="Times New Roman" w:eastAsia="宋体" w:cs="Times New Roman"/>
          <w:color w:val="auto"/>
          <w:lang w:val="en-US" w:eastAsia="zh-CN"/>
        </w:rPr>
        <w:t>排放量。</w:t>
      </w:r>
      <w:r>
        <w:rPr>
          <w:rFonts w:hint="eastAsia"/>
          <w:color w:val="auto"/>
          <w:lang w:val="en-US" w:eastAsia="zh-CN"/>
        </w:rPr>
        <w:t>该公司</w:t>
      </w:r>
      <w:r>
        <w:rPr>
          <w:rFonts w:hint="eastAsia"/>
          <w:color w:val="auto"/>
        </w:rPr>
        <w:t>于20</w:t>
      </w:r>
      <w:r>
        <w:rPr>
          <w:rFonts w:hint="eastAsia"/>
          <w:color w:val="auto"/>
          <w:lang w:val="en-US" w:eastAsia="zh-CN"/>
        </w:rPr>
        <w:t>18</w:t>
      </w:r>
      <w:r>
        <w:rPr>
          <w:rFonts w:hint="eastAsia"/>
          <w:color w:val="auto"/>
        </w:rPr>
        <w:t>年</w:t>
      </w:r>
      <w:r>
        <w:rPr>
          <w:rFonts w:hint="eastAsia"/>
          <w:color w:val="auto"/>
          <w:lang w:val="en-US" w:eastAsia="zh-CN"/>
        </w:rPr>
        <w:t>11</w:t>
      </w:r>
      <w:r>
        <w:rPr>
          <w:rFonts w:hint="eastAsia"/>
          <w:color w:val="auto"/>
        </w:rPr>
        <w:t>月</w:t>
      </w:r>
      <w:r>
        <w:rPr>
          <w:rFonts w:hint="eastAsia"/>
          <w:color w:val="auto"/>
          <w:lang w:val="en-US" w:eastAsia="zh-CN"/>
        </w:rPr>
        <w:t>22</w:t>
      </w:r>
      <w:r>
        <w:rPr>
          <w:rFonts w:hint="eastAsia"/>
          <w:color w:val="auto"/>
        </w:rPr>
        <w:t>日领取了瑞昌市发展和改革委员会批准的《江西省企业投资项目备案通知书》（项目代码：2018-360481-77-03-028649），项目名称：</w:t>
      </w:r>
      <w:r>
        <w:rPr>
          <w:rFonts w:hint="eastAsia"/>
          <w:color w:val="auto"/>
          <w:highlight w:val="none"/>
          <w:lang w:val="zh-CN"/>
        </w:rPr>
        <w:t>江西亚东水泥有限公司降低二氧化硫排放项目（2*6000t/d</w:t>
      </w:r>
      <w:r>
        <w:rPr>
          <w:rFonts w:hint="eastAsia"/>
          <w:color w:val="auto"/>
          <w:highlight w:val="none"/>
          <w:lang w:val="en-US" w:eastAsia="zh-CN"/>
        </w:rPr>
        <w:t>与4*4200t/d</w:t>
      </w:r>
      <w:r>
        <w:rPr>
          <w:rFonts w:hint="eastAsia"/>
          <w:color w:val="auto"/>
          <w:highlight w:val="none"/>
          <w:lang w:val="zh-CN"/>
        </w:rPr>
        <w:t>）</w:t>
      </w:r>
      <w:r>
        <w:rPr>
          <w:rFonts w:hint="eastAsia"/>
          <w:color w:val="auto"/>
          <w:lang w:eastAsia="zh-CN"/>
        </w:rPr>
        <w:t>。</w:t>
      </w:r>
      <w:r>
        <w:rPr>
          <w:rFonts w:hint="eastAsia"/>
          <w:color w:val="auto"/>
        </w:rPr>
        <w:t>项目总投资：10180万元；建设性质：技改</w:t>
      </w:r>
      <w:r>
        <w:rPr>
          <w:rFonts w:hint="eastAsia"/>
          <w:color w:val="auto"/>
          <w:lang w:eastAsia="zh-CN"/>
        </w:rPr>
        <w:t>。</w:t>
      </w:r>
      <w:r>
        <w:rPr>
          <w:rFonts w:hint="eastAsia"/>
          <w:color w:val="auto"/>
        </w:rPr>
        <w:t>2019年1月7日</w:t>
      </w:r>
      <w:r>
        <w:rPr>
          <w:rFonts w:hint="eastAsia"/>
          <w:color w:val="auto"/>
          <w:lang w:eastAsia="zh-CN"/>
        </w:rPr>
        <w:t>，北京达飞安评管理顾问有限公司</w:t>
      </w:r>
      <w:r>
        <w:rPr>
          <w:rFonts w:hint="eastAsia"/>
          <w:color w:val="auto"/>
          <w:lang w:val="en-US" w:eastAsia="zh-CN"/>
        </w:rPr>
        <w:t>编制了《江西亚东水泥有限公司降低二氧化硫排放项目（2*6000t/d与4*4200t/d）安全预评价报告》（证书编号：APJ-（国）-074）。</w:t>
      </w:r>
      <w:r>
        <w:rPr>
          <w:rFonts w:hint="eastAsia" w:ascii="Times New Roman" w:hAnsi="Times New Roman"/>
          <w:color w:val="auto"/>
          <w:lang w:val="en-US" w:eastAsia="zh-CN"/>
        </w:rPr>
        <w:t>2024年6月，美华建筑设计有限公司编制了</w:t>
      </w:r>
      <w:r>
        <w:rPr>
          <w:rFonts w:hint="eastAsia"/>
          <w:color w:val="auto"/>
          <w:lang w:val="en-US" w:eastAsia="zh-CN"/>
        </w:rPr>
        <w:t>《江西亚东水泥有限公司瑞昌制造二厂降低二氧化硫排放项目（2*6000t/d）安全设施设计》</w:t>
      </w:r>
      <w:r>
        <w:rPr>
          <w:rFonts w:hint="eastAsia" w:ascii="Times New Roman" w:hAnsi="Times New Roman"/>
          <w:color w:val="auto"/>
          <w:lang w:val="en-US" w:eastAsia="zh-CN"/>
        </w:rPr>
        <w:t>。</w:t>
      </w:r>
    </w:p>
    <w:p w14:paraId="500D9FAC">
      <w:pPr>
        <w:spacing w:line="360" w:lineRule="auto"/>
        <w:ind w:firstLine="560" w:firstLineChars="200"/>
        <w:rPr>
          <w:rFonts w:hint="eastAsia"/>
          <w:color w:val="auto"/>
          <w:lang w:val="en-US" w:eastAsia="zh-CN"/>
        </w:rPr>
      </w:pPr>
      <w:r>
        <w:rPr>
          <w:rFonts w:hint="eastAsia"/>
          <w:color w:val="auto"/>
          <w:lang w:val="en-US" w:eastAsia="zh-CN"/>
        </w:rPr>
        <w:t>需注意，本项目仅涉及</w:t>
      </w:r>
      <w:r>
        <w:rPr>
          <w:rFonts w:hint="eastAsia"/>
          <w:color w:val="auto"/>
          <w:highlight w:val="none"/>
          <w:lang w:val="zh-CN"/>
        </w:rPr>
        <w:t>江西亚东水泥有限公司降低二氧化硫排放项目（2*6000t/d</w:t>
      </w:r>
      <w:r>
        <w:rPr>
          <w:rFonts w:hint="eastAsia"/>
          <w:color w:val="auto"/>
          <w:highlight w:val="none"/>
          <w:lang w:val="en-US" w:eastAsia="zh-CN"/>
        </w:rPr>
        <w:t>与4*4200t/d</w:t>
      </w:r>
      <w:r>
        <w:rPr>
          <w:rFonts w:hint="eastAsia"/>
          <w:color w:val="auto"/>
          <w:highlight w:val="none"/>
          <w:lang w:val="zh-CN"/>
        </w:rPr>
        <w:t>）</w:t>
      </w:r>
      <w:r>
        <w:rPr>
          <w:rFonts w:hint="eastAsia"/>
          <w:color w:val="auto"/>
          <w:highlight w:val="none"/>
          <w:lang w:val="en-US" w:eastAsia="zh-CN"/>
        </w:rPr>
        <w:t>的2*6000t/d部分。</w:t>
      </w:r>
    </w:p>
    <w:p w14:paraId="0FD309D9">
      <w:pPr>
        <w:rPr>
          <w:rFonts w:hint="default" w:eastAsiaTheme="minorEastAsia"/>
          <w:color w:val="auto"/>
          <w:lang w:val="en-US" w:eastAsia="zh-CN"/>
        </w:rPr>
      </w:pPr>
      <w:r>
        <w:rPr>
          <w:rFonts w:hint="eastAsia"/>
          <w:color w:val="auto"/>
          <w:lang w:val="en-US" w:eastAsia="zh-CN"/>
        </w:rPr>
        <w:t>本项目主要物料有石灰石粉（主要成分是碳酸钙CaCO</w:t>
      </w:r>
      <w:r>
        <w:rPr>
          <w:rFonts w:hint="eastAsia"/>
          <w:color w:val="auto"/>
          <w:vertAlign w:val="subscript"/>
          <w:lang w:val="en-US" w:eastAsia="zh-CN"/>
        </w:rPr>
        <w:t>3</w:t>
      </w:r>
      <w:r>
        <w:rPr>
          <w:rFonts w:hint="eastAsia"/>
          <w:color w:val="auto"/>
          <w:lang w:val="en-US" w:eastAsia="zh-CN"/>
        </w:rPr>
        <w:t>）、石灰石浆液等，不涉及其他危险化学品。经辨识，本项目生产过程</w:t>
      </w:r>
      <w:r>
        <w:rPr>
          <w:rFonts w:hint="eastAsia"/>
          <w:color w:val="auto"/>
          <w:sz w:val="28"/>
          <w:szCs w:val="28"/>
        </w:rPr>
        <w:t>主要危险因素包括</w:t>
      </w:r>
      <w:r>
        <w:rPr>
          <w:rFonts w:hint="eastAsia"/>
          <w:color w:val="auto"/>
          <w:lang w:val="en-US" w:eastAsia="zh-CN"/>
        </w:rPr>
        <w:t>火灾、爆炸、机械伤害、触电、高处坠落、灼烫、中毒和窒息、物体打击、坍塌、车辆伤害等，有害因素包括粉尘、高温、噪声等。本</w:t>
      </w:r>
      <w:r>
        <w:rPr>
          <w:color w:val="auto"/>
        </w:rPr>
        <w:t>项目</w:t>
      </w:r>
      <w:r>
        <w:rPr>
          <w:rFonts w:hint="eastAsia"/>
          <w:color w:val="auto"/>
          <w:lang w:val="en-US" w:eastAsia="zh-CN"/>
        </w:rPr>
        <w:t>中的SO</w:t>
      </w:r>
      <w:r>
        <w:rPr>
          <w:rFonts w:hint="eastAsia"/>
          <w:color w:val="auto"/>
          <w:vertAlign w:val="subscript"/>
          <w:lang w:val="en-US" w:eastAsia="zh-CN"/>
        </w:rPr>
        <w:t>2</w:t>
      </w:r>
      <w:r>
        <w:rPr>
          <w:rFonts w:hint="eastAsia"/>
          <w:color w:val="auto"/>
          <w:vertAlign w:val="baseline"/>
          <w:lang w:val="en-US" w:eastAsia="zh-CN"/>
        </w:rPr>
        <w:t>属于</w:t>
      </w:r>
      <w:r>
        <w:rPr>
          <w:color w:val="auto"/>
        </w:rPr>
        <w:t>重点监管的危险化学品</w:t>
      </w:r>
      <w:r>
        <w:rPr>
          <w:rFonts w:hint="eastAsia"/>
          <w:color w:val="auto"/>
          <w:lang w:val="en-US" w:eastAsia="zh-CN"/>
        </w:rPr>
        <w:t>，不涉及危险化工工艺，</w:t>
      </w:r>
      <w:r>
        <w:rPr>
          <w:rFonts w:hint="eastAsia" w:ascii="Times New Roman" w:hAnsi="Times New Roman"/>
          <w:color w:val="auto"/>
          <w:lang w:val="en-US" w:eastAsia="zh-CN"/>
        </w:rPr>
        <w:t>不构成重大危险源</w:t>
      </w:r>
      <w:r>
        <w:rPr>
          <w:color w:val="auto"/>
        </w:rPr>
        <w:t>。</w:t>
      </w:r>
    </w:p>
    <w:p w14:paraId="1BDD1DFE">
      <w:pPr>
        <w:spacing w:line="360" w:lineRule="auto"/>
        <w:ind w:firstLine="560" w:firstLineChars="200"/>
        <w:rPr>
          <w:rFonts w:hint="eastAsia" w:ascii="Times New Roman" w:hAnsi="Times New Roman" w:eastAsia="宋体" w:cs="Times New Roman"/>
          <w:color w:val="auto"/>
          <w:lang w:val="en-US" w:eastAsia="zh-CN"/>
        </w:rPr>
      </w:pPr>
      <w:r>
        <w:rPr>
          <w:rFonts w:hint="eastAsia"/>
          <w:color w:val="auto"/>
          <w:lang w:val="en-US" w:eastAsia="zh-CN"/>
        </w:rPr>
        <w:t>根据《中华人民共和国安全生产法》《江西省安全生产条例》《建设项目安全设施“三同时”监督管理办法》的要求，建设项目安全设施竣工或者试运行完成后，生产经营单位应当委托具有相应资质</w:t>
      </w:r>
      <w:r>
        <w:rPr>
          <w:rFonts w:hint="eastAsia" w:ascii="Times New Roman" w:hAnsi="Times New Roman" w:eastAsia="宋体" w:cs="Times New Roman"/>
          <w:color w:val="auto"/>
          <w:lang w:val="en-US" w:eastAsia="zh-CN"/>
        </w:rPr>
        <w:t>的安全评价机构对安全设施进行验收评价，并编制建设项目安全设施竣工验收评价报告。</w:t>
      </w:r>
    </w:p>
    <w:p w14:paraId="114AEAE9">
      <w:pPr>
        <w:bidi w:val="0"/>
        <w:rPr>
          <w:rFonts w:hint="eastAsia"/>
          <w:lang w:val="en-US" w:eastAsia="zh-CN"/>
        </w:rPr>
      </w:pPr>
      <w:r>
        <w:rPr>
          <w:rFonts w:hint="eastAsia"/>
          <w:lang w:val="en-US" w:eastAsia="zh-CN"/>
        </w:rPr>
        <w:t>受江西亚东水泥有限公司的委托，江西赣安安全生产科学技术咨询服务中心承担本项目的安全设施竣工验收评价工作。我中心组织项目评价组对本项目的立项批准文件，设计、施工、监理文件及企业提供的安全技术及管理、安全检验、检测等资料进行了调查分析，依据安全生产法律、法规、规章、标准、规范对现场进行了核查，按照《安全评价通则》（AQ8001-2007）、《安全验收评价导则》（AQ8003-2007）、《关于转发〈江西省安监局办公室关于冶金等工贸行业建设项目安全设施“三同时”工作有关问题的复函〉的通知》等法律法规、标准规范的规定，编制完成本报告。</w:t>
      </w:r>
    </w:p>
    <w:p w14:paraId="455CF3CE">
      <w:pPr>
        <w:bidi w:val="0"/>
        <w:rPr>
          <w:rFonts w:hint="eastAsia"/>
          <w:lang w:val="en-US" w:eastAsia="zh-CN"/>
        </w:rPr>
      </w:pPr>
      <w:r>
        <w:rPr>
          <w:rFonts w:hint="eastAsia"/>
          <w:lang w:val="en-US" w:eastAsia="zh-CN"/>
        </w:rPr>
        <w:t>需要说明的是，本安全验收评价报告和结论是根据评价时企业工程项目现状做出的。今后企业的进一步改建、扩建、搬迁，应当重新进行安全评价。</w:t>
      </w:r>
    </w:p>
    <w:p w14:paraId="66625164">
      <w:pPr>
        <w:bidi w:val="0"/>
        <w:rPr>
          <w:rFonts w:hint="eastAsia"/>
          <w:lang w:val="en-US" w:eastAsia="zh-CN"/>
        </w:rPr>
      </w:pPr>
      <w:r>
        <w:rPr>
          <w:rFonts w:hint="eastAsia"/>
          <w:lang w:val="en-US" w:eastAsia="zh-CN"/>
        </w:rPr>
        <w:t>在安全验收评价工作中及评价报告书的编制中得到了江西亚东水泥有限公司相关部门同志的大力支持与协助，特表示衷心的感谢。</w:t>
      </w:r>
    </w:p>
    <w:p w14:paraId="3AE700BF">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br w:type="page"/>
      </w:r>
    </w:p>
    <w:p w14:paraId="14F2710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rPr>
      </w:pPr>
      <w:r>
        <w:rPr>
          <w:rFonts w:hint="eastAsia" w:ascii="Times New Roman" w:hAnsi="Times New Roman" w:eastAsia="黑体" w:cs="黑体"/>
          <w:b/>
          <w:bCs/>
          <w:color w:val="auto"/>
          <w:sz w:val="32"/>
          <w:szCs w:val="32"/>
          <w:lang w:val="en-US" w:eastAsia="zh-CN"/>
        </w:rPr>
        <w:t>目   录</w:t>
      </w:r>
    </w:p>
    <w:sdt>
      <w:sdtPr>
        <w:rPr>
          <w:rFonts w:ascii="宋体" w:hAnsi="宋体" w:eastAsia="宋体" w:cs="Times New Roman"/>
          <w:color w:val="auto"/>
          <w:kern w:val="2"/>
          <w:sz w:val="21"/>
          <w:szCs w:val="28"/>
          <w:lang w:val="en-US" w:eastAsia="zh-CN" w:bidi="ar-SA"/>
        </w:rPr>
        <w:id w:val="147474647"/>
        <w15:color w:val="DBDBDB"/>
        <w:docPartObj>
          <w:docPartGallery w:val="Table of Contents"/>
          <w:docPartUnique/>
        </w:docPartObj>
      </w:sdtPr>
      <w:sdtEndPr>
        <w:rPr>
          <w:rFonts w:hint="eastAsia" w:ascii="Times New Roman" w:hAnsi="Times New Roman" w:eastAsia="宋体" w:cs="Times New Roman"/>
          <w:color w:val="auto"/>
          <w:kern w:val="2"/>
          <w:sz w:val="28"/>
          <w:szCs w:val="28"/>
          <w:lang w:val="en-US" w:eastAsia="zh-CN" w:bidi="ar-SA"/>
        </w:rPr>
      </w:sdtEndPr>
      <w:sdtContent>
        <w:p w14:paraId="23BB9918">
          <w:pPr>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left="0" w:leftChars="0" w:right="0" w:rightChars="0" w:firstLine="0" w:firstLineChars="0"/>
            <w:jc w:val="center"/>
            <w:textAlignment w:val="auto"/>
            <w:rPr>
              <w:color w:val="auto"/>
            </w:rPr>
          </w:pPr>
        </w:p>
        <w:p w14:paraId="23E3941B">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TOC \o "1-3" \h \u </w:instrText>
          </w:r>
          <w:r>
            <w:rPr>
              <w:rFonts w:hint="eastAsia"/>
              <w:color w:val="auto"/>
              <w:sz w:val="24"/>
              <w:szCs w:val="24"/>
              <w:lang w:eastAsia="zh-CN"/>
            </w:rPr>
            <w:fldChar w:fldCharType="separate"/>
          </w:r>
          <w:r>
            <w:rPr>
              <w:rFonts w:hint="eastAsia"/>
              <w:color w:val="auto"/>
              <w:sz w:val="24"/>
              <w:szCs w:val="24"/>
              <w:lang w:eastAsia="zh-CN"/>
            </w:rPr>
            <w:fldChar w:fldCharType="begin"/>
          </w:r>
          <w:r>
            <w:rPr>
              <w:rFonts w:hint="eastAsia"/>
              <w:color w:val="auto"/>
              <w:sz w:val="24"/>
              <w:szCs w:val="24"/>
              <w:lang w:eastAsia="zh-CN"/>
            </w:rPr>
            <w:instrText xml:space="preserve"> HYPERLINK \l _Toc28377 </w:instrText>
          </w:r>
          <w:r>
            <w:rPr>
              <w:rFonts w:hint="eastAsia"/>
              <w:color w:val="auto"/>
              <w:sz w:val="24"/>
              <w:szCs w:val="24"/>
              <w:lang w:eastAsia="zh-CN"/>
            </w:rPr>
            <w:fldChar w:fldCharType="separate"/>
          </w:r>
          <w:r>
            <w:rPr>
              <w:rFonts w:hint="eastAsia"/>
              <w:color w:val="auto"/>
              <w:sz w:val="24"/>
              <w:szCs w:val="24"/>
            </w:rPr>
            <w:t>前言</w:t>
          </w:r>
          <w:r>
            <w:rPr>
              <w:color w:val="auto"/>
              <w:sz w:val="24"/>
              <w:szCs w:val="24"/>
            </w:rPr>
            <w:tab/>
          </w:r>
          <w:r>
            <w:rPr>
              <w:color w:val="auto"/>
              <w:sz w:val="24"/>
              <w:szCs w:val="24"/>
            </w:rPr>
            <w:fldChar w:fldCharType="begin"/>
          </w:r>
          <w:r>
            <w:rPr>
              <w:color w:val="auto"/>
              <w:sz w:val="24"/>
              <w:szCs w:val="24"/>
            </w:rPr>
            <w:instrText xml:space="preserve"> PAGEREF _Toc28377 \h </w:instrText>
          </w:r>
          <w:r>
            <w:rPr>
              <w:color w:val="auto"/>
              <w:sz w:val="24"/>
              <w:szCs w:val="24"/>
            </w:rPr>
            <w:fldChar w:fldCharType="separate"/>
          </w:r>
          <w:r>
            <w:rPr>
              <w:color w:val="auto"/>
              <w:sz w:val="24"/>
              <w:szCs w:val="24"/>
            </w:rPr>
            <w:t>V</w:t>
          </w:r>
          <w:r>
            <w:rPr>
              <w:color w:val="auto"/>
              <w:sz w:val="24"/>
              <w:szCs w:val="24"/>
            </w:rPr>
            <w:fldChar w:fldCharType="end"/>
          </w:r>
          <w:r>
            <w:rPr>
              <w:rFonts w:hint="eastAsia"/>
              <w:color w:val="auto"/>
              <w:sz w:val="24"/>
              <w:szCs w:val="24"/>
              <w:lang w:eastAsia="zh-CN"/>
            </w:rPr>
            <w:fldChar w:fldCharType="end"/>
          </w:r>
        </w:p>
        <w:p w14:paraId="7A089E87">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_Toc31179 </w:instrText>
          </w:r>
          <w:r>
            <w:rPr>
              <w:rFonts w:hint="eastAsia"/>
              <w:color w:val="auto"/>
              <w:sz w:val="24"/>
              <w:szCs w:val="24"/>
              <w:lang w:eastAsia="zh-CN"/>
            </w:rPr>
            <w:fldChar w:fldCharType="separate"/>
          </w:r>
          <w:r>
            <w:rPr>
              <w:rFonts w:hint="eastAsia" w:ascii="Times New Roman" w:hAnsi="Times New Roman" w:eastAsia="黑体" w:cs="Times New Roman"/>
              <w:color w:val="auto"/>
              <w:kern w:val="44"/>
              <w:sz w:val="24"/>
              <w:szCs w:val="24"/>
              <w:lang w:val="en-US" w:eastAsia="zh-CN" w:bidi="ar-SA"/>
            </w:rPr>
            <w:t>1.</w:t>
          </w:r>
          <w:r>
            <w:rPr>
              <w:rFonts w:hint="eastAsia" w:ascii="宋体" w:hAnsi="宋体" w:eastAsia="宋体" w:cs="宋体"/>
              <w:color w:val="auto"/>
              <w:kern w:val="44"/>
              <w:sz w:val="24"/>
              <w:szCs w:val="24"/>
              <w:lang w:val="en-US" w:eastAsia="zh-CN" w:bidi="ar-SA"/>
            </w:rPr>
            <w:t>评价概述</w:t>
          </w:r>
          <w:r>
            <w:rPr>
              <w:color w:val="auto"/>
              <w:sz w:val="24"/>
              <w:szCs w:val="24"/>
            </w:rPr>
            <w:tab/>
          </w:r>
          <w:r>
            <w:rPr>
              <w:color w:val="auto"/>
              <w:sz w:val="24"/>
              <w:szCs w:val="24"/>
            </w:rPr>
            <w:fldChar w:fldCharType="begin"/>
          </w:r>
          <w:r>
            <w:rPr>
              <w:color w:val="auto"/>
              <w:sz w:val="24"/>
              <w:szCs w:val="24"/>
            </w:rPr>
            <w:instrText xml:space="preserve"> PAGEREF _Toc31179 \h </w:instrText>
          </w:r>
          <w:r>
            <w:rPr>
              <w:color w:val="auto"/>
              <w:sz w:val="24"/>
              <w:szCs w:val="24"/>
            </w:rPr>
            <w:fldChar w:fldCharType="separate"/>
          </w:r>
          <w:r>
            <w:rPr>
              <w:color w:val="auto"/>
              <w:sz w:val="24"/>
              <w:szCs w:val="24"/>
            </w:rPr>
            <w:t>1</w:t>
          </w:r>
          <w:r>
            <w:rPr>
              <w:color w:val="auto"/>
              <w:sz w:val="24"/>
              <w:szCs w:val="24"/>
            </w:rPr>
            <w:fldChar w:fldCharType="end"/>
          </w:r>
          <w:r>
            <w:rPr>
              <w:rFonts w:hint="eastAsia"/>
              <w:color w:val="auto"/>
              <w:sz w:val="24"/>
              <w:szCs w:val="24"/>
              <w:lang w:eastAsia="zh-CN"/>
            </w:rPr>
            <w:fldChar w:fldCharType="end"/>
          </w:r>
        </w:p>
        <w:p w14:paraId="04C9A3B7">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_Toc13865 </w:instrText>
          </w:r>
          <w:r>
            <w:rPr>
              <w:rFonts w:hint="eastAsia"/>
              <w:color w:val="auto"/>
              <w:sz w:val="24"/>
              <w:szCs w:val="24"/>
              <w:lang w:eastAsia="zh-CN"/>
            </w:rPr>
            <w:fldChar w:fldCharType="separate"/>
          </w:r>
          <w:r>
            <w:rPr>
              <w:rFonts w:hint="eastAsia" w:ascii="Times New Roman" w:hAnsi="Times New Roman"/>
              <w:color w:val="auto"/>
              <w:sz w:val="24"/>
              <w:szCs w:val="24"/>
            </w:rPr>
            <w:t>1.1评价目的和原则</w:t>
          </w:r>
          <w:r>
            <w:rPr>
              <w:color w:val="auto"/>
              <w:sz w:val="24"/>
              <w:szCs w:val="24"/>
            </w:rPr>
            <w:tab/>
          </w:r>
          <w:r>
            <w:rPr>
              <w:color w:val="auto"/>
              <w:sz w:val="24"/>
              <w:szCs w:val="24"/>
            </w:rPr>
            <w:fldChar w:fldCharType="begin"/>
          </w:r>
          <w:r>
            <w:rPr>
              <w:color w:val="auto"/>
              <w:sz w:val="24"/>
              <w:szCs w:val="24"/>
            </w:rPr>
            <w:instrText xml:space="preserve"> PAGEREF _Toc13865 \h </w:instrText>
          </w:r>
          <w:r>
            <w:rPr>
              <w:color w:val="auto"/>
              <w:sz w:val="24"/>
              <w:szCs w:val="24"/>
            </w:rPr>
            <w:fldChar w:fldCharType="separate"/>
          </w:r>
          <w:r>
            <w:rPr>
              <w:color w:val="auto"/>
              <w:sz w:val="24"/>
              <w:szCs w:val="24"/>
            </w:rPr>
            <w:t>1</w:t>
          </w:r>
          <w:r>
            <w:rPr>
              <w:color w:val="auto"/>
              <w:sz w:val="24"/>
              <w:szCs w:val="24"/>
            </w:rPr>
            <w:fldChar w:fldCharType="end"/>
          </w:r>
          <w:r>
            <w:rPr>
              <w:rFonts w:hint="eastAsia"/>
              <w:color w:val="auto"/>
              <w:sz w:val="24"/>
              <w:szCs w:val="24"/>
              <w:lang w:eastAsia="zh-CN"/>
            </w:rPr>
            <w:fldChar w:fldCharType="end"/>
          </w:r>
        </w:p>
        <w:p w14:paraId="6A465122">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_Toc30110 </w:instrText>
          </w:r>
          <w:r>
            <w:rPr>
              <w:rFonts w:hint="eastAsia"/>
              <w:color w:val="auto"/>
              <w:sz w:val="24"/>
              <w:szCs w:val="24"/>
              <w:lang w:eastAsia="zh-CN"/>
            </w:rPr>
            <w:fldChar w:fldCharType="separate"/>
          </w:r>
          <w:r>
            <w:rPr>
              <w:rFonts w:hint="eastAsia" w:ascii="Times New Roman" w:hAnsi="Times New Roman"/>
              <w:color w:val="auto"/>
              <w:sz w:val="24"/>
              <w:szCs w:val="24"/>
            </w:rPr>
            <w:t>1.1.1评价目的</w:t>
          </w:r>
          <w:r>
            <w:rPr>
              <w:color w:val="auto"/>
              <w:sz w:val="24"/>
              <w:szCs w:val="24"/>
            </w:rPr>
            <w:tab/>
          </w:r>
          <w:r>
            <w:rPr>
              <w:color w:val="auto"/>
              <w:sz w:val="24"/>
              <w:szCs w:val="24"/>
            </w:rPr>
            <w:fldChar w:fldCharType="begin"/>
          </w:r>
          <w:r>
            <w:rPr>
              <w:color w:val="auto"/>
              <w:sz w:val="24"/>
              <w:szCs w:val="24"/>
            </w:rPr>
            <w:instrText xml:space="preserve"> PAGEREF _Toc30110 \h </w:instrText>
          </w:r>
          <w:r>
            <w:rPr>
              <w:color w:val="auto"/>
              <w:sz w:val="24"/>
              <w:szCs w:val="24"/>
            </w:rPr>
            <w:fldChar w:fldCharType="separate"/>
          </w:r>
          <w:r>
            <w:rPr>
              <w:color w:val="auto"/>
              <w:sz w:val="24"/>
              <w:szCs w:val="24"/>
            </w:rPr>
            <w:t>1</w:t>
          </w:r>
          <w:r>
            <w:rPr>
              <w:color w:val="auto"/>
              <w:sz w:val="24"/>
              <w:szCs w:val="24"/>
            </w:rPr>
            <w:fldChar w:fldCharType="end"/>
          </w:r>
          <w:r>
            <w:rPr>
              <w:rFonts w:hint="eastAsia"/>
              <w:color w:val="auto"/>
              <w:sz w:val="24"/>
              <w:szCs w:val="24"/>
              <w:lang w:eastAsia="zh-CN"/>
            </w:rPr>
            <w:fldChar w:fldCharType="end"/>
          </w:r>
        </w:p>
        <w:p w14:paraId="413ADE0C">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_Toc29950 </w:instrText>
          </w:r>
          <w:r>
            <w:rPr>
              <w:rFonts w:hint="eastAsia"/>
              <w:color w:val="auto"/>
              <w:sz w:val="24"/>
              <w:szCs w:val="24"/>
              <w:lang w:eastAsia="zh-CN"/>
            </w:rPr>
            <w:fldChar w:fldCharType="separate"/>
          </w:r>
          <w:r>
            <w:rPr>
              <w:rFonts w:hint="eastAsia" w:ascii="Times New Roman" w:hAnsi="Times New Roman"/>
              <w:color w:val="auto"/>
              <w:sz w:val="24"/>
              <w:szCs w:val="24"/>
            </w:rPr>
            <w:t>1.1.2</w:t>
          </w:r>
          <w:r>
            <w:rPr>
              <w:rFonts w:hint="eastAsia" w:ascii="Times New Roman" w:hAnsi="Times New Roman"/>
              <w:color w:val="auto"/>
              <w:sz w:val="24"/>
              <w:szCs w:val="24"/>
              <w:lang w:val="en-US" w:eastAsia="zh-CN"/>
            </w:rPr>
            <w:t xml:space="preserve"> </w:t>
          </w:r>
          <w:r>
            <w:rPr>
              <w:rFonts w:hint="eastAsia" w:ascii="Times New Roman" w:hAnsi="Times New Roman"/>
              <w:color w:val="auto"/>
              <w:sz w:val="24"/>
              <w:szCs w:val="24"/>
            </w:rPr>
            <w:t>评价原则</w:t>
          </w:r>
          <w:r>
            <w:rPr>
              <w:color w:val="auto"/>
              <w:sz w:val="24"/>
              <w:szCs w:val="24"/>
            </w:rPr>
            <w:tab/>
          </w:r>
          <w:r>
            <w:rPr>
              <w:color w:val="auto"/>
              <w:sz w:val="24"/>
              <w:szCs w:val="24"/>
            </w:rPr>
            <w:fldChar w:fldCharType="begin"/>
          </w:r>
          <w:r>
            <w:rPr>
              <w:color w:val="auto"/>
              <w:sz w:val="24"/>
              <w:szCs w:val="24"/>
            </w:rPr>
            <w:instrText xml:space="preserve"> PAGEREF _Toc29950 \h </w:instrText>
          </w:r>
          <w:r>
            <w:rPr>
              <w:color w:val="auto"/>
              <w:sz w:val="24"/>
              <w:szCs w:val="24"/>
            </w:rPr>
            <w:fldChar w:fldCharType="separate"/>
          </w:r>
          <w:r>
            <w:rPr>
              <w:color w:val="auto"/>
              <w:sz w:val="24"/>
              <w:szCs w:val="24"/>
            </w:rPr>
            <w:t>2</w:t>
          </w:r>
          <w:r>
            <w:rPr>
              <w:color w:val="auto"/>
              <w:sz w:val="24"/>
              <w:szCs w:val="24"/>
            </w:rPr>
            <w:fldChar w:fldCharType="end"/>
          </w:r>
          <w:r>
            <w:rPr>
              <w:rFonts w:hint="eastAsia"/>
              <w:color w:val="auto"/>
              <w:sz w:val="24"/>
              <w:szCs w:val="24"/>
              <w:lang w:eastAsia="zh-CN"/>
            </w:rPr>
            <w:fldChar w:fldCharType="end"/>
          </w:r>
        </w:p>
        <w:p w14:paraId="016583F0">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_Toc11087 </w:instrText>
          </w:r>
          <w:r>
            <w:rPr>
              <w:rFonts w:hint="eastAsia"/>
              <w:color w:val="auto"/>
              <w:sz w:val="24"/>
              <w:szCs w:val="24"/>
              <w:lang w:eastAsia="zh-CN"/>
            </w:rPr>
            <w:fldChar w:fldCharType="separate"/>
          </w:r>
          <w:r>
            <w:rPr>
              <w:rFonts w:hint="eastAsia" w:ascii="Times New Roman" w:hAnsi="Times New Roman"/>
              <w:color w:val="auto"/>
              <w:sz w:val="24"/>
              <w:szCs w:val="24"/>
            </w:rPr>
            <w:t>1.2</w:t>
          </w:r>
          <w:r>
            <w:rPr>
              <w:rFonts w:hint="eastAsia" w:ascii="Times New Roman" w:hAnsi="Times New Roman"/>
              <w:color w:val="auto"/>
              <w:sz w:val="24"/>
              <w:szCs w:val="24"/>
              <w:lang w:val="en-US" w:eastAsia="zh-CN"/>
            </w:rPr>
            <w:t xml:space="preserve"> </w:t>
          </w:r>
          <w:r>
            <w:rPr>
              <w:rFonts w:hint="eastAsia" w:ascii="Times New Roman" w:hAnsi="Times New Roman"/>
              <w:color w:val="auto"/>
              <w:sz w:val="24"/>
              <w:szCs w:val="24"/>
            </w:rPr>
            <w:t>评价依据</w:t>
          </w:r>
          <w:r>
            <w:rPr>
              <w:color w:val="auto"/>
              <w:sz w:val="24"/>
              <w:szCs w:val="24"/>
            </w:rPr>
            <w:tab/>
          </w:r>
          <w:r>
            <w:rPr>
              <w:color w:val="auto"/>
              <w:sz w:val="24"/>
              <w:szCs w:val="24"/>
            </w:rPr>
            <w:fldChar w:fldCharType="begin"/>
          </w:r>
          <w:r>
            <w:rPr>
              <w:color w:val="auto"/>
              <w:sz w:val="24"/>
              <w:szCs w:val="24"/>
            </w:rPr>
            <w:instrText xml:space="preserve"> PAGEREF _Toc11087 \h </w:instrText>
          </w:r>
          <w:r>
            <w:rPr>
              <w:color w:val="auto"/>
              <w:sz w:val="24"/>
              <w:szCs w:val="24"/>
            </w:rPr>
            <w:fldChar w:fldCharType="separate"/>
          </w:r>
          <w:r>
            <w:rPr>
              <w:color w:val="auto"/>
              <w:sz w:val="24"/>
              <w:szCs w:val="24"/>
            </w:rPr>
            <w:t>2</w:t>
          </w:r>
          <w:r>
            <w:rPr>
              <w:color w:val="auto"/>
              <w:sz w:val="24"/>
              <w:szCs w:val="24"/>
            </w:rPr>
            <w:fldChar w:fldCharType="end"/>
          </w:r>
          <w:r>
            <w:rPr>
              <w:rFonts w:hint="eastAsia"/>
              <w:color w:val="auto"/>
              <w:sz w:val="24"/>
              <w:szCs w:val="24"/>
              <w:lang w:eastAsia="zh-CN"/>
            </w:rPr>
            <w:fldChar w:fldCharType="end"/>
          </w:r>
        </w:p>
        <w:p w14:paraId="2C8F1FF6">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_Toc25082 </w:instrText>
          </w:r>
          <w:r>
            <w:rPr>
              <w:rFonts w:hint="eastAsia"/>
              <w:color w:val="auto"/>
              <w:sz w:val="24"/>
              <w:szCs w:val="24"/>
              <w:lang w:eastAsia="zh-CN"/>
            </w:rPr>
            <w:fldChar w:fldCharType="separate"/>
          </w:r>
          <w:r>
            <w:rPr>
              <w:rFonts w:hint="eastAsia" w:ascii="Times New Roman" w:hAnsi="Times New Roman"/>
              <w:color w:val="auto"/>
              <w:sz w:val="24"/>
              <w:szCs w:val="24"/>
            </w:rPr>
            <w:t>1.2.1</w:t>
          </w:r>
          <w:r>
            <w:rPr>
              <w:rFonts w:hint="eastAsia" w:ascii="Times New Roman" w:hAnsi="Times New Roman"/>
              <w:color w:val="auto"/>
              <w:sz w:val="24"/>
              <w:szCs w:val="24"/>
              <w:lang w:val="en-US" w:eastAsia="zh-CN"/>
            </w:rPr>
            <w:t xml:space="preserve"> </w:t>
          </w:r>
          <w:r>
            <w:rPr>
              <w:rFonts w:hint="eastAsia" w:ascii="Times New Roman" w:hAnsi="Times New Roman"/>
              <w:color w:val="auto"/>
              <w:sz w:val="24"/>
              <w:szCs w:val="24"/>
            </w:rPr>
            <w:t>法律</w:t>
          </w:r>
          <w:r>
            <w:rPr>
              <w:color w:val="auto"/>
              <w:sz w:val="24"/>
              <w:szCs w:val="24"/>
            </w:rPr>
            <w:tab/>
          </w:r>
          <w:r>
            <w:rPr>
              <w:color w:val="auto"/>
              <w:sz w:val="24"/>
              <w:szCs w:val="24"/>
            </w:rPr>
            <w:fldChar w:fldCharType="begin"/>
          </w:r>
          <w:r>
            <w:rPr>
              <w:color w:val="auto"/>
              <w:sz w:val="24"/>
              <w:szCs w:val="24"/>
            </w:rPr>
            <w:instrText xml:space="preserve"> PAGEREF _Toc25082 \h </w:instrText>
          </w:r>
          <w:r>
            <w:rPr>
              <w:color w:val="auto"/>
              <w:sz w:val="24"/>
              <w:szCs w:val="24"/>
            </w:rPr>
            <w:fldChar w:fldCharType="separate"/>
          </w:r>
          <w:r>
            <w:rPr>
              <w:color w:val="auto"/>
              <w:sz w:val="24"/>
              <w:szCs w:val="24"/>
            </w:rPr>
            <w:t>2</w:t>
          </w:r>
          <w:r>
            <w:rPr>
              <w:color w:val="auto"/>
              <w:sz w:val="24"/>
              <w:szCs w:val="24"/>
            </w:rPr>
            <w:fldChar w:fldCharType="end"/>
          </w:r>
          <w:r>
            <w:rPr>
              <w:rFonts w:hint="eastAsia"/>
              <w:color w:val="auto"/>
              <w:sz w:val="24"/>
              <w:szCs w:val="24"/>
              <w:lang w:eastAsia="zh-CN"/>
            </w:rPr>
            <w:fldChar w:fldCharType="end"/>
          </w:r>
        </w:p>
        <w:p w14:paraId="3D7A29BB">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_Toc3155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1.2.2行政法规</w:t>
          </w:r>
          <w:r>
            <w:rPr>
              <w:color w:val="auto"/>
              <w:sz w:val="24"/>
              <w:szCs w:val="24"/>
            </w:rPr>
            <w:tab/>
          </w:r>
          <w:r>
            <w:rPr>
              <w:color w:val="auto"/>
              <w:sz w:val="24"/>
              <w:szCs w:val="24"/>
            </w:rPr>
            <w:fldChar w:fldCharType="begin"/>
          </w:r>
          <w:r>
            <w:rPr>
              <w:color w:val="auto"/>
              <w:sz w:val="24"/>
              <w:szCs w:val="24"/>
            </w:rPr>
            <w:instrText xml:space="preserve"> PAGEREF _Toc3155 \h </w:instrText>
          </w:r>
          <w:r>
            <w:rPr>
              <w:color w:val="auto"/>
              <w:sz w:val="24"/>
              <w:szCs w:val="24"/>
            </w:rPr>
            <w:fldChar w:fldCharType="separate"/>
          </w:r>
          <w:r>
            <w:rPr>
              <w:color w:val="auto"/>
              <w:sz w:val="24"/>
              <w:szCs w:val="24"/>
            </w:rPr>
            <w:t>4</w:t>
          </w:r>
          <w:r>
            <w:rPr>
              <w:color w:val="auto"/>
              <w:sz w:val="24"/>
              <w:szCs w:val="24"/>
            </w:rPr>
            <w:fldChar w:fldCharType="end"/>
          </w:r>
          <w:r>
            <w:rPr>
              <w:rFonts w:hint="eastAsia"/>
              <w:color w:val="auto"/>
              <w:sz w:val="24"/>
              <w:szCs w:val="24"/>
              <w:lang w:eastAsia="zh-CN"/>
            </w:rPr>
            <w:fldChar w:fldCharType="end"/>
          </w:r>
        </w:p>
        <w:p w14:paraId="2137494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_Toc20654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1.2.3部门规章</w:t>
          </w:r>
          <w:r>
            <w:rPr>
              <w:color w:val="auto"/>
              <w:sz w:val="24"/>
              <w:szCs w:val="24"/>
            </w:rPr>
            <w:tab/>
          </w:r>
          <w:r>
            <w:rPr>
              <w:color w:val="auto"/>
              <w:sz w:val="24"/>
              <w:szCs w:val="24"/>
            </w:rPr>
            <w:fldChar w:fldCharType="begin"/>
          </w:r>
          <w:r>
            <w:rPr>
              <w:color w:val="auto"/>
              <w:sz w:val="24"/>
              <w:szCs w:val="24"/>
            </w:rPr>
            <w:instrText xml:space="preserve"> PAGEREF _Toc20654 \h </w:instrText>
          </w:r>
          <w:r>
            <w:rPr>
              <w:color w:val="auto"/>
              <w:sz w:val="24"/>
              <w:szCs w:val="24"/>
            </w:rPr>
            <w:fldChar w:fldCharType="separate"/>
          </w:r>
          <w:r>
            <w:rPr>
              <w:color w:val="auto"/>
              <w:sz w:val="24"/>
              <w:szCs w:val="24"/>
            </w:rPr>
            <w:t>5</w:t>
          </w:r>
          <w:r>
            <w:rPr>
              <w:color w:val="auto"/>
              <w:sz w:val="24"/>
              <w:szCs w:val="24"/>
            </w:rPr>
            <w:fldChar w:fldCharType="end"/>
          </w:r>
          <w:r>
            <w:rPr>
              <w:rFonts w:hint="eastAsia"/>
              <w:color w:val="auto"/>
              <w:sz w:val="24"/>
              <w:szCs w:val="24"/>
              <w:lang w:eastAsia="zh-CN"/>
            </w:rPr>
            <w:fldChar w:fldCharType="end"/>
          </w:r>
        </w:p>
        <w:p w14:paraId="6A00A6EE">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_Toc28189 </w:instrText>
          </w:r>
          <w:r>
            <w:rPr>
              <w:rFonts w:hint="eastAsia"/>
              <w:color w:val="auto"/>
              <w:sz w:val="24"/>
              <w:szCs w:val="24"/>
              <w:lang w:eastAsia="zh-CN"/>
            </w:rPr>
            <w:fldChar w:fldCharType="separate"/>
          </w:r>
          <w:r>
            <w:rPr>
              <w:rFonts w:hint="eastAsia" w:ascii="Times New Roman" w:hAnsi="Times New Roman"/>
              <w:color w:val="auto"/>
              <w:sz w:val="24"/>
              <w:szCs w:val="24"/>
            </w:rPr>
            <w:t>1.2.</w:t>
          </w:r>
          <w:r>
            <w:rPr>
              <w:rFonts w:hint="eastAsia" w:ascii="Times New Roman" w:hAnsi="Times New Roman"/>
              <w:color w:val="auto"/>
              <w:sz w:val="24"/>
              <w:szCs w:val="24"/>
              <w:lang w:val="en-US" w:eastAsia="zh-CN"/>
            </w:rPr>
            <w:t>4 地方性法规</w:t>
          </w:r>
          <w:r>
            <w:rPr>
              <w:color w:val="auto"/>
              <w:sz w:val="24"/>
              <w:szCs w:val="24"/>
            </w:rPr>
            <w:tab/>
          </w:r>
          <w:r>
            <w:rPr>
              <w:color w:val="auto"/>
              <w:sz w:val="24"/>
              <w:szCs w:val="24"/>
            </w:rPr>
            <w:fldChar w:fldCharType="begin"/>
          </w:r>
          <w:r>
            <w:rPr>
              <w:color w:val="auto"/>
              <w:sz w:val="24"/>
              <w:szCs w:val="24"/>
            </w:rPr>
            <w:instrText xml:space="preserve"> PAGEREF _Toc28189 \h </w:instrText>
          </w:r>
          <w:r>
            <w:rPr>
              <w:color w:val="auto"/>
              <w:sz w:val="24"/>
              <w:szCs w:val="24"/>
            </w:rPr>
            <w:fldChar w:fldCharType="separate"/>
          </w:r>
          <w:r>
            <w:rPr>
              <w:color w:val="auto"/>
              <w:sz w:val="24"/>
              <w:szCs w:val="24"/>
            </w:rPr>
            <w:t>6</w:t>
          </w:r>
          <w:r>
            <w:rPr>
              <w:color w:val="auto"/>
              <w:sz w:val="24"/>
              <w:szCs w:val="24"/>
            </w:rPr>
            <w:fldChar w:fldCharType="end"/>
          </w:r>
          <w:r>
            <w:rPr>
              <w:rFonts w:hint="eastAsia"/>
              <w:color w:val="auto"/>
              <w:sz w:val="24"/>
              <w:szCs w:val="24"/>
              <w:lang w:eastAsia="zh-CN"/>
            </w:rPr>
            <w:fldChar w:fldCharType="end"/>
          </w:r>
        </w:p>
        <w:p w14:paraId="3655FFC9">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_Toc30783 </w:instrText>
          </w:r>
          <w:r>
            <w:rPr>
              <w:rFonts w:hint="eastAsia"/>
              <w:color w:val="auto"/>
              <w:sz w:val="24"/>
              <w:szCs w:val="24"/>
              <w:lang w:eastAsia="zh-CN"/>
            </w:rPr>
            <w:fldChar w:fldCharType="separate"/>
          </w:r>
          <w:r>
            <w:rPr>
              <w:rFonts w:hint="eastAsia" w:ascii="Times New Roman" w:hAnsi="Times New Roman"/>
              <w:color w:val="auto"/>
              <w:sz w:val="24"/>
              <w:szCs w:val="24"/>
            </w:rPr>
            <w:t>1.2.</w:t>
          </w:r>
          <w:r>
            <w:rPr>
              <w:rFonts w:hint="eastAsia" w:ascii="Times New Roman" w:hAnsi="Times New Roman"/>
              <w:color w:val="auto"/>
              <w:sz w:val="24"/>
              <w:szCs w:val="24"/>
              <w:lang w:val="en-US" w:eastAsia="zh-CN"/>
            </w:rPr>
            <w:t>5 规范性文件</w:t>
          </w:r>
          <w:r>
            <w:rPr>
              <w:color w:val="auto"/>
              <w:sz w:val="24"/>
              <w:szCs w:val="24"/>
            </w:rPr>
            <w:tab/>
          </w:r>
          <w:r>
            <w:rPr>
              <w:color w:val="auto"/>
              <w:sz w:val="24"/>
              <w:szCs w:val="24"/>
            </w:rPr>
            <w:fldChar w:fldCharType="begin"/>
          </w:r>
          <w:r>
            <w:rPr>
              <w:color w:val="auto"/>
              <w:sz w:val="24"/>
              <w:szCs w:val="24"/>
            </w:rPr>
            <w:instrText xml:space="preserve"> PAGEREF _Toc30783 \h </w:instrText>
          </w:r>
          <w:r>
            <w:rPr>
              <w:color w:val="auto"/>
              <w:sz w:val="24"/>
              <w:szCs w:val="24"/>
            </w:rPr>
            <w:fldChar w:fldCharType="separate"/>
          </w:r>
          <w:r>
            <w:rPr>
              <w:color w:val="auto"/>
              <w:sz w:val="24"/>
              <w:szCs w:val="24"/>
            </w:rPr>
            <w:t>7</w:t>
          </w:r>
          <w:r>
            <w:rPr>
              <w:color w:val="auto"/>
              <w:sz w:val="24"/>
              <w:szCs w:val="24"/>
            </w:rPr>
            <w:fldChar w:fldCharType="end"/>
          </w:r>
          <w:r>
            <w:rPr>
              <w:rFonts w:hint="eastAsia"/>
              <w:color w:val="auto"/>
              <w:sz w:val="24"/>
              <w:szCs w:val="24"/>
              <w:lang w:eastAsia="zh-CN"/>
            </w:rPr>
            <w:fldChar w:fldCharType="end"/>
          </w:r>
        </w:p>
        <w:p w14:paraId="4D25C78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_Toc3254 </w:instrText>
          </w:r>
          <w:r>
            <w:rPr>
              <w:rFonts w:hint="eastAsia"/>
              <w:color w:val="auto"/>
              <w:sz w:val="24"/>
              <w:szCs w:val="24"/>
              <w:lang w:eastAsia="zh-CN"/>
            </w:rPr>
            <w:fldChar w:fldCharType="separate"/>
          </w:r>
          <w:r>
            <w:rPr>
              <w:rFonts w:hint="eastAsia" w:ascii="Times New Roman" w:hAnsi="Times New Roman"/>
              <w:color w:val="auto"/>
              <w:sz w:val="24"/>
              <w:szCs w:val="24"/>
            </w:rPr>
            <w:t>1.2.</w:t>
          </w:r>
          <w:r>
            <w:rPr>
              <w:rFonts w:hint="eastAsia" w:ascii="Times New Roman" w:hAnsi="Times New Roman"/>
              <w:color w:val="auto"/>
              <w:sz w:val="24"/>
              <w:szCs w:val="24"/>
              <w:lang w:val="en-US" w:eastAsia="zh-CN"/>
            </w:rPr>
            <w:t>6</w:t>
          </w:r>
          <w:r>
            <w:rPr>
              <w:bCs/>
              <w:color w:val="auto"/>
              <w:sz w:val="24"/>
              <w:szCs w:val="24"/>
            </w:rPr>
            <w:t>技术和行业标准</w:t>
          </w:r>
          <w:r>
            <w:rPr>
              <w:color w:val="auto"/>
              <w:sz w:val="24"/>
              <w:szCs w:val="24"/>
            </w:rPr>
            <w:tab/>
          </w:r>
          <w:r>
            <w:rPr>
              <w:color w:val="auto"/>
              <w:sz w:val="24"/>
              <w:szCs w:val="24"/>
            </w:rPr>
            <w:fldChar w:fldCharType="begin"/>
          </w:r>
          <w:r>
            <w:rPr>
              <w:color w:val="auto"/>
              <w:sz w:val="24"/>
              <w:szCs w:val="24"/>
            </w:rPr>
            <w:instrText xml:space="preserve"> PAGEREF _Toc3254 \h </w:instrText>
          </w:r>
          <w:r>
            <w:rPr>
              <w:color w:val="auto"/>
              <w:sz w:val="24"/>
              <w:szCs w:val="24"/>
            </w:rPr>
            <w:fldChar w:fldCharType="separate"/>
          </w:r>
          <w:r>
            <w:rPr>
              <w:color w:val="auto"/>
              <w:sz w:val="24"/>
              <w:szCs w:val="24"/>
            </w:rPr>
            <w:t>9</w:t>
          </w:r>
          <w:r>
            <w:rPr>
              <w:color w:val="auto"/>
              <w:sz w:val="24"/>
              <w:szCs w:val="24"/>
            </w:rPr>
            <w:fldChar w:fldCharType="end"/>
          </w:r>
          <w:r>
            <w:rPr>
              <w:rFonts w:hint="eastAsia"/>
              <w:color w:val="auto"/>
              <w:sz w:val="24"/>
              <w:szCs w:val="24"/>
              <w:lang w:eastAsia="zh-CN"/>
            </w:rPr>
            <w:fldChar w:fldCharType="end"/>
          </w:r>
        </w:p>
        <w:p w14:paraId="1FC348CC">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_Toc26667 </w:instrText>
          </w:r>
          <w:r>
            <w:rPr>
              <w:rFonts w:hint="eastAsia"/>
              <w:color w:val="auto"/>
              <w:sz w:val="24"/>
              <w:szCs w:val="24"/>
              <w:lang w:eastAsia="zh-CN"/>
            </w:rPr>
            <w:fldChar w:fldCharType="separate"/>
          </w:r>
          <w:r>
            <w:rPr>
              <w:rFonts w:hint="eastAsia"/>
              <w:color w:val="auto"/>
              <w:sz w:val="24"/>
              <w:szCs w:val="24"/>
              <w:lang w:val="en-US" w:eastAsia="zh-CN"/>
            </w:rPr>
            <w:t>1.2.7其他依据和主要参考资料</w:t>
          </w:r>
          <w:r>
            <w:rPr>
              <w:color w:val="auto"/>
              <w:sz w:val="24"/>
              <w:szCs w:val="24"/>
            </w:rPr>
            <w:tab/>
          </w:r>
          <w:r>
            <w:rPr>
              <w:color w:val="auto"/>
              <w:sz w:val="24"/>
              <w:szCs w:val="24"/>
            </w:rPr>
            <w:fldChar w:fldCharType="begin"/>
          </w:r>
          <w:r>
            <w:rPr>
              <w:color w:val="auto"/>
              <w:sz w:val="24"/>
              <w:szCs w:val="24"/>
            </w:rPr>
            <w:instrText xml:space="preserve"> PAGEREF _Toc26667 \h </w:instrText>
          </w:r>
          <w:r>
            <w:rPr>
              <w:color w:val="auto"/>
              <w:sz w:val="24"/>
              <w:szCs w:val="24"/>
            </w:rPr>
            <w:fldChar w:fldCharType="separate"/>
          </w:r>
          <w:r>
            <w:rPr>
              <w:color w:val="auto"/>
              <w:sz w:val="24"/>
              <w:szCs w:val="24"/>
            </w:rPr>
            <w:t>12</w:t>
          </w:r>
          <w:r>
            <w:rPr>
              <w:color w:val="auto"/>
              <w:sz w:val="24"/>
              <w:szCs w:val="24"/>
            </w:rPr>
            <w:fldChar w:fldCharType="end"/>
          </w:r>
          <w:r>
            <w:rPr>
              <w:rFonts w:hint="eastAsia"/>
              <w:color w:val="auto"/>
              <w:sz w:val="24"/>
              <w:szCs w:val="24"/>
              <w:lang w:eastAsia="zh-CN"/>
            </w:rPr>
            <w:fldChar w:fldCharType="end"/>
          </w:r>
        </w:p>
        <w:p w14:paraId="66EF0463">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_Toc14070 </w:instrText>
          </w:r>
          <w:r>
            <w:rPr>
              <w:rFonts w:hint="eastAsia"/>
              <w:color w:val="auto"/>
              <w:sz w:val="24"/>
              <w:szCs w:val="24"/>
              <w:lang w:eastAsia="zh-CN"/>
            </w:rPr>
            <w:fldChar w:fldCharType="separate"/>
          </w:r>
          <w:r>
            <w:rPr>
              <w:rFonts w:hint="eastAsia"/>
              <w:color w:val="auto"/>
              <w:sz w:val="24"/>
              <w:szCs w:val="24"/>
              <w:lang w:val="en-US" w:eastAsia="zh-CN"/>
            </w:rPr>
            <w:t>1.3评价对象、范围</w:t>
          </w:r>
          <w:r>
            <w:rPr>
              <w:color w:val="auto"/>
              <w:sz w:val="24"/>
              <w:szCs w:val="24"/>
            </w:rPr>
            <w:tab/>
          </w:r>
          <w:r>
            <w:rPr>
              <w:color w:val="auto"/>
              <w:sz w:val="24"/>
              <w:szCs w:val="24"/>
            </w:rPr>
            <w:fldChar w:fldCharType="begin"/>
          </w:r>
          <w:r>
            <w:rPr>
              <w:color w:val="auto"/>
              <w:sz w:val="24"/>
              <w:szCs w:val="24"/>
            </w:rPr>
            <w:instrText xml:space="preserve"> PAGEREF _Toc14070 \h </w:instrText>
          </w:r>
          <w:r>
            <w:rPr>
              <w:color w:val="auto"/>
              <w:sz w:val="24"/>
              <w:szCs w:val="24"/>
            </w:rPr>
            <w:fldChar w:fldCharType="separate"/>
          </w:r>
          <w:r>
            <w:rPr>
              <w:color w:val="auto"/>
              <w:sz w:val="24"/>
              <w:szCs w:val="24"/>
            </w:rPr>
            <w:t>12</w:t>
          </w:r>
          <w:r>
            <w:rPr>
              <w:color w:val="auto"/>
              <w:sz w:val="24"/>
              <w:szCs w:val="24"/>
            </w:rPr>
            <w:fldChar w:fldCharType="end"/>
          </w:r>
          <w:r>
            <w:rPr>
              <w:rFonts w:hint="eastAsia"/>
              <w:color w:val="auto"/>
              <w:sz w:val="24"/>
              <w:szCs w:val="24"/>
              <w:lang w:eastAsia="zh-CN"/>
            </w:rPr>
            <w:fldChar w:fldCharType="end"/>
          </w:r>
        </w:p>
        <w:p w14:paraId="345B172E">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_Toc25604 </w:instrText>
          </w:r>
          <w:r>
            <w:rPr>
              <w:rFonts w:hint="eastAsia"/>
              <w:color w:val="auto"/>
              <w:sz w:val="24"/>
              <w:szCs w:val="24"/>
              <w:lang w:eastAsia="zh-CN"/>
            </w:rPr>
            <w:fldChar w:fldCharType="separate"/>
          </w:r>
          <w:r>
            <w:rPr>
              <w:rFonts w:hint="eastAsia"/>
              <w:color w:val="auto"/>
              <w:sz w:val="24"/>
              <w:szCs w:val="24"/>
              <w:lang w:val="en-US" w:eastAsia="zh-CN"/>
            </w:rPr>
            <w:t>1.4评价程序</w:t>
          </w:r>
          <w:r>
            <w:rPr>
              <w:color w:val="auto"/>
              <w:sz w:val="24"/>
              <w:szCs w:val="24"/>
            </w:rPr>
            <w:tab/>
          </w:r>
          <w:r>
            <w:rPr>
              <w:color w:val="auto"/>
              <w:sz w:val="24"/>
              <w:szCs w:val="24"/>
            </w:rPr>
            <w:fldChar w:fldCharType="begin"/>
          </w:r>
          <w:r>
            <w:rPr>
              <w:color w:val="auto"/>
              <w:sz w:val="24"/>
              <w:szCs w:val="24"/>
            </w:rPr>
            <w:instrText xml:space="preserve"> PAGEREF _Toc25604 \h </w:instrText>
          </w:r>
          <w:r>
            <w:rPr>
              <w:color w:val="auto"/>
              <w:sz w:val="24"/>
              <w:szCs w:val="24"/>
            </w:rPr>
            <w:fldChar w:fldCharType="separate"/>
          </w:r>
          <w:r>
            <w:rPr>
              <w:color w:val="auto"/>
              <w:sz w:val="24"/>
              <w:szCs w:val="24"/>
            </w:rPr>
            <w:t>13</w:t>
          </w:r>
          <w:r>
            <w:rPr>
              <w:color w:val="auto"/>
              <w:sz w:val="24"/>
              <w:szCs w:val="24"/>
            </w:rPr>
            <w:fldChar w:fldCharType="end"/>
          </w:r>
          <w:r>
            <w:rPr>
              <w:rFonts w:hint="eastAsia"/>
              <w:color w:val="auto"/>
              <w:sz w:val="24"/>
              <w:szCs w:val="24"/>
              <w:lang w:eastAsia="zh-CN"/>
            </w:rPr>
            <w:fldChar w:fldCharType="end"/>
          </w:r>
        </w:p>
        <w:p w14:paraId="011DE6B9">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_Toc6585 </w:instrText>
          </w:r>
          <w:r>
            <w:rPr>
              <w:rFonts w:hint="eastAsia"/>
              <w:color w:val="auto"/>
              <w:sz w:val="24"/>
              <w:szCs w:val="24"/>
              <w:lang w:eastAsia="zh-CN"/>
            </w:rPr>
            <w:fldChar w:fldCharType="separate"/>
          </w:r>
          <w:r>
            <w:rPr>
              <w:rFonts w:hint="eastAsia"/>
              <w:color w:val="auto"/>
              <w:sz w:val="24"/>
              <w:szCs w:val="24"/>
              <w:lang w:val="en-US" w:eastAsia="zh-CN"/>
            </w:rPr>
            <w:t>2.建设项目概况</w:t>
          </w:r>
          <w:r>
            <w:rPr>
              <w:color w:val="auto"/>
              <w:sz w:val="24"/>
              <w:szCs w:val="24"/>
            </w:rPr>
            <w:tab/>
          </w:r>
          <w:r>
            <w:rPr>
              <w:color w:val="auto"/>
              <w:sz w:val="24"/>
              <w:szCs w:val="24"/>
            </w:rPr>
            <w:fldChar w:fldCharType="begin"/>
          </w:r>
          <w:r>
            <w:rPr>
              <w:color w:val="auto"/>
              <w:sz w:val="24"/>
              <w:szCs w:val="24"/>
            </w:rPr>
            <w:instrText xml:space="preserve"> PAGEREF _Toc6585 \h </w:instrText>
          </w:r>
          <w:r>
            <w:rPr>
              <w:color w:val="auto"/>
              <w:sz w:val="24"/>
              <w:szCs w:val="24"/>
            </w:rPr>
            <w:fldChar w:fldCharType="separate"/>
          </w:r>
          <w:r>
            <w:rPr>
              <w:color w:val="auto"/>
              <w:sz w:val="24"/>
              <w:szCs w:val="24"/>
            </w:rPr>
            <w:t>14</w:t>
          </w:r>
          <w:r>
            <w:rPr>
              <w:color w:val="auto"/>
              <w:sz w:val="24"/>
              <w:szCs w:val="24"/>
            </w:rPr>
            <w:fldChar w:fldCharType="end"/>
          </w:r>
          <w:r>
            <w:rPr>
              <w:rFonts w:hint="eastAsia"/>
              <w:color w:val="auto"/>
              <w:sz w:val="24"/>
              <w:szCs w:val="24"/>
              <w:lang w:eastAsia="zh-CN"/>
            </w:rPr>
            <w:fldChar w:fldCharType="end"/>
          </w:r>
        </w:p>
        <w:p w14:paraId="04568606">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_Toc26221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2.1企业简介及项目由来</w:t>
          </w:r>
          <w:r>
            <w:rPr>
              <w:color w:val="auto"/>
              <w:sz w:val="24"/>
              <w:szCs w:val="24"/>
            </w:rPr>
            <w:tab/>
          </w:r>
          <w:r>
            <w:rPr>
              <w:color w:val="auto"/>
              <w:sz w:val="24"/>
              <w:szCs w:val="24"/>
            </w:rPr>
            <w:fldChar w:fldCharType="begin"/>
          </w:r>
          <w:r>
            <w:rPr>
              <w:color w:val="auto"/>
              <w:sz w:val="24"/>
              <w:szCs w:val="24"/>
            </w:rPr>
            <w:instrText xml:space="preserve"> PAGEREF _Toc26221 \h </w:instrText>
          </w:r>
          <w:r>
            <w:rPr>
              <w:color w:val="auto"/>
              <w:sz w:val="24"/>
              <w:szCs w:val="24"/>
            </w:rPr>
            <w:fldChar w:fldCharType="separate"/>
          </w:r>
          <w:r>
            <w:rPr>
              <w:color w:val="auto"/>
              <w:sz w:val="24"/>
              <w:szCs w:val="24"/>
            </w:rPr>
            <w:t>14</w:t>
          </w:r>
          <w:r>
            <w:rPr>
              <w:color w:val="auto"/>
              <w:sz w:val="24"/>
              <w:szCs w:val="24"/>
            </w:rPr>
            <w:fldChar w:fldCharType="end"/>
          </w:r>
          <w:r>
            <w:rPr>
              <w:rFonts w:hint="eastAsia"/>
              <w:color w:val="auto"/>
              <w:sz w:val="24"/>
              <w:szCs w:val="24"/>
              <w:lang w:eastAsia="zh-CN"/>
            </w:rPr>
            <w:fldChar w:fldCharType="end"/>
          </w:r>
        </w:p>
        <w:p w14:paraId="0F5B807E">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_Toc2435 </w:instrText>
          </w:r>
          <w:r>
            <w:rPr>
              <w:rFonts w:hint="eastAsia"/>
              <w:color w:val="auto"/>
              <w:sz w:val="24"/>
              <w:szCs w:val="24"/>
              <w:lang w:eastAsia="zh-CN"/>
            </w:rPr>
            <w:fldChar w:fldCharType="separate"/>
          </w:r>
          <w:r>
            <w:rPr>
              <w:rFonts w:hint="eastAsia"/>
              <w:color w:val="auto"/>
              <w:sz w:val="24"/>
              <w:szCs w:val="24"/>
              <w:lang w:val="en-US" w:eastAsia="zh-CN"/>
            </w:rPr>
            <w:t>2.1.1企业简介</w:t>
          </w:r>
          <w:r>
            <w:rPr>
              <w:color w:val="auto"/>
              <w:sz w:val="24"/>
              <w:szCs w:val="24"/>
            </w:rPr>
            <w:tab/>
          </w:r>
          <w:r>
            <w:rPr>
              <w:color w:val="auto"/>
              <w:sz w:val="24"/>
              <w:szCs w:val="24"/>
            </w:rPr>
            <w:fldChar w:fldCharType="begin"/>
          </w:r>
          <w:r>
            <w:rPr>
              <w:color w:val="auto"/>
              <w:sz w:val="24"/>
              <w:szCs w:val="24"/>
            </w:rPr>
            <w:instrText xml:space="preserve"> PAGEREF _Toc2435 \h </w:instrText>
          </w:r>
          <w:r>
            <w:rPr>
              <w:color w:val="auto"/>
              <w:sz w:val="24"/>
              <w:szCs w:val="24"/>
            </w:rPr>
            <w:fldChar w:fldCharType="separate"/>
          </w:r>
          <w:r>
            <w:rPr>
              <w:color w:val="auto"/>
              <w:sz w:val="24"/>
              <w:szCs w:val="24"/>
            </w:rPr>
            <w:t>14</w:t>
          </w:r>
          <w:r>
            <w:rPr>
              <w:color w:val="auto"/>
              <w:sz w:val="24"/>
              <w:szCs w:val="24"/>
            </w:rPr>
            <w:fldChar w:fldCharType="end"/>
          </w:r>
          <w:r>
            <w:rPr>
              <w:rFonts w:hint="eastAsia"/>
              <w:color w:val="auto"/>
              <w:sz w:val="24"/>
              <w:szCs w:val="24"/>
              <w:lang w:eastAsia="zh-CN"/>
            </w:rPr>
            <w:fldChar w:fldCharType="end"/>
          </w:r>
        </w:p>
        <w:p w14:paraId="274B92B8">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_Toc19614 </w:instrText>
          </w:r>
          <w:r>
            <w:rPr>
              <w:rFonts w:hint="eastAsia"/>
              <w:color w:val="auto"/>
              <w:sz w:val="24"/>
              <w:szCs w:val="24"/>
              <w:lang w:eastAsia="zh-CN"/>
            </w:rPr>
            <w:fldChar w:fldCharType="separate"/>
          </w:r>
          <w:r>
            <w:rPr>
              <w:rFonts w:hint="eastAsia"/>
              <w:color w:val="auto"/>
              <w:sz w:val="24"/>
              <w:szCs w:val="24"/>
              <w:lang w:val="en-US" w:eastAsia="zh-CN"/>
            </w:rPr>
            <w:t>2.1.2项目由来</w:t>
          </w:r>
          <w:r>
            <w:rPr>
              <w:color w:val="auto"/>
              <w:sz w:val="24"/>
              <w:szCs w:val="24"/>
            </w:rPr>
            <w:tab/>
          </w:r>
          <w:r>
            <w:rPr>
              <w:color w:val="auto"/>
              <w:sz w:val="24"/>
              <w:szCs w:val="24"/>
            </w:rPr>
            <w:fldChar w:fldCharType="begin"/>
          </w:r>
          <w:r>
            <w:rPr>
              <w:color w:val="auto"/>
              <w:sz w:val="24"/>
              <w:szCs w:val="24"/>
            </w:rPr>
            <w:instrText xml:space="preserve"> PAGEREF _Toc19614 \h </w:instrText>
          </w:r>
          <w:r>
            <w:rPr>
              <w:color w:val="auto"/>
              <w:sz w:val="24"/>
              <w:szCs w:val="24"/>
            </w:rPr>
            <w:fldChar w:fldCharType="separate"/>
          </w:r>
          <w:r>
            <w:rPr>
              <w:color w:val="auto"/>
              <w:sz w:val="24"/>
              <w:szCs w:val="24"/>
            </w:rPr>
            <w:t>14</w:t>
          </w:r>
          <w:r>
            <w:rPr>
              <w:color w:val="auto"/>
              <w:sz w:val="24"/>
              <w:szCs w:val="24"/>
            </w:rPr>
            <w:fldChar w:fldCharType="end"/>
          </w:r>
          <w:r>
            <w:rPr>
              <w:rFonts w:hint="eastAsia"/>
              <w:color w:val="auto"/>
              <w:sz w:val="24"/>
              <w:szCs w:val="24"/>
              <w:lang w:eastAsia="zh-CN"/>
            </w:rPr>
            <w:fldChar w:fldCharType="end"/>
          </w:r>
        </w:p>
        <w:p w14:paraId="450EA0C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_Toc26217 </w:instrText>
          </w:r>
          <w:r>
            <w:rPr>
              <w:rFonts w:hint="eastAsia"/>
              <w:color w:val="auto"/>
              <w:sz w:val="24"/>
              <w:szCs w:val="24"/>
              <w:lang w:eastAsia="zh-CN"/>
            </w:rPr>
            <w:fldChar w:fldCharType="separate"/>
          </w:r>
          <w:r>
            <w:rPr>
              <w:rFonts w:hint="eastAsia"/>
              <w:color w:val="auto"/>
              <w:sz w:val="24"/>
              <w:szCs w:val="24"/>
              <w:lang w:val="en-US" w:eastAsia="zh-CN"/>
            </w:rPr>
            <w:t>2.1.3项目产业政策及相关法规符合性</w:t>
          </w:r>
          <w:r>
            <w:rPr>
              <w:color w:val="auto"/>
              <w:sz w:val="24"/>
              <w:szCs w:val="24"/>
            </w:rPr>
            <w:tab/>
          </w:r>
          <w:r>
            <w:rPr>
              <w:color w:val="auto"/>
              <w:sz w:val="24"/>
              <w:szCs w:val="24"/>
            </w:rPr>
            <w:fldChar w:fldCharType="begin"/>
          </w:r>
          <w:r>
            <w:rPr>
              <w:color w:val="auto"/>
              <w:sz w:val="24"/>
              <w:szCs w:val="24"/>
            </w:rPr>
            <w:instrText xml:space="preserve"> PAGEREF _Toc26217 \h </w:instrText>
          </w:r>
          <w:r>
            <w:rPr>
              <w:color w:val="auto"/>
              <w:sz w:val="24"/>
              <w:szCs w:val="24"/>
            </w:rPr>
            <w:fldChar w:fldCharType="separate"/>
          </w:r>
          <w:r>
            <w:rPr>
              <w:color w:val="auto"/>
              <w:sz w:val="24"/>
              <w:szCs w:val="24"/>
            </w:rPr>
            <w:t>15</w:t>
          </w:r>
          <w:r>
            <w:rPr>
              <w:color w:val="auto"/>
              <w:sz w:val="24"/>
              <w:szCs w:val="24"/>
            </w:rPr>
            <w:fldChar w:fldCharType="end"/>
          </w:r>
          <w:r>
            <w:rPr>
              <w:rFonts w:hint="eastAsia"/>
              <w:color w:val="auto"/>
              <w:sz w:val="24"/>
              <w:szCs w:val="24"/>
              <w:lang w:eastAsia="zh-CN"/>
            </w:rPr>
            <w:fldChar w:fldCharType="end"/>
          </w:r>
        </w:p>
        <w:p w14:paraId="05029EE5">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_Toc30501 </w:instrText>
          </w:r>
          <w:r>
            <w:rPr>
              <w:rFonts w:hint="eastAsia"/>
              <w:color w:val="auto"/>
              <w:sz w:val="24"/>
              <w:szCs w:val="24"/>
              <w:lang w:eastAsia="zh-CN"/>
            </w:rPr>
            <w:fldChar w:fldCharType="separate"/>
          </w:r>
          <w:r>
            <w:rPr>
              <w:rFonts w:hint="eastAsia"/>
              <w:color w:val="auto"/>
              <w:sz w:val="24"/>
              <w:szCs w:val="24"/>
              <w:lang w:val="en-US" w:eastAsia="zh-CN"/>
            </w:rPr>
            <w:t>2.2项目基本概况</w:t>
          </w:r>
          <w:r>
            <w:rPr>
              <w:color w:val="auto"/>
              <w:sz w:val="24"/>
              <w:szCs w:val="24"/>
            </w:rPr>
            <w:tab/>
          </w:r>
          <w:r>
            <w:rPr>
              <w:color w:val="auto"/>
              <w:sz w:val="24"/>
              <w:szCs w:val="24"/>
            </w:rPr>
            <w:fldChar w:fldCharType="begin"/>
          </w:r>
          <w:r>
            <w:rPr>
              <w:color w:val="auto"/>
              <w:sz w:val="24"/>
              <w:szCs w:val="24"/>
            </w:rPr>
            <w:instrText xml:space="preserve"> PAGEREF _Toc30501 \h </w:instrText>
          </w:r>
          <w:r>
            <w:rPr>
              <w:color w:val="auto"/>
              <w:sz w:val="24"/>
              <w:szCs w:val="24"/>
            </w:rPr>
            <w:fldChar w:fldCharType="separate"/>
          </w:r>
          <w:r>
            <w:rPr>
              <w:color w:val="auto"/>
              <w:sz w:val="24"/>
              <w:szCs w:val="24"/>
            </w:rPr>
            <w:t>15</w:t>
          </w:r>
          <w:r>
            <w:rPr>
              <w:color w:val="auto"/>
              <w:sz w:val="24"/>
              <w:szCs w:val="24"/>
            </w:rPr>
            <w:fldChar w:fldCharType="end"/>
          </w:r>
          <w:r>
            <w:rPr>
              <w:rFonts w:hint="eastAsia"/>
              <w:color w:val="auto"/>
              <w:sz w:val="24"/>
              <w:szCs w:val="24"/>
              <w:lang w:eastAsia="zh-CN"/>
            </w:rPr>
            <w:fldChar w:fldCharType="end"/>
          </w:r>
        </w:p>
        <w:p w14:paraId="2F8552AF">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_Toc21574 </w:instrText>
          </w:r>
          <w:r>
            <w:rPr>
              <w:rFonts w:hint="eastAsia"/>
              <w:color w:val="auto"/>
              <w:sz w:val="24"/>
              <w:szCs w:val="24"/>
              <w:lang w:eastAsia="zh-CN"/>
            </w:rPr>
            <w:fldChar w:fldCharType="separate"/>
          </w:r>
          <w:r>
            <w:rPr>
              <w:rFonts w:hint="eastAsia"/>
              <w:color w:val="auto"/>
              <w:sz w:val="24"/>
              <w:szCs w:val="24"/>
              <w:lang w:val="en-US" w:eastAsia="zh-CN"/>
            </w:rPr>
            <w:t>2.3项目建设内容</w:t>
          </w:r>
          <w:r>
            <w:rPr>
              <w:color w:val="auto"/>
              <w:sz w:val="24"/>
              <w:szCs w:val="24"/>
            </w:rPr>
            <w:tab/>
          </w:r>
          <w:r>
            <w:rPr>
              <w:color w:val="auto"/>
              <w:sz w:val="24"/>
              <w:szCs w:val="24"/>
            </w:rPr>
            <w:fldChar w:fldCharType="begin"/>
          </w:r>
          <w:r>
            <w:rPr>
              <w:color w:val="auto"/>
              <w:sz w:val="24"/>
              <w:szCs w:val="24"/>
            </w:rPr>
            <w:instrText xml:space="preserve"> PAGEREF _Toc21574 \h </w:instrText>
          </w:r>
          <w:r>
            <w:rPr>
              <w:color w:val="auto"/>
              <w:sz w:val="24"/>
              <w:szCs w:val="24"/>
            </w:rPr>
            <w:fldChar w:fldCharType="separate"/>
          </w:r>
          <w:r>
            <w:rPr>
              <w:color w:val="auto"/>
              <w:sz w:val="24"/>
              <w:szCs w:val="24"/>
            </w:rPr>
            <w:t>16</w:t>
          </w:r>
          <w:r>
            <w:rPr>
              <w:color w:val="auto"/>
              <w:sz w:val="24"/>
              <w:szCs w:val="24"/>
            </w:rPr>
            <w:fldChar w:fldCharType="end"/>
          </w:r>
          <w:r>
            <w:rPr>
              <w:rFonts w:hint="eastAsia"/>
              <w:color w:val="auto"/>
              <w:sz w:val="24"/>
              <w:szCs w:val="24"/>
              <w:lang w:eastAsia="zh-CN"/>
            </w:rPr>
            <w:fldChar w:fldCharType="end"/>
          </w:r>
        </w:p>
        <w:p w14:paraId="604272E9">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_Toc20949 </w:instrText>
          </w:r>
          <w:r>
            <w:rPr>
              <w:rFonts w:hint="eastAsia"/>
              <w:color w:val="auto"/>
              <w:sz w:val="24"/>
              <w:szCs w:val="24"/>
              <w:lang w:eastAsia="zh-CN"/>
            </w:rPr>
            <w:fldChar w:fldCharType="separate"/>
          </w:r>
          <w:r>
            <w:rPr>
              <w:rFonts w:ascii="Times New Roman" w:hAnsi="Times New Roman"/>
              <w:color w:val="auto"/>
              <w:sz w:val="24"/>
              <w:szCs w:val="24"/>
              <w:lang w:val="en-US" w:eastAsia="zh-CN"/>
            </w:rPr>
            <w:t>2.</w:t>
          </w:r>
          <w:r>
            <w:rPr>
              <w:rFonts w:hint="eastAsia"/>
              <w:color w:val="auto"/>
              <w:sz w:val="24"/>
              <w:szCs w:val="24"/>
              <w:lang w:val="en-US" w:eastAsia="zh-CN"/>
            </w:rPr>
            <w:t>4厂址、</w:t>
          </w:r>
          <w:r>
            <w:rPr>
              <w:rFonts w:hint="eastAsia" w:ascii="Times New Roman" w:hAnsi="Times New Roman"/>
              <w:color w:val="auto"/>
              <w:sz w:val="24"/>
              <w:szCs w:val="24"/>
              <w:lang w:val="en-US" w:eastAsia="zh-CN"/>
            </w:rPr>
            <w:t>地理位置和周边环境</w:t>
          </w:r>
          <w:r>
            <w:rPr>
              <w:color w:val="auto"/>
              <w:sz w:val="24"/>
              <w:szCs w:val="24"/>
            </w:rPr>
            <w:tab/>
          </w:r>
          <w:r>
            <w:rPr>
              <w:color w:val="auto"/>
              <w:sz w:val="24"/>
              <w:szCs w:val="24"/>
            </w:rPr>
            <w:fldChar w:fldCharType="begin"/>
          </w:r>
          <w:r>
            <w:rPr>
              <w:color w:val="auto"/>
              <w:sz w:val="24"/>
              <w:szCs w:val="24"/>
            </w:rPr>
            <w:instrText xml:space="preserve"> PAGEREF _Toc20949 \h </w:instrText>
          </w:r>
          <w:r>
            <w:rPr>
              <w:color w:val="auto"/>
              <w:sz w:val="24"/>
              <w:szCs w:val="24"/>
            </w:rPr>
            <w:fldChar w:fldCharType="separate"/>
          </w:r>
          <w:r>
            <w:rPr>
              <w:color w:val="auto"/>
              <w:sz w:val="24"/>
              <w:szCs w:val="24"/>
            </w:rPr>
            <w:t>17</w:t>
          </w:r>
          <w:r>
            <w:rPr>
              <w:color w:val="auto"/>
              <w:sz w:val="24"/>
              <w:szCs w:val="24"/>
            </w:rPr>
            <w:fldChar w:fldCharType="end"/>
          </w:r>
          <w:r>
            <w:rPr>
              <w:rFonts w:hint="eastAsia"/>
              <w:color w:val="auto"/>
              <w:sz w:val="24"/>
              <w:szCs w:val="24"/>
              <w:lang w:eastAsia="zh-CN"/>
            </w:rPr>
            <w:fldChar w:fldCharType="end"/>
          </w:r>
        </w:p>
        <w:p w14:paraId="02B1284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_Toc4477 </w:instrText>
          </w:r>
          <w:r>
            <w:rPr>
              <w:rFonts w:hint="eastAsia"/>
              <w:color w:val="auto"/>
              <w:sz w:val="24"/>
              <w:szCs w:val="24"/>
              <w:lang w:eastAsia="zh-CN"/>
            </w:rPr>
            <w:fldChar w:fldCharType="separate"/>
          </w:r>
          <w:r>
            <w:rPr>
              <w:rFonts w:hint="eastAsia"/>
              <w:color w:val="auto"/>
              <w:sz w:val="24"/>
              <w:szCs w:val="24"/>
              <w:lang w:val="en-US" w:eastAsia="zh-CN"/>
            </w:rPr>
            <w:t>2.4.1厂址、地理位置</w:t>
          </w:r>
          <w:r>
            <w:rPr>
              <w:color w:val="auto"/>
              <w:sz w:val="24"/>
              <w:szCs w:val="24"/>
            </w:rPr>
            <w:tab/>
          </w:r>
          <w:r>
            <w:rPr>
              <w:color w:val="auto"/>
              <w:sz w:val="24"/>
              <w:szCs w:val="24"/>
            </w:rPr>
            <w:fldChar w:fldCharType="begin"/>
          </w:r>
          <w:r>
            <w:rPr>
              <w:color w:val="auto"/>
              <w:sz w:val="24"/>
              <w:szCs w:val="24"/>
            </w:rPr>
            <w:instrText xml:space="preserve"> PAGEREF _Toc4477 \h </w:instrText>
          </w:r>
          <w:r>
            <w:rPr>
              <w:color w:val="auto"/>
              <w:sz w:val="24"/>
              <w:szCs w:val="24"/>
            </w:rPr>
            <w:fldChar w:fldCharType="separate"/>
          </w:r>
          <w:r>
            <w:rPr>
              <w:color w:val="auto"/>
              <w:sz w:val="24"/>
              <w:szCs w:val="24"/>
            </w:rPr>
            <w:t>17</w:t>
          </w:r>
          <w:r>
            <w:rPr>
              <w:color w:val="auto"/>
              <w:sz w:val="24"/>
              <w:szCs w:val="24"/>
            </w:rPr>
            <w:fldChar w:fldCharType="end"/>
          </w:r>
          <w:r>
            <w:rPr>
              <w:rFonts w:hint="eastAsia"/>
              <w:color w:val="auto"/>
              <w:sz w:val="24"/>
              <w:szCs w:val="24"/>
              <w:lang w:eastAsia="zh-CN"/>
            </w:rPr>
            <w:fldChar w:fldCharType="end"/>
          </w:r>
        </w:p>
        <w:p w14:paraId="7E74E9F0">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_Toc1020 </w:instrText>
          </w:r>
          <w:r>
            <w:rPr>
              <w:rFonts w:hint="eastAsia"/>
              <w:color w:val="auto"/>
              <w:sz w:val="24"/>
              <w:szCs w:val="24"/>
              <w:lang w:eastAsia="zh-CN"/>
            </w:rPr>
            <w:fldChar w:fldCharType="separate"/>
          </w:r>
          <w:r>
            <w:rPr>
              <w:rFonts w:hint="eastAsia"/>
              <w:color w:val="auto"/>
              <w:sz w:val="24"/>
              <w:szCs w:val="24"/>
              <w:lang w:val="en-US" w:eastAsia="zh-CN"/>
            </w:rPr>
            <w:t>2.4.2周边环境</w:t>
          </w:r>
          <w:r>
            <w:rPr>
              <w:color w:val="auto"/>
              <w:sz w:val="24"/>
              <w:szCs w:val="24"/>
            </w:rPr>
            <w:tab/>
          </w:r>
          <w:r>
            <w:rPr>
              <w:color w:val="auto"/>
              <w:sz w:val="24"/>
              <w:szCs w:val="24"/>
            </w:rPr>
            <w:fldChar w:fldCharType="begin"/>
          </w:r>
          <w:r>
            <w:rPr>
              <w:color w:val="auto"/>
              <w:sz w:val="24"/>
              <w:szCs w:val="24"/>
            </w:rPr>
            <w:instrText xml:space="preserve"> PAGEREF _Toc1020 \h </w:instrText>
          </w:r>
          <w:r>
            <w:rPr>
              <w:color w:val="auto"/>
              <w:sz w:val="24"/>
              <w:szCs w:val="24"/>
            </w:rPr>
            <w:fldChar w:fldCharType="separate"/>
          </w:r>
          <w:r>
            <w:rPr>
              <w:color w:val="auto"/>
              <w:sz w:val="24"/>
              <w:szCs w:val="24"/>
            </w:rPr>
            <w:t>18</w:t>
          </w:r>
          <w:r>
            <w:rPr>
              <w:color w:val="auto"/>
              <w:sz w:val="24"/>
              <w:szCs w:val="24"/>
            </w:rPr>
            <w:fldChar w:fldCharType="end"/>
          </w:r>
          <w:r>
            <w:rPr>
              <w:rFonts w:hint="eastAsia"/>
              <w:color w:val="auto"/>
              <w:sz w:val="24"/>
              <w:szCs w:val="24"/>
              <w:lang w:eastAsia="zh-CN"/>
            </w:rPr>
            <w:fldChar w:fldCharType="end"/>
          </w:r>
        </w:p>
        <w:p w14:paraId="7F045193">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_Toc18641 </w:instrText>
          </w:r>
          <w:r>
            <w:rPr>
              <w:rFonts w:hint="eastAsia"/>
              <w:color w:val="auto"/>
              <w:sz w:val="24"/>
              <w:szCs w:val="24"/>
              <w:lang w:eastAsia="zh-CN"/>
            </w:rPr>
            <w:fldChar w:fldCharType="separate"/>
          </w:r>
          <w:r>
            <w:rPr>
              <w:rFonts w:ascii="Times New Roman" w:hAnsi="Times New Roman"/>
              <w:color w:val="auto"/>
              <w:sz w:val="24"/>
              <w:szCs w:val="24"/>
              <w:lang w:val="en-US" w:eastAsia="zh-CN"/>
            </w:rPr>
            <w:t>2.</w:t>
          </w:r>
          <w:r>
            <w:rPr>
              <w:rFonts w:hint="eastAsia"/>
              <w:color w:val="auto"/>
              <w:sz w:val="24"/>
              <w:szCs w:val="24"/>
              <w:lang w:val="en-US" w:eastAsia="zh-CN"/>
            </w:rPr>
            <w:t>5利旧情况</w:t>
          </w:r>
          <w:r>
            <w:rPr>
              <w:color w:val="auto"/>
              <w:sz w:val="24"/>
              <w:szCs w:val="24"/>
            </w:rPr>
            <w:tab/>
          </w:r>
          <w:r>
            <w:rPr>
              <w:color w:val="auto"/>
              <w:sz w:val="24"/>
              <w:szCs w:val="24"/>
            </w:rPr>
            <w:fldChar w:fldCharType="begin"/>
          </w:r>
          <w:r>
            <w:rPr>
              <w:color w:val="auto"/>
              <w:sz w:val="24"/>
              <w:szCs w:val="24"/>
            </w:rPr>
            <w:instrText xml:space="preserve"> PAGEREF _Toc18641 \h </w:instrText>
          </w:r>
          <w:r>
            <w:rPr>
              <w:color w:val="auto"/>
              <w:sz w:val="24"/>
              <w:szCs w:val="24"/>
            </w:rPr>
            <w:fldChar w:fldCharType="separate"/>
          </w:r>
          <w:r>
            <w:rPr>
              <w:color w:val="auto"/>
              <w:sz w:val="24"/>
              <w:szCs w:val="24"/>
            </w:rPr>
            <w:t>18</w:t>
          </w:r>
          <w:r>
            <w:rPr>
              <w:color w:val="auto"/>
              <w:sz w:val="24"/>
              <w:szCs w:val="24"/>
            </w:rPr>
            <w:fldChar w:fldCharType="end"/>
          </w:r>
          <w:r>
            <w:rPr>
              <w:rFonts w:hint="eastAsia"/>
              <w:color w:val="auto"/>
              <w:sz w:val="24"/>
              <w:szCs w:val="24"/>
              <w:lang w:eastAsia="zh-CN"/>
            </w:rPr>
            <w:fldChar w:fldCharType="end"/>
          </w:r>
        </w:p>
        <w:p w14:paraId="17745E8F">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_Toc21321 </w:instrText>
          </w:r>
          <w:r>
            <w:rPr>
              <w:rFonts w:hint="eastAsia"/>
              <w:color w:val="auto"/>
              <w:sz w:val="24"/>
              <w:szCs w:val="24"/>
              <w:lang w:eastAsia="zh-CN"/>
            </w:rPr>
            <w:fldChar w:fldCharType="separate"/>
          </w:r>
          <w:r>
            <w:rPr>
              <w:rFonts w:hint="eastAsia"/>
              <w:color w:val="auto"/>
              <w:sz w:val="24"/>
              <w:szCs w:val="24"/>
              <w:lang w:val="en-US" w:eastAsia="zh-CN"/>
            </w:rPr>
            <w:t>2.6项目所在地自然条件</w:t>
          </w:r>
          <w:r>
            <w:rPr>
              <w:color w:val="auto"/>
              <w:sz w:val="24"/>
              <w:szCs w:val="24"/>
            </w:rPr>
            <w:tab/>
          </w:r>
          <w:r>
            <w:rPr>
              <w:color w:val="auto"/>
              <w:sz w:val="24"/>
              <w:szCs w:val="24"/>
            </w:rPr>
            <w:fldChar w:fldCharType="begin"/>
          </w:r>
          <w:r>
            <w:rPr>
              <w:color w:val="auto"/>
              <w:sz w:val="24"/>
              <w:szCs w:val="24"/>
            </w:rPr>
            <w:instrText xml:space="preserve"> PAGEREF _Toc21321 \h </w:instrText>
          </w:r>
          <w:r>
            <w:rPr>
              <w:color w:val="auto"/>
              <w:sz w:val="24"/>
              <w:szCs w:val="24"/>
            </w:rPr>
            <w:fldChar w:fldCharType="separate"/>
          </w:r>
          <w:r>
            <w:rPr>
              <w:color w:val="auto"/>
              <w:sz w:val="24"/>
              <w:szCs w:val="24"/>
            </w:rPr>
            <w:t>19</w:t>
          </w:r>
          <w:r>
            <w:rPr>
              <w:color w:val="auto"/>
              <w:sz w:val="24"/>
              <w:szCs w:val="24"/>
            </w:rPr>
            <w:fldChar w:fldCharType="end"/>
          </w:r>
          <w:r>
            <w:rPr>
              <w:rFonts w:hint="eastAsia"/>
              <w:color w:val="auto"/>
              <w:sz w:val="24"/>
              <w:szCs w:val="24"/>
              <w:lang w:eastAsia="zh-CN"/>
            </w:rPr>
            <w:fldChar w:fldCharType="end"/>
          </w:r>
        </w:p>
        <w:p w14:paraId="71C6834B">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_Toc24362 </w:instrText>
          </w:r>
          <w:r>
            <w:rPr>
              <w:rFonts w:hint="eastAsia"/>
              <w:color w:val="auto"/>
              <w:sz w:val="24"/>
              <w:szCs w:val="24"/>
              <w:lang w:eastAsia="zh-CN"/>
            </w:rPr>
            <w:fldChar w:fldCharType="separate"/>
          </w:r>
          <w:r>
            <w:rPr>
              <w:rFonts w:hint="eastAsia"/>
              <w:color w:val="auto"/>
              <w:sz w:val="24"/>
              <w:szCs w:val="24"/>
              <w:lang w:val="en-US" w:eastAsia="zh-CN"/>
            </w:rPr>
            <w:t>2.6.1气象条件</w:t>
          </w:r>
          <w:r>
            <w:rPr>
              <w:color w:val="auto"/>
              <w:sz w:val="24"/>
              <w:szCs w:val="24"/>
            </w:rPr>
            <w:tab/>
          </w:r>
          <w:r>
            <w:rPr>
              <w:color w:val="auto"/>
              <w:sz w:val="24"/>
              <w:szCs w:val="24"/>
            </w:rPr>
            <w:fldChar w:fldCharType="begin"/>
          </w:r>
          <w:r>
            <w:rPr>
              <w:color w:val="auto"/>
              <w:sz w:val="24"/>
              <w:szCs w:val="24"/>
            </w:rPr>
            <w:instrText xml:space="preserve"> PAGEREF _Toc24362 \h </w:instrText>
          </w:r>
          <w:r>
            <w:rPr>
              <w:color w:val="auto"/>
              <w:sz w:val="24"/>
              <w:szCs w:val="24"/>
            </w:rPr>
            <w:fldChar w:fldCharType="separate"/>
          </w:r>
          <w:r>
            <w:rPr>
              <w:color w:val="auto"/>
              <w:sz w:val="24"/>
              <w:szCs w:val="24"/>
            </w:rPr>
            <w:t>19</w:t>
          </w:r>
          <w:r>
            <w:rPr>
              <w:color w:val="auto"/>
              <w:sz w:val="24"/>
              <w:szCs w:val="24"/>
            </w:rPr>
            <w:fldChar w:fldCharType="end"/>
          </w:r>
          <w:r>
            <w:rPr>
              <w:rFonts w:hint="eastAsia"/>
              <w:color w:val="auto"/>
              <w:sz w:val="24"/>
              <w:szCs w:val="24"/>
              <w:lang w:eastAsia="zh-CN"/>
            </w:rPr>
            <w:fldChar w:fldCharType="end"/>
          </w:r>
        </w:p>
        <w:p w14:paraId="7C0FB9CC">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_Toc22299 </w:instrText>
          </w:r>
          <w:r>
            <w:rPr>
              <w:rFonts w:hint="eastAsia"/>
              <w:color w:val="auto"/>
              <w:sz w:val="24"/>
              <w:szCs w:val="24"/>
              <w:lang w:eastAsia="zh-CN"/>
            </w:rPr>
            <w:fldChar w:fldCharType="separate"/>
          </w:r>
          <w:r>
            <w:rPr>
              <w:rFonts w:hint="eastAsia"/>
              <w:color w:val="auto"/>
              <w:sz w:val="24"/>
              <w:szCs w:val="24"/>
              <w:lang w:val="en-US" w:eastAsia="zh-CN"/>
            </w:rPr>
            <w:t>2.6.2水文条件</w:t>
          </w:r>
          <w:r>
            <w:rPr>
              <w:color w:val="auto"/>
              <w:sz w:val="24"/>
              <w:szCs w:val="24"/>
            </w:rPr>
            <w:tab/>
          </w:r>
          <w:r>
            <w:rPr>
              <w:color w:val="auto"/>
              <w:sz w:val="24"/>
              <w:szCs w:val="24"/>
            </w:rPr>
            <w:fldChar w:fldCharType="begin"/>
          </w:r>
          <w:r>
            <w:rPr>
              <w:color w:val="auto"/>
              <w:sz w:val="24"/>
              <w:szCs w:val="24"/>
            </w:rPr>
            <w:instrText xml:space="preserve"> PAGEREF _Toc22299 \h </w:instrText>
          </w:r>
          <w:r>
            <w:rPr>
              <w:color w:val="auto"/>
              <w:sz w:val="24"/>
              <w:szCs w:val="24"/>
            </w:rPr>
            <w:fldChar w:fldCharType="separate"/>
          </w:r>
          <w:r>
            <w:rPr>
              <w:color w:val="auto"/>
              <w:sz w:val="24"/>
              <w:szCs w:val="24"/>
            </w:rPr>
            <w:t>20</w:t>
          </w:r>
          <w:r>
            <w:rPr>
              <w:color w:val="auto"/>
              <w:sz w:val="24"/>
              <w:szCs w:val="24"/>
            </w:rPr>
            <w:fldChar w:fldCharType="end"/>
          </w:r>
          <w:r>
            <w:rPr>
              <w:rFonts w:hint="eastAsia"/>
              <w:color w:val="auto"/>
              <w:sz w:val="24"/>
              <w:szCs w:val="24"/>
              <w:lang w:eastAsia="zh-CN"/>
            </w:rPr>
            <w:fldChar w:fldCharType="end"/>
          </w:r>
        </w:p>
        <w:p w14:paraId="22641EC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_Toc1078 </w:instrText>
          </w:r>
          <w:r>
            <w:rPr>
              <w:rFonts w:hint="eastAsia"/>
              <w:color w:val="auto"/>
              <w:sz w:val="24"/>
              <w:szCs w:val="24"/>
              <w:lang w:eastAsia="zh-CN"/>
            </w:rPr>
            <w:fldChar w:fldCharType="separate"/>
          </w:r>
          <w:r>
            <w:rPr>
              <w:rFonts w:hint="eastAsia"/>
              <w:color w:val="auto"/>
              <w:sz w:val="24"/>
              <w:szCs w:val="24"/>
              <w:lang w:val="en-US" w:eastAsia="zh-CN"/>
            </w:rPr>
            <w:t>2.6.3地形地质</w:t>
          </w:r>
          <w:r>
            <w:rPr>
              <w:color w:val="auto"/>
              <w:sz w:val="24"/>
              <w:szCs w:val="24"/>
            </w:rPr>
            <w:tab/>
          </w:r>
          <w:r>
            <w:rPr>
              <w:color w:val="auto"/>
              <w:sz w:val="24"/>
              <w:szCs w:val="24"/>
            </w:rPr>
            <w:fldChar w:fldCharType="begin"/>
          </w:r>
          <w:r>
            <w:rPr>
              <w:color w:val="auto"/>
              <w:sz w:val="24"/>
              <w:szCs w:val="24"/>
            </w:rPr>
            <w:instrText xml:space="preserve"> PAGEREF _Toc1078 \h </w:instrText>
          </w:r>
          <w:r>
            <w:rPr>
              <w:color w:val="auto"/>
              <w:sz w:val="24"/>
              <w:szCs w:val="24"/>
            </w:rPr>
            <w:fldChar w:fldCharType="separate"/>
          </w:r>
          <w:r>
            <w:rPr>
              <w:color w:val="auto"/>
              <w:sz w:val="24"/>
              <w:szCs w:val="24"/>
            </w:rPr>
            <w:t>20</w:t>
          </w:r>
          <w:r>
            <w:rPr>
              <w:color w:val="auto"/>
              <w:sz w:val="24"/>
              <w:szCs w:val="24"/>
            </w:rPr>
            <w:fldChar w:fldCharType="end"/>
          </w:r>
          <w:r>
            <w:rPr>
              <w:rFonts w:hint="eastAsia"/>
              <w:color w:val="auto"/>
              <w:sz w:val="24"/>
              <w:szCs w:val="24"/>
              <w:lang w:eastAsia="zh-CN"/>
            </w:rPr>
            <w:fldChar w:fldCharType="end"/>
          </w:r>
        </w:p>
        <w:p w14:paraId="6BEA0FF0">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_Toc18190 </w:instrText>
          </w:r>
          <w:r>
            <w:rPr>
              <w:rFonts w:hint="eastAsia"/>
              <w:color w:val="auto"/>
              <w:sz w:val="24"/>
              <w:szCs w:val="24"/>
              <w:lang w:eastAsia="zh-CN"/>
            </w:rPr>
            <w:fldChar w:fldCharType="separate"/>
          </w:r>
          <w:r>
            <w:rPr>
              <w:rFonts w:hint="eastAsia"/>
              <w:color w:val="auto"/>
              <w:sz w:val="24"/>
              <w:szCs w:val="24"/>
              <w:lang w:val="en-US" w:eastAsia="zh-CN"/>
            </w:rPr>
            <w:t>2.6.4地震</w:t>
          </w:r>
          <w:r>
            <w:rPr>
              <w:color w:val="auto"/>
              <w:sz w:val="24"/>
              <w:szCs w:val="24"/>
            </w:rPr>
            <w:tab/>
          </w:r>
          <w:r>
            <w:rPr>
              <w:color w:val="auto"/>
              <w:sz w:val="24"/>
              <w:szCs w:val="24"/>
            </w:rPr>
            <w:fldChar w:fldCharType="begin"/>
          </w:r>
          <w:r>
            <w:rPr>
              <w:color w:val="auto"/>
              <w:sz w:val="24"/>
              <w:szCs w:val="24"/>
            </w:rPr>
            <w:instrText xml:space="preserve"> PAGEREF _Toc18190 \h </w:instrText>
          </w:r>
          <w:r>
            <w:rPr>
              <w:color w:val="auto"/>
              <w:sz w:val="24"/>
              <w:szCs w:val="24"/>
            </w:rPr>
            <w:fldChar w:fldCharType="separate"/>
          </w:r>
          <w:r>
            <w:rPr>
              <w:color w:val="auto"/>
              <w:sz w:val="24"/>
              <w:szCs w:val="24"/>
            </w:rPr>
            <w:t>21</w:t>
          </w:r>
          <w:r>
            <w:rPr>
              <w:color w:val="auto"/>
              <w:sz w:val="24"/>
              <w:szCs w:val="24"/>
            </w:rPr>
            <w:fldChar w:fldCharType="end"/>
          </w:r>
          <w:r>
            <w:rPr>
              <w:rFonts w:hint="eastAsia"/>
              <w:color w:val="auto"/>
              <w:sz w:val="24"/>
              <w:szCs w:val="24"/>
              <w:lang w:eastAsia="zh-CN"/>
            </w:rPr>
            <w:fldChar w:fldCharType="end"/>
          </w:r>
        </w:p>
        <w:p w14:paraId="457C44DC">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_Toc17727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2.</w:t>
          </w:r>
          <w:r>
            <w:rPr>
              <w:rFonts w:hint="eastAsia"/>
              <w:color w:val="auto"/>
              <w:sz w:val="24"/>
              <w:szCs w:val="24"/>
              <w:lang w:val="en-US" w:eastAsia="zh-CN"/>
            </w:rPr>
            <w:t>7</w:t>
          </w:r>
          <w:r>
            <w:rPr>
              <w:rFonts w:hint="eastAsia" w:ascii="Times New Roman" w:hAnsi="Times New Roman"/>
              <w:color w:val="auto"/>
              <w:sz w:val="24"/>
              <w:szCs w:val="24"/>
              <w:lang w:val="en-US" w:eastAsia="zh-CN"/>
            </w:rPr>
            <w:t>总平面布</w:t>
          </w:r>
          <w:r>
            <w:rPr>
              <w:rFonts w:hint="eastAsia"/>
              <w:color w:val="auto"/>
              <w:sz w:val="24"/>
              <w:szCs w:val="24"/>
              <w:lang w:val="en-US" w:eastAsia="zh-CN"/>
            </w:rPr>
            <w:t>置</w:t>
          </w:r>
          <w:r>
            <w:rPr>
              <w:rFonts w:hint="eastAsia" w:ascii="Times New Roman" w:hAnsi="Times New Roman"/>
              <w:color w:val="auto"/>
              <w:sz w:val="24"/>
              <w:szCs w:val="24"/>
              <w:lang w:val="en-US" w:eastAsia="zh-CN"/>
            </w:rPr>
            <w:t>、主要建（构）物</w:t>
          </w:r>
          <w:r>
            <w:rPr>
              <w:color w:val="auto"/>
              <w:sz w:val="24"/>
              <w:szCs w:val="24"/>
            </w:rPr>
            <w:tab/>
          </w:r>
          <w:r>
            <w:rPr>
              <w:color w:val="auto"/>
              <w:sz w:val="24"/>
              <w:szCs w:val="24"/>
            </w:rPr>
            <w:fldChar w:fldCharType="begin"/>
          </w:r>
          <w:r>
            <w:rPr>
              <w:color w:val="auto"/>
              <w:sz w:val="24"/>
              <w:szCs w:val="24"/>
            </w:rPr>
            <w:instrText xml:space="preserve"> PAGEREF _Toc17727 \h </w:instrText>
          </w:r>
          <w:r>
            <w:rPr>
              <w:color w:val="auto"/>
              <w:sz w:val="24"/>
              <w:szCs w:val="24"/>
            </w:rPr>
            <w:fldChar w:fldCharType="separate"/>
          </w:r>
          <w:r>
            <w:rPr>
              <w:color w:val="auto"/>
              <w:sz w:val="24"/>
              <w:szCs w:val="24"/>
            </w:rPr>
            <w:t>21</w:t>
          </w:r>
          <w:r>
            <w:rPr>
              <w:color w:val="auto"/>
              <w:sz w:val="24"/>
              <w:szCs w:val="24"/>
            </w:rPr>
            <w:fldChar w:fldCharType="end"/>
          </w:r>
          <w:r>
            <w:rPr>
              <w:rFonts w:hint="eastAsia"/>
              <w:color w:val="auto"/>
              <w:sz w:val="24"/>
              <w:szCs w:val="24"/>
              <w:lang w:eastAsia="zh-CN"/>
            </w:rPr>
            <w:fldChar w:fldCharType="end"/>
          </w:r>
        </w:p>
        <w:p w14:paraId="25BAF9D1">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_Toc18161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2.</w:t>
          </w:r>
          <w:r>
            <w:rPr>
              <w:rFonts w:hint="eastAsia"/>
              <w:color w:val="auto"/>
              <w:sz w:val="24"/>
              <w:szCs w:val="24"/>
              <w:lang w:val="en-US" w:eastAsia="zh-CN"/>
            </w:rPr>
            <w:t>7</w:t>
          </w:r>
          <w:r>
            <w:rPr>
              <w:rFonts w:hint="eastAsia" w:ascii="Times New Roman" w:hAnsi="Times New Roman"/>
              <w:color w:val="auto"/>
              <w:sz w:val="24"/>
              <w:szCs w:val="24"/>
              <w:lang w:val="en-US" w:eastAsia="zh-CN"/>
            </w:rPr>
            <w:t>.1总平面布置</w:t>
          </w:r>
          <w:r>
            <w:rPr>
              <w:color w:val="auto"/>
              <w:sz w:val="24"/>
              <w:szCs w:val="24"/>
            </w:rPr>
            <w:tab/>
          </w:r>
          <w:r>
            <w:rPr>
              <w:color w:val="auto"/>
              <w:sz w:val="24"/>
              <w:szCs w:val="24"/>
            </w:rPr>
            <w:fldChar w:fldCharType="begin"/>
          </w:r>
          <w:r>
            <w:rPr>
              <w:color w:val="auto"/>
              <w:sz w:val="24"/>
              <w:szCs w:val="24"/>
            </w:rPr>
            <w:instrText xml:space="preserve"> PAGEREF _Toc18161 \h </w:instrText>
          </w:r>
          <w:r>
            <w:rPr>
              <w:color w:val="auto"/>
              <w:sz w:val="24"/>
              <w:szCs w:val="24"/>
            </w:rPr>
            <w:fldChar w:fldCharType="separate"/>
          </w:r>
          <w:r>
            <w:rPr>
              <w:color w:val="auto"/>
              <w:sz w:val="24"/>
              <w:szCs w:val="24"/>
            </w:rPr>
            <w:t>21</w:t>
          </w:r>
          <w:r>
            <w:rPr>
              <w:color w:val="auto"/>
              <w:sz w:val="24"/>
              <w:szCs w:val="24"/>
            </w:rPr>
            <w:fldChar w:fldCharType="end"/>
          </w:r>
          <w:r>
            <w:rPr>
              <w:rFonts w:hint="eastAsia"/>
              <w:color w:val="auto"/>
              <w:sz w:val="24"/>
              <w:szCs w:val="24"/>
              <w:lang w:eastAsia="zh-CN"/>
            </w:rPr>
            <w:fldChar w:fldCharType="end"/>
          </w:r>
        </w:p>
        <w:p w14:paraId="145A116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_Toc7102 </w:instrText>
          </w:r>
          <w:r>
            <w:rPr>
              <w:rFonts w:hint="eastAsia"/>
              <w:color w:val="auto"/>
              <w:sz w:val="24"/>
              <w:szCs w:val="24"/>
              <w:lang w:eastAsia="zh-CN"/>
            </w:rPr>
            <w:fldChar w:fldCharType="separate"/>
          </w:r>
          <w:r>
            <w:rPr>
              <w:rFonts w:hint="eastAsia"/>
              <w:color w:val="auto"/>
              <w:sz w:val="24"/>
              <w:szCs w:val="24"/>
              <w:lang w:val="en-US" w:eastAsia="zh-CN"/>
            </w:rPr>
            <w:t>2.7.2竖向布置与绿化</w:t>
          </w:r>
          <w:r>
            <w:rPr>
              <w:color w:val="auto"/>
              <w:sz w:val="24"/>
              <w:szCs w:val="24"/>
            </w:rPr>
            <w:tab/>
          </w:r>
          <w:r>
            <w:rPr>
              <w:color w:val="auto"/>
              <w:sz w:val="24"/>
              <w:szCs w:val="24"/>
            </w:rPr>
            <w:fldChar w:fldCharType="begin"/>
          </w:r>
          <w:r>
            <w:rPr>
              <w:color w:val="auto"/>
              <w:sz w:val="24"/>
              <w:szCs w:val="24"/>
            </w:rPr>
            <w:instrText xml:space="preserve"> PAGEREF _Toc7102 \h </w:instrText>
          </w:r>
          <w:r>
            <w:rPr>
              <w:color w:val="auto"/>
              <w:sz w:val="24"/>
              <w:szCs w:val="24"/>
            </w:rPr>
            <w:fldChar w:fldCharType="separate"/>
          </w:r>
          <w:r>
            <w:rPr>
              <w:color w:val="auto"/>
              <w:sz w:val="24"/>
              <w:szCs w:val="24"/>
            </w:rPr>
            <w:t>21</w:t>
          </w:r>
          <w:r>
            <w:rPr>
              <w:color w:val="auto"/>
              <w:sz w:val="24"/>
              <w:szCs w:val="24"/>
            </w:rPr>
            <w:fldChar w:fldCharType="end"/>
          </w:r>
          <w:r>
            <w:rPr>
              <w:rFonts w:hint="eastAsia"/>
              <w:color w:val="auto"/>
              <w:sz w:val="24"/>
              <w:szCs w:val="24"/>
              <w:lang w:eastAsia="zh-CN"/>
            </w:rPr>
            <w:fldChar w:fldCharType="end"/>
          </w:r>
        </w:p>
        <w:p w14:paraId="2E821BB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_Toc25498 </w:instrText>
          </w:r>
          <w:r>
            <w:rPr>
              <w:rFonts w:hint="eastAsia"/>
              <w:color w:val="auto"/>
              <w:sz w:val="24"/>
              <w:szCs w:val="24"/>
              <w:lang w:eastAsia="zh-CN"/>
            </w:rPr>
            <w:fldChar w:fldCharType="separate"/>
          </w:r>
          <w:r>
            <w:rPr>
              <w:rFonts w:hint="eastAsia"/>
              <w:color w:val="auto"/>
              <w:sz w:val="24"/>
              <w:szCs w:val="24"/>
              <w:lang w:val="en-US" w:eastAsia="zh-CN"/>
            </w:rPr>
            <w:t>2.7.3道路及运输</w:t>
          </w:r>
          <w:r>
            <w:rPr>
              <w:color w:val="auto"/>
              <w:sz w:val="24"/>
              <w:szCs w:val="24"/>
            </w:rPr>
            <w:tab/>
          </w:r>
          <w:r>
            <w:rPr>
              <w:color w:val="auto"/>
              <w:sz w:val="24"/>
              <w:szCs w:val="24"/>
            </w:rPr>
            <w:fldChar w:fldCharType="begin"/>
          </w:r>
          <w:r>
            <w:rPr>
              <w:color w:val="auto"/>
              <w:sz w:val="24"/>
              <w:szCs w:val="24"/>
            </w:rPr>
            <w:instrText xml:space="preserve"> PAGEREF _Toc25498 \h </w:instrText>
          </w:r>
          <w:r>
            <w:rPr>
              <w:color w:val="auto"/>
              <w:sz w:val="24"/>
              <w:szCs w:val="24"/>
            </w:rPr>
            <w:fldChar w:fldCharType="separate"/>
          </w:r>
          <w:r>
            <w:rPr>
              <w:color w:val="auto"/>
              <w:sz w:val="24"/>
              <w:szCs w:val="24"/>
            </w:rPr>
            <w:t>21</w:t>
          </w:r>
          <w:r>
            <w:rPr>
              <w:color w:val="auto"/>
              <w:sz w:val="24"/>
              <w:szCs w:val="24"/>
            </w:rPr>
            <w:fldChar w:fldCharType="end"/>
          </w:r>
          <w:r>
            <w:rPr>
              <w:rFonts w:hint="eastAsia"/>
              <w:color w:val="auto"/>
              <w:sz w:val="24"/>
              <w:szCs w:val="24"/>
              <w:lang w:eastAsia="zh-CN"/>
            </w:rPr>
            <w:fldChar w:fldCharType="end"/>
          </w:r>
        </w:p>
        <w:p w14:paraId="284319B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_Toc32109 </w:instrText>
          </w:r>
          <w:r>
            <w:rPr>
              <w:rFonts w:hint="eastAsia"/>
              <w:color w:val="auto"/>
              <w:sz w:val="24"/>
              <w:szCs w:val="24"/>
              <w:lang w:eastAsia="zh-CN"/>
            </w:rPr>
            <w:fldChar w:fldCharType="separate"/>
          </w:r>
          <w:r>
            <w:rPr>
              <w:rFonts w:hint="eastAsia"/>
              <w:color w:val="auto"/>
              <w:sz w:val="24"/>
              <w:szCs w:val="24"/>
              <w:lang w:val="en-US" w:eastAsia="zh-CN"/>
            </w:rPr>
            <w:t>2.7.4建（构）筑物</w:t>
          </w:r>
          <w:r>
            <w:rPr>
              <w:color w:val="auto"/>
              <w:sz w:val="24"/>
              <w:szCs w:val="24"/>
            </w:rPr>
            <w:tab/>
          </w:r>
          <w:r>
            <w:rPr>
              <w:color w:val="auto"/>
              <w:sz w:val="24"/>
              <w:szCs w:val="24"/>
            </w:rPr>
            <w:fldChar w:fldCharType="begin"/>
          </w:r>
          <w:r>
            <w:rPr>
              <w:color w:val="auto"/>
              <w:sz w:val="24"/>
              <w:szCs w:val="24"/>
            </w:rPr>
            <w:instrText xml:space="preserve"> PAGEREF _Toc32109 \h </w:instrText>
          </w:r>
          <w:r>
            <w:rPr>
              <w:color w:val="auto"/>
              <w:sz w:val="24"/>
              <w:szCs w:val="24"/>
            </w:rPr>
            <w:fldChar w:fldCharType="separate"/>
          </w:r>
          <w:r>
            <w:rPr>
              <w:color w:val="auto"/>
              <w:sz w:val="24"/>
              <w:szCs w:val="24"/>
            </w:rPr>
            <w:t>22</w:t>
          </w:r>
          <w:r>
            <w:rPr>
              <w:color w:val="auto"/>
              <w:sz w:val="24"/>
              <w:szCs w:val="24"/>
            </w:rPr>
            <w:fldChar w:fldCharType="end"/>
          </w:r>
          <w:r>
            <w:rPr>
              <w:rFonts w:hint="eastAsia"/>
              <w:color w:val="auto"/>
              <w:sz w:val="24"/>
              <w:szCs w:val="24"/>
              <w:lang w:eastAsia="zh-CN"/>
            </w:rPr>
            <w:fldChar w:fldCharType="end"/>
          </w:r>
        </w:p>
        <w:p w14:paraId="4D286A8F">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_Toc20272 </w:instrText>
          </w:r>
          <w:r>
            <w:rPr>
              <w:rFonts w:hint="eastAsia"/>
              <w:color w:val="auto"/>
              <w:sz w:val="24"/>
              <w:szCs w:val="24"/>
              <w:lang w:eastAsia="zh-CN"/>
            </w:rPr>
            <w:fldChar w:fldCharType="separate"/>
          </w:r>
          <w:r>
            <w:rPr>
              <w:rFonts w:hint="eastAsia"/>
              <w:color w:val="auto"/>
              <w:sz w:val="24"/>
              <w:szCs w:val="24"/>
              <w:lang w:val="en-US" w:eastAsia="zh-CN"/>
            </w:rPr>
            <w:t>2.8工艺流程</w:t>
          </w:r>
          <w:r>
            <w:rPr>
              <w:color w:val="auto"/>
              <w:sz w:val="24"/>
              <w:szCs w:val="24"/>
            </w:rPr>
            <w:tab/>
          </w:r>
          <w:r>
            <w:rPr>
              <w:color w:val="auto"/>
              <w:sz w:val="24"/>
              <w:szCs w:val="24"/>
            </w:rPr>
            <w:fldChar w:fldCharType="begin"/>
          </w:r>
          <w:r>
            <w:rPr>
              <w:color w:val="auto"/>
              <w:sz w:val="24"/>
              <w:szCs w:val="24"/>
            </w:rPr>
            <w:instrText xml:space="preserve"> PAGEREF _Toc20272 \h </w:instrText>
          </w:r>
          <w:r>
            <w:rPr>
              <w:color w:val="auto"/>
              <w:sz w:val="24"/>
              <w:szCs w:val="24"/>
            </w:rPr>
            <w:fldChar w:fldCharType="separate"/>
          </w:r>
          <w:r>
            <w:rPr>
              <w:color w:val="auto"/>
              <w:sz w:val="24"/>
              <w:szCs w:val="24"/>
            </w:rPr>
            <w:t>23</w:t>
          </w:r>
          <w:r>
            <w:rPr>
              <w:color w:val="auto"/>
              <w:sz w:val="24"/>
              <w:szCs w:val="24"/>
            </w:rPr>
            <w:fldChar w:fldCharType="end"/>
          </w:r>
          <w:r>
            <w:rPr>
              <w:rFonts w:hint="eastAsia"/>
              <w:color w:val="auto"/>
              <w:sz w:val="24"/>
              <w:szCs w:val="24"/>
              <w:lang w:eastAsia="zh-CN"/>
            </w:rPr>
            <w:fldChar w:fldCharType="end"/>
          </w:r>
        </w:p>
        <w:p w14:paraId="034117F7">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_Toc25054 </w:instrText>
          </w:r>
          <w:r>
            <w:rPr>
              <w:rFonts w:hint="eastAsia"/>
              <w:color w:val="auto"/>
              <w:sz w:val="24"/>
              <w:szCs w:val="24"/>
              <w:lang w:eastAsia="zh-CN"/>
            </w:rPr>
            <w:fldChar w:fldCharType="separate"/>
          </w:r>
          <w:r>
            <w:rPr>
              <w:rFonts w:hint="eastAsia"/>
              <w:color w:val="auto"/>
              <w:sz w:val="24"/>
              <w:szCs w:val="24"/>
              <w:lang w:val="en-US" w:eastAsia="zh-CN"/>
            </w:rPr>
            <w:t>2.8.1</w:t>
          </w:r>
          <w:r>
            <w:rPr>
              <w:color w:val="auto"/>
              <w:sz w:val="24"/>
              <w:szCs w:val="24"/>
            </w:rPr>
            <w:t>工艺流程</w:t>
          </w:r>
          <w:r>
            <w:rPr>
              <w:rFonts w:hint="eastAsia"/>
              <w:color w:val="auto"/>
              <w:sz w:val="24"/>
              <w:szCs w:val="24"/>
              <w:lang w:val="en-US" w:eastAsia="zh-CN"/>
            </w:rPr>
            <w:t>简述</w:t>
          </w:r>
          <w:r>
            <w:rPr>
              <w:color w:val="auto"/>
              <w:sz w:val="24"/>
              <w:szCs w:val="24"/>
            </w:rPr>
            <w:tab/>
          </w:r>
          <w:r>
            <w:rPr>
              <w:color w:val="auto"/>
              <w:sz w:val="24"/>
              <w:szCs w:val="24"/>
            </w:rPr>
            <w:fldChar w:fldCharType="begin"/>
          </w:r>
          <w:r>
            <w:rPr>
              <w:color w:val="auto"/>
              <w:sz w:val="24"/>
              <w:szCs w:val="24"/>
            </w:rPr>
            <w:instrText xml:space="preserve"> PAGEREF _Toc25054 \h </w:instrText>
          </w:r>
          <w:r>
            <w:rPr>
              <w:color w:val="auto"/>
              <w:sz w:val="24"/>
              <w:szCs w:val="24"/>
            </w:rPr>
            <w:fldChar w:fldCharType="separate"/>
          </w:r>
          <w:r>
            <w:rPr>
              <w:color w:val="auto"/>
              <w:sz w:val="24"/>
              <w:szCs w:val="24"/>
            </w:rPr>
            <w:t>23</w:t>
          </w:r>
          <w:r>
            <w:rPr>
              <w:color w:val="auto"/>
              <w:sz w:val="24"/>
              <w:szCs w:val="24"/>
            </w:rPr>
            <w:fldChar w:fldCharType="end"/>
          </w:r>
          <w:r>
            <w:rPr>
              <w:rFonts w:hint="eastAsia"/>
              <w:color w:val="auto"/>
              <w:sz w:val="24"/>
              <w:szCs w:val="24"/>
              <w:lang w:eastAsia="zh-CN"/>
            </w:rPr>
            <w:fldChar w:fldCharType="end"/>
          </w:r>
        </w:p>
        <w:p w14:paraId="1DEE52EA">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_Toc8417 </w:instrText>
          </w:r>
          <w:r>
            <w:rPr>
              <w:rFonts w:hint="eastAsia"/>
              <w:color w:val="auto"/>
              <w:sz w:val="24"/>
              <w:szCs w:val="24"/>
              <w:lang w:eastAsia="zh-CN"/>
            </w:rPr>
            <w:fldChar w:fldCharType="separate"/>
          </w:r>
          <w:r>
            <w:rPr>
              <w:rFonts w:hint="eastAsia"/>
              <w:color w:val="auto"/>
              <w:sz w:val="24"/>
              <w:szCs w:val="24"/>
              <w:lang w:val="en-US" w:eastAsia="zh-CN"/>
            </w:rPr>
            <w:t>2.8.2主要设备设施</w:t>
          </w:r>
          <w:r>
            <w:rPr>
              <w:color w:val="auto"/>
              <w:sz w:val="24"/>
              <w:szCs w:val="24"/>
            </w:rPr>
            <w:tab/>
          </w:r>
          <w:r>
            <w:rPr>
              <w:color w:val="auto"/>
              <w:sz w:val="24"/>
              <w:szCs w:val="24"/>
            </w:rPr>
            <w:fldChar w:fldCharType="begin"/>
          </w:r>
          <w:r>
            <w:rPr>
              <w:color w:val="auto"/>
              <w:sz w:val="24"/>
              <w:szCs w:val="24"/>
            </w:rPr>
            <w:instrText xml:space="preserve"> PAGEREF _Toc8417 \h </w:instrText>
          </w:r>
          <w:r>
            <w:rPr>
              <w:color w:val="auto"/>
              <w:sz w:val="24"/>
              <w:szCs w:val="24"/>
            </w:rPr>
            <w:fldChar w:fldCharType="separate"/>
          </w:r>
          <w:r>
            <w:rPr>
              <w:color w:val="auto"/>
              <w:sz w:val="24"/>
              <w:szCs w:val="24"/>
            </w:rPr>
            <w:t>25</w:t>
          </w:r>
          <w:r>
            <w:rPr>
              <w:color w:val="auto"/>
              <w:sz w:val="24"/>
              <w:szCs w:val="24"/>
            </w:rPr>
            <w:fldChar w:fldCharType="end"/>
          </w:r>
          <w:r>
            <w:rPr>
              <w:rFonts w:hint="eastAsia"/>
              <w:color w:val="auto"/>
              <w:sz w:val="24"/>
              <w:szCs w:val="24"/>
              <w:lang w:eastAsia="zh-CN"/>
            </w:rPr>
            <w:fldChar w:fldCharType="end"/>
          </w:r>
        </w:p>
        <w:p w14:paraId="3ACEC42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_Toc4582 </w:instrText>
          </w:r>
          <w:r>
            <w:rPr>
              <w:rFonts w:hint="eastAsia"/>
              <w:color w:val="auto"/>
              <w:sz w:val="24"/>
              <w:szCs w:val="24"/>
              <w:lang w:eastAsia="zh-CN"/>
            </w:rPr>
            <w:fldChar w:fldCharType="separate"/>
          </w:r>
          <w:r>
            <w:rPr>
              <w:rFonts w:hint="eastAsia"/>
              <w:color w:val="auto"/>
              <w:sz w:val="24"/>
              <w:szCs w:val="24"/>
              <w:lang w:val="en-US" w:eastAsia="zh-CN"/>
            </w:rPr>
            <w:t>2.8.3</w:t>
          </w:r>
          <w:r>
            <w:rPr>
              <w:color w:val="auto"/>
              <w:sz w:val="24"/>
              <w:szCs w:val="24"/>
            </w:rPr>
            <w:t>主要原辅材料</w:t>
          </w:r>
          <w:r>
            <w:rPr>
              <w:color w:val="auto"/>
              <w:sz w:val="24"/>
              <w:szCs w:val="24"/>
            </w:rPr>
            <w:tab/>
          </w:r>
          <w:r>
            <w:rPr>
              <w:color w:val="auto"/>
              <w:sz w:val="24"/>
              <w:szCs w:val="24"/>
            </w:rPr>
            <w:fldChar w:fldCharType="begin"/>
          </w:r>
          <w:r>
            <w:rPr>
              <w:color w:val="auto"/>
              <w:sz w:val="24"/>
              <w:szCs w:val="24"/>
            </w:rPr>
            <w:instrText xml:space="preserve"> PAGEREF _Toc4582 \h </w:instrText>
          </w:r>
          <w:r>
            <w:rPr>
              <w:color w:val="auto"/>
              <w:sz w:val="24"/>
              <w:szCs w:val="24"/>
            </w:rPr>
            <w:fldChar w:fldCharType="separate"/>
          </w:r>
          <w:r>
            <w:rPr>
              <w:color w:val="auto"/>
              <w:sz w:val="24"/>
              <w:szCs w:val="24"/>
            </w:rPr>
            <w:t>29</w:t>
          </w:r>
          <w:r>
            <w:rPr>
              <w:color w:val="auto"/>
              <w:sz w:val="24"/>
              <w:szCs w:val="24"/>
            </w:rPr>
            <w:fldChar w:fldCharType="end"/>
          </w:r>
          <w:r>
            <w:rPr>
              <w:rFonts w:hint="eastAsia"/>
              <w:color w:val="auto"/>
              <w:sz w:val="24"/>
              <w:szCs w:val="24"/>
              <w:lang w:eastAsia="zh-CN"/>
            </w:rPr>
            <w:fldChar w:fldCharType="end"/>
          </w:r>
        </w:p>
        <w:p w14:paraId="38AB36E5">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_Toc15129 </w:instrText>
          </w:r>
          <w:r>
            <w:rPr>
              <w:rFonts w:hint="eastAsia"/>
              <w:color w:val="auto"/>
              <w:sz w:val="24"/>
              <w:szCs w:val="24"/>
              <w:lang w:eastAsia="zh-CN"/>
            </w:rPr>
            <w:fldChar w:fldCharType="separate"/>
          </w:r>
          <w:r>
            <w:rPr>
              <w:rFonts w:hint="default"/>
              <w:color w:val="auto"/>
              <w:sz w:val="24"/>
              <w:szCs w:val="24"/>
              <w:lang w:val="en-US" w:eastAsia="zh-CN"/>
            </w:rPr>
            <w:t>2.</w:t>
          </w:r>
          <w:r>
            <w:rPr>
              <w:rFonts w:hint="eastAsia"/>
              <w:color w:val="auto"/>
              <w:sz w:val="24"/>
              <w:szCs w:val="24"/>
              <w:lang w:val="en-US" w:eastAsia="zh-CN"/>
            </w:rPr>
            <w:t>9</w:t>
          </w:r>
          <w:r>
            <w:rPr>
              <w:rFonts w:hint="default"/>
              <w:color w:val="auto"/>
              <w:sz w:val="24"/>
              <w:szCs w:val="24"/>
              <w:lang w:val="en-US" w:eastAsia="zh-CN"/>
            </w:rPr>
            <w:t>公用工程及辅助设施</w:t>
          </w:r>
          <w:r>
            <w:rPr>
              <w:color w:val="auto"/>
              <w:sz w:val="24"/>
              <w:szCs w:val="24"/>
            </w:rPr>
            <w:tab/>
          </w:r>
          <w:r>
            <w:rPr>
              <w:color w:val="auto"/>
              <w:sz w:val="24"/>
              <w:szCs w:val="24"/>
            </w:rPr>
            <w:fldChar w:fldCharType="begin"/>
          </w:r>
          <w:r>
            <w:rPr>
              <w:color w:val="auto"/>
              <w:sz w:val="24"/>
              <w:szCs w:val="24"/>
            </w:rPr>
            <w:instrText xml:space="preserve"> PAGEREF _Toc15129 \h </w:instrText>
          </w:r>
          <w:r>
            <w:rPr>
              <w:color w:val="auto"/>
              <w:sz w:val="24"/>
              <w:szCs w:val="24"/>
            </w:rPr>
            <w:fldChar w:fldCharType="separate"/>
          </w:r>
          <w:r>
            <w:rPr>
              <w:color w:val="auto"/>
              <w:sz w:val="24"/>
              <w:szCs w:val="24"/>
            </w:rPr>
            <w:t>29</w:t>
          </w:r>
          <w:r>
            <w:rPr>
              <w:color w:val="auto"/>
              <w:sz w:val="24"/>
              <w:szCs w:val="24"/>
            </w:rPr>
            <w:fldChar w:fldCharType="end"/>
          </w:r>
          <w:r>
            <w:rPr>
              <w:rFonts w:hint="eastAsia"/>
              <w:color w:val="auto"/>
              <w:sz w:val="24"/>
              <w:szCs w:val="24"/>
              <w:lang w:eastAsia="zh-CN"/>
            </w:rPr>
            <w:fldChar w:fldCharType="end"/>
          </w:r>
        </w:p>
        <w:p w14:paraId="3D47B11F">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_Toc30566 </w:instrText>
          </w:r>
          <w:r>
            <w:rPr>
              <w:rFonts w:hint="eastAsia"/>
              <w:color w:val="auto"/>
              <w:sz w:val="24"/>
              <w:szCs w:val="24"/>
              <w:lang w:eastAsia="zh-CN"/>
            </w:rPr>
            <w:fldChar w:fldCharType="separate"/>
          </w:r>
          <w:r>
            <w:rPr>
              <w:rFonts w:hint="eastAsia"/>
              <w:color w:val="auto"/>
              <w:sz w:val="24"/>
              <w:szCs w:val="24"/>
              <w:lang w:val="en-US" w:eastAsia="zh-CN"/>
            </w:rPr>
            <w:t>2.9.1</w:t>
          </w:r>
          <w:r>
            <w:rPr>
              <w:color w:val="auto"/>
              <w:sz w:val="24"/>
              <w:szCs w:val="24"/>
            </w:rPr>
            <w:t>给排水</w:t>
          </w:r>
          <w:r>
            <w:rPr>
              <w:color w:val="auto"/>
              <w:sz w:val="24"/>
              <w:szCs w:val="24"/>
            </w:rPr>
            <w:tab/>
          </w:r>
          <w:r>
            <w:rPr>
              <w:color w:val="auto"/>
              <w:sz w:val="24"/>
              <w:szCs w:val="24"/>
            </w:rPr>
            <w:fldChar w:fldCharType="begin"/>
          </w:r>
          <w:r>
            <w:rPr>
              <w:color w:val="auto"/>
              <w:sz w:val="24"/>
              <w:szCs w:val="24"/>
            </w:rPr>
            <w:instrText xml:space="preserve"> PAGEREF _Toc30566 \h </w:instrText>
          </w:r>
          <w:r>
            <w:rPr>
              <w:color w:val="auto"/>
              <w:sz w:val="24"/>
              <w:szCs w:val="24"/>
            </w:rPr>
            <w:fldChar w:fldCharType="separate"/>
          </w:r>
          <w:r>
            <w:rPr>
              <w:color w:val="auto"/>
              <w:sz w:val="24"/>
              <w:szCs w:val="24"/>
            </w:rPr>
            <w:t>29</w:t>
          </w:r>
          <w:r>
            <w:rPr>
              <w:color w:val="auto"/>
              <w:sz w:val="24"/>
              <w:szCs w:val="24"/>
            </w:rPr>
            <w:fldChar w:fldCharType="end"/>
          </w:r>
          <w:r>
            <w:rPr>
              <w:rFonts w:hint="eastAsia"/>
              <w:color w:val="auto"/>
              <w:sz w:val="24"/>
              <w:szCs w:val="24"/>
              <w:lang w:eastAsia="zh-CN"/>
            </w:rPr>
            <w:fldChar w:fldCharType="end"/>
          </w:r>
        </w:p>
        <w:p w14:paraId="500E051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_Toc21694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2.</w:t>
          </w:r>
          <w:r>
            <w:rPr>
              <w:rFonts w:hint="eastAsia"/>
              <w:color w:val="auto"/>
              <w:sz w:val="24"/>
              <w:szCs w:val="24"/>
              <w:lang w:val="en-US" w:eastAsia="zh-CN"/>
            </w:rPr>
            <w:t>9</w:t>
          </w:r>
          <w:r>
            <w:rPr>
              <w:rFonts w:hint="eastAsia" w:ascii="Times New Roman" w:hAnsi="Times New Roman"/>
              <w:color w:val="auto"/>
              <w:sz w:val="24"/>
              <w:szCs w:val="24"/>
              <w:lang w:val="en-US" w:eastAsia="zh-CN"/>
            </w:rPr>
            <w:t>.2供配电</w:t>
          </w:r>
          <w:r>
            <w:rPr>
              <w:color w:val="auto"/>
              <w:sz w:val="24"/>
              <w:szCs w:val="24"/>
            </w:rPr>
            <w:tab/>
          </w:r>
          <w:r>
            <w:rPr>
              <w:color w:val="auto"/>
              <w:sz w:val="24"/>
              <w:szCs w:val="24"/>
            </w:rPr>
            <w:fldChar w:fldCharType="begin"/>
          </w:r>
          <w:r>
            <w:rPr>
              <w:color w:val="auto"/>
              <w:sz w:val="24"/>
              <w:szCs w:val="24"/>
            </w:rPr>
            <w:instrText xml:space="preserve"> PAGEREF _Toc21694 \h </w:instrText>
          </w:r>
          <w:r>
            <w:rPr>
              <w:color w:val="auto"/>
              <w:sz w:val="24"/>
              <w:szCs w:val="24"/>
            </w:rPr>
            <w:fldChar w:fldCharType="separate"/>
          </w:r>
          <w:r>
            <w:rPr>
              <w:color w:val="auto"/>
              <w:sz w:val="24"/>
              <w:szCs w:val="24"/>
            </w:rPr>
            <w:t>30</w:t>
          </w:r>
          <w:r>
            <w:rPr>
              <w:color w:val="auto"/>
              <w:sz w:val="24"/>
              <w:szCs w:val="24"/>
            </w:rPr>
            <w:fldChar w:fldCharType="end"/>
          </w:r>
          <w:r>
            <w:rPr>
              <w:rFonts w:hint="eastAsia"/>
              <w:color w:val="auto"/>
              <w:sz w:val="24"/>
              <w:szCs w:val="24"/>
              <w:lang w:eastAsia="zh-CN"/>
            </w:rPr>
            <w:fldChar w:fldCharType="end"/>
          </w:r>
        </w:p>
        <w:p w14:paraId="408E61AF">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_Toc6187 </w:instrText>
          </w:r>
          <w:r>
            <w:rPr>
              <w:rFonts w:hint="eastAsia"/>
              <w:color w:val="auto"/>
              <w:sz w:val="24"/>
              <w:szCs w:val="24"/>
              <w:lang w:eastAsia="zh-CN"/>
            </w:rPr>
            <w:fldChar w:fldCharType="separate"/>
          </w:r>
          <w:r>
            <w:rPr>
              <w:rFonts w:hint="eastAsia"/>
              <w:color w:val="auto"/>
              <w:sz w:val="24"/>
              <w:szCs w:val="24"/>
              <w:lang w:val="en-US" w:eastAsia="zh-CN"/>
            </w:rPr>
            <w:t>2.9.3</w:t>
          </w:r>
          <w:r>
            <w:rPr>
              <w:rFonts w:hint="eastAsia"/>
              <w:color w:val="auto"/>
              <w:sz w:val="24"/>
              <w:szCs w:val="24"/>
            </w:rPr>
            <w:t>自动化及控制系统</w:t>
          </w:r>
          <w:r>
            <w:rPr>
              <w:color w:val="auto"/>
              <w:sz w:val="24"/>
              <w:szCs w:val="24"/>
            </w:rPr>
            <w:tab/>
          </w:r>
          <w:r>
            <w:rPr>
              <w:color w:val="auto"/>
              <w:sz w:val="24"/>
              <w:szCs w:val="24"/>
            </w:rPr>
            <w:fldChar w:fldCharType="begin"/>
          </w:r>
          <w:r>
            <w:rPr>
              <w:color w:val="auto"/>
              <w:sz w:val="24"/>
              <w:szCs w:val="24"/>
            </w:rPr>
            <w:instrText xml:space="preserve"> PAGEREF _Toc6187 \h </w:instrText>
          </w:r>
          <w:r>
            <w:rPr>
              <w:color w:val="auto"/>
              <w:sz w:val="24"/>
              <w:szCs w:val="24"/>
            </w:rPr>
            <w:fldChar w:fldCharType="separate"/>
          </w:r>
          <w:r>
            <w:rPr>
              <w:color w:val="auto"/>
              <w:sz w:val="24"/>
              <w:szCs w:val="24"/>
            </w:rPr>
            <w:t>32</w:t>
          </w:r>
          <w:r>
            <w:rPr>
              <w:color w:val="auto"/>
              <w:sz w:val="24"/>
              <w:szCs w:val="24"/>
            </w:rPr>
            <w:fldChar w:fldCharType="end"/>
          </w:r>
          <w:r>
            <w:rPr>
              <w:rFonts w:hint="eastAsia"/>
              <w:color w:val="auto"/>
              <w:sz w:val="24"/>
              <w:szCs w:val="24"/>
              <w:lang w:eastAsia="zh-CN"/>
            </w:rPr>
            <w:fldChar w:fldCharType="end"/>
          </w:r>
        </w:p>
        <w:p w14:paraId="44ACB2E9">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_Toc17658 </w:instrText>
          </w:r>
          <w:r>
            <w:rPr>
              <w:rFonts w:hint="eastAsia"/>
              <w:color w:val="auto"/>
              <w:sz w:val="24"/>
              <w:szCs w:val="24"/>
              <w:lang w:eastAsia="zh-CN"/>
            </w:rPr>
            <w:fldChar w:fldCharType="separate"/>
          </w:r>
          <w:r>
            <w:rPr>
              <w:rFonts w:hint="eastAsia"/>
              <w:color w:val="auto"/>
              <w:sz w:val="24"/>
              <w:szCs w:val="24"/>
            </w:rPr>
            <w:t>2.</w:t>
          </w:r>
          <w:r>
            <w:rPr>
              <w:rFonts w:hint="eastAsia"/>
              <w:color w:val="auto"/>
              <w:sz w:val="24"/>
              <w:szCs w:val="24"/>
              <w:lang w:val="en-US" w:eastAsia="zh-CN"/>
            </w:rPr>
            <w:t>9.4</w:t>
          </w:r>
          <w:r>
            <w:rPr>
              <w:rFonts w:hint="eastAsia"/>
              <w:color w:val="auto"/>
              <w:sz w:val="24"/>
              <w:szCs w:val="24"/>
            </w:rPr>
            <w:t>管道和阀门系统</w:t>
          </w:r>
          <w:r>
            <w:rPr>
              <w:color w:val="auto"/>
              <w:sz w:val="24"/>
              <w:szCs w:val="24"/>
            </w:rPr>
            <w:tab/>
          </w:r>
          <w:r>
            <w:rPr>
              <w:color w:val="auto"/>
              <w:sz w:val="24"/>
              <w:szCs w:val="24"/>
            </w:rPr>
            <w:fldChar w:fldCharType="begin"/>
          </w:r>
          <w:r>
            <w:rPr>
              <w:color w:val="auto"/>
              <w:sz w:val="24"/>
              <w:szCs w:val="24"/>
            </w:rPr>
            <w:instrText xml:space="preserve"> PAGEREF _Toc17658 \h </w:instrText>
          </w:r>
          <w:r>
            <w:rPr>
              <w:color w:val="auto"/>
              <w:sz w:val="24"/>
              <w:szCs w:val="24"/>
            </w:rPr>
            <w:fldChar w:fldCharType="separate"/>
          </w:r>
          <w:r>
            <w:rPr>
              <w:color w:val="auto"/>
              <w:sz w:val="24"/>
              <w:szCs w:val="24"/>
            </w:rPr>
            <w:t>37</w:t>
          </w:r>
          <w:r>
            <w:rPr>
              <w:color w:val="auto"/>
              <w:sz w:val="24"/>
              <w:szCs w:val="24"/>
            </w:rPr>
            <w:fldChar w:fldCharType="end"/>
          </w:r>
          <w:r>
            <w:rPr>
              <w:rFonts w:hint="eastAsia"/>
              <w:color w:val="auto"/>
              <w:sz w:val="24"/>
              <w:szCs w:val="24"/>
              <w:lang w:eastAsia="zh-CN"/>
            </w:rPr>
            <w:fldChar w:fldCharType="end"/>
          </w:r>
        </w:p>
        <w:p w14:paraId="5E19C0C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_Toc31996 </w:instrText>
          </w:r>
          <w:r>
            <w:rPr>
              <w:rFonts w:hint="eastAsia"/>
              <w:color w:val="auto"/>
              <w:sz w:val="24"/>
              <w:szCs w:val="24"/>
              <w:lang w:eastAsia="zh-CN"/>
            </w:rPr>
            <w:fldChar w:fldCharType="separate"/>
          </w:r>
          <w:r>
            <w:rPr>
              <w:rFonts w:hint="default"/>
              <w:color w:val="auto"/>
              <w:sz w:val="24"/>
              <w:szCs w:val="24"/>
              <w:lang w:val="en-US" w:eastAsia="zh-CN"/>
            </w:rPr>
            <w:t>2.</w:t>
          </w:r>
          <w:r>
            <w:rPr>
              <w:rFonts w:hint="eastAsia"/>
              <w:color w:val="auto"/>
              <w:sz w:val="24"/>
              <w:szCs w:val="24"/>
              <w:lang w:val="en-US" w:eastAsia="zh-CN"/>
            </w:rPr>
            <w:t>9.5</w:t>
          </w:r>
          <w:r>
            <w:rPr>
              <w:rFonts w:hint="eastAsia"/>
              <w:color w:val="auto"/>
              <w:sz w:val="24"/>
              <w:szCs w:val="24"/>
            </w:rPr>
            <w:t>事故浆液系统</w:t>
          </w:r>
          <w:r>
            <w:rPr>
              <w:color w:val="auto"/>
              <w:sz w:val="24"/>
              <w:szCs w:val="24"/>
            </w:rPr>
            <w:tab/>
          </w:r>
          <w:r>
            <w:rPr>
              <w:color w:val="auto"/>
              <w:sz w:val="24"/>
              <w:szCs w:val="24"/>
            </w:rPr>
            <w:fldChar w:fldCharType="begin"/>
          </w:r>
          <w:r>
            <w:rPr>
              <w:color w:val="auto"/>
              <w:sz w:val="24"/>
              <w:szCs w:val="24"/>
            </w:rPr>
            <w:instrText xml:space="preserve"> PAGEREF _Toc31996 \h </w:instrText>
          </w:r>
          <w:r>
            <w:rPr>
              <w:color w:val="auto"/>
              <w:sz w:val="24"/>
              <w:szCs w:val="24"/>
            </w:rPr>
            <w:fldChar w:fldCharType="separate"/>
          </w:r>
          <w:r>
            <w:rPr>
              <w:color w:val="auto"/>
              <w:sz w:val="24"/>
              <w:szCs w:val="24"/>
            </w:rPr>
            <w:t>38</w:t>
          </w:r>
          <w:r>
            <w:rPr>
              <w:color w:val="auto"/>
              <w:sz w:val="24"/>
              <w:szCs w:val="24"/>
            </w:rPr>
            <w:fldChar w:fldCharType="end"/>
          </w:r>
          <w:r>
            <w:rPr>
              <w:rFonts w:hint="eastAsia"/>
              <w:color w:val="auto"/>
              <w:sz w:val="24"/>
              <w:szCs w:val="24"/>
              <w:lang w:eastAsia="zh-CN"/>
            </w:rPr>
            <w:fldChar w:fldCharType="end"/>
          </w:r>
        </w:p>
        <w:p w14:paraId="75B85E1C">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_Toc28309 </w:instrText>
          </w:r>
          <w:r>
            <w:rPr>
              <w:rFonts w:hint="eastAsia"/>
              <w:color w:val="auto"/>
              <w:sz w:val="24"/>
              <w:szCs w:val="24"/>
              <w:lang w:eastAsia="zh-CN"/>
            </w:rPr>
            <w:fldChar w:fldCharType="separate"/>
          </w:r>
          <w:r>
            <w:rPr>
              <w:rFonts w:hint="default"/>
              <w:color w:val="auto"/>
              <w:sz w:val="24"/>
              <w:szCs w:val="24"/>
              <w:lang w:val="en-US" w:eastAsia="zh-CN"/>
            </w:rPr>
            <w:t>2.</w:t>
          </w:r>
          <w:r>
            <w:rPr>
              <w:rFonts w:hint="eastAsia"/>
              <w:color w:val="auto"/>
              <w:sz w:val="24"/>
              <w:szCs w:val="24"/>
              <w:lang w:val="en-US" w:eastAsia="zh-CN"/>
            </w:rPr>
            <w:t>9.6</w:t>
          </w:r>
          <w:r>
            <w:rPr>
              <w:rFonts w:hint="eastAsia"/>
              <w:color w:val="auto"/>
              <w:sz w:val="24"/>
              <w:szCs w:val="24"/>
            </w:rPr>
            <w:t>供气</w:t>
          </w:r>
          <w:r>
            <w:rPr>
              <w:color w:val="auto"/>
              <w:sz w:val="24"/>
              <w:szCs w:val="24"/>
            </w:rPr>
            <w:tab/>
          </w:r>
          <w:r>
            <w:rPr>
              <w:color w:val="auto"/>
              <w:sz w:val="24"/>
              <w:szCs w:val="24"/>
            </w:rPr>
            <w:fldChar w:fldCharType="begin"/>
          </w:r>
          <w:r>
            <w:rPr>
              <w:color w:val="auto"/>
              <w:sz w:val="24"/>
              <w:szCs w:val="24"/>
            </w:rPr>
            <w:instrText xml:space="preserve"> PAGEREF _Toc28309 \h </w:instrText>
          </w:r>
          <w:r>
            <w:rPr>
              <w:color w:val="auto"/>
              <w:sz w:val="24"/>
              <w:szCs w:val="24"/>
            </w:rPr>
            <w:fldChar w:fldCharType="separate"/>
          </w:r>
          <w:r>
            <w:rPr>
              <w:color w:val="auto"/>
              <w:sz w:val="24"/>
              <w:szCs w:val="24"/>
            </w:rPr>
            <w:t>38</w:t>
          </w:r>
          <w:r>
            <w:rPr>
              <w:color w:val="auto"/>
              <w:sz w:val="24"/>
              <w:szCs w:val="24"/>
            </w:rPr>
            <w:fldChar w:fldCharType="end"/>
          </w:r>
          <w:r>
            <w:rPr>
              <w:rFonts w:hint="eastAsia"/>
              <w:color w:val="auto"/>
              <w:sz w:val="24"/>
              <w:szCs w:val="24"/>
              <w:lang w:eastAsia="zh-CN"/>
            </w:rPr>
            <w:fldChar w:fldCharType="end"/>
          </w:r>
        </w:p>
        <w:p w14:paraId="5B1CA8CC">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_Toc3614 </w:instrText>
          </w:r>
          <w:r>
            <w:rPr>
              <w:rFonts w:hint="eastAsia"/>
              <w:color w:val="auto"/>
              <w:sz w:val="24"/>
              <w:szCs w:val="24"/>
              <w:lang w:eastAsia="zh-CN"/>
            </w:rPr>
            <w:fldChar w:fldCharType="separate"/>
          </w:r>
          <w:r>
            <w:rPr>
              <w:rFonts w:hint="default"/>
              <w:color w:val="auto"/>
              <w:sz w:val="24"/>
              <w:szCs w:val="24"/>
              <w:lang w:val="en-US" w:eastAsia="zh-CN"/>
            </w:rPr>
            <w:t>2.</w:t>
          </w:r>
          <w:r>
            <w:rPr>
              <w:rFonts w:hint="eastAsia"/>
              <w:color w:val="auto"/>
              <w:sz w:val="24"/>
              <w:szCs w:val="24"/>
              <w:lang w:val="en-US" w:eastAsia="zh-CN"/>
            </w:rPr>
            <w:t>9.7</w:t>
          </w:r>
          <w:r>
            <w:rPr>
              <w:rFonts w:hint="eastAsia"/>
              <w:color w:val="auto"/>
              <w:sz w:val="24"/>
              <w:szCs w:val="24"/>
            </w:rPr>
            <w:t>通风</w:t>
          </w:r>
          <w:r>
            <w:rPr>
              <w:color w:val="auto"/>
              <w:sz w:val="24"/>
              <w:szCs w:val="24"/>
            </w:rPr>
            <w:tab/>
          </w:r>
          <w:r>
            <w:rPr>
              <w:color w:val="auto"/>
              <w:sz w:val="24"/>
              <w:szCs w:val="24"/>
            </w:rPr>
            <w:fldChar w:fldCharType="begin"/>
          </w:r>
          <w:r>
            <w:rPr>
              <w:color w:val="auto"/>
              <w:sz w:val="24"/>
              <w:szCs w:val="24"/>
            </w:rPr>
            <w:instrText xml:space="preserve"> PAGEREF _Toc3614 \h </w:instrText>
          </w:r>
          <w:r>
            <w:rPr>
              <w:color w:val="auto"/>
              <w:sz w:val="24"/>
              <w:szCs w:val="24"/>
            </w:rPr>
            <w:fldChar w:fldCharType="separate"/>
          </w:r>
          <w:r>
            <w:rPr>
              <w:color w:val="auto"/>
              <w:sz w:val="24"/>
              <w:szCs w:val="24"/>
            </w:rPr>
            <w:t>38</w:t>
          </w:r>
          <w:r>
            <w:rPr>
              <w:color w:val="auto"/>
              <w:sz w:val="24"/>
              <w:szCs w:val="24"/>
            </w:rPr>
            <w:fldChar w:fldCharType="end"/>
          </w:r>
          <w:r>
            <w:rPr>
              <w:rFonts w:hint="eastAsia"/>
              <w:color w:val="auto"/>
              <w:sz w:val="24"/>
              <w:szCs w:val="24"/>
              <w:lang w:eastAsia="zh-CN"/>
            </w:rPr>
            <w:fldChar w:fldCharType="end"/>
          </w:r>
        </w:p>
        <w:p w14:paraId="6B108680">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_Toc20213 </w:instrText>
          </w:r>
          <w:r>
            <w:rPr>
              <w:rFonts w:hint="eastAsia"/>
              <w:color w:val="auto"/>
              <w:sz w:val="24"/>
              <w:szCs w:val="24"/>
              <w:lang w:eastAsia="zh-CN"/>
            </w:rPr>
            <w:fldChar w:fldCharType="separate"/>
          </w:r>
          <w:r>
            <w:rPr>
              <w:rFonts w:hint="default"/>
              <w:color w:val="auto"/>
              <w:sz w:val="24"/>
              <w:szCs w:val="24"/>
              <w:lang w:val="en-US" w:eastAsia="zh-CN"/>
            </w:rPr>
            <w:t>2.</w:t>
          </w:r>
          <w:r>
            <w:rPr>
              <w:rFonts w:hint="eastAsia"/>
              <w:color w:val="auto"/>
              <w:sz w:val="24"/>
              <w:szCs w:val="24"/>
              <w:lang w:val="en-US" w:eastAsia="zh-CN"/>
            </w:rPr>
            <w:t>9.8消防</w:t>
          </w:r>
          <w:r>
            <w:rPr>
              <w:color w:val="auto"/>
              <w:sz w:val="24"/>
              <w:szCs w:val="24"/>
            </w:rPr>
            <w:tab/>
          </w:r>
          <w:r>
            <w:rPr>
              <w:color w:val="auto"/>
              <w:sz w:val="24"/>
              <w:szCs w:val="24"/>
            </w:rPr>
            <w:fldChar w:fldCharType="begin"/>
          </w:r>
          <w:r>
            <w:rPr>
              <w:color w:val="auto"/>
              <w:sz w:val="24"/>
              <w:szCs w:val="24"/>
            </w:rPr>
            <w:instrText xml:space="preserve"> PAGEREF _Toc20213 \h </w:instrText>
          </w:r>
          <w:r>
            <w:rPr>
              <w:color w:val="auto"/>
              <w:sz w:val="24"/>
              <w:szCs w:val="24"/>
            </w:rPr>
            <w:fldChar w:fldCharType="separate"/>
          </w:r>
          <w:r>
            <w:rPr>
              <w:color w:val="auto"/>
              <w:sz w:val="24"/>
              <w:szCs w:val="24"/>
            </w:rPr>
            <w:t>38</w:t>
          </w:r>
          <w:r>
            <w:rPr>
              <w:color w:val="auto"/>
              <w:sz w:val="24"/>
              <w:szCs w:val="24"/>
            </w:rPr>
            <w:fldChar w:fldCharType="end"/>
          </w:r>
          <w:r>
            <w:rPr>
              <w:rFonts w:hint="eastAsia"/>
              <w:color w:val="auto"/>
              <w:sz w:val="24"/>
              <w:szCs w:val="24"/>
              <w:lang w:eastAsia="zh-CN"/>
            </w:rPr>
            <w:fldChar w:fldCharType="end"/>
          </w:r>
        </w:p>
        <w:p w14:paraId="0B23E61F">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_Toc30921 </w:instrText>
          </w:r>
          <w:r>
            <w:rPr>
              <w:rFonts w:hint="eastAsia"/>
              <w:color w:val="auto"/>
              <w:sz w:val="24"/>
              <w:szCs w:val="24"/>
              <w:lang w:eastAsia="zh-CN"/>
            </w:rPr>
            <w:fldChar w:fldCharType="separate"/>
          </w:r>
          <w:r>
            <w:rPr>
              <w:rFonts w:hint="eastAsia"/>
              <w:color w:val="auto"/>
              <w:sz w:val="24"/>
              <w:szCs w:val="24"/>
              <w:lang w:val="en-US" w:eastAsia="zh-CN"/>
            </w:rPr>
            <w:t>2.9.9</w:t>
          </w:r>
          <w:r>
            <w:rPr>
              <w:rFonts w:hint="eastAsia"/>
              <w:color w:val="auto"/>
              <w:sz w:val="24"/>
              <w:szCs w:val="24"/>
            </w:rPr>
            <w:t>维修</w:t>
          </w:r>
          <w:r>
            <w:rPr>
              <w:color w:val="auto"/>
              <w:sz w:val="24"/>
              <w:szCs w:val="24"/>
            </w:rPr>
            <w:tab/>
          </w:r>
          <w:r>
            <w:rPr>
              <w:color w:val="auto"/>
              <w:sz w:val="24"/>
              <w:szCs w:val="24"/>
            </w:rPr>
            <w:fldChar w:fldCharType="begin"/>
          </w:r>
          <w:r>
            <w:rPr>
              <w:color w:val="auto"/>
              <w:sz w:val="24"/>
              <w:szCs w:val="24"/>
            </w:rPr>
            <w:instrText xml:space="preserve"> PAGEREF _Toc30921 \h </w:instrText>
          </w:r>
          <w:r>
            <w:rPr>
              <w:color w:val="auto"/>
              <w:sz w:val="24"/>
              <w:szCs w:val="24"/>
            </w:rPr>
            <w:fldChar w:fldCharType="separate"/>
          </w:r>
          <w:r>
            <w:rPr>
              <w:color w:val="auto"/>
              <w:sz w:val="24"/>
              <w:szCs w:val="24"/>
            </w:rPr>
            <w:t>40</w:t>
          </w:r>
          <w:r>
            <w:rPr>
              <w:color w:val="auto"/>
              <w:sz w:val="24"/>
              <w:szCs w:val="24"/>
            </w:rPr>
            <w:fldChar w:fldCharType="end"/>
          </w:r>
          <w:r>
            <w:rPr>
              <w:rFonts w:hint="eastAsia"/>
              <w:color w:val="auto"/>
              <w:sz w:val="24"/>
              <w:szCs w:val="24"/>
              <w:lang w:eastAsia="zh-CN"/>
            </w:rPr>
            <w:fldChar w:fldCharType="end"/>
          </w:r>
        </w:p>
        <w:p w14:paraId="4D3D2E3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_Toc5687 </w:instrText>
          </w:r>
          <w:r>
            <w:rPr>
              <w:rFonts w:hint="eastAsia"/>
              <w:color w:val="auto"/>
              <w:sz w:val="24"/>
              <w:szCs w:val="24"/>
              <w:lang w:eastAsia="zh-CN"/>
            </w:rPr>
            <w:fldChar w:fldCharType="separate"/>
          </w:r>
          <w:r>
            <w:rPr>
              <w:rFonts w:hint="eastAsia"/>
              <w:color w:val="auto"/>
              <w:sz w:val="24"/>
              <w:szCs w:val="24"/>
            </w:rPr>
            <w:t>2.</w:t>
          </w:r>
          <w:r>
            <w:rPr>
              <w:rFonts w:hint="eastAsia"/>
              <w:color w:val="auto"/>
              <w:sz w:val="24"/>
              <w:szCs w:val="24"/>
              <w:lang w:val="en-US" w:eastAsia="zh-CN"/>
            </w:rPr>
            <w:t>9.10</w:t>
          </w:r>
          <w:r>
            <w:rPr>
              <w:rFonts w:hint="eastAsia"/>
              <w:color w:val="auto"/>
              <w:sz w:val="24"/>
              <w:szCs w:val="24"/>
            </w:rPr>
            <w:t>三废处理</w:t>
          </w:r>
          <w:r>
            <w:rPr>
              <w:color w:val="auto"/>
              <w:sz w:val="24"/>
              <w:szCs w:val="24"/>
            </w:rPr>
            <w:tab/>
          </w:r>
          <w:r>
            <w:rPr>
              <w:color w:val="auto"/>
              <w:sz w:val="24"/>
              <w:szCs w:val="24"/>
            </w:rPr>
            <w:fldChar w:fldCharType="begin"/>
          </w:r>
          <w:r>
            <w:rPr>
              <w:color w:val="auto"/>
              <w:sz w:val="24"/>
              <w:szCs w:val="24"/>
            </w:rPr>
            <w:instrText xml:space="preserve"> PAGEREF _Toc5687 \h </w:instrText>
          </w:r>
          <w:r>
            <w:rPr>
              <w:color w:val="auto"/>
              <w:sz w:val="24"/>
              <w:szCs w:val="24"/>
            </w:rPr>
            <w:fldChar w:fldCharType="separate"/>
          </w:r>
          <w:r>
            <w:rPr>
              <w:color w:val="auto"/>
              <w:sz w:val="24"/>
              <w:szCs w:val="24"/>
            </w:rPr>
            <w:t>40</w:t>
          </w:r>
          <w:r>
            <w:rPr>
              <w:color w:val="auto"/>
              <w:sz w:val="24"/>
              <w:szCs w:val="24"/>
            </w:rPr>
            <w:fldChar w:fldCharType="end"/>
          </w:r>
          <w:r>
            <w:rPr>
              <w:rFonts w:hint="eastAsia"/>
              <w:color w:val="auto"/>
              <w:sz w:val="24"/>
              <w:szCs w:val="24"/>
              <w:lang w:eastAsia="zh-CN"/>
            </w:rPr>
            <w:fldChar w:fldCharType="end"/>
          </w:r>
        </w:p>
        <w:p w14:paraId="3EEC29C1">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_Toc3423 </w:instrText>
          </w:r>
          <w:r>
            <w:rPr>
              <w:rFonts w:hint="eastAsia"/>
              <w:color w:val="auto"/>
              <w:sz w:val="24"/>
              <w:szCs w:val="24"/>
              <w:lang w:eastAsia="zh-CN"/>
            </w:rPr>
            <w:fldChar w:fldCharType="separate"/>
          </w:r>
          <w:r>
            <w:rPr>
              <w:rFonts w:hint="default"/>
              <w:color w:val="auto"/>
              <w:sz w:val="24"/>
              <w:szCs w:val="24"/>
              <w:lang w:val="zh-CN" w:eastAsia="zh-CN"/>
            </w:rPr>
            <w:t>2.</w:t>
          </w:r>
          <w:r>
            <w:rPr>
              <w:rFonts w:hint="eastAsia"/>
              <w:color w:val="auto"/>
              <w:sz w:val="24"/>
              <w:szCs w:val="24"/>
              <w:lang w:val="en-US" w:eastAsia="zh-CN"/>
            </w:rPr>
            <w:t>9.11</w:t>
          </w:r>
          <w:r>
            <w:rPr>
              <w:rFonts w:hint="eastAsia"/>
              <w:color w:val="auto"/>
              <w:sz w:val="24"/>
              <w:szCs w:val="24"/>
              <w:lang w:val="zh-CN"/>
            </w:rPr>
            <w:t>组织机构与劳动定员</w:t>
          </w:r>
          <w:r>
            <w:rPr>
              <w:color w:val="auto"/>
              <w:sz w:val="24"/>
              <w:szCs w:val="24"/>
            </w:rPr>
            <w:tab/>
          </w:r>
          <w:r>
            <w:rPr>
              <w:color w:val="auto"/>
              <w:sz w:val="24"/>
              <w:szCs w:val="24"/>
            </w:rPr>
            <w:fldChar w:fldCharType="begin"/>
          </w:r>
          <w:r>
            <w:rPr>
              <w:color w:val="auto"/>
              <w:sz w:val="24"/>
              <w:szCs w:val="24"/>
            </w:rPr>
            <w:instrText xml:space="preserve"> PAGEREF _Toc3423 \h </w:instrText>
          </w:r>
          <w:r>
            <w:rPr>
              <w:color w:val="auto"/>
              <w:sz w:val="24"/>
              <w:szCs w:val="24"/>
            </w:rPr>
            <w:fldChar w:fldCharType="separate"/>
          </w:r>
          <w:r>
            <w:rPr>
              <w:color w:val="auto"/>
              <w:sz w:val="24"/>
              <w:szCs w:val="24"/>
            </w:rPr>
            <w:t>41</w:t>
          </w:r>
          <w:r>
            <w:rPr>
              <w:color w:val="auto"/>
              <w:sz w:val="24"/>
              <w:szCs w:val="24"/>
            </w:rPr>
            <w:fldChar w:fldCharType="end"/>
          </w:r>
          <w:r>
            <w:rPr>
              <w:rFonts w:hint="eastAsia"/>
              <w:color w:val="auto"/>
              <w:sz w:val="24"/>
              <w:szCs w:val="24"/>
              <w:lang w:eastAsia="zh-CN"/>
            </w:rPr>
            <w:fldChar w:fldCharType="end"/>
          </w:r>
        </w:p>
        <w:p w14:paraId="7A692AD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_Toc6402 </w:instrText>
          </w:r>
          <w:r>
            <w:rPr>
              <w:rFonts w:hint="eastAsia"/>
              <w:color w:val="auto"/>
              <w:sz w:val="24"/>
              <w:szCs w:val="24"/>
              <w:lang w:eastAsia="zh-CN"/>
            </w:rPr>
            <w:fldChar w:fldCharType="separate"/>
          </w:r>
          <w:r>
            <w:rPr>
              <w:rFonts w:hint="eastAsia"/>
              <w:color w:val="auto"/>
              <w:sz w:val="24"/>
              <w:szCs w:val="24"/>
              <w:lang w:val="en-US" w:eastAsia="zh-CN"/>
            </w:rPr>
            <w:t>2.9.12试运行情况</w:t>
          </w:r>
          <w:r>
            <w:rPr>
              <w:color w:val="auto"/>
              <w:sz w:val="24"/>
              <w:szCs w:val="24"/>
            </w:rPr>
            <w:tab/>
          </w:r>
          <w:r>
            <w:rPr>
              <w:color w:val="auto"/>
              <w:sz w:val="24"/>
              <w:szCs w:val="24"/>
            </w:rPr>
            <w:fldChar w:fldCharType="begin"/>
          </w:r>
          <w:r>
            <w:rPr>
              <w:color w:val="auto"/>
              <w:sz w:val="24"/>
              <w:szCs w:val="24"/>
            </w:rPr>
            <w:instrText xml:space="preserve"> PAGEREF _Toc6402 \h </w:instrText>
          </w:r>
          <w:r>
            <w:rPr>
              <w:color w:val="auto"/>
              <w:sz w:val="24"/>
              <w:szCs w:val="24"/>
            </w:rPr>
            <w:fldChar w:fldCharType="separate"/>
          </w:r>
          <w:r>
            <w:rPr>
              <w:color w:val="auto"/>
              <w:sz w:val="24"/>
              <w:szCs w:val="24"/>
            </w:rPr>
            <w:t>44</w:t>
          </w:r>
          <w:r>
            <w:rPr>
              <w:color w:val="auto"/>
              <w:sz w:val="24"/>
              <w:szCs w:val="24"/>
            </w:rPr>
            <w:fldChar w:fldCharType="end"/>
          </w:r>
          <w:r>
            <w:rPr>
              <w:rFonts w:hint="eastAsia"/>
              <w:color w:val="auto"/>
              <w:sz w:val="24"/>
              <w:szCs w:val="24"/>
              <w:lang w:eastAsia="zh-CN"/>
            </w:rPr>
            <w:fldChar w:fldCharType="end"/>
          </w:r>
        </w:p>
        <w:p w14:paraId="2E72B027">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_Toc17522 </w:instrText>
          </w:r>
          <w:r>
            <w:rPr>
              <w:rFonts w:hint="eastAsia"/>
              <w:color w:val="auto"/>
              <w:sz w:val="24"/>
              <w:szCs w:val="24"/>
              <w:lang w:eastAsia="zh-CN"/>
            </w:rPr>
            <w:fldChar w:fldCharType="separate"/>
          </w:r>
          <w:r>
            <w:rPr>
              <w:rFonts w:hint="eastAsia"/>
              <w:color w:val="auto"/>
              <w:sz w:val="24"/>
              <w:szCs w:val="24"/>
              <w:lang w:val="en-US" w:eastAsia="zh-CN"/>
            </w:rPr>
            <w:t>2.9.13</w:t>
          </w:r>
          <w:r>
            <w:rPr>
              <w:color w:val="auto"/>
              <w:sz w:val="24"/>
              <w:szCs w:val="24"/>
            </w:rPr>
            <w:t>安全生产投入情况</w:t>
          </w:r>
          <w:r>
            <w:rPr>
              <w:color w:val="auto"/>
              <w:sz w:val="24"/>
              <w:szCs w:val="24"/>
            </w:rPr>
            <w:tab/>
          </w:r>
          <w:r>
            <w:rPr>
              <w:color w:val="auto"/>
              <w:sz w:val="24"/>
              <w:szCs w:val="24"/>
            </w:rPr>
            <w:fldChar w:fldCharType="begin"/>
          </w:r>
          <w:r>
            <w:rPr>
              <w:color w:val="auto"/>
              <w:sz w:val="24"/>
              <w:szCs w:val="24"/>
            </w:rPr>
            <w:instrText xml:space="preserve"> PAGEREF _Toc17522 \h </w:instrText>
          </w:r>
          <w:r>
            <w:rPr>
              <w:color w:val="auto"/>
              <w:sz w:val="24"/>
              <w:szCs w:val="24"/>
            </w:rPr>
            <w:fldChar w:fldCharType="separate"/>
          </w:r>
          <w:r>
            <w:rPr>
              <w:color w:val="auto"/>
              <w:sz w:val="24"/>
              <w:szCs w:val="24"/>
            </w:rPr>
            <w:t>45</w:t>
          </w:r>
          <w:r>
            <w:rPr>
              <w:color w:val="auto"/>
              <w:sz w:val="24"/>
              <w:szCs w:val="24"/>
            </w:rPr>
            <w:fldChar w:fldCharType="end"/>
          </w:r>
          <w:r>
            <w:rPr>
              <w:rFonts w:hint="eastAsia"/>
              <w:color w:val="auto"/>
              <w:sz w:val="24"/>
              <w:szCs w:val="24"/>
              <w:lang w:eastAsia="zh-CN"/>
            </w:rPr>
            <w:fldChar w:fldCharType="end"/>
          </w:r>
        </w:p>
        <w:p w14:paraId="51E5E7AE">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_Toc12805 </w:instrText>
          </w:r>
          <w:r>
            <w:rPr>
              <w:rFonts w:hint="eastAsia"/>
              <w:color w:val="auto"/>
              <w:sz w:val="24"/>
              <w:szCs w:val="24"/>
              <w:lang w:eastAsia="zh-CN"/>
            </w:rPr>
            <w:fldChar w:fldCharType="separate"/>
          </w:r>
          <w:r>
            <w:rPr>
              <w:rFonts w:hint="default" w:ascii="Times New Roman" w:hAnsi="Times New Roman" w:eastAsia="宋体" w:cs="Times New Roman"/>
              <w:color w:val="auto"/>
              <w:kern w:val="44"/>
              <w:sz w:val="24"/>
              <w:szCs w:val="24"/>
              <w:lang w:val="en-US" w:eastAsia="zh-CN" w:bidi="ar-SA"/>
            </w:rPr>
            <w:t>3.</w:t>
          </w:r>
          <w:r>
            <w:rPr>
              <w:rFonts w:hint="default"/>
              <w:color w:val="auto"/>
              <w:sz w:val="24"/>
              <w:szCs w:val="24"/>
              <w:lang w:val="en-US" w:eastAsia="zh-CN"/>
            </w:rPr>
            <w:t>主要危险、有害因素辨识与分析</w:t>
          </w:r>
          <w:r>
            <w:rPr>
              <w:color w:val="auto"/>
              <w:sz w:val="24"/>
              <w:szCs w:val="24"/>
            </w:rPr>
            <w:tab/>
          </w:r>
          <w:r>
            <w:rPr>
              <w:color w:val="auto"/>
              <w:sz w:val="24"/>
              <w:szCs w:val="24"/>
            </w:rPr>
            <w:fldChar w:fldCharType="begin"/>
          </w:r>
          <w:r>
            <w:rPr>
              <w:color w:val="auto"/>
              <w:sz w:val="24"/>
              <w:szCs w:val="24"/>
            </w:rPr>
            <w:instrText xml:space="preserve"> PAGEREF _Toc12805 \h </w:instrText>
          </w:r>
          <w:r>
            <w:rPr>
              <w:color w:val="auto"/>
              <w:sz w:val="24"/>
              <w:szCs w:val="24"/>
            </w:rPr>
            <w:fldChar w:fldCharType="separate"/>
          </w:r>
          <w:r>
            <w:rPr>
              <w:color w:val="auto"/>
              <w:sz w:val="24"/>
              <w:szCs w:val="24"/>
            </w:rPr>
            <w:t>46</w:t>
          </w:r>
          <w:r>
            <w:rPr>
              <w:color w:val="auto"/>
              <w:sz w:val="24"/>
              <w:szCs w:val="24"/>
            </w:rPr>
            <w:fldChar w:fldCharType="end"/>
          </w:r>
          <w:r>
            <w:rPr>
              <w:rFonts w:hint="eastAsia"/>
              <w:color w:val="auto"/>
              <w:sz w:val="24"/>
              <w:szCs w:val="24"/>
              <w:lang w:eastAsia="zh-CN"/>
            </w:rPr>
            <w:fldChar w:fldCharType="end"/>
          </w:r>
        </w:p>
        <w:p w14:paraId="299DC5F9">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_Toc18645 </w:instrText>
          </w:r>
          <w:r>
            <w:rPr>
              <w:rFonts w:hint="eastAsia"/>
              <w:color w:val="auto"/>
              <w:sz w:val="24"/>
              <w:szCs w:val="24"/>
              <w:lang w:eastAsia="zh-CN"/>
            </w:rPr>
            <w:fldChar w:fldCharType="separate"/>
          </w:r>
          <w:r>
            <w:rPr>
              <w:rFonts w:hint="eastAsia" w:ascii="Times New Roman" w:hAnsi="Times New Roman"/>
              <w:color w:val="auto"/>
              <w:sz w:val="24"/>
              <w:szCs w:val="24"/>
            </w:rPr>
            <w:t>3.1</w:t>
          </w:r>
          <w:r>
            <w:rPr>
              <w:rFonts w:hint="eastAsia" w:ascii="Times New Roman" w:hAnsi="Times New Roman"/>
              <w:color w:val="auto"/>
              <w:sz w:val="24"/>
              <w:szCs w:val="24"/>
              <w:lang w:val="en-US" w:eastAsia="zh-CN"/>
            </w:rPr>
            <w:t xml:space="preserve"> </w:t>
          </w:r>
          <w:r>
            <w:rPr>
              <w:rFonts w:hint="eastAsia" w:ascii="Times New Roman" w:hAnsi="Times New Roman"/>
              <w:color w:val="auto"/>
              <w:sz w:val="24"/>
              <w:szCs w:val="24"/>
            </w:rPr>
            <w:t>主要危险、有害因素辨识概述</w:t>
          </w:r>
          <w:r>
            <w:rPr>
              <w:color w:val="auto"/>
              <w:sz w:val="24"/>
              <w:szCs w:val="24"/>
            </w:rPr>
            <w:tab/>
          </w:r>
          <w:r>
            <w:rPr>
              <w:color w:val="auto"/>
              <w:sz w:val="24"/>
              <w:szCs w:val="24"/>
            </w:rPr>
            <w:fldChar w:fldCharType="begin"/>
          </w:r>
          <w:r>
            <w:rPr>
              <w:color w:val="auto"/>
              <w:sz w:val="24"/>
              <w:szCs w:val="24"/>
            </w:rPr>
            <w:instrText xml:space="preserve"> PAGEREF _Toc18645 \h </w:instrText>
          </w:r>
          <w:r>
            <w:rPr>
              <w:color w:val="auto"/>
              <w:sz w:val="24"/>
              <w:szCs w:val="24"/>
            </w:rPr>
            <w:fldChar w:fldCharType="separate"/>
          </w:r>
          <w:r>
            <w:rPr>
              <w:color w:val="auto"/>
              <w:sz w:val="24"/>
              <w:szCs w:val="24"/>
            </w:rPr>
            <w:t>46</w:t>
          </w:r>
          <w:r>
            <w:rPr>
              <w:color w:val="auto"/>
              <w:sz w:val="24"/>
              <w:szCs w:val="24"/>
            </w:rPr>
            <w:fldChar w:fldCharType="end"/>
          </w:r>
          <w:r>
            <w:rPr>
              <w:rFonts w:hint="eastAsia"/>
              <w:color w:val="auto"/>
              <w:sz w:val="24"/>
              <w:szCs w:val="24"/>
              <w:lang w:eastAsia="zh-CN"/>
            </w:rPr>
            <w:fldChar w:fldCharType="end"/>
          </w:r>
        </w:p>
        <w:p w14:paraId="1054F5B8">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_Toc6199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3.2生产过程中主要</w:t>
          </w:r>
          <w:r>
            <w:rPr>
              <w:rFonts w:hint="eastAsia" w:ascii="Times New Roman" w:hAnsi="Times New Roman"/>
              <w:color w:val="auto"/>
              <w:sz w:val="24"/>
              <w:szCs w:val="24"/>
            </w:rPr>
            <w:t>危险因素</w:t>
          </w:r>
          <w:r>
            <w:rPr>
              <w:rFonts w:ascii="Times New Roman" w:hAnsi="Times New Roman"/>
              <w:color w:val="auto"/>
              <w:sz w:val="24"/>
              <w:szCs w:val="24"/>
            </w:rPr>
            <w:t>分析</w:t>
          </w:r>
          <w:r>
            <w:rPr>
              <w:color w:val="auto"/>
              <w:sz w:val="24"/>
              <w:szCs w:val="24"/>
            </w:rPr>
            <w:tab/>
          </w:r>
          <w:r>
            <w:rPr>
              <w:color w:val="auto"/>
              <w:sz w:val="24"/>
              <w:szCs w:val="24"/>
            </w:rPr>
            <w:fldChar w:fldCharType="begin"/>
          </w:r>
          <w:r>
            <w:rPr>
              <w:color w:val="auto"/>
              <w:sz w:val="24"/>
              <w:szCs w:val="24"/>
            </w:rPr>
            <w:instrText xml:space="preserve"> PAGEREF _Toc6199 \h </w:instrText>
          </w:r>
          <w:r>
            <w:rPr>
              <w:color w:val="auto"/>
              <w:sz w:val="24"/>
              <w:szCs w:val="24"/>
            </w:rPr>
            <w:fldChar w:fldCharType="separate"/>
          </w:r>
          <w:r>
            <w:rPr>
              <w:color w:val="auto"/>
              <w:sz w:val="24"/>
              <w:szCs w:val="24"/>
            </w:rPr>
            <w:t>46</w:t>
          </w:r>
          <w:r>
            <w:rPr>
              <w:color w:val="auto"/>
              <w:sz w:val="24"/>
              <w:szCs w:val="24"/>
            </w:rPr>
            <w:fldChar w:fldCharType="end"/>
          </w:r>
          <w:r>
            <w:rPr>
              <w:rFonts w:hint="eastAsia"/>
              <w:color w:val="auto"/>
              <w:sz w:val="24"/>
              <w:szCs w:val="24"/>
              <w:lang w:eastAsia="zh-CN"/>
            </w:rPr>
            <w:fldChar w:fldCharType="end"/>
          </w:r>
        </w:p>
        <w:p w14:paraId="10CAFD5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_Toc5962 </w:instrText>
          </w:r>
          <w:r>
            <w:rPr>
              <w:rFonts w:hint="eastAsia"/>
              <w:color w:val="auto"/>
              <w:sz w:val="24"/>
              <w:szCs w:val="24"/>
              <w:lang w:eastAsia="zh-CN"/>
            </w:rPr>
            <w:fldChar w:fldCharType="separate"/>
          </w:r>
          <w:r>
            <w:rPr>
              <w:rFonts w:hint="eastAsia"/>
              <w:color w:val="auto"/>
              <w:sz w:val="24"/>
              <w:szCs w:val="24"/>
            </w:rPr>
            <w:t>3.</w:t>
          </w:r>
          <w:r>
            <w:rPr>
              <w:rFonts w:hint="eastAsia"/>
              <w:color w:val="auto"/>
              <w:sz w:val="24"/>
              <w:szCs w:val="24"/>
              <w:lang w:val="en-US" w:eastAsia="zh-CN"/>
            </w:rPr>
            <w:t>2</w:t>
          </w:r>
          <w:r>
            <w:rPr>
              <w:rFonts w:hint="eastAsia"/>
              <w:color w:val="auto"/>
              <w:sz w:val="24"/>
              <w:szCs w:val="24"/>
            </w:rPr>
            <w:t>.1火灾、爆炸</w:t>
          </w:r>
          <w:r>
            <w:rPr>
              <w:color w:val="auto"/>
              <w:sz w:val="24"/>
              <w:szCs w:val="24"/>
            </w:rPr>
            <w:tab/>
          </w:r>
          <w:r>
            <w:rPr>
              <w:color w:val="auto"/>
              <w:sz w:val="24"/>
              <w:szCs w:val="24"/>
            </w:rPr>
            <w:fldChar w:fldCharType="begin"/>
          </w:r>
          <w:r>
            <w:rPr>
              <w:color w:val="auto"/>
              <w:sz w:val="24"/>
              <w:szCs w:val="24"/>
            </w:rPr>
            <w:instrText xml:space="preserve"> PAGEREF _Toc5962 \h </w:instrText>
          </w:r>
          <w:r>
            <w:rPr>
              <w:color w:val="auto"/>
              <w:sz w:val="24"/>
              <w:szCs w:val="24"/>
            </w:rPr>
            <w:fldChar w:fldCharType="separate"/>
          </w:r>
          <w:r>
            <w:rPr>
              <w:color w:val="auto"/>
              <w:sz w:val="24"/>
              <w:szCs w:val="24"/>
            </w:rPr>
            <w:t>46</w:t>
          </w:r>
          <w:r>
            <w:rPr>
              <w:color w:val="auto"/>
              <w:sz w:val="24"/>
              <w:szCs w:val="24"/>
            </w:rPr>
            <w:fldChar w:fldCharType="end"/>
          </w:r>
          <w:r>
            <w:rPr>
              <w:rFonts w:hint="eastAsia"/>
              <w:color w:val="auto"/>
              <w:sz w:val="24"/>
              <w:szCs w:val="24"/>
              <w:lang w:eastAsia="zh-CN"/>
            </w:rPr>
            <w:fldChar w:fldCharType="end"/>
          </w:r>
        </w:p>
        <w:p w14:paraId="1C9DFB96">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_Toc6233 </w:instrText>
          </w:r>
          <w:r>
            <w:rPr>
              <w:rFonts w:hint="eastAsia"/>
              <w:color w:val="auto"/>
              <w:sz w:val="24"/>
              <w:szCs w:val="24"/>
              <w:lang w:eastAsia="zh-CN"/>
            </w:rPr>
            <w:fldChar w:fldCharType="separate"/>
          </w:r>
          <w:r>
            <w:rPr>
              <w:rFonts w:hint="eastAsia"/>
              <w:color w:val="auto"/>
              <w:sz w:val="24"/>
              <w:szCs w:val="24"/>
              <w:lang w:val="en-US" w:eastAsia="zh-CN"/>
            </w:rPr>
            <w:t>3.2.2机械伤害</w:t>
          </w:r>
          <w:r>
            <w:rPr>
              <w:color w:val="auto"/>
              <w:sz w:val="24"/>
              <w:szCs w:val="24"/>
            </w:rPr>
            <w:tab/>
          </w:r>
          <w:r>
            <w:rPr>
              <w:color w:val="auto"/>
              <w:sz w:val="24"/>
              <w:szCs w:val="24"/>
            </w:rPr>
            <w:fldChar w:fldCharType="begin"/>
          </w:r>
          <w:r>
            <w:rPr>
              <w:color w:val="auto"/>
              <w:sz w:val="24"/>
              <w:szCs w:val="24"/>
            </w:rPr>
            <w:instrText xml:space="preserve"> PAGEREF _Toc6233 \h </w:instrText>
          </w:r>
          <w:r>
            <w:rPr>
              <w:color w:val="auto"/>
              <w:sz w:val="24"/>
              <w:szCs w:val="24"/>
            </w:rPr>
            <w:fldChar w:fldCharType="separate"/>
          </w:r>
          <w:r>
            <w:rPr>
              <w:color w:val="auto"/>
              <w:sz w:val="24"/>
              <w:szCs w:val="24"/>
            </w:rPr>
            <w:t>47</w:t>
          </w:r>
          <w:r>
            <w:rPr>
              <w:color w:val="auto"/>
              <w:sz w:val="24"/>
              <w:szCs w:val="24"/>
            </w:rPr>
            <w:fldChar w:fldCharType="end"/>
          </w:r>
          <w:r>
            <w:rPr>
              <w:rFonts w:hint="eastAsia"/>
              <w:color w:val="auto"/>
              <w:sz w:val="24"/>
              <w:szCs w:val="24"/>
              <w:lang w:eastAsia="zh-CN"/>
            </w:rPr>
            <w:fldChar w:fldCharType="end"/>
          </w:r>
        </w:p>
        <w:p w14:paraId="3B6E695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_Toc2187 </w:instrText>
          </w:r>
          <w:r>
            <w:rPr>
              <w:rFonts w:hint="eastAsia"/>
              <w:color w:val="auto"/>
              <w:sz w:val="24"/>
              <w:szCs w:val="24"/>
              <w:lang w:eastAsia="zh-CN"/>
            </w:rPr>
            <w:fldChar w:fldCharType="separate"/>
          </w:r>
          <w:r>
            <w:rPr>
              <w:rFonts w:hint="eastAsia"/>
              <w:color w:val="auto"/>
              <w:sz w:val="24"/>
              <w:szCs w:val="24"/>
              <w:lang w:val="en-US" w:eastAsia="zh-CN"/>
            </w:rPr>
            <w:t>3.2.3</w:t>
          </w:r>
          <w:r>
            <w:rPr>
              <w:color w:val="auto"/>
              <w:sz w:val="24"/>
              <w:szCs w:val="24"/>
            </w:rPr>
            <w:t>触电</w:t>
          </w:r>
          <w:r>
            <w:rPr>
              <w:color w:val="auto"/>
              <w:sz w:val="24"/>
              <w:szCs w:val="24"/>
            </w:rPr>
            <w:tab/>
          </w:r>
          <w:r>
            <w:rPr>
              <w:color w:val="auto"/>
              <w:sz w:val="24"/>
              <w:szCs w:val="24"/>
            </w:rPr>
            <w:fldChar w:fldCharType="begin"/>
          </w:r>
          <w:r>
            <w:rPr>
              <w:color w:val="auto"/>
              <w:sz w:val="24"/>
              <w:szCs w:val="24"/>
            </w:rPr>
            <w:instrText xml:space="preserve"> PAGEREF _Toc2187 \h </w:instrText>
          </w:r>
          <w:r>
            <w:rPr>
              <w:color w:val="auto"/>
              <w:sz w:val="24"/>
              <w:szCs w:val="24"/>
            </w:rPr>
            <w:fldChar w:fldCharType="separate"/>
          </w:r>
          <w:r>
            <w:rPr>
              <w:color w:val="auto"/>
              <w:sz w:val="24"/>
              <w:szCs w:val="24"/>
            </w:rPr>
            <w:t>47</w:t>
          </w:r>
          <w:r>
            <w:rPr>
              <w:color w:val="auto"/>
              <w:sz w:val="24"/>
              <w:szCs w:val="24"/>
            </w:rPr>
            <w:fldChar w:fldCharType="end"/>
          </w:r>
          <w:r>
            <w:rPr>
              <w:rFonts w:hint="eastAsia"/>
              <w:color w:val="auto"/>
              <w:sz w:val="24"/>
              <w:szCs w:val="24"/>
              <w:lang w:eastAsia="zh-CN"/>
            </w:rPr>
            <w:fldChar w:fldCharType="end"/>
          </w:r>
        </w:p>
        <w:p w14:paraId="4B70F44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_Toc21320 </w:instrText>
          </w:r>
          <w:r>
            <w:rPr>
              <w:rFonts w:hint="eastAsia"/>
              <w:color w:val="auto"/>
              <w:sz w:val="24"/>
              <w:szCs w:val="24"/>
              <w:lang w:eastAsia="zh-CN"/>
            </w:rPr>
            <w:fldChar w:fldCharType="separate"/>
          </w:r>
          <w:r>
            <w:rPr>
              <w:rFonts w:hint="eastAsia"/>
              <w:color w:val="auto"/>
              <w:sz w:val="24"/>
              <w:szCs w:val="24"/>
              <w:lang w:val="en-US" w:eastAsia="zh-CN"/>
            </w:rPr>
            <w:t>3.2.4</w:t>
          </w:r>
          <w:r>
            <w:rPr>
              <w:rFonts w:hint="eastAsia"/>
              <w:color w:val="auto"/>
              <w:sz w:val="24"/>
              <w:szCs w:val="24"/>
            </w:rPr>
            <w:t>高处坠落</w:t>
          </w:r>
          <w:r>
            <w:rPr>
              <w:color w:val="auto"/>
              <w:sz w:val="24"/>
              <w:szCs w:val="24"/>
            </w:rPr>
            <w:tab/>
          </w:r>
          <w:r>
            <w:rPr>
              <w:color w:val="auto"/>
              <w:sz w:val="24"/>
              <w:szCs w:val="24"/>
            </w:rPr>
            <w:fldChar w:fldCharType="begin"/>
          </w:r>
          <w:r>
            <w:rPr>
              <w:color w:val="auto"/>
              <w:sz w:val="24"/>
              <w:szCs w:val="24"/>
            </w:rPr>
            <w:instrText xml:space="preserve"> PAGEREF _Toc21320 \h </w:instrText>
          </w:r>
          <w:r>
            <w:rPr>
              <w:color w:val="auto"/>
              <w:sz w:val="24"/>
              <w:szCs w:val="24"/>
            </w:rPr>
            <w:fldChar w:fldCharType="separate"/>
          </w:r>
          <w:r>
            <w:rPr>
              <w:color w:val="auto"/>
              <w:sz w:val="24"/>
              <w:szCs w:val="24"/>
            </w:rPr>
            <w:t>47</w:t>
          </w:r>
          <w:r>
            <w:rPr>
              <w:color w:val="auto"/>
              <w:sz w:val="24"/>
              <w:szCs w:val="24"/>
            </w:rPr>
            <w:fldChar w:fldCharType="end"/>
          </w:r>
          <w:r>
            <w:rPr>
              <w:rFonts w:hint="eastAsia"/>
              <w:color w:val="auto"/>
              <w:sz w:val="24"/>
              <w:szCs w:val="24"/>
              <w:lang w:eastAsia="zh-CN"/>
            </w:rPr>
            <w:fldChar w:fldCharType="end"/>
          </w:r>
        </w:p>
        <w:p w14:paraId="3C03F4C8">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_Toc198 </w:instrText>
          </w:r>
          <w:r>
            <w:rPr>
              <w:rFonts w:hint="eastAsia"/>
              <w:color w:val="auto"/>
              <w:sz w:val="24"/>
              <w:szCs w:val="24"/>
              <w:lang w:eastAsia="zh-CN"/>
            </w:rPr>
            <w:fldChar w:fldCharType="separate"/>
          </w:r>
          <w:r>
            <w:rPr>
              <w:rFonts w:hint="eastAsia"/>
              <w:color w:val="auto"/>
              <w:sz w:val="24"/>
              <w:szCs w:val="24"/>
              <w:lang w:val="en-US" w:eastAsia="zh-CN"/>
            </w:rPr>
            <w:t>3.2.5灼烫</w:t>
          </w:r>
          <w:r>
            <w:rPr>
              <w:color w:val="auto"/>
              <w:sz w:val="24"/>
              <w:szCs w:val="24"/>
            </w:rPr>
            <w:tab/>
          </w:r>
          <w:r>
            <w:rPr>
              <w:color w:val="auto"/>
              <w:sz w:val="24"/>
              <w:szCs w:val="24"/>
            </w:rPr>
            <w:fldChar w:fldCharType="begin"/>
          </w:r>
          <w:r>
            <w:rPr>
              <w:color w:val="auto"/>
              <w:sz w:val="24"/>
              <w:szCs w:val="24"/>
            </w:rPr>
            <w:instrText xml:space="preserve"> PAGEREF _Toc198 \h </w:instrText>
          </w:r>
          <w:r>
            <w:rPr>
              <w:color w:val="auto"/>
              <w:sz w:val="24"/>
              <w:szCs w:val="24"/>
            </w:rPr>
            <w:fldChar w:fldCharType="separate"/>
          </w:r>
          <w:r>
            <w:rPr>
              <w:color w:val="auto"/>
              <w:sz w:val="24"/>
              <w:szCs w:val="24"/>
            </w:rPr>
            <w:t>48</w:t>
          </w:r>
          <w:r>
            <w:rPr>
              <w:color w:val="auto"/>
              <w:sz w:val="24"/>
              <w:szCs w:val="24"/>
            </w:rPr>
            <w:fldChar w:fldCharType="end"/>
          </w:r>
          <w:r>
            <w:rPr>
              <w:rFonts w:hint="eastAsia"/>
              <w:color w:val="auto"/>
              <w:sz w:val="24"/>
              <w:szCs w:val="24"/>
              <w:lang w:eastAsia="zh-CN"/>
            </w:rPr>
            <w:fldChar w:fldCharType="end"/>
          </w:r>
        </w:p>
        <w:p w14:paraId="02D1D42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_Toc28705 </w:instrText>
          </w:r>
          <w:r>
            <w:rPr>
              <w:rFonts w:hint="eastAsia"/>
              <w:color w:val="auto"/>
              <w:sz w:val="24"/>
              <w:szCs w:val="24"/>
              <w:lang w:eastAsia="zh-CN"/>
            </w:rPr>
            <w:fldChar w:fldCharType="separate"/>
          </w:r>
          <w:r>
            <w:rPr>
              <w:rFonts w:hint="eastAsia" w:ascii="Times New Roman" w:hAnsi="Times New Roman" w:eastAsia="宋体" w:cs="Times New Roman"/>
              <w:color w:val="auto"/>
              <w:sz w:val="24"/>
              <w:szCs w:val="24"/>
              <w:lang w:val="en-US" w:eastAsia="zh-CN"/>
            </w:rPr>
            <w:t>3.2.6</w:t>
          </w:r>
          <w:r>
            <w:rPr>
              <w:color w:val="auto"/>
              <w:sz w:val="24"/>
              <w:szCs w:val="24"/>
            </w:rPr>
            <w:t>中毒</w:t>
          </w:r>
          <w:r>
            <w:rPr>
              <w:rFonts w:hint="eastAsia"/>
              <w:color w:val="auto"/>
              <w:sz w:val="24"/>
              <w:szCs w:val="24"/>
            </w:rPr>
            <w:t>和</w:t>
          </w:r>
          <w:r>
            <w:rPr>
              <w:color w:val="auto"/>
              <w:sz w:val="24"/>
              <w:szCs w:val="24"/>
            </w:rPr>
            <w:t>窒息</w:t>
          </w:r>
          <w:r>
            <w:rPr>
              <w:color w:val="auto"/>
              <w:sz w:val="24"/>
              <w:szCs w:val="24"/>
            </w:rPr>
            <w:tab/>
          </w:r>
          <w:r>
            <w:rPr>
              <w:color w:val="auto"/>
              <w:sz w:val="24"/>
              <w:szCs w:val="24"/>
            </w:rPr>
            <w:fldChar w:fldCharType="begin"/>
          </w:r>
          <w:r>
            <w:rPr>
              <w:color w:val="auto"/>
              <w:sz w:val="24"/>
              <w:szCs w:val="24"/>
            </w:rPr>
            <w:instrText xml:space="preserve"> PAGEREF _Toc28705 \h </w:instrText>
          </w:r>
          <w:r>
            <w:rPr>
              <w:color w:val="auto"/>
              <w:sz w:val="24"/>
              <w:szCs w:val="24"/>
            </w:rPr>
            <w:fldChar w:fldCharType="separate"/>
          </w:r>
          <w:r>
            <w:rPr>
              <w:color w:val="auto"/>
              <w:sz w:val="24"/>
              <w:szCs w:val="24"/>
            </w:rPr>
            <w:t>48</w:t>
          </w:r>
          <w:r>
            <w:rPr>
              <w:color w:val="auto"/>
              <w:sz w:val="24"/>
              <w:szCs w:val="24"/>
            </w:rPr>
            <w:fldChar w:fldCharType="end"/>
          </w:r>
          <w:r>
            <w:rPr>
              <w:rFonts w:hint="eastAsia"/>
              <w:color w:val="auto"/>
              <w:sz w:val="24"/>
              <w:szCs w:val="24"/>
              <w:lang w:eastAsia="zh-CN"/>
            </w:rPr>
            <w:fldChar w:fldCharType="end"/>
          </w:r>
        </w:p>
        <w:p w14:paraId="64A9DB9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_Toc6078 </w:instrText>
          </w:r>
          <w:r>
            <w:rPr>
              <w:rFonts w:hint="eastAsia"/>
              <w:color w:val="auto"/>
              <w:sz w:val="24"/>
              <w:szCs w:val="24"/>
              <w:lang w:eastAsia="zh-CN"/>
            </w:rPr>
            <w:fldChar w:fldCharType="separate"/>
          </w:r>
          <w:r>
            <w:rPr>
              <w:rFonts w:hint="eastAsia"/>
              <w:color w:val="auto"/>
              <w:sz w:val="24"/>
              <w:szCs w:val="24"/>
              <w:lang w:val="en-US" w:eastAsia="zh-CN"/>
            </w:rPr>
            <w:t>3.2.7</w:t>
          </w:r>
          <w:r>
            <w:rPr>
              <w:color w:val="auto"/>
              <w:sz w:val="24"/>
              <w:szCs w:val="24"/>
            </w:rPr>
            <w:t>物体打击</w:t>
          </w:r>
          <w:r>
            <w:rPr>
              <w:color w:val="auto"/>
              <w:sz w:val="24"/>
              <w:szCs w:val="24"/>
            </w:rPr>
            <w:tab/>
          </w:r>
          <w:r>
            <w:rPr>
              <w:color w:val="auto"/>
              <w:sz w:val="24"/>
              <w:szCs w:val="24"/>
            </w:rPr>
            <w:fldChar w:fldCharType="begin"/>
          </w:r>
          <w:r>
            <w:rPr>
              <w:color w:val="auto"/>
              <w:sz w:val="24"/>
              <w:szCs w:val="24"/>
            </w:rPr>
            <w:instrText xml:space="preserve"> PAGEREF _Toc6078 \h </w:instrText>
          </w:r>
          <w:r>
            <w:rPr>
              <w:color w:val="auto"/>
              <w:sz w:val="24"/>
              <w:szCs w:val="24"/>
            </w:rPr>
            <w:fldChar w:fldCharType="separate"/>
          </w:r>
          <w:r>
            <w:rPr>
              <w:color w:val="auto"/>
              <w:sz w:val="24"/>
              <w:szCs w:val="24"/>
            </w:rPr>
            <w:t>48</w:t>
          </w:r>
          <w:r>
            <w:rPr>
              <w:color w:val="auto"/>
              <w:sz w:val="24"/>
              <w:szCs w:val="24"/>
            </w:rPr>
            <w:fldChar w:fldCharType="end"/>
          </w:r>
          <w:r>
            <w:rPr>
              <w:rFonts w:hint="eastAsia"/>
              <w:color w:val="auto"/>
              <w:sz w:val="24"/>
              <w:szCs w:val="24"/>
              <w:lang w:eastAsia="zh-CN"/>
            </w:rPr>
            <w:fldChar w:fldCharType="end"/>
          </w:r>
        </w:p>
        <w:p w14:paraId="7B593EE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_Toc26698 </w:instrText>
          </w:r>
          <w:r>
            <w:rPr>
              <w:rFonts w:hint="eastAsia"/>
              <w:color w:val="auto"/>
              <w:sz w:val="24"/>
              <w:szCs w:val="24"/>
              <w:lang w:eastAsia="zh-CN"/>
            </w:rPr>
            <w:fldChar w:fldCharType="separate"/>
          </w:r>
          <w:r>
            <w:rPr>
              <w:rFonts w:hint="eastAsia"/>
              <w:color w:val="auto"/>
              <w:sz w:val="24"/>
              <w:szCs w:val="24"/>
              <w:lang w:val="en-US" w:eastAsia="zh-CN"/>
            </w:rPr>
            <w:t>3.2.8坍塌</w:t>
          </w:r>
          <w:r>
            <w:rPr>
              <w:color w:val="auto"/>
              <w:sz w:val="24"/>
              <w:szCs w:val="24"/>
            </w:rPr>
            <w:tab/>
          </w:r>
          <w:r>
            <w:rPr>
              <w:color w:val="auto"/>
              <w:sz w:val="24"/>
              <w:szCs w:val="24"/>
            </w:rPr>
            <w:fldChar w:fldCharType="begin"/>
          </w:r>
          <w:r>
            <w:rPr>
              <w:color w:val="auto"/>
              <w:sz w:val="24"/>
              <w:szCs w:val="24"/>
            </w:rPr>
            <w:instrText xml:space="preserve"> PAGEREF _Toc26698 \h </w:instrText>
          </w:r>
          <w:r>
            <w:rPr>
              <w:color w:val="auto"/>
              <w:sz w:val="24"/>
              <w:szCs w:val="24"/>
            </w:rPr>
            <w:fldChar w:fldCharType="separate"/>
          </w:r>
          <w:r>
            <w:rPr>
              <w:color w:val="auto"/>
              <w:sz w:val="24"/>
              <w:szCs w:val="24"/>
            </w:rPr>
            <w:t>49</w:t>
          </w:r>
          <w:r>
            <w:rPr>
              <w:color w:val="auto"/>
              <w:sz w:val="24"/>
              <w:szCs w:val="24"/>
            </w:rPr>
            <w:fldChar w:fldCharType="end"/>
          </w:r>
          <w:r>
            <w:rPr>
              <w:rFonts w:hint="eastAsia"/>
              <w:color w:val="auto"/>
              <w:sz w:val="24"/>
              <w:szCs w:val="24"/>
              <w:lang w:eastAsia="zh-CN"/>
            </w:rPr>
            <w:fldChar w:fldCharType="end"/>
          </w:r>
        </w:p>
        <w:p w14:paraId="609A94A2">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_Toc26417 </w:instrText>
          </w:r>
          <w:r>
            <w:rPr>
              <w:rFonts w:hint="eastAsia"/>
              <w:color w:val="auto"/>
              <w:sz w:val="24"/>
              <w:szCs w:val="24"/>
              <w:lang w:eastAsia="zh-CN"/>
            </w:rPr>
            <w:fldChar w:fldCharType="separate"/>
          </w:r>
          <w:r>
            <w:rPr>
              <w:rFonts w:hint="eastAsia"/>
              <w:color w:val="auto"/>
              <w:sz w:val="24"/>
              <w:szCs w:val="24"/>
            </w:rPr>
            <w:t>3.</w:t>
          </w:r>
          <w:r>
            <w:rPr>
              <w:rFonts w:hint="eastAsia"/>
              <w:color w:val="auto"/>
              <w:sz w:val="24"/>
              <w:szCs w:val="24"/>
              <w:lang w:val="en-US" w:eastAsia="zh-CN"/>
            </w:rPr>
            <w:t>2</w:t>
          </w:r>
          <w:r>
            <w:rPr>
              <w:rFonts w:hint="eastAsia"/>
              <w:color w:val="auto"/>
              <w:sz w:val="24"/>
              <w:szCs w:val="24"/>
            </w:rPr>
            <w:t>.</w:t>
          </w:r>
          <w:r>
            <w:rPr>
              <w:rFonts w:hint="eastAsia"/>
              <w:color w:val="auto"/>
              <w:sz w:val="24"/>
              <w:szCs w:val="24"/>
              <w:lang w:val="en-US" w:eastAsia="zh-CN"/>
            </w:rPr>
            <w:t>9</w:t>
          </w:r>
          <w:r>
            <w:rPr>
              <w:color w:val="auto"/>
              <w:sz w:val="24"/>
              <w:szCs w:val="24"/>
            </w:rPr>
            <w:t>车辆伤害</w:t>
          </w:r>
          <w:r>
            <w:rPr>
              <w:color w:val="auto"/>
              <w:sz w:val="24"/>
              <w:szCs w:val="24"/>
            </w:rPr>
            <w:tab/>
          </w:r>
          <w:r>
            <w:rPr>
              <w:color w:val="auto"/>
              <w:sz w:val="24"/>
              <w:szCs w:val="24"/>
            </w:rPr>
            <w:fldChar w:fldCharType="begin"/>
          </w:r>
          <w:r>
            <w:rPr>
              <w:color w:val="auto"/>
              <w:sz w:val="24"/>
              <w:szCs w:val="24"/>
            </w:rPr>
            <w:instrText xml:space="preserve"> PAGEREF _Toc26417 \h </w:instrText>
          </w:r>
          <w:r>
            <w:rPr>
              <w:color w:val="auto"/>
              <w:sz w:val="24"/>
              <w:szCs w:val="24"/>
            </w:rPr>
            <w:fldChar w:fldCharType="separate"/>
          </w:r>
          <w:r>
            <w:rPr>
              <w:color w:val="auto"/>
              <w:sz w:val="24"/>
              <w:szCs w:val="24"/>
            </w:rPr>
            <w:t>49</w:t>
          </w:r>
          <w:r>
            <w:rPr>
              <w:color w:val="auto"/>
              <w:sz w:val="24"/>
              <w:szCs w:val="24"/>
            </w:rPr>
            <w:fldChar w:fldCharType="end"/>
          </w:r>
          <w:r>
            <w:rPr>
              <w:rFonts w:hint="eastAsia"/>
              <w:color w:val="auto"/>
              <w:sz w:val="24"/>
              <w:szCs w:val="24"/>
              <w:lang w:eastAsia="zh-CN"/>
            </w:rPr>
            <w:fldChar w:fldCharType="end"/>
          </w:r>
        </w:p>
        <w:p w14:paraId="29D3BCE1">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_Toc1229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3.3生产过程中</w:t>
          </w:r>
          <w:r>
            <w:rPr>
              <w:rFonts w:ascii="Times New Roman" w:hAnsi="Times New Roman"/>
              <w:color w:val="auto"/>
              <w:sz w:val="24"/>
              <w:szCs w:val="24"/>
              <w:lang w:val="en-US" w:eastAsia="zh-CN"/>
            </w:rPr>
            <w:t>有害因素分析</w:t>
          </w:r>
          <w:r>
            <w:rPr>
              <w:color w:val="auto"/>
              <w:sz w:val="24"/>
              <w:szCs w:val="24"/>
            </w:rPr>
            <w:tab/>
          </w:r>
          <w:r>
            <w:rPr>
              <w:color w:val="auto"/>
              <w:sz w:val="24"/>
              <w:szCs w:val="24"/>
            </w:rPr>
            <w:fldChar w:fldCharType="begin"/>
          </w:r>
          <w:r>
            <w:rPr>
              <w:color w:val="auto"/>
              <w:sz w:val="24"/>
              <w:szCs w:val="24"/>
            </w:rPr>
            <w:instrText xml:space="preserve"> PAGEREF _Toc1229 \h </w:instrText>
          </w:r>
          <w:r>
            <w:rPr>
              <w:color w:val="auto"/>
              <w:sz w:val="24"/>
              <w:szCs w:val="24"/>
            </w:rPr>
            <w:fldChar w:fldCharType="separate"/>
          </w:r>
          <w:r>
            <w:rPr>
              <w:color w:val="auto"/>
              <w:sz w:val="24"/>
              <w:szCs w:val="24"/>
            </w:rPr>
            <w:t>50</w:t>
          </w:r>
          <w:r>
            <w:rPr>
              <w:color w:val="auto"/>
              <w:sz w:val="24"/>
              <w:szCs w:val="24"/>
            </w:rPr>
            <w:fldChar w:fldCharType="end"/>
          </w:r>
          <w:r>
            <w:rPr>
              <w:rFonts w:hint="eastAsia"/>
              <w:color w:val="auto"/>
              <w:sz w:val="24"/>
              <w:szCs w:val="24"/>
              <w:lang w:eastAsia="zh-CN"/>
            </w:rPr>
            <w:fldChar w:fldCharType="end"/>
          </w:r>
        </w:p>
        <w:p w14:paraId="3810657A">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_Toc22836 </w:instrText>
          </w:r>
          <w:r>
            <w:rPr>
              <w:rFonts w:hint="eastAsia"/>
              <w:color w:val="auto"/>
              <w:sz w:val="24"/>
              <w:szCs w:val="24"/>
              <w:lang w:eastAsia="zh-CN"/>
            </w:rPr>
            <w:fldChar w:fldCharType="separate"/>
          </w:r>
          <w:r>
            <w:rPr>
              <w:rFonts w:hint="eastAsia"/>
              <w:color w:val="auto"/>
              <w:sz w:val="24"/>
              <w:szCs w:val="24"/>
              <w:lang w:val="en-US" w:eastAsia="zh-CN"/>
            </w:rPr>
            <w:t>3.3.1粉尘</w:t>
          </w:r>
          <w:r>
            <w:rPr>
              <w:color w:val="auto"/>
              <w:sz w:val="24"/>
              <w:szCs w:val="24"/>
            </w:rPr>
            <w:tab/>
          </w:r>
          <w:r>
            <w:rPr>
              <w:color w:val="auto"/>
              <w:sz w:val="24"/>
              <w:szCs w:val="24"/>
            </w:rPr>
            <w:fldChar w:fldCharType="begin"/>
          </w:r>
          <w:r>
            <w:rPr>
              <w:color w:val="auto"/>
              <w:sz w:val="24"/>
              <w:szCs w:val="24"/>
            </w:rPr>
            <w:instrText xml:space="preserve"> PAGEREF _Toc22836 \h </w:instrText>
          </w:r>
          <w:r>
            <w:rPr>
              <w:color w:val="auto"/>
              <w:sz w:val="24"/>
              <w:szCs w:val="24"/>
            </w:rPr>
            <w:fldChar w:fldCharType="separate"/>
          </w:r>
          <w:r>
            <w:rPr>
              <w:color w:val="auto"/>
              <w:sz w:val="24"/>
              <w:szCs w:val="24"/>
            </w:rPr>
            <w:t>50</w:t>
          </w:r>
          <w:r>
            <w:rPr>
              <w:color w:val="auto"/>
              <w:sz w:val="24"/>
              <w:szCs w:val="24"/>
            </w:rPr>
            <w:fldChar w:fldCharType="end"/>
          </w:r>
          <w:r>
            <w:rPr>
              <w:rFonts w:hint="eastAsia"/>
              <w:color w:val="auto"/>
              <w:sz w:val="24"/>
              <w:szCs w:val="24"/>
              <w:lang w:eastAsia="zh-CN"/>
            </w:rPr>
            <w:fldChar w:fldCharType="end"/>
          </w:r>
        </w:p>
        <w:p w14:paraId="264D314E">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_Toc8124 </w:instrText>
          </w:r>
          <w:r>
            <w:rPr>
              <w:rFonts w:hint="eastAsia"/>
              <w:color w:val="auto"/>
              <w:sz w:val="24"/>
              <w:szCs w:val="24"/>
              <w:lang w:eastAsia="zh-CN"/>
            </w:rPr>
            <w:fldChar w:fldCharType="separate"/>
          </w:r>
          <w:r>
            <w:rPr>
              <w:rFonts w:hint="eastAsia"/>
              <w:color w:val="auto"/>
              <w:sz w:val="24"/>
              <w:szCs w:val="24"/>
              <w:lang w:val="en-US" w:eastAsia="zh-CN"/>
            </w:rPr>
            <w:t>3.3.2高温</w:t>
          </w:r>
          <w:r>
            <w:rPr>
              <w:color w:val="auto"/>
              <w:sz w:val="24"/>
              <w:szCs w:val="24"/>
            </w:rPr>
            <w:tab/>
          </w:r>
          <w:r>
            <w:rPr>
              <w:color w:val="auto"/>
              <w:sz w:val="24"/>
              <w:szCs w:val="24"/>
            </w:rPr>
            <w:fldChar w:fldCharType="begin"/>
          </w:r>
          <w:r>
            <w:rPr>
              <w:color w:val="auto"/>
              <w:sz w:val="24"/>
              <w:szCs w:val="24"/>
            </w:rPr>
            <w:instrText xml:space="preserve"> PAGEREF _Toc8124 \h </w:instrText>
          </w:r>
          <w:r>
            <w:rPr>
              <w:color w:val="auto"/>
              <w:sz w:val="24"/>
              <w:szCs w:val="24"/>
            </w:rPr>
            <w:fldChar w:fldCharType="separate"/>
          </w:r>
          <w:r>
            <w:rPr>
              <w:color w:val="auto"/>
              <w:sz w:val="24"/>
              <w:szCs w:val="24"/>
            </w:rPr>
            <w:t>50</w:t>
          </w:r>
          <w:r>
            <w:rPr>
              <w:color w:val="auto"/>
              <w:sz w:val="24"/>
              <w:szCs w:val="24"/>
            </w:rPr>
            <w:fldChar w:fldCharType="end"/>
          </w:r>
          <w:r>
            <w:rPr>
              <w:rFonts w:hint="eastAsia"/>
              <w:color w:val="auto"/>
              <w:sz w:val="24"/>
              <w:szCs w:val="24"/>
              <w:lang w:eastAsia="zh-CN"/>
            </w:rPr>
            <w:fldChar w:fldCharType="end"/>
          </w:r>
        </w:p>
        <w:p w14:paraId="6204CB4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_Toc24224 </w:instrText>
          </w:r>
          <w:r>
            <w:rPr>
              <w:rFonts w:hint="eastAsia"/>
              <w:color w:val="auto"/>
              <w:sz w:val="24"/>
              <w:szCs w:val="24"/>
              <w:lang w:eastAsia="zh-CN"/>
            </w:rPr>
            <w:fldChar w:fldCharType="separate"/>
          </w:r>
          <w:r>
            <w:rPr>
              <w:rFonts w:hint="eastAsia"/>
              <w:color w:val="auto"/>
              <w:sz w:val="24"/>
              <w:szCs w:val="24"/>
              <w:lang w:val="en-US" w:eastAsia="zh-CN"/>
            </w:rPr>
            <w:t>3.3.3噪声</w:t>
          </w:r>
          <w:r>
            <w:rPr>
              <w:color w:val="auto"/>
              <w:sz w:val="24"/>
              <w:szCs w:val="24"/>
            </w:rPr>
            <w:tab/>
          </w:r>
          <w:r>
            <w:rPr>
              <w:color w:val="auto"/>
              <w:sz w:val="24"/>
              <w:szCs w:val="24"/>
            </w:rPr>
            <w:fldChar w:fldCharType="begin"/>
          </w:r>
          <w:r>
            <w:rPr>
              <w:color w:val="auto"/>
              <w:sz w:val="24"/>
              <w:szCs w:val="24"/>
            </w:rPr>
            <w:instrText xml:space="preserve"> PAGEREF _Toc24224 \h </w:instrText>
          </w:r>
          <w:r>
            <w:rPr>
              <w:color w:val="auto"/>
              <w:sz w:val="24"/>
              <w:szCs w:val="24"/>
            </w:rPr>
            <w:fldChar w:fldCharType="separate"/>
          </w:r>
          <w:r>
            <w:rPr>
              <w:color w:val="auto"/>
              <w:sz w:val="24"/>
              <w:szCs w:val="24"/>
            </w:rPr>
            <w:t>50</w:t>
          </w:r>
          <w:r>
            <w:rPr>
              <w:color w:val="auto"/>
              <w:sz w:val="24"/>
              <w:szCs w:val="24"/>
            </w:rPr>
            <w:fldChar w:fldCharType="end"/>
          </w:r>
          <w:r>
            <w:rPr>
              <w:rFonts w:hint="eastAsia"/>
              <w:color w:val="auto"/>
              <w:sz w:val="24"/>
              <w:szCs w:val="24"/>
              <w:lang w:eastAsia="zh-CN"/>
            </w:rPr>
            <w:fldChar w:fldCharType="end"/>
          </w:r>
        </w:p>
        <w:p w14:paraId="68312CAF">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_Toc4460 </w:instrText>
          </w:r>
          <w:r>
            <w:rPr>
              <w:rFonts w:hint="eastAsia"/>
              <w:color w:val="auto"/>
              <w:sz w:val="24"/>
              <w:szCs w:val="24"/>
              <w:lang w:eastAsia="zh-CN"/>
            </w:rPr>
            <w:fldChar w:fldCharType="separate"/>
          </w:r>
          <w:r>
            <w:rPr>
              <w:rFonts w:hint="default"/>
              <w:color w:val="auto"/>
              <w:sz w:val="24"/>
              <w:szCs w:val="24"/>
              <w:lang w:val="en-US" w:eastAsia="zh-CN"/>
            </w:rPr>
            <w:t>3.</w:t>
          </w:r>
          <w:r>
            <w:rPr>
              <w:rFonts w:hint="eastAsia"/>
              <w:color w:val="auto"/>
              <w:sz w:val="24"/>
              <w:szCs w:val="24"/>
              <w:lang w:val="en-US" w:eastAsia="zh-CN"/>
            </w:rPr>
            <w:t>4</w:t>
          </w:r>
          <w:r>
            <w:rPr>
              <w:rFonts w:hint="default"/>
              <w:color w:val="auto"/>
              <w:sz w:val="24"/>
              <w:szCs w:val="24"/>
              <w:lang w:val="en-US" w:eastAsia="zh-CN"/>
            </w:rPr>
            <w:t>自然条件危险、有害因素分析</w:t>
          </w:r>
          <w:r>
            <w:rPr>
              <w:color w:val="auto"/>
              <w:sz w:val="24"/>
              <w:szCs w:val="24"/>
            </w:rPr>
            <w:tab/>
          </w:r>
          <w:r>
            <w:rPr>
              <w:color w:val="auto"/>
              <w:sz w:val="24"/>
              <w:szCs w:val="24"/>
            </w:rPr>
            <w:fldChar w:fldCharType="begin"/>
          </w:r>
          <w:r>
            <w:rPr>
              <w:color w:val="auto"/>
              <w:sz w:val="24"/>
              <w:szCs w:val="24"/>
            </w:rPr>
            <w:instrText xml:space="preserve"> PAGEREF _Toc4460 \h </w:instrText>
          </w:r>
          <w:r>
            <w:rPr>
              <w:color w:val="auto"/>
              <w:sz w:val="24"/>
              <w:szCs w:val="24"/>
            </w:rPr>
            <w:fldChar w:fldCharType="separate"/>
          </w:r>
          <w:r>
            <w:rPr>
              <w:color w:val="auto"/>
              <w:sz w:val="24"/>
              <w:szCs w:val="24"/>
            </w:rPr>
            <w:t>51</w:t>
          </w:r>
          <w:r>
            <w:rPr>
              <w:color w:val="auto"/>
              <w:sz w:val="24"/>
              <w:szCs w:val="24"/>
            </w:rPr>
            <w:fldChar w:fldCharType="end"/>
          </w:r>
          <w:r>
            <w:rPr>
              <w:rFonts w:hint="eastAsia"/>
              <w:color w:val="auto"/>
              <w:sz w:val="24"/>
              <w:szCs w:val="24"/>
              <w:lang w:eastAsia="zh-CN"/>
            </w:rPr>
            <w:fldChar w:fldCharType="end"/>
          </w:r>
        </w:p>
        <w:p w14:paraId="2744B597">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_Toc30159 </w:instrText>
          </w:r>
          <w:r>
            <w:rPr>
              <w:rFonts w:hint="eastAsia"/>
              <w:color w:val="auto"/>
              <w:sz w:val="24"/>
              <w:szCs w:val="24"/>
              <w:lang w:eastAsia="zh-CN"/>
            </w:rPr>
            <w:fldChar w:fldCharType="separate"/>
          </w:r>
          <w:r>
            <w:rPr>
              <w:rFonts w:hint="eastAsia"/>
              <w:color w:val="auto"/>
              <w:sz w:val="24"/>
              <w:szCs w:val="24"/>
              <w:lang w:val="en-US" w:eastAsia="zh-CN"/>
            </w:rPr>
            <w:t>3.4.1地震</w:t>
          </w:r>
          <w:r>
            <w:rPr>
              <w:color w:val="auto"/>
              <w:sz w:val="24"/>
              <w:szCs w:val="24"/>
            </w:rPr>
            <w:tab/>
          </w:r>
          <w:r>
            <w:rPr>
              <w:color w:val="auto"/>
              <w:sz w:val="24"/>
              <w:szCs w:val="24"/>
            </w:rPr>
            <w:fldChar w:fldCharType="begin"/>
          </w:r>
          <w:r>
            <w:rPr>
              <w:color w:val="auto"/>
              <w:sz w:val="24"/>
              <w:szCs w:val="24"/>
            </w:rPr>
            <w:instrText xml:space="preserve"> PAGEREF _Toc30159 \h </w:instrText>
          </w:r>
          <w:r>
            <w:rPr>
              <w:color w:val="auto"/>
              <w:sz w:val="24"/>
              <w:szCs w:val="24"/>
            </w:rPr>
            <w:fldChar w:fldCharType="separate"/>
          </w:r>
          <w:r>
            <w:rPr>
              <w:color w:val="auto"/>
              <w:sz w:val="24"/>
              <w:szCs w:val="24"/>
            </w:rPr>
            <w:t>51</w:t>
          </w:r>
          <w:r>
            <w:rPr>
              <w:color w:val="auto"/>
              <w:sz w:val="24"/>
              <w:szCs w:val="24"/>
            </w:rPr>
            <w:fldChar w:fldCharType="end"/>
          </w:r>
          <w:r>
            <w:rPr>
              <w:rFonts w:hint="eastAsia"/>
              <w:color w:val="auto"/>
              <w:sz w:val="24"/>
              <w:szCs w:val="24"/>
              <w:lang w:eastAsia="zh-CN"/>
            </w:rPr>
            <w:fldChar w:fldCharType="end"/>
          </w:r>
        </w:p>
        <w:p w14:paraId="4BC43C2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_Toc12487 </w:instrText>
          </w:r>
          <w:r>
            <w:rPr>
              <w:rFonts w:hint="eastAsia"/>
              <w:color w:val="auto"/>
              <w:sz w:val="24"/>
              <w:szCs w:val="24"/>
              <w:lang w:eastAsia="zh-CN"/>
            </w:rPr>
            <w:fldChar w:fldCharType="separate"/>
          </w:r>
          <w:r>
            <w:rPr>
              <w:rFonts w:hint="eastAsia"/>
              <w:color w:val="auto"/>
              <w:sz w:val="24"/>
              <w:szCs w:val="24"/>
              <w:lang w:val="en-US" w:eastAsia="zh-CN"/>
            </w:rPr>
            <w:t>3.4.2雷击</w:t>
          </w:r>
          <w:r>
            <w:rPr>
              <w:color w:val="auto"/>
              <w:sz w:val="24"/>
              <w:szCs w:val="24"/>
            </w:rPr>
            <w:tab/>
          </w:r>
          <w:r>
            <w:rPr>
              <w:color w:val="auto"/>
              <w:sz w:val="24"/>
              <w:szCs w:val="24"/>
            </w:rPr>
            <w:fldChar w:fldCharType="begin"/>
          </w:r>
          <w:r>
            <w:rPr>
              <w:color w:val="auto"/>
              <w:sz w:val="24"/>
              <w:szCs w:val="24"/>
            </w:rPr>
            <w:instrText xml:space="preserve"> PAGEREF _Toc12487 \h </w:instrText>
          </w:r>
          <w:r>
            <w:rPr>
              <w:color w:val="auto"/>
              <w:sz w:val="24"/>
              <w:szCs w:val="24"/>
            </w:rPr>
            <w:fldChar w:fldCharType="separate"/>
          </w:r>
          <w:r>
            <w:rPr>
              <w:color w:val="auto"/>
              <w:sz w:val="24"/>
              <w:szCs w:val="24"/>
            </w:rPr>
            <w:t>51</w:t>
          </w:r>
          <w:r>
            <w:rPr>
              <w:color w:val="auto"/>
              <w:sz w:val="24"/>
              <w:szCs w:val="24"/>
            </w:rPr>
            <w:fldChar w:fldCharType="end"/>
          </w:r>
          <w:r>
            <w:rPr>
              <w:rFonts w:hint="eastAsia"/>
              <w:color w:val="auto"/>
              <w:sz w:val="24"/>
              <w:szCs w:val="24"/>
              <w:lang w:eastAsia="zh-CN"/>
            </w:rPr>
            <w:fldChar w:fldCharType="end"/>
          </w:r>
        </w:p>
        <w:p w14:paraId="5F57CEEC">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_Toc27689 </w:instrText>
          </w:r>
          <w:r>
            <w:rPr>
              <w:rFonts w:hint="eastAsia"/>
              <w:color w:val="auto"/>
              <w:sz w:val="24"/>
              <w:szCs w:val="24"/>
              <w:lang w:eastAsia="zh-CN"/>
            </w:rPr>
            <w:fldChar w:fldCharType="separate"/>
          </w:r>
          <w:r>
            <w:rPr>
              <w:rFonts w:hint="eastAsia"/>
              <w:color w:val="auto"/>
              <w:sz w:val="24"/>
              <w:szCs w:val="24"/>
              <w:lang w:val="en-US" w:eastAsia="zh-CN"/>
            </w:rPr>
            <w:t>3.4.3暴雨、洪水</w:t>
          </w:r>
          <w:r>
            <w:rPr>
              <w:color w:val="auto"/>
              <w:sz w:val="24"/>
              <w:szCs w:val="24"/>
            </w:rPr>
            <w:tab/>
          </w:r>
          <w:r>
            <w:rPr>
              <w:color w:val="auto"/>
              <w:sz w:val="24"/>
              <w:szCs w:val="24"/>
            </w:rPr>
            <w:fldChar w:fldCharType="begin"/>
          </w:r>
          <w:r>
            <w:rPr>
              <w:color w:val="auto"/>
              <w:sz w:val="24"/>
              <w:szCs w:val="24"/>
            </w:rPr>
            <w:instrText xml:space="preserve"> PAGEREF _Toc27689 \h </w:instrText>
          </w:r>
          <w:r>
            <w:rPr>
              <w:color w:val="auto"/>
              <w:sz w:val="24"/>
              <w:szCs w:val="24"/>
            </w:rPr>
            <w:fldChar w:fldCharType="separate"/>
          </w:r>
          <w:r>
            <w:rPr>
              <w:color w:val="auto"/>
              <w:sz w:val="24"/>
              <w:szCs w:val="24"/>
            </w:rPr>
            <w:t>51</w:t>
          </w:r>
          <w:r>
            <w:rPr>
              <w:color w:val="auto"/>
              <w:sz w:val="24"/>
              <w:szCs w:val="24"/>
            </w:rPr>
            <w:fldChar w:fldCharType="end"/>
          </w:r>
          <w:r>
            <w:rPr>
              <w:rFonts w:hint="eastAsia"/>
              <w:color w:val="auto"/>
              <w:sz w:val="24"/>
              <w:szCs w:val="24"/>
              <w:lang w:eastAsia="zh-CN"/>
            </w:rPr>
            <w:fldChar w:fldCharType="end"/>
          </w:r>
        </w:p>
        <w:p w14:paraId="71AB241F">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_Toc18193 </w:instrText>
          </w:r>
          <w:r>
            <w:rPr>
              <w:rFonts w:hint="eastAsia"/>
              <w:color w:val="auto"/>
              <w:sz w:val="24"/>
              <w:szCs w:val="24"/>
              <w:lang w:eastAsia="zh-CN"/>
            </w:rPr>
            <w:fldChar w:fldCharType="separate"/>
          </w:r>
          <w:r>
            <w:rPr>
              <w:rFonts w:hint="eastAsia"/>
              <w:color w:val="auto"/>
              <w:sz w:val="24"/>
              <w:szCs w:val="24"/>
              <w:lang w:val="en-US" w:eastAsia="zh-CN"/>
            </w:rPr>
            <w:t>3.4.4</w:t>
          </w:r>
          <w:r>
            <w:rPr>
              <w:rFonts w:hint="default"/>
              <w:color w:val="auto"/>
              <w:sz w:val="24"/>
              <w:szCs w:val="24"/>
              <w:lang w:val="en-US" w:eastAsia="zh-CN"/>
            </w:rPr>
            <w:t>高温</w:t>
          </w:r>
          <w:r>
            <w:rPr>
              <w:color w:val="auto"/>
              <w:sz w:val="24"/>
              <w:szCs w:val="24"/>
            </w:rPr>
            <w:tab/>
          </w:r>
          <w:r>
            <w:rPr>
              <w:color w:val="auto"/>
              <w:sz w:val="24"/>
              <w:szCs w:val="24"/>
            </w:rPr>
            <w:fldChar w:fldCharType="begin"/>
          </w:r>
          <w:r>
            <w:rPr>
              <w:color w:val="auto"/>
              <w:sz w:val="24"/>
              <w:szCs w:val="24"/>
            </w:rPr>
            <w:instrText xml:space="preserve"> PAGEREF _Toc18193 \h </w:instrText>
          </w:r>
          <w:r>
            <w:rPr>
              <w:color w:val="auto"/>
              <w:sz w:val="24"/>
              <w:szCs w:val="24"/>
            </w:rPr>
            <w:fldChar w:fldCharType="separate"/>
          </w:r>
          <w:r>
            <w:rPr>
              <w:color w:val="auto"/>
              <w:sz w:val="24"/>
              <w:szCs w:val="24"/>
            </w:rPr>
            <w:t>52</w:t>
          </w:r>
          <w:r>
            <w:rPr>
              <w:color w:val="auto"/>
              <w:sz w:val="24"/>
              <w:szCs w:val="24"/>
            </w:rPr>
            <w:fldChar w:fldCharType="end"/>
          </w:r>
          <w:r>
            <w:rPr>
              <w:rFonts w:hint="eastAsia"/>
              <w:color w:val="auto"/>
              <w:sz w:val="24"/>
              <w:szCs w:val="24"/>
              <w:lang w:eastAsia="zh-CN"/>
            </w:rPr>
            <w:fldChar w:fldCharType="end"/>
          </w:r>
        </w:p>
        <w:p w14:paraId="6E5E7CC0">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_Toc22881 </w:instrText>
          </w:r>
          <w:r>
            <w:rPr>
              <w:rFonts w:hint="eastAsia"/>
              <w:color w:val="auto"/>
              <w:sz w:val="24"/>
              <w:szCs w:val="24"/>
              <w:lang w:eastAsia="zh-CN"/>
            </w:rPr>
            <w:fldChar w:fldCharType="separate"/>
          </w:r>
          <w:r>
            <w:rPr>
              <w:rFonts w:hint="eastAsia"/>
              <w:color w:val="auto"/>
              <w:sz w:val="24"/>
              <w:szCs w:val="24"/>
              <w:lang w:val="en-US" w:eastAsia="zh-CN"/>
            </w:rPr>
            <w:t>3.4.5</w:t>
          </w:r>
          <w:r>
            <w:rPr>
              <w:rFonts w:hint="default"/>
              <w:color w:val="auto"/>
              <w:sz w:val="24"/>
              <w:szCs w:val="24"/>
              <w:lang w:val="en-US" w:eastAsia="zh-CN"/>
            </w:rPr>
            <w:t>不良地质</w:t>
          </w:r>
          <w:r>
            <w:rPr>
              <w:color w:val="auto"/>
              <w:sz w:val="24"/>
              <w:szCs w:val="24"/>
            </w:rPr>
            <w:tab/>
          </w:r>
          <w:r>
            <w:rPr>
              <w:color w:val="auto"/>
              <w:sz w:val="24"/>
              <w:szCs w:val="24"/>
            </w:rPr>
            <w:fldChar w:fldCharType="begin"/>
          </w:r>
          <w:r>
            <w:rPr>
              <w:color w:val="auto"/>
              <w:sz w:val="24"/>
              <w:szCs w:val="24"/>
            </w:rPr>
            <w:instrText xml:space="preserve"> PAGEREF _Toc22881 \h </w:instrText>
          </w:r>
          <w:r>
            <w:rPr>
              <w:color w:val="auto"/>
              <w:sz w:val="24"/>
              <w:szCs w:val="24"/>
            </w:rPr>
            <w:fldChar w:fldCharType="separate"/>
          </w:r>
          <w:r>
            <w:rPr>
              <w:color w:val="auto"/>
              <w:sz w:val="24"/>
              <w:szCs w:val="24"/>
            </w:rPr>
            <w:t>52</w:t>
          </w:r>
          <w:r>
            <w:rPr>
              <w:color w:val="auto"/>
              <w:sz w:val="24"/>
              <w:szCs w:val="24"/>
            </w:rPr>
            <w:fldChar w:fldCharType="end"/>
          </w:r>
          <w:r>
            <w:rPr>
              <w:rFonts w:hint="eastAsia"/>
              <w:color w:val="auto"/>
              <w:sz w:val="24"/>
              <w:szCs w:val="24"/>
              <w:lang w:eastAsia="zh-CN"/>
            </w:rPr>
            <w:fldChar w:fldCharType="end"/>
          </w:r>
        </w:p>
        <w:p w14:paraId="388992E9">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_Toc6853 </w:instrText>
          </w:r>
          <w:r>
            <w:rPr>
              <w:rFonts w:hint="eastAsia"/>
              <w:color w:val="auto"/>
              <w:sz w:val="24"/>
              <w:szCs w:val="24"/>
              <w:lang w:eastAsia="zh-CN"/>
            </w:rPr>
            <w:fldChar w:fldCharType="separate"/>
          </w:r>
          <w:r>
            <w:rPr>
              <w:rFonts w:hint="eastAsia"/>
              <w:color w:val="auto"/>
              <w:sz w:val="24"/>
              <w:szCs w:val="24"/>
              <w:lang w:val="en-US" w:eastAsia="zh-CN"/>
            </w:rPr>
            <w:t>3.4.6</w:t>
          </w:r>
          <w:r>
            <w:rPr>
              <w:rFonts w:hint="default"/>
              <w:color w:val="auto"/>
              <w:sz w:val="24"/>
              <w:szCs w:val="24"/>
              <w:lang w:val="en-US" w:eastAsia="zh-CN"/>
            </w:rPr>
            <w:t>积雪、冰冻</w:t>
          </w:r>
          <w:r>
            <w:rPr>
              <w:color w:val="auto"/>
              <w:sz w:val="24"/>
              <w:szCs w:val="24"/>
            </w:rPr>
            <w:tab/>
          </w:r>
          <w:r>
            <w:rPr>
              <w:color w:val="auto"/>
              <w:sz w:val="24"/>
              <w:szCs w:val="24"/>
            </w:rPr>
            <w:fldChar w:fldCharType="begin"/>
          </w:r>
          <w:r>
            <w:rPr>
              <w:color w:val="auto"/>
              <w:sz w:val="24"/>
              <w:szCs w:val="24"/>
            </w:rPr>
            <w:instrText xml:space="preserve"> PAGEREF _Toc6853 \h </w:instrText>
          </w:r>
          <w:r>
            <w:rPr>
              <w:color w:val="auto"/>
              <w:sz w:val="24"/>
              <w:szCs w:val="24"/>
            </w:rPr>
            <w:fldChar w:fldCharType="separate"/>
          </w:r>
          <w:r>
            <w:rPr>
              <w:color w:val="auto"/>
              <w:sz w:val="24"/>
              <w:szCs w:val="24"/>
            </w:rPr>
            <w:t>52</w:t>
          </w:r>
          <w:r>
            <w:rPr>
              <w:color w:val="auto"/>
              <w:sz w:val="24"/>
              <w:szCs w:val="24"/>
            </w:rPr>
            <w:fldChar w:fldCharType="end"/>
          </w:r>
          <w:r>
            <w:rPr>
              <w:rFonts w:hint="eastAsia"/>
              <w:color w:val="auto"/>
              <w:sz w:val="24"/>
              <w:szCs w:val="24"/>
              <w:lang w:eastAsia="zh-CN"/>
            </w:rPr>
            <w:fldChar w:fldCharType="end"/>
          </w:r>
        </w:p>
        <w:p w14:paraId="040FFC1A">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_Toc2384 </w:instrText>
          </w:r>
          <w:r>
            <w:rPr>
              <w:rFonts w:hint="eastAsia"/>
              <w:color w:val="auto"/>
              <w:sz w:val="24"/>
              <w:szCs w:val="24"/>
              <w:lang w:eastAsia="zh-CN"/>
            </w:rPr>
            <w:fldChar w:fldCharType="separate"/>
          </w:r>
          <w:r>
            <w:rPr>
              <w:rFonts w:hint="eastAsia"/>
              <w:color w:val="auto"/>
              <w:sz w:val="24"/>
              <w:szCs w:val="24"/>
              <w:lang w:val="en-US" w:eastAsia="zh-CN"/>
            </w:rPr>
            <w:t>3.5</w:t>
          </w:r>
          <w:r>
            <w:rPr>
              <w:rFonts w:hint="eastAsia"/>
              <w:color w:val="auto"/>
              <w:sz w:val="24"/>
              <w:szCs w:val="24"/>
            </w:rPr>
            <w:t>其它危险因素</w:t>
          </w:r>
          <w:r>
            <w:rPr>
              <w:rFonts w:hint="eastAsia"/>
              <w:color w:val="auto"/>
              <w:sz w:val="24"/>
              <w:szCs w:val="24"/>
              <w:lang w:val="en-US" w:eastAsia="zh-CN"/>
            </w:rPr>
            <w:t>分析</w:t>
          </w:r>
          <w:r>
            <w:rPr>
              <w:color w:val="auto"/>
              <w:sz w:val="24"/>
              <w:szCs w:val="24"/>
            </w:rPr>
            <w:tab/>
          </w:r>
          <w:r>
            <w:rPr>
              <w:color w:val="auto"/>
              <w:sz w:val="24"/>
              <w:szCs w:val="24"/>
            </w:rPr>
            <w:fldChar w:fldCharType="begin"/>
          </w:r>
          <w:r>
            <w:rPr>
              <w:color w:val="auto"/>
              <w:sz w:val="24"/>
              <w:szCs w:val="24"/>
            </w:rPr>
            <w:instrText xml:space="preserve"> PAGEREF _Toc2384 \h </w:instrText>
          </w:r>
          <w:r>
            <w:rPr>
              <w:color w:val="auto"/>
              <w:sz w:val="24"/>
              <w:szCs w:val="24"/>
            </w:rPr>
            <w:fldChar w:fldCharType="separate"/>
          </w:r>
          <w:r>
            <w:rPr>
              <w:color w:val="auto"/>
              <w:sz w:val="24"/>
              <w:szCs w:val="24"/>
            </w:rPr>
            <w:t>52</w:t>
          </w:r>
          <w:r>
            <w:rPr>
              <w:color w:val="auto"/>
              <w:sz w:val="24"/>
              <w:szCs w:val="24"/>
            </w:rPr>
            <w:fldChar w:fldCharType="end"/>
          </w:r>
          <w:r>
            <w:rPr>
              <w:rFonts w:hint="eastAsia"/>
              <w:color w:val="auto"/>
              <w:sz w:val="24"/>
              <w:szCs w:val="24"/>
              <w:lang w:eastAsia="zh-CN"/>
            </w:rPr>
            <w:fldChar w:fldCharType="end"/>
          </w:r>
        </w:p>
        <w:p w14:paraId="5815D3A9">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_Toc4732 </w:instrText>
          </w:r>
          <w:r>
            <w:rPr>
              <w:rFonts w:hint="eastAsia"/>
              <w:color w:val="auto"/>
              <w:sz w:val="24"/>
              <w:szCs w:val="24"/>
              <w:lang w:eastAsia="zh-CN"/>
            </w:rPr>
            <w:fldChar w:fldCharType="separate"/>
          </w:r>
          <w:r>
            <w:rPr>
              <w:rFonts w:hint="eastAsia"/>
              <w:color w:val="auto"/>
              <w:sz w:val="24"/>
              <w:szCs w:val="24"/>
              <w:lang w:val="en-US" w:eastAsia="zh-CN"/>
            </w:rPr>
            <w:t>3.6</w:t>
          </w:r>
          <w:r>
            <w:rPr>
              <w:rFonts w:hint="eastAsia"/>
              <w:color w:val="auto"/>
              <w:sz w:val="24"/>
              <w:szCs w:val="24"/>
            </w:rPr>
            <w:t>物料危险性分析</w:t>
          </w:r>
          <w:r>
            <w:rPr>
              <w:color w:val="auto"/>
              <w:sz w:val="24"/>
              <w:szCs w:val="24"/>
            </w:rPr>
            <w:tab/>
          </w:r>
          <w:r>
            <w:rPr>
              <w:color w:val="auto"/>
              <w:sz w:val="24"/>
              <w:szCs w:val="24"/>
            </w:rPr>
            <w:fldChar w:fldCharType="begin"/>
          </w:r>
          <w:r>
            <w:rPr>
              <w:color w:val="auto"/>
              <w:sz w:val="24"/>
              <w:szCs w:val="24"/>
            </w:rPr>
            <w:instrText xml:space="preserve"> PAGEREF _Toc4732 \h </w:instrText>
          </w:r>
          <w:r>
            <w:rPr>
              <w:color w:val="auto"/>
              <w:sz w:val="24"/>
              <w:szCs w:val="24"/>
            </w:rPr>
            <w:fldChar w:fldCharType="separate"/>
          </w:r>
          <w:r>
            <w:rPr>
              <w:color w:val="auto"/>
              <w:sz w:val="24"/>
              <w:szCs w:val="24"/>
            </w:rPr>
            <w:t>53</w:t>
          </w:r>
          <w:r>
            <w:rPr>
              <w:color w:val="auto"/>
              <w:sz w:val="24"/>
              <w:szCs w:val="24"/>
            </w:rPr>
            <w:fldChar w:fldCharType="end"/>
          </w:r>
          <w:r>
            <w:rPr>
              <w:rFonts w:hint="eastAsia"/>
              <w:color w:val="auto"/>
              <w:sz w:val="24"/>
              <w:szCs w:val="24"/>
              <w:lang w:eastAsia="zh-CN"/>
            </w:rPr>
            <w:fldChar w:fldCharType="end"/>
          </w:r>
        </w:p>
        <w:p w14:paraId="63B412C1">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_Toc29122 </w:instrText>
          </w:r>
          <w:r>
            <w:rPr>
              <w:rFonts w:hint="eastAsia"/>
              <w:color w:val="auto"/>
              <w:sz w:val="24"/>
              <w:szCs w:val="24"/>
              <w:lang w:eastAsia="zh-CN"/>
            </w:rPr>
            <w:fldChar w:fldCharType="separate"/>
          </w:r>
          <w:r>
            <w:rPr>
              <w:rFonts w:hint="default"/>
              <w:color w:val="auto"/>
              <w:sz w:val="24"/>
              <w:szCs w:val="24"/>
              <w:lang w:val="en-US" w:eastAsia="zh-CN"/>
            </w:rPr>
            <w:t>3.</w:t>
          </w:r>
          <w:r>
            <w:rPr>
              <w:rFonts w:hint="eastAsia"/>
              <w:color w:val="auto"/>
              <w:sz w:val="24"/>
              <w:szCs w:val="24"/>
              <w:lang w:val="en-US" w:eastAsia="zh-CN"/>
            </w:rPr>
            <w:t>7</w:t>
          </w:r>
          <w:r>
            <w:rPr>
              <w:rFonts w:hint="default"/>
              <w:color w:val="auto"/>
              <w:sz w:val="24"/>
              <w:szCs w:val="24"/>
              <w:lang w:val="en-US" w:eastAsia="zh-CN"/>
            </w:rPr>
            <w:t>公用工程、辅助设施的危险、有害因素分析</w:t>
          </w:r>
          <w:r>
            <w:rPr>
              <w:color w:val="auto"/>
              <w:sz w:val="24"/>
              <w:szCs w:val="24"/>
            </w:rPr>
            <w:tab/>
          </w:r>
          <w:r>
            <w:rPr>
              <w:color w:val="auto"/>
              <w:sz w:val="24"/>
              <w:szCs w:val="24"/>
            </w:rPr>
            <w:fldChar w:fldCharType="begin"/>
          </w:r>
          <w:r>
            <w:rPr>
              <w:color w:val="auto"/>
              <w:sz w:val="24"/>
              <w:szCs w:val="24"/>
            </w:rPr>
            <w:instrText xml:space="preserve"> PAGEREF _Toc29122 \h </w:instrText>
          </w:r>
          <w:r>
            <w:rPr>
              <w:color w:val="auto"/>
              <w:sz w:val="24"/>
              <w:szCs w:val="24"/>
            </w:rPr>
            <w:fldChar w:fldCharType="separate"/>
          </w:r>
          <w:r>
            <w:rPr>
              <w:color w:val="auto"/>
              <w:sz w:val="24"/>
              <w:szCs w:val="24"/>
            </w:rPr>
            <w:t>54</w:t>
          </w:r>
          <w:r>
            <w:rPr>
              <w:color w:val="auto"/>
              <w:sz w:val="24"/>
              <w:szCs w:val="24"/>
            </w:rPr>
            <w:fldChar w:fldCharType="end"/>
          </w:r>
          <w:r>
            <w:rPr>
              <w:rFonts w:hint="eastAsia"/>
              <w:color w:val="auto"/>
              <w:sz w:val="24"/>
              <w:szCs w:val="24"/>
              <w:lang w:eastAsia="zh-CN"/>
            </w:rPr>
            <w:fldChar w:fldCharType="end"/>
          </w:r>
        </w:p>
        <w:p w14:paraId="30B3E7EF">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_Toc14337 </w:instrText>
          </w:r>
          <w:r>
            <w:rPr>
              <w:rFonts w:hint="eastAsia"/>
              <w:color w:val="auto"/>
              <w:sz w:val="24"/>
              <w:szCs w:val="24"/>
              <w:lang w:eastAsia="zh-CN"/>
            </w:rPr>
            <w:fldChar w:fldCharType="separate"/>
          </w:r>
          <w:r>
            <w:rPr>
              <w:rFonts w:hint="eastAsia"/>
              <w:color w:val="auto"/>
              <w:sz w:val="24"/>
              <w:szCs w:val="24"/>
            </w:rPr>
            <w:t>3.</w:t>
          </w:r>
          <w:r>
            <w:rPr>
              <w:rFonts w:hint="eastAsia"/>
              <w:color w:val="auto"/>
              <w:sz w:val="24"/>
              <w:szCs w:val="24"/>
              <w:lang w:val="en-US" w:eastAsia="zh-CN"/>
            </w:rPr>
            <w:t>8</w:t>
          </w:r>
          <w:r>
            <w:rPr>
              <w:rFonts w:hint="eastAsia"/>
              <w:color w:val="auto"/>
              <w:sz w:val="24"/>
              <w:szCs w:val="24"/>
            </w:rPr>
            <w:t>吸收剂制备系统危险性分析</w:t>
          </w:r>
          <w:r>
            <w:rPr>
              <w:color w:val="auto"/>
              <w:sz w:val="24"/>
              <w:szCs w:val="24"/>
            </w:rPr>
            <w:tab/>
          </w:r>
          <w:r>
            <w:rPr>
              <w:color w:val="auto"/>
              <w:sz w:val="24"/>
              <w:szCs w:val="24"/>
            </w:rPr>
            <w:fldChar w:fldCharType="begin"/>
          </w:r>
          <w:r>
            <w:rPr>
              <w:color w:val="auto"/>
              <w:sz w:val="24"/>
              <w:szCs w:val="24"/>
            </w:rPr>
            <w:instrText xml:space="preserve"> PAGEREF _Toc14337 \h </w:instrText>
          </w:r>
          <w:r>
            <w:rPr>
              <w:color w:val="auto"/>
              <w:sz w:val="24"/>
              <w:szCs w:val="24"/>
            </w:rPr>
            <w:fldChar w:fldCharType="separate"/>
          </w:r>
          <w:r>
            <w:rPr>
              <w:color w:val="auto"/>
              <w:sz w:val="24"/>
              <w:szCs w:val="24"/>
            </w:rPr>
            <w:t>55</w:t>
          </w:r>
          <w:r>
            <w:rPr>
              <w:color w:val="auto"/>
              <w:sz w:val="24"/>
              <w:szCs w:val="24"/>
            </w:rPr>
            <w:fldChar w:fldCharType="end"/>
          </w:r>
          <w:r>
            <w:rPr>
              <w:rFonts w:hint="eastAsia"/>
              <w:color w:val="auto"/>
              <w:sz w:val="24"/>
              <w:szCs w:val="24"/>
              <w:lang w:eastAsia="zh-CN"/>
            </w:rPr>
            <w:fldChar w:fldCharType="end"/>
          </w:r>
        </w:p>
        <w:p w14:paraId="63164883">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_Toc31682 </w:instrText>
          </w:r>
          <w:r>
            <w:rPr>
              <w:rFonts w:hint="eastAsia"/>
              <w:color w:val="auto"/>
              <w:sz w:val="24"/>
              <w:szCs w:val="24"/>
              <w:lang w:eastAsia="zh-CN"/>
            </w:rPr>
            <w:fldChar w:fldCharType="separate"/>
          </w:r>
          <w:r>
            <w:rPr>
              <w:rFonts w:hint="eastAsia"/>
              <w:color w:val="auto"/>
              <w:sz w:val="24"/>
              <w:szCs w:val="24"/>
            </w:rPr>
            <w:t>3</w:t>
          </w:r>
          <w:r>
            <w:rPr>
              <w:rFonts w:hint="eastAsia"/>
              <w:color w:val="auto"/>
              <w:sz w:val="24"/>
              <w:szCs w:val="24"/>
              <w:lang w:val="en-US" w:eastAsia="zh-CN"/>
            </w:rPr>
            <w:t>.9</w:t>
          </w:r>
          <w:r>
            <w:rPr>
              <w:rFonts w:hint="eastAsia"/>
              <w:color w:val="auto"/>
              <w:sz w:val="24"/>
              <w:szCs w:val="24"/>
            </w:rPr>
            <w:t>SO</w:t>
          </w:r>
          <w:r>
            <w:rPr>
              <w:rFonts w:hint="eastAsia"/>
              <w:color w:val="auto"/>
              <w:sz w:val="24"/>
              <w:szCs w:val="24"/>
              <w:vertAlign w:val="subscript"/>
            </w:rPr>
            <w:t>2</w:t>
          </w:r>
          <w:r>
            <w:rPr>
              <w:rFonts w:hint="eastAsia"/>
              <w:color w:val="auto"/>
              <w:sz w:val="24"/>
              <w:szCs w:val="24"/>
            </w:rPr>
            <w:t>吸收系统危险性分析</w:t>
          </w:r>
          <w:r>
            <w:rPr>
              <w:color w:val="auto"/>
              <w:sz w:val="24"/>
              <w:szCs w:val="24"/>
            </w:rPr>
            <w:tab/>
          </w:r>
          <w:r>
            <w:rPr>
              <w:color w:val="auto"/>
              <w:sz w:val="24"/>
              <w:szCs w:val="24"/>
            </w:rPr>
            <w:fldChar w:fldCharType="begin"/>
          </w:r>
          <w:r>
            <w:rPr>
              <w:color w:val="auto"/>
              <w:sz w:val="24"/>
              <w:szCs w:val="24"/>
            </w:rPr>
            <w:instrText xml:space="preserve"> PAGEREF _Toc31682 \h </w:instrText>
          </w:r>
          <w:r>
            <w:rPr>
              <w:color w:val="auto"/>
              <w:sz w:val="24"/>
              <w:szCs w:val="24"/>
            </w:rPr>
            <w:fldChar w:fldCharType="separate"/>
          </w:r>
          <w:r>
            <w:rPr>
              <w:color w:val="auto"/>
              <w:sz w:val="24"/>
              <w:szCs w:val="24"/>
            </w:rPr>
            <w:t>55</w:t>
          </w:r>
          <w:r>
            <w:rPr>
              <w:color w:val="auto"/>
              <w:sz w:val="24"/>
              <w:szCs w:val="24"/>
            </w:rPr>
            <w:fldChar w:fldCharType="end"/>
          </w:r>
          <w:r>
            <w:rPr>
              <w:rFonts w:hint="eastAsia"/>
              <w:color w:val="auto"/>
              <w:sz w:val="24"/>
              <w:szCs w:val="24"/>
              <w:lang w:eastAsia="zh-CN"/>
            </w:rPr>
            <w:fldChar w:fldCharType="end"/>
          </w:r>
        </w:p>
        <w:p w14:paraId="1278A62A">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_Toc25846 </w:instrText>
          </w:r>
          <w:r>
            <w:rPr>
              <w:rFonts w:hint="eastAsia"/>
              <w:color w:val="auto"/>
              <w:sz w:val="24"/>
              <w:szCs w:val="24"/>
              <w:lang w:eastAsia="zh-CN"/>
            </w:rPr>
            <w:fldChar w:fldCharType="separate"/>
          </w:r>
          <w:r>
            <w:rPr>
              <w:rFonts w:hint="eastAsia"/>
              <w:color w:val="auto"/>
              <w:sz w:val="24"/>
              <w:szCs w:val="24"/>
            </w:rPr>
            <w:t>3.</w:t>
          </w:r>
          <w:r>
            <w:rPr>
              <w:rFonts w:hint="eastAsia"/>
              <w:color w:val="auto"/>
              <w:sz w:val="24"/>
              <w:szCs w:val="24"/>
              <w:lang w:val="en-US" w:eastAsia="zh-CN"/>
            </w:rPr>
            <w:t>10</w:t>
          </w:r>
          <w:r>
            <w:rPr>
              <w:rFonts w:hint="eastAsia"/>
              <w:color w:val="auto"/>
              <w:sz w:val="24"/>
              <w:szCs w:val="24"/>
            </w:rPr>
            <w:t>石膏脱水及浆液处理系统危险性分析</w:t>
          </w:r>
          <w:r>
            <w:rPr>
              <w:color w:val="auto"/>
              <w:sz w:val="24"/>
              <w:szCs w:val="24"/>
            </w:rPr>
            <w:tab/>
          </w:r>
          <w:r>
            <w:rPr>
              <w:color w:val="auto"/>
              <w:sz w:val="24"/>
              <w:szCs w:val="24"/>
            </w:rPr>
            <w:fldChar w:fldCharType="begin"/>
          </w:r>
          <w:r>
            <w:rPr>
              <w:color w:val="auto"/>
              <w:sz w:val="24"/>
              <w:szCs w:val="24"/>
            </w:rPr>
            <w:instrText xml:space="preserve"> PAGEREF _Toc25846 \h </w:instrText>
          </w:r>
          <w:r>
            <w:rPr>
              <w:color w:val="auto"/>
              <w:sz w:val="24"/>
              <w:szCs w:val="24"/>
            </w:rPr>
            <w:fldChar w:fldCharType="separate"/>
          </w:r>
          <w:r>
            <w:rPr>
              <w:color w:val="auto"/>
              <w:sz w:val="24"/>
              <w:szCs w:val="24"/>
            </w:rPr>
            <w:t>56</w:t>
          </w:r>
          <w:r>
            <w:rPr>
              <w:color w:val="auto"/>
              <w:sz w:val="24"/>
              <w:szCs w:val="24"/>
            </w:rPr>
            <w:fldChar w:fldCharType="end"/>
          </w:r>
          <w:r>
            <w:rPr>
              <w:rFonts w:hint="eastAsia"/>
              <w:color w:val="auto"/>
              <w:sz w:val="24"/>
              <w:szCs w:val="24"/>
              <w:lang w:eastAsia="zh-CN"/>
            </w:rPr>
            <w:fldChar w:fldCharType="end"/>
          </w:r>
        </w:p>
        <w:p w14:paraId="3B348A6C">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_Toc25632 </w:instrText>
          </w:r>
          <w:r>
            <w:rPr>
              <w:rFonts w:hint="eastAsia"/>
              <w:color w:val="auto"/>
              <w:sz w:val="24"/>
              <w:szCs w:val="24"/>
              <w:lang w:eastAsia="zh-CN"/>
            </w:rPr>
            <w:fldChar w:fldCharType="separate"/>
          </w:r>
          <w:r>
            <w:rPr>
              <w:rFonts w:hint="default"/>
              <w:color w:val="auto"/>
              <w:sz w:val="24"/>
              <w:szCs w:val="24"/>
              <w:lang w:val="en-US" w:eastAsia="zh-CN"/>
            </w:rPr>
            <w:t>3.</w:t>
          </w:r>
          <w:r>
            <w:rPr>
              <w:rFonts w:hint="eastAsia"/>
              <w:color w:val="auto"/>
              <w:sz w:val="24"/>
              <w:szCs w:val="24"/>
              <w:lang w:val="en-US" w:eastAsia="zh-CN"/>
            </w:rPr>
            <w:t>11</w:t>
          </w:r>
          <w:r>
            <w:rPr>
              <w:rFonts w:hint="default"/>
              <w:color w:val="auto"/>
              <w:sz w:val="24"/>
              <w:szCs w:val="24"/>
              <w:lang w:val="en-US" w:eastAsia="zh-CN"/>
            </w:rPr>
            <w:t>检修过程的危险性分析</w:t>
          </w:r>
          <w:r>
            <w:rPr>
              <w:color w:val="auto"/>
              <w:sz w:val="24"/>
              <w:szCs w:val="24"/>
            </w:rPr>
            <w:tab/>
          </w:r>
          <w:r>
            <w:rPr>
              <w:color w:val="auto"/>
              <w:sz w:val="24"/>
              <w:szCs w:val="24"/>
            </w:rPr>
            <w:fldChar w:fldCharType="begin"/>
          </w:r>
          <w:r>
            <w:rPr>
              <w:color w:val="auto"/>
              <w:sz w:val="24"/>
              <w:szCs w:val="24"/>
            </w:rPr>
            <w:instrText xml:space="preserve"> PAGEREF _Toc25632 \h </w:instrText>
          </w:r>
          <w:r>
            <w:rPr>
              <w:color w:val="auto"/>
              <w:sz w:val="24"/>
              <w:szCs w:val="24"/>
            </w:rPr>
            <w:fldChar w:fldCharType="separate"/>
          </w:r>
          <w:r>
            <w:rPr>
              <w:color w:val="auto"/>
              <w:sz w:val="24"/>
              <w:szCs w:val="24"/>
            </w:rPr>
            <w:t>57</w:t>
          </w:r>
          <w:r>
            <w:rPr>
              <w:color w:val="auto"/>
              <w:sz w:val="24"/>
              <w:szCs w:val="24"/>
            </w:rPr>
            <w:fldChar w:fldCharType="end"/>
          </w:r>
          <w:r>
            <w:rPr>
              <w:rFonts w:hint="eastAsia"/>
              <w:color w:val="auto"/>
              <w:sz w:val="24"/>
              <w:szCs w:val="24"/>
              <w:lang w:eastAsia="zh-CN"/>
            </w:rPr>
            <w:fldChar w:fldCharType="end"/>
          </w:r>
        </w:p>
        <w:p w14:paraId="44EB5BB2">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_Toc28093 </w:instrText>
          </w:r>
          <w:r>
            <w:rPr>
              <w:rFonts w:hint="eastAsia"/>
              <w:color w:val="auto"/>
              <w:sz w:val="24"/>
              <w:szCs w:val="24"/>
              <w:lang w:eastAsia="zh-CN"/>
            </w:rPr>
            <w:fldChar w:fldCharType="separate"/>
          </w:r>
          <w:r>
            <w:rPr>
              <w:rFonts w:hint="eastAsia"/>
              <w:color w:val="auto"/>
              <w:sz w:val="24"/>
              <w:szCs w:val="24"/>
              <w:lang w:val="en-US" w:eastAsia="zh-CN"/>
            </w:rPr>
            <w:t>3.12</w:t>
          </w:r>
          <w:r>
            <w:rPr>
              <w:rFonts w:hint="eastAsia"/>
              <w:color w:val="auto"/>
              <w:sz w:val="24"/>
              <w:szCs w:val="24"/>
            </w:rPr>
            <w:t>重大危险源辨识</w:t>
          </w:r>
          <w:r>
            <w:rPr>
              <w:color w:val="auto"/>
              <w:sz w:val="24"/>
              <w:szCs w:val="24"/>
            </w:rPr>
            <w:tab/>
          </w:r>
          <w:r>
            <w:rPr>
              <w:color w:val="auto"/>
              <w:sz w:val="24"/>
              <w:szCs w:val="24"/>
            </w:rPr>
            <w:fldChar w:fldCharType="begin"/>
          </w:r>
          <w:r>
            <w:rPr>
              <w:color w:val="auto"/>
              <w:sz w:val="24"/>
              <w:szCs w:val="24"/>
            </w:rPr>
            <w:instrText xml:space="preserve"> PAGEREF _Toc28093 \h </w:instrText>
          </w:r>
          <w:r>
            <w:rPr>
              <w:color w:val="auto"/>
              <w:sz w:val="24"/>
              <w:szCs w:val="24"/>
            </w:rPr>
            <w:fldChar w:fldCharType="separate"/>
          </w:r>
          <w:r>
            <w:rPr>
              <w:color w:val="auto"/>
              <w:sz w:val="24"/>
              <w:szCs w:val="24"/>
            </w:rPr>
            <w:t>59</w:t>
          </w:r>
          <w:r>
            <w:rPr>
              <w:color w:val="auto"/>
              <w:sz w:val="24"/>
              <w:szCs w:val="24"/>
            </w:rPr>
            <w:fldChar w:fldCharType="end"/>
          </w:r>
          <w:r>
            <w:rPr>
              <w:rFonts w:hint="eastAsia"/>
              <w:color w:val="auto"/>
              <w:sz w:val="24"/>
              <w:szCs w:val="24"/>
              <w:lang w:eastAsia="zh-CN"/>
            </w:rPr>
            <w:fldChar w:fldCharType="end"/>
          </w:r>
        </w:p>
        <w:p w14:paraId="709D2F5A">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_Toc21830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4.评价单元划分和评价方法选择</w:t>
          </w:r>
          <w:r>
            <w:rPr>
              <w:color w:val="auto"/>
              <w:sz w:val="24"/>
              <w:szCs w:val="24"/>
            </w:rPr>
            <w:tab/>
          </w:r>
          <w:r>
            <w:rPr>
              <w:color w:val="auto"/>
              <w:sz w:val="24"/>
              <w:szCs w:val="24"/>
            </w:rPr>
            <w:fldChar w:fldCharType="begin"/>
          </w:r>
          <w:r>
            <w:rPr>
              <w:color w:val="auto"/>
              <w:sz w:val="24"/>
              <w:szCs w:val="24"/>
            </w:rPr>
            <w:instrText xml:space="preserve"> PAGEREF _Toc21830 \h </w:instrText>
          </w:r>
          <w:r>
            <w:rPr>
              <w:color w:val="auto"/>
              <w:sz w:val="24"/>
              <w:szCs w:val="24"/>
            </w:rPr>
            <w:fldChar w:fldCharType="separate"/>
          </w:r>
          <w:r>
            <w:rPr>
              <w:color w:val="auto"/>
              <w:sz w:val="24"/>
              <w:szCs w:val="24"/>
            </w:rPr>
            <w:t>60</w:t>
          </w:r>
          <w:r>
            <w:rPr>
              <w:color w:val="auto"/>
              <w:sz w:val="24"/>
              <w:szCs w:val="24"/>
            </w:rPr>
            <w:fldChar w:fldCharType="end"/>
          </w:r>
          <w:r>
            <w:rPr>
              <w:rFonts w:hint="eastAsia"/>
              <w:color w:val="auto"/>
              <w:sz w:val="24"/>
              <w:szCs w:val="24"/>
              <w:lang w:eastAsia="zh-CN"/>
            </w:rPr>
            <w:fldChar w:fldCharType="end"/>
          </w:r>
        </w:p>
        <w:p w14:paraId="2B71A210">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_Toc1149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4.1</w:t>
          </w:r>
          <w:r>
            <w:rPr>
              <w:rFonts w:ascii="Times New Roman" w:hAnsi="Times New Roman"/>
              <w:color w:val="auto"/>
              <w:sz w:val="24"/>
              <w:szCs w:val="24"/>
              <w:lang w:val="en-US" w:eastAsia="zh-CN"/>
            </w:rPr>
            <w:t>评价单元</w:t>
          </w:r>
          <w:r>
            <w:rPr>
              <w:rFonts w:hint="eastAsia" w:ascii="Times New Roman" w:hAnsi="Times New Roman"/>
              <w:color w:val="auto"/>
              <w:sz w:val="24"/>
              <w:szCs w:val="24"/>
              <w:lang w:val="en-US" w:eastAsia="zh-CN"/>
            </w:rPr>
            <w:t>的</w:t>
          </w:r>
          <w:r>
            <w:rPr>
              <w:rFonts w:ascii="Times New Roman" w:hAnsi="Times New Roman"/>
              <w:color w:val="auto"/>
              <w:sz w:val="24"/>
              <w:szCs w:val="24"/>
              <w:lang w:val="en-US" w:eastAsia="zh-CN"/>
            </w:rPr>
            <w:t>划分</w:t>
          </w:r>
          <w:r>
            <w:rPr>
              <w:color w:val="auto"/>
              <w:sz w:val="24"/>
              <w:szCs w:val="24"/>
            </w:rPr>
            <w:tab/>
          </w:r>
          <w:r>
            <w:rPr>
              <w:color w:val="auto"/>
              <w:sz w:val="24"/>
              <w:szCs w:val="24"/>
            </w:rPr>
            <w:fldChar w:fldCharType="begin"/>
          </w:r>
          <w:r>
            <w:rPr>
              <w:color w:val="auto"/>
              <w:sz w:val="24"/>
              <w:szCs w:val="24"/>
            </w:rPr>
            <w:instrText xml:space="preserve"> PAGEREF _Toc1149 \h </w:instrText>
          </w:r>
          <w:r>
            <w:rPr>
              <w:color w:val="auto"/>
              <w:sz w:val="24"/>
              <w:szCs w:val="24"/>
            </w:rPr>
            <w:fldChar w:fldCharType="separate"/>
          </w:r>
          <w:r>
            <w:rPr>
              <w:color w:val="auto"/>
              <w:sz w:val="24"/>
              <w:szCs w:val="24"/>
            </w:rPr>
            <w:t>60</w:t>
          </w:r>
          <w:r>
            <w:rPr>
              <w:color w:val="auto"/>
              <w:sz w:val="24"/>
              <w:szCs w:val="24"/>
            </w:rPr>
            <w:fldChar w:fldCharType="end"/>
          </w:r>
          <w:r>
            <w:rPr>
              <w:rFonts w:hint="eastAsia"/>
              <w:color w:val="auto"/>
              <w:sz w:val="24"/>
              <w:szCs w:val="24"/>
              <w:lang w:eastAsia="zh-CN"/>
            </w:rPr>
            <w:fldChar w:fldCharType="end"/>
          </w:r>
        </w:p>
        <w:p w14:paraId="6353DD5E">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_Toc11415 </w:instrText>
          </w:r>
          <w:r>
            <w:rPr>
              <w:rFonts w:hint="eastAsia"/>
              <w:color w:val="auto"/>
              <w:sz w:val="24"/>
              <w:szCs w:val="24"/>
              <w:lang w:eastAsia="zh-CN"/>
            </w:rPr>
            <w:fldChar w:fldCharType="separate"/>
          </w:r>
          <w:r>
            <w:rPr>
              <w:rFonts w:ascii="Times New Roman" w:hAnsi="Times New Roman"/>
              <w:color w:val="auto"/>
              <w:sz w:val="24"/>
              <w:szCs w:val="24"/>
              <w:lang w:val="en-US" w:eastAsia="zh-CN"/>
            </w:rPr>
            <w:t>4.</w:t>
          </w:r>
          <w:r>
            <w:rPr>
              <w:rFonts w:hint="eastAsia"/>
              <w:color w:val="auto"/>
              <w:sz w:val="24"/>
              <w:szCs w:val="24"/>
              <w:lang w:val="en-US" w:eastAsia="zh-CN"/>
            </w:rPr>
            <w:t>2</w:t>
          </w:r>
          <w:r>
            <w:rPr>
              <w:rFonts w:ascii="Times New Roman" w:hAnsi="Times New Roman"/>
              <w:color w:val="auto"/>
              <w:sz w:val="24"/>
              <w:szCs w:val="24"/>
              <w:lang w:val="en-US" w:eastAsia="zh-CN"/>
            </w:rPr>
            <w:t>评价方法的介绍</w:t>
          </w:r>
          <w:r>
            <w:rPr>
              <w:color w:val="auto"/>
              <w:sz w:val="24"/>
              <w:szCs w:val="24"/>
            </w:rPr>
            <w:tab/>
          </w:r>
          <w:r>
            <w:rPr>
              <w:color w:val="auto"/>
              <w:sz w:val="24"/>
              <w:szCs w:val="24"/>
            </w:rPr>
            <w:fldChar w:fldCharType="begin"/>
          </w:r>
          <w:r>
            <w:rPr>
              <w:color w:val="auto"/>
              <w:sz w:val="24"/>
              <w:szCs w:val="24"/>
            </w:rPr>
            <w:instrText xml:space="preserve"> PAGEREF _Toc11415 \h </w:instrText>
          </w:r>
          <w:r>
            <w:rPr>
              <w:color w:val="auto"/>
              <w:sz w:val="24"/>
              <w:szCs w:val="24"/>
            </w:rPr>
            <w:fldChar w:fldCharType="separate"/>
          </w:r>
          <w:r>
            <w:rPr>
              <w:color w:val="auto"/>
              <w:sz w:val="24"/>
              <w:szCs w:val="24"/>
            </w:rPr>
            <w:t>61</w:t>
          </w:r>
          <w:r>
            <w:rPr>
              <w:color w:val="auto"/>
              <w:sz w:val="24"/>
              <w:szCs w:val="24"/>
            </w:rPr>
            <w:fldChar w:fldCharType="end"/>
          </w:r>
          <w:r>
            <w:rPr>
              <w:rFonts w:hint="eastAsia"/>
              <w:color w:val="auto"/>
              <w:sz w:val="24"/>
              <w:szCs w:val="24"/>
              <w:lang w:eastAsia="zh-CN"/>
            </w:rPr>
            <w:fldChar w:fldCharType="end"/>
          </w:r>
        </w:p>
        <w:p w14:paraId="2291FB9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_Toc7546 </w:instrText>
          </w:r>
          <w:r>
            <w:rPr>
              <w:rFonts w:hint="eastAsia"/>
              <w:color w:val="auto"/>
              <w:sz w:val="24"/>
              <w:szCs w:val="24"/>
              <w:lang w:eastAsia="zh-CN"/>
            </w:rPr>
            <w:fldChar w:fldCharType="separate"/>
          </w:r>
          <w:r>
            <w:rPr>
              <w:rFonts w:ascii="Times New Roman" w:hAnsi="Times New Roman"/>
              <w:color w:val="auto"/>
              <w:sz w:val="24"/>
              <w:szCs w:val="24"/>
              <w:lang w:val="en-US" w:eastAsia="zh-CN"/>
            </w:rPr>
            <w:t>4.</w:t>
          </w:r>
          <w:r>
            <w:rPr>
              <w:rFonts w:hint="eastAsia"/>
              <w:color w:val="auto"/>
              <w:sz w:val="24"/>
              <w:szCs w:val="24"/>
              <w:lang w:val="en-US" w:eastAsia="zh-CN"/>
            </w:rPr>
            <w:t>2</w:t>
          </w:r>
          <w:r>
            <w:rPr>
              <w:rFonts w:ascii="Times New Roman" w:hAnsi="Times New Roman"/>
              <w:color w:val="auto"/>
              <w:sz w:val="24"/>
              <w:szCs w:val="24"/>
              <w:lang w:val="en-US" w:eastAsia="zh-CN"/>
            </w:rPr>
            <w:t>.1安全检查表法（SCL）</w:t>
          </w:r>
          <w:r>
            <w:rPr>
              <w:color w:val="auto"/>
              <w:sz w:val="24"/>
              <w:szCs w:val="24"/>
            </w:rPr>
            <w:tab/>
          </w:r>
          <w:r>
            <w:rPr>
              <w:color w:val="auto"/>
              <w:sz w:val="24"/>
              <w:szCs w:val="24"/>
            </w:rPr>
            <w:fldChar w:fldCharType="begin"/>
          </w:r>
          <w:r>
            <w:rPr>
              <w:color w:val="auto"/>
              <w:sz w:val="24"/>
              <w:szCs w:val="24"/>
            </w:rPr>
            <w:instrText xml:space="preserve"> PAGEREF _Toc7546 \h </w:instrText>
          </w:r>
          <w:r>
            <w:rPr>
              <w:color w:val="auto"/>
              <w:sz w:val="24"/>
              <w:szCs w:val="24"/>
            </w:rPr>
            <w:fldChar w:fldCharType="separate"/>
          </w:r>
          <w:r>
            <w:rPr>
              <w:color w:val="auto"/>
              <w:sz w:val="24"/>
              <w:szCs w:val="24"/>
            </w:rPr>
            <w:t>61</w:t>
          </w:r>
          <w:r>
            <w:rPr>
              <w:color w:val="auto"/>
              <w:sz w:val="24"/>
              <w:szCs w:val="24"/>
            </w:rPr>
            <w:fldChar w:fldCharType="end"/>
          </w:r>
          <w:r>
            <w:rPr>
              <w:rFonts w:hint="eastAsia"/>
              <w:color w:val="auto"/>
              <w:sz w:val="24"/>
              <w:szCs w:val="24"/>
              <w:lang w:eastAsia="zh-CN"/>
            </w:rPr>
            <w:fldChar w:fldCharType="end"/>
          </w:r>
        </w:p>
        <w:p w14:paraId="4C268CFF">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_Toc12272 </w:instrText>
          </w:r>
          <w:r>
            <w:rPr>
              <w:rFonts w:hint="eastAsia"/>
              <w:color w:val="auto"/>
              <w:sz w:val="24"/>
              <w:szCs w:val="24"/>
              <w:lang w:eastAsia="zh-CN"/>
            </w:rPr>
            <w:fldChar w:fldCharType="separate"/>
          </w:r>
          <w:r>
            <w:rPr>
              <w:rFonts w:hint="eastAsia"/>
              <w:color w:val="auto"/>
              <w:sz w:val="24"/>
              <w:szCs w:val="24"/>
            </w:rPr>
            <w:t>4.</w:t>
          </w:r>
          <w:r>
            <w:rPr>
              <w:rFonts w:hint="eastAsia"/>
              <w:color w:val="auto"/>
              <w:sz w:val="24"/>
              <w:szCs w:val="24"/>
              <w:lang w:val="en-US" w:eastAsia="zh-CN"/>
            </w:rPr>
            <w:t>2</w:t>
          </w:r>
          <w:r>
            <w:rPr>
              <w:rFonts w:hint="eastAsia"/>
              <w:color w:val="auto"/>
              <w:sz w:val="24"/>
              <w:szCs w:val="24"/>
            </w:rPr>
            <w:t>.</w:t>
          </w:r>
          <w:r>
            <w:rPr>
              <w:rFonts w:hint="eastAsia"/>
              <w:color w:val="auto"/>
              <w:sz w:val="24"/>
              <w:szCs w:val="24"/>
              <w:lang w:val="en-US" w:eastAsia="zh-CN"/>
            </w:rPr>
            <w:t>2</w:t>
          </w:r>
          <w:r>
            <w:rPr>
              <w:color w:val="auto"/>
              <w:sz w:val="24"/>
              <w:szCs w:val="24"/>
            </w:rPr>
            <w:t>作业条件危险性</w:t>
          </w:r>
          <w:r>
            <w:rPr>
              <w:rFonts w:hint="eastAsia"/>
              <w:color w:val="auto"/>
              <w:sz w:val="24"/>
              <w:szCs w:val="24"/>
            </w:rPr>
            <w:t>评价法</w:t>
          </w:r>
          <w:r>
            <w:rPr>
              <w:rFonts w:hint="eastAsia"/>
              <w:color w:val="auto"/>
              <w:sz w:val="24"/>
              <w:szCs w:val="24"/>
              <w:lang w:eastAsia="zh-CN"/>
            </w:rPr>
            <w:t>（</w:t>
          </w:r>
          <w:r>
            <w:rPr>
              <w:rFonts w:hint="eastAsia"/>
              <w:color w:val="auto"/>
              <w:sz w:val="24"/>
              <w:szCs w:val="24"/>
              <w:lang w:val="en-US" w:eastAsia="zh-CN"/>
            </w:rPr>
            <w:t>LEC</w:t>
          </w:r>
          <w:r>
            <w:rPr>
              <w:rFonts w:hint="eastAsia"/>
              <w:color w:val="auto"/>
              <w:sz w:val="24"/>
              <w:szCs w:val="24"/>
              <w:lang w:eastAsia="zh-CN"/>
            </w:rPr>
            <w:t>）</w:t>
          </w:r>
          <w:r>
            <w:rPr>
              <w:color w:val="auto"/>
              <w:sz w:val="24"/>
              <w:szCs w:val="24"/>
            </w:rPr>
            <w:tab/>
          </w:r>
          <w:r>
            <w:rPr>
              <w:color w:val="auto"/>
              <w:sz w:val="24"/>
              <w:szCs w:val="24"/>
            </w:rPr>
            <w:fldChar w:fldCharType="begin"/>
          </w:r>
          <w:r>
            <w:rPr>
              <w:color w:val="auto"/>
              <w:sz w:val="24"/>
              <w:szCs w:val="24"/>
            </w:rPr>
            <w:instrText xml:space="preserve"> PAGEREF _Toc12272 \h </w:instrText>
          </w:r>
          <w:r>
            <w:rPr>
              <w:color w:val="auto"/>
              <w:sz w:val="24"/>
              <w:szCs w:val="24"/>
            </w:rPr>
            <w:fldChar w:fldCharType="separate"/>
          </w:r>
          <w:r>
            <w:rPr>
              <w:color w:val="auto"/>
              <w:sz w:val="24"/>
              <w:szCs w:val="24"/>
            </w:rPr>
            <w:t>62</w:t>
          </w:r>
          <w:r>
            <w:rPr>
              <w:color w:val="auto"/>
              <w:sz w:val="24"/>
              <w:szCs w:val="24"/>
            </w:rPr>
            <w:fldChar w:fldCharType="end"/>
          </w:r>
          <w:r>
            <w:rPr>
              <w:rFonts w:hint="eastAsia"/>
              <w:color w:val="auto"/>
              <w:sz w:val="24"/>
              <w:szCs w:val="24"/>
              <w:lang w:eastAsia="zh-CN"/>
            </w:rPr>
            <w:fldChar w:fldCharType="end"/>
          </w:r>
        </w:p>
        <w:p w14:paraId="3E989005">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_Toc10017 </w:instrText>
          </w:r>
          <w:r>
            <w:rPr>
              <w:rFonts w:hint="eastAsia"/>
              <w:color w:val="auto"/>
              <w:sz w:val="24"/>
              <w:szCs w:val="24"/>
              <w:lang w:eastAsia="zh-CN"/>
            </w:rPr>
            <w:fldChar w:fldCharType="separate"/>
          </w:r>
          <w:r>
            <w:rPr>
              <w:rFonts w:hint="eastAsia" w:ascii="Times New Roman" w:hAnsi="Times New Roman" w:eastAsia="宋体" w:cs="Times New Roman"/>
              <w:color w:val="auto"/>
              <w:kern w:val="44"/>
              <w:sz w:val="24"/>
              <w:szCs w:val="24"/>
              <w:lang w:val="en-US" w:eastAsia="zh-CN" w:bidi="ar-SA"/>
            </w:rPr>
            <w:t>5.</w:t>
          </w:r>
          <w:r>
            <w:rPr>
              <w:rFonts w:hint="eastAsia" w:ascii="Times New Roman" w:hAnsi="Times New Roman" w:cs="Times New Roman"/>
              <w:color w:val="auto"/>
              <w:sz w:val="24"/>
              <w:szCs w:val="24"/>
              <w:lang w:val="en-US" w:eastAsia="zh-CN"/>
            </w:rPr>
            <w:t>定性评价</w:t>
          </w:r>
          <w:r>
            <w:rPr>
              <w:color w:val="auto"/>
              <w:sz w:val="24"/>
              <w:szCs w:val="24"/>
            </w:rPr>
            <w:tab/>
          </w:r>
          <w:r>
            <w:rPr>
              <w:color w:val="auto"/>
              <w:sz w:val="24"/>
              <w:szCs w:val="24"/>
            </w:rPr>
            <w:fldChar w:fldCharType="begin"/>
          </w:r>
          <w:r>
            <w:rPr>
              <w:color w:val="auto"/>
              <w:sz w:val="24"/>
              <w:szCs w:val="24"/>
            </w:rPr>
            <w:instrText xml:space="preserve"> PAGEREF _Toc10017 \h </w:instrText>
          </w:r>
          <w:r>
            <w:rPr>
              <w:color w:val="auto"/>
              <w:sz w:val="24"/>
              <w:szCs w:val="24"/>
            </w:rPr>
            <w:fldChar w:fldCharType="separate"/>
          </w:r>
          <w:r>
            <w:rPr>
              <w:color w:val="auto"/>
              <w:sz w:val="24"/>
              <w:szCs w:val="24"/>
            </w:rPr>
            <w:t>64</w:t>
          </w:r>
          <w:r>
            <w:rPr>
              <w:color w:val="auto"/>
              <w:sz w:val="24"/>
              <w:szCs w:val="24"/>
            </w:rPr>
            <w:fldChar w:fldCharType="end"/>
          </w:r>
          <w:r>
            <w:rPr>
              <w:rFonts w:hint="eastAsia"/>
              <w:color w:val="auto"/>
              <w:sz w:val="24"/>
              <w:szCs w:val="24"/>
              <w:lang w:eastAsia="zh-CN"/>
            </w:rPr>
            <w:fldChar w:fldCharType="end"/>
          </w:r>
        </w:p>
        <w:p w14:paraId="40B046AE">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_Toc23553 </w:instrText>
          </w:r>
          <w:r>
            <w:rPr>
              <w:rFonts w:hint="eastAsia"/>
              <w:color w:val="auto"/>
              <w:sz w:val="24"/>
              <w:szCs w:val="24"/>
              <w:lang w:eastAsia="zh-CN"/>
            </w:rPr>
            <w:fldChar w:fldCharType="separate"/>
          </w:r>
          <w:r>
            <w:rPr>
              <w:rFonts w:hint="eastAsia"/>
              <w:color w:val="auto"/>
              <w:sz w:val="24"/>
              <w:szCs w:val="24"/>
              <w:lang w:val="en-US" w:eastAsia="zh-CN"/>
            </w:rPr>
            <w:t>5.1法律、法规符合性评价单元</w:t>
          </w:r>
          <w:r>
            <w:rPr>
              <w:color w:val="auto"/>
              <w:sz w:val="24"/>
              <w:szCs w:val="24"/>
            </w:rPr>
            <w:tab/>
          </w:r>
          <w:r>
            <w:rPr>
              <w:color w:val="auto"/>
              <w:sz w:val="24"/>
              <w:szCs w:val="24"/>
            </w:rPr>
            <w:fldChar w:fldCharType="begin"/>
          </w:r>
          <w:r>
            <w:rPr>
              <w:color w:val="auto"/>
              <w:sz w:val="24"/>
              <w:szCs w:val="24"/>
            </w:rPr>
            <w:instrText xml:space="preserve"> PAGEREF _Toc23553 \h </w:instrText>
          </w:r>
          <w:r>
            <w:rPr>
              <w:color w:val="auto"/>
              <w:sz w:val="24"/>
              <w:szCs w:val="24"/>
            </w:rPr>
            <w:fldChar w:fldCharType="separate"/>
          </w:r>
          <w:r>
            <w:rPr>
              <w:color w:val="auto"/>
              <w:sz w:val="24"/>
              <w:szCs w:val="24"/>
            </w:rPr>
            <w:t>64</w:t>
          </w:r>
          <w:r>
            <w:rPr>
              <w:color w:val="auto"/>
              <w:sz w:val="24"/>
              <w:szCs w:val="24"/>
            </w:rPr>
            <w:fldChar w:fldCharType="end"/>
          </w:r>
          <w:r>
            <w:rPr>
              <w:rFonts w:hint="eastAsia"/>
              <w:color w:val="auto"/>
              <w:sz w:val="24"/>
              <w:szCs w:val="24"/>
              <w:lang w:eastAsia="zh-CN"/>
            </w:rPr>
            <w:fldChar w:fldCharType="end"/>
          </w:r>
        </w:p>
        <w:p w14:paraId="3EBBBA6F">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_Toc15219 </w:instrText>
          </w:r>
          <w:r>
            <w:rPr>
              <w:rFonts w:hint="eastAsia"/>
              <w:color w:val="auto"/>
              <w:sz w:val="24"/>
              <w:szCs w:val="24"/>
              <w:lang w:eastAsia="zh-CN"/>
            </w:rPr>
            <w:fldChar w:fldCharType="separate"/>
          </w:r>
          <w:r>
            <w:rPr>
              <w:rFonts w:hint="eastAsia"/>
              <w:color w:val="auto"/>
              <w:sz w:val="24"/>
              <w:szCs w:val="24"/>
              <w:lang w:val="en-US" w:eastAsia="zh-CN"/>
            </w:rPr>
            <w:t>5.1.1</w:t>
          </w:r>
          <w:r>
            <w:rPr>
              <w:rFonts w:hint="default"/>
              <w:color w:val="auto"/>
              <w:sz w:val="24"/>
              <w:szCs w:val="24"/>
              <w:lang w:val="en-US" w:eastAsia="zh-CN"/>
            </w:rPr>
            <w:t>产业政策、规划的符合性检查</w:t>
          </w:r>
          <w:r>
            <w:rPr>
              <w:color w:val="auto"/>
              <w:sz w:val="24"/>
              <w:szCs w:val="24"/>
            </w:rPr>
            <w:tab/>
          </w:r>
          <w:r>
            <w:rPr>
              <w:color w:val="auto"/>
              <w:sz w:val="24"/>
              <w:szCs w:val="24"/>
            </w:rPr>
            <w:fldChar w:fldCharType="begin"/>
          </w:r>
          <w:r>
            <w:rPr>
              <w:color w:val="auto"/>
              <w:sz w:val="24"/>
              <w:szCs w:val="24"/>
            </w:rPr>
            <w:instrText xml:space="preserve"> PAGEREF _Toc15219 \h </w:instrText>
          </w:r>
          <w:r>
            <w:rPr>
              <w:color w:val="auto"/>
              <w:sz w:val="24"/>
              <w:szCs w:val="24"/>
            </w:rPr>
            <w:fldChar w:fldCharType="separate"/>
          </w:r>
          <w:r>
            <w:rPr>
              <w:color w:val="auto"/>
              <w:sz w:val="24"/>
              <w:szCs w:val="24"/>
            </w:rPr>
            <w:t>64</w:t>
          </w:r>
          <w:r>
            <w:rPr>
              <w:color w:val="auto"/>
              <w:sz w:val="24"/>
              <w:szCs w:val="24"/>
            </w:rPr>
            <w:fldChar w:fldCharType="end"/>
          </w:r>
          <w:r>
            <w:rPr>
              <w:rFonts w:hint="eastAsia"/>
              <w:color w:val="auto"/>
              <w:sz w:val="24"/>
              <w:szCs w:val="24"/>
              <w:lang w:eastAsia="zh-CN"/>
            </w:rPr>
            <w:fldChar w:fldCharType="end"/>
          </w:r>
        </w:p>
        <w:p w14:paraId="459FDB4B">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_Toc31383 </w:instrText>
          </w:r>
          <w:r>
            <w:rPr>
              <w:rFonts w:hint="eastAsia"/>
              <w:color w:val="auto"/>
              <w:sz w:val="24"/>
              <w:szCs w:val="24"/>
              <w:lang w:eastAsia="zh-CN"/>
            </w:rPr>
            <w:fldChar w:fldCharType="separate"/>
          </w:r>
          <w:r>
            <w:rPr>
              <w:rFonts w:hint="eastAsia"/>
              <w:color w:val="auto"/>
              <w:sz w:val="24"/>
              <w:szCs w:val="24"/>
              <w:lang w:val="en-US" w:eastAsia="zh-CN"/>
            </w:rPr>
            <w:t>5.1.2</w:t>
          </w:r>
          <w:r>
            <w:rPr>
              <w:rFonts w:hint="eastAsia"/>
              <w:color w:val="auto"/>
              <w:sz w:val="24"/>
              <w:szCs w:val="24"/>
            </w:rPr>
            <w:t>项目设计、施工、建设合法性检查</w:t>
          </w:r>
          <w:r>
            <w:rPr>
              <w:color w:val="auto"/>
              <w:sz w:val="24"/>
              <w:szCs w:val="24"/>
            </w:rPr>
            <w:tab/>
          </w:r>
          <w:r>
            <w:rPr>
              <w:color w:val="auto"/>
              <w:sz w:val="24"/>
              <w:szCs w:val="24"/>
            </w:rPr>
            <w:fldChar w:fldCharType="begin"/>
          </w:r>
          <w:r>
            <w:rPr>
              <w:color w:val="auto"/>
              <w:sz w:val="24"/>
              <w:szCs w:val="24"/>
            </w:rPr>
            <w:instrText xml:space="preserve"> PAGEREF _Toc31383 \h </w:instrText>
          </w:r>
          <w:r>
            <w:rPr>
              <w:color w:val="auto"/>
              <w:sz w:val="24"/>
              <w:szCs w:val="24"/>
            </w:rPr>
            <w:fldChar w:fldCharType="separate"/>
          </w:r>
          <w:r>
            <w:rPr>
              <w:color w:val="auto"/>
              <w:sz w:val="24"/>
              <w:szCs w:val="24"/>
            </w:rPr>
            <w:t>64</w:t>
          </w:r>
          <w:r>
            <w:rPr>
              <w:color w:val="auto"/>
              <w:sz w:val="24"/>
              <w:szCs w:val="24"/>
            </w:rPr>
            <w:fldChar w:fldCharType="end"/>
          </w:r>
          <w:r>
            <w:rPr>
              <w:rFonts w:hint="eastAsia"/>
              <w:color w:val="auto"/>
              <w:sz w:val="24"/>
              <w:szCs w:val="24"/>
              <w:lang w:eastAsia="zh-CN"/>
            </w:rPr>
            <w:fldChar w:fldCharType="end"/>
          </w:r>
        </w:p>
        <w:p w14:paraId="2B9FC8C9">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_Toc23982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5.</w:t>
          </w:r>
          <w:r>
            <w:rPr>
              <w:rFonts w:hint="eastAsia"/>
              <w:color w:val="auto"/>
              <w:sz w:val="24"/>
              <w:szCs w:val="24"/>
              <w:lang w:val="en-US" w:eastAsia="zh-CN"/>
            </w:rPr>
            <w:t>2</w:t>
          </w:r>
          <w:r>
            <w:rPr>
              <w:rFonts w:hint="eastAsia" w:ascii="Times New Roman" w:hAnsi="Times New Roman"/>
              <w:color w:val="auto"/>
              <w:sz w:val="24"/>
              <w:szCs w:val="24"/>
              <w:lang w:val="en-US" w:eastAsia="zh-CN"/>
            </w:rPr>
            <w:t>总图运输单元</w:t>
          </w:r>
          <w:r>
            <w:rPr>
              <w:color w:val="auto"/>
              <w:sz w:val="24"/>
              <w:szCs w:val="24"/>
            </w:rPr>
            <w:tab/>
          </w:r>
          <w:r>
            <w:rPr>
              <w:color w:val="auto"/>
              <w:sz w:val="24"/>
              <w:szCs w:val="24"/>
            </w:rPr>
            <w:fldChar w:fldCharType="begin"/>
          </w:r>
          <w:r>
            <w:rPr>
              <w:color w:val="auto"/>
              <w:sz w:val="24"/>
              <w:szCs w:val="24"/>
            </w:rPr>
            <w:instrText xml:space="preserve"> PAGEREF _Toc23982 \h </w:instrText>
          </w:r>
          <w:r>
            <w:rPr>
              <w:color w:val="auto"/>
              <w:sz w:val="24"/>
              <w:szCs w:val="24"/>
            </w:rPr>
            <w:fldChar w:fldCharType="separate"/>
          </w:r>
          <w:r>
            <w:rPr>
              <w:color w:val="auto"/>
              <w:sz w:val="24"/>
              <w:szCs w:val="24"/>
            </w:rPr>
            <w:t>65</w:t>
          </w:r>
          <w:r>
            <w:rPr>
              <w:color w:val="auto"/>
              <w:sz w:val="24"/>
              <w:szCs w:val="24"/>
            </w:rPr>
            <w:fldChar w:fldCharType="end"/>
          </w:r>
          <w:r>
            <w:rPr>
              <w:rFonts w:hint="eastAsia"/>
              <w:color w:val="auto"/>
              <w:sz w:val="24"/>
              <w:szCs w:val="24"/>
              <w:lang w:eastAsia="zh-CN"/>
            </w:rPr>
            <w:fldChar w:fldCharType="end"/>
          </w:r>
        </w:p>
        <w:p w14:paraId="0BC4E56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_Toc26640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5.</w:t>
          </w:r>
          <w:r>
            <w:rPr>
              <w:rFonts w:hint="eastAsia"/>
              <w:color w:val="auto"/>
              <w:sz w:val="24"/>
              <w:szCs w:val="24"/>
              <w:lang w:val="en-US" w:eastAsia="zh-CN"/>
            </w:rPr>
            <w:t>2</w:t>
          </w:r>
          <w:r>
            <w:rPr>
              <w:rFonts w:hint="eastAsia" w:ascii="Times New Roman" w:hAnsi="Times New Roman"/>
              <w:color w:val="auto"/>
              <w:sz w:val="24"/>
              <w:szCs w:val="24"/>
              <w:lang w:val="en-US" w:eastAsia="zh-CN"/>
            </w:rPr>
            <w:t>.1总平面布置子单元</w:t>
          </w:r>
          <w:r>
            <w:rPr>
              <w:color w:val="auto"/>
              <w:sz w:val="24"/>
              <w:szCs w:val="24"/>
            </w:rPr>
            <w:tab/>
          </w:r>
          <w:r>
            <w:rPr>
              <w:color w:val="auto"/>
              <w:sz w:val="24"/>
              <w:szCs w:val="24"/>
            </w:rPr>
            <w:fldChar w:fldCharType="begin"/>
          </w:r>
          <w:r>
            <w:rPr>
              <w:color w:val="auto"/>
              <w:sz w:val="24"/>
              <w:szCs w:val="24"/>
            </w:rPr>
            <w:instrText xml:space="preserve"> PAGEREF _Toc26640 \h </w:instrText>
          </w:r>
          <w:r>
            <w:rPr>
              <w:color w:val="auto"/>
              <w:sz w:val="24"/>
              <w:szCs w:val="24"/>
            </w:rPr>
            <w:fldChar w:fldCharType="separate"/>
          </w:r>
          <w:r>
            <w:rPr>
              <w:color w:val="auto"/>
              <w:sz w:val="24"/>
              <w:szCs w:val="24"/>
            </w:rPr>
            <w:t>65</w:t>
          </w:r>
          <w:r>
            <w:rPr>
              <w:color w:val="auto"/>
              <w:sz w:val="24"/>
              <w:szCs w:val="24"/>
            </w:rPr>
            <w:fldChar w:fldCharType="end"/>
          </w:r>
          <w:r>
            <w:rPr>
              <w:rFonts w:hint="eastAsia"/>
              <w:color w:val="auto"/>
              <w:sz w:val="24"/>
              <w:szCs w:val="24"/>
              <w:lang w:eastAsia="zh-CN"/>
            </w:rPr>
            <w:fldChar w:fldCharType="end"/>
          </w:r>
        </w:p>
        <w:p w14:paraId="790FAFE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_Toc11883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5.</w:t>
          </w:r>
          <w:r>
            <w:rPr>
              <w:rFonts w:hint="eastAsia"/>
              <w:color w:val="auto"/>
              <w:sz w:val="24"/>
              <w:szCs w:val="24"/>
              <w:lang w:val="en-US" w:eastAsia="zh-CN"/>
            </w:rPr>
            <w:t>2</w:t>
          </w:r>
          <w:r>
            <w:rPr>
              <w:rFonts w:hint="eastAsia" w:ascii="Times New Roman" w:hAnsi="Times New Roman"/>
              <w:color w:val="auto"/>
              <w:sz w:val="24"/>
              <w:szCs w:val="24"/>
              <w:lang w:val="en-US" w:eastAsia="zh-CN"/>
            </w:rPr>
            <w:t>.2建（构）筑物子单元</w:t>
          </w:r>
          <w:r>
            <w:rPr>
              <w:color w:val="auto"/>
              <w:sz w:val="24"/>
              <w:szCs w:val="24"/>
            </w:rPr>
            <w:tab/>
          </w:r>
          <w:r>
            <w:rPr>
              <w:color w:val="auto"/>
              <w:sz w:val="24"/>
              <w:szCs w:val="24"/>
            </w:rPr>
            <w:fldChar w:fldCharType="begin"/>
          </w:r>
          <w:r>
            <w:rPr>
              <w:color w:val="auto"/>
              <w:sz w:val="24"/>
              <w:szCs w:val="24"/>
            </w:rPr>
            <w:instrText xml:space="preserve"> PAGEREF _Toc11883 \h </w:instrText>
          </w:r>
          <w:r>
            <w:rPr>
              <w:color w:val="auto"/>
              <w:sz w:val="24"/>
              <w:szCs w:val="24"/>
            </w:rPr>
            <w:fldChar w:fldCharType="separate"/>
          </w:r>
          <w:r>
            <w:rPr>
              <w:color w:val="auto"/>
              <w:sz w:val="24"/>
              <w:szCs w:val="24"/>
            </w:rPr>
            <w:t>67</w:t>
          </w:r>
          <w:r>
            <w:rPr>
              <w:color w:val="auto"/>
              <w:sz w:val="24"/>
              <w:szCs w:val="24"/>
            </w:rPr>
            <w:fldChar w:fldCharType="end"/>
          </w:r>
          <w:r>
            <w:rPr>
              <w:rFonts w:hint="eastAsia"/>
              <w:color w:val="auto"/>
              <w:sz w:val="24"/>
              <w:szCs w:val="24"/>
              <w:lang w:eastAsia="zh-CN"/>
            </w:rPr>
            <w:fldChar w:fldCharType="end"/>
          </w:r>
        </w:p>
        <w:p w14:paraId="4DD344A9">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_Toc27018 </w:instrText>
          </w:r>
          <w:r>
            <w:rPr>
              <w:rFonts w:hint="eastAsia"/>
              <w:color w:val="auto"/>
              <w:sz w:val="24"/>
              <w:szCs w:val="24"/>
              <w:lang w:eastAsia="zh-CN"/>
            </w:rPr>
            <w:fldChar w:fldCharType="separate"/>
          </w:r>
          <w:r>
            <w:rPr>
              <w:rFonts w:ascii="Times New Roman" w:hAnsi="Times New Roman"/>
              <w:color w:val="auto"/>
              <w:sz w:val="24"/>
              <w:szCs w:val="24"/>
              <w:lang w:val="en-US" w:eastAsia="zh-CN"/>
            </w:rPr>
            <w:t>5.</w:t>
          </w:r>
          <w:r>
            <w:rPr>
              <w:rFonts w:hint="eastAsia"/>
              <w:color w:val="auto"/>
              <w:sz w:val="24"/>
              <w:szCs w:val="24"/>
              <w:lang w:val="en-US" w:eastAsia="zh-CN"/>
            </w:rPr>
            <w:t>2</w:t>
          </w:r>
          <w:r>
            <w:rPr>
              <w:rFonts w:ascii="Times New Roman" w:hAnsi="Times New Roman"/>
              <w:color w:val="auto"/>
              <w:sz w:val="24"/>
              <w:szCs w:val="24"/>
              <w:lang w:val="en-US" w:eastAsia="zh-CN"/>
            </w:rPr>
            <w:t>.3道路及运输子单元</w:t>
          </w:r>
          <w:r>
            <w:rPr>
              <w:color w:val="auto"/>
              <w:sz w:val="24"/>
              <w:szCs w:val="24"/>
            </w:rPr>
            <w:tab/>
          </w:r>
          <w:r>
            <w:rPr>
              <w:color w:val="auto"/>
              <w:sz w:val="24"/>
              <w:szCs w:val="24"/>
            </w:rPr>
            <w:fldChar w:fldCharType="begin"/>
          </w:r>
          <w:r>
            <w:rPr>
              <w:color w:val="auto"/>
              <w:sz w:val="24"/>
              <w:szCs w:val="24"/>
            </w:rPr>
            <w:instrText xml:space="preserve"> PAGEREF _Toc27018 \h </w:instrText>
          </w:r>
          <w:r>
            <w:rPr>
              <w:color w:val="auto"/>
              <w:sz w:val="24"/>
              <w:szCs w:val="24"/>
            </w:rPr>
            <w:fldChar w:fldCharType="separate"/>
          </w:r>
          <w:r>
            <w:rPr>
              <w:color w:val="auto"/>
              <w:sz w:val="24"/>
              <w:szCs w:val="24"/>
            </w:rPr>
            <w:t>68</w:t>
          </w:r>
          <w:r>
            <w:rPr>
              <w:color w:val="auto"/>
              <w:sz w:val="24"/>
              <w:szCs w:val="24"/>
            </w:rPr>
            <w:fldChar w:fldCharType="end"/>
          </w:r>
          <w:r>
            <w:rPr>
              <w:rFonts w:hint="eastAsia"/>
              <w:color w:val="auto"/>
              <w:sz w:val="24"/>
              <w:szCs w:val="24"/>
              <w:lang w:eastAsia="zh-CN"/>
            </w:rPr>
            <w:fldChar w:fldCharType="end"/>
          </w:r>
        </w:p>
        <w:p w14:paraId="4CCD7711">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_Toc4491 </w:instrText>
          </w:r>
          <w:r>
            <w:rPr>
              <w:rFonts w:hint="eastAsia"/>
              <w:color w:val="auto"/>
              <w:sz w:val="24"/>
              <w:szCs w:val="24"/>
              <w:lang w:eastAsia="zh-CN"/>
            </w:rPr>
            <w:fldChar w:fldCharType="separate"/>
          </w:r>
          <w:r>
            <w:rPr>
              <w:rFonts w:ascii="Times New Roman" w:hAnsi="Times New Roman"/>
              <w:color w:val="auto"/>
              <w:sz w:val="24"/>
              <w:szCs w:val="24"/>
              <w:lang w:val="en-US" w:eastAsia="zh-CN"/>
            </w:rPr>
            <w:t>5.</w:t>
          </w:r>
          <w:r>
            <w:rPr>
              <w:rFonts w:hint="eastAsia"/>
              <w:color w:val="auto"/>
              <w:sz w:val="24"/>
              <w:szCs w:val="24"/>
              <w:lang w:val="en-US" w:eastAsia="zh-CN"/>
            </w:rPr>
            <w:t>2</w:t>
          </w:r>
          <w:r>
            <w:rPr>
              <w:rFonts w:ascii="Times New Roman" w:hAnsi="Times New Roman"/>
              <w:color w:val="auto"/>
              <w:sz w:val="24"/>
              <w:szCs w:val="24"/>
              <w:lang w:val="en-US" w:eastAsia="zh-CN"/>
            </w:rPr>
            <w:t>.4单元评价小结</w:t>
          </w:r>
          <w:r>
            <w:rPr>
              <w:color w:val="auto"/>
              <w:sz w:val="24"/>
              <w:szCs w:val="24"/>
            </w:rPr>
            <w:tab/>
          </w:r>
          <w:r>
            <w:rPr>
              <w:color w:val="auto"/>
              <w:sz w:val="24"/>
              <w:szCs w:val="24"/>
            </w:rPr>
            <w:fldChar w:fldCharType="begin"/>
          </w:r>
          <w:r>
            <w:rPr>
              <w:color w:val="auto"/>
              <w:sz w:val="24"/>
              <w:szCs w:val="24"/>
            </w:rPr>
            <w:instrText xml:space="preserve"> PAGEREF _Toc4491 \h </w:instrText>
          </w:r>
          <w:r>
            <w:rPr>
              <w:color w:val="auto"/>
              <w:sz w:val="24"/>
              <w:szCs w:val="24"/>
            </w:rPr>
            <w:fldChar w:fldCharType="separate"/>
          </w:r>
          <w:r>
            <w:rPr>
              <w:color w:val="auto"/>
              <w:sz w:val="24"/>
              <w:szCs w:val="24"/>
            </w:rPr>
            <w:t>69</w:t>
          </w:r>
          <w:r>
            <w:rPr>
              <w:color w:val="auto"/>
              <w:sz w:val="24"/>
              <w:szCs w:val="24"/>
            </w:rPr>
            <w:fldChar w:fldCharType="end"/>
          </w:r>
          <w:r>
            <w:rPr>
              <w:rFonts w:hint="eastAsia"/>
              <w:color w:val="auto"/>
              <w:sz w:val="24"/>
              <w:szCs w:val="24"/>
              <w:lang w:eastAsia="zh-CN"/>
            </w:rPr>
            <w:fldChar w:fldCharType="end"/>
          </w:r>
        </w:p>
        <w:p w14:paraId="6EB80ACD">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_Toc16794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5.</w:t>
          </w:r>
          <w:r>
            <w:rPr>
              <w:rFonts w:hint="eastAsia"/>
              <w:color w:val="auto"/>
              <w:sz w:val="24"/>
              <w:szCs w:val="24"/>
              <w:lang w:val="en-US" w:eastAsia="zh-CN"/>
            </w:rPr>
            <w:t>3</w:t>
          </w:r>
          <w:r>
            <w:rPr>
              <w:rFonts w:hint="eastAsia" w:ascii="Times New Roman" w:hAnsi="Times New Roman"/>
              <w:color w:val="auto"/>
              <w:sz w:val="24"/>
              <w:szCs w:val="24"/>
              <w:lang w:val="en-US" w:eastAsia="zh-CN"/>
            </w:rPr>
            <w:t>生产工艺设备设施单元</w:t>
          </w:r>
          <w:r>
            <w:rPr>
              <w:color w:val="auto"/>
              <w:sz w:val="24"/>
              <w:szCs w:val="24"/>
            </w:rPr>
            <w:tab/>
          </w:r>
          <w:r>
            <w:rPr>
              <w:color w:val="auto"/>
              <w:sz w:val="24"/>
              <w:szCs w:val="24"/>
            </w:rPr>
            <w:fldChar w:fldCharType="begin"/>
          </w:r>
          <w:r>
            <w:rPr>
              <w:color w:val="auto"/>
              <w:sz w:val="24"/>
              <w:szCs w:val="24"/>
            </w:rPr>
            <w:instrText xml:space="preserve"> PAGEREF _Toc16794 \h </w:instrText>
          </w:r>
          <w:r>
            <w:rPr>
              <w:color w:val="auto"/>
              <w:sz w:val="24"/>
              <w:szCs w:val="24"/>
            </w:rPr>
            <w:fldChar w:fldCharType="separate"/>
          </w:r>
          <w:r>
            <w:rPr>
              <w:color w:val="auto"/>
              <w:sz w:val="24"/>
              <w:szCs w:val="24"/>
            </w:rPr>
            <w:t>69</w:t>
          </w:r>
          <w:r>
            <w:rPr>
              <w:color w:val="auto"/>
              <w:sz w:val="24"/>
              <w:szCs w:val="24"/>
            </w:rPr>
            <w:fldChar w:fldCharType="end"/>
          </w:r>
          <w:r>
            <w:rPr>
              <w:rFonts w:hint="eastAsia"/>
              <w:color w:val="auto"/>
              <w:sz w:val="24"/>
              <w:szCs w:val="24"/>
              <w:lang w:eastAsia="zh-CN"/>
            </w:rPr>
            <w:fldChar w:fldCharType="end"/>
          </w:r>
        </w:p>
        <w:p w14:paraId="5F6C948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_Toc23720 </w:instrText>
          </w:r>
          <w:r>
            <w:rPr>
              <w:rFonts w:hint="eastAsia"/>
              <w:color w:val="auto"/>
              <w:sz w:val="24"/>
              <w:szCs w:val="24"/>
              <w:lang w:eastAsia="zh-CN"/>
            </w:rPr>
            <w:fldChar w:fldCharType="separate"/>
          </w:r>
          <w:r>
            <w:rPr>
              <w:rFonts w:hint="eastAsia" w:ascii="Times New Roman" w:hAnsi="Times New Roman"/>
              <w:color w:val="auto"/>
              <w:sz w:val="24"/>
              <w:szCs w:val="24"/>
              <w:lang w:val="en-US" w:eastAsia="zh-CN"/>
            </w:rPr>
            <w:t>5.</w:t>
          </w:r>
          <w:r>
            <w:rPr>
              <w:rFonts w:hint="eastAsia"/>
              <w:color w:val="auto"/>
              <w:sz w:val="24"/>
              <w:szCs w:val="24"/>
              <w:lang w:val="en-US" w:eastAsia="zh-CN"/>
            </w:rPr>
            <w:t>3</w:t>
          </w:r>
          <w:r>
            <w:rPr>
              <w:rFonts w:hint="eastAsia" w:ascii="Times New Roman" w:hAnsi="Times New Roman"/>
              <w:color w:val="auto"/>
              <w:sz w:val="24"/>
              <w:szCs w:val="24"/>
              <w:lang w:val="en-US" w:eastAsia="zh-CN"/>
            </w:rPr>
            <w:t>.1工艺设备设施单元</w:t>
          </w:r>
          <w:r>
            <w:rPr>
              <w:color w:val="auto"/>
              <w:sz w:val="24"/>
              <w:szCs w:val="24"/>
            </w:rPr>
            <w:tab/>
          </w:r>
          <w:r>
            <w:rPr>
              <w:color w:val="auto"/>
              <w:sz w:val="24"/>
              <w:szCs w:val="24"/>
            </w:rPr>
            <w:fldChar w:fldCharType="begin"/>
          </w:r>
          <w:r>
            <w:rPr>
              <w:color w:val="auto"/>
              <w:sz w:val="24"/>
              <w:szCs w:val="24"/>
            </w:rPr>
            <w:instrText xml:space="preserve"> PAGEREF _Toc23720 \h </w:instrText>
          </w:r>
          <w:r>
            <w:rPr>
              <w:color w:val="auto"/>
              <w:sz w:val="24"/>
              <w:szCs w:val="24"/>
            </w:rPr>
            <w:fldChar w:fldCharType="separate"/>
          </w:r>
          <w:r>
            <w:rPr>
              <w:color w:val="auto"/>
              <w:sz w:val="24"/>
              <w:szCs w:val="24"/>
            </w:rPr>
            <w:t>69</w:t>
          </w:r>
          <w:r>
            <w:rPr>
              <w:color w:val="auto"/>
              <w:sz w:val="24"/>
              <w:szCs w:val="24"/>
            </w:rPr>
            <w:fldChar w:fldCharType="end"/>
          </w:r>
          <w:r>
            <w:rPr>
              <w:rFonts w:hint="eastAsia"/>
              <w:color w:val="auto"/>
              <w:sz w:val="24"/>
              <w:szCs w:val="24"/>
              <w:lang w:eastAsia="zh-CN"/>
            </w:rPr>
            <w:fldChar w:fldCharType="end"/>
          </w:r>
        </w:p>
        <w:p w14:paraId="08C643EB">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_Toc24447 </w:instrText>
          </w:r>
          <w:r>
            <w:rPr>
              <w:rFonts w:hint="eastAsia"/>
              <w:color w:val="auto"/>
              <w:sz w:val="24"/>
              <w:szCs w:val="24"/>
              <w:lang w:eastAsia="zh-CN"/>
            </w:rPr>
            <w:fldChar w:fldCharType="separate"/>
          </w:r>
          <w:r>
            <w:rPr>
              <w:rFonts w:ascii="Times New Roman" w:hAnsi="Times New Roman"/>
              <w:color w:val="auto"/>
              <w:sz w:val="24"/>
              <w:szCs w:val="24"/>
              <w:lang w:val="en-US" w:eastAsia="zh-CN"/>
            </w:rPr>
            <w:t>5.</w:t>
          </w:r>
          <w:r>
            <w:rPr>
              <w:rFonts w:hint="eastAsia"/>
              <w:color w:val="auto"/>
              <w:sz w:val="24"/>
              <w:szCs w:val="24"/>
              <w:lang w:val="en-US" w:eastAsia="zh-CN"/>
            </w:rPr>
            <w:t>3.2</w:t>
          </w:r>
          <w:r>
            <w:rPr>
              <w:rFonts w:ascii="Times New Roman" w:hAnsi="Times New Roman"/>
              <w:color w:val="auto"/>
              <w:sz w:val="24"/>
              <w:szCs w:val="24"/>
              <w:lang w:val="en-US" w:eastAsia="zh-CN"/>
            </w:rPr>
            <w:t>单元评价小结</w:t>
          </w:r>
          <w:r>
            <w:rPr>
              <w:color w:val="auto"/>
              <w:sz w:val="24"/>
              <w:szCs w:val="24"/>
            </w:rPr>
            <w:tab/>
          </w:r>
          <w:r>
            <w:rPr>
              <w:color w:val="auto"/>
              <w:sz w:val="24"/>
              <w:szCs w:val="24"/>
            </w:rPr>
            <w:fldChar w:fldCharType="begin"/>
          </w:r>
          <w:r>
            <w:rPr>
              <w:color w:val="auto"/>
              <w:sz w:val="24"/>
              <w:szCs w:val="24"/>
            </w:rPr>
            <w:instrText xml:space="preserve"> PAGEREF _Toc24447 \h </w:instrText>
          </w:r>
          <w:r>
            <w:rPr>
              <w:color w:val="auto"/>
              <w:sz w:val="24"/>
              <w:szCs w:val="24"/>
            </w:rPr>
            <w:fldChar w:fldCharType="separate"/>
          </w:r>
          <w:r>
            <w:rPr>
              <w:color w:val="auto"/>
              <w:sz w:val="24"/>
              <w:szCs w:val="24"/>
            </w:rPr>
            <w:t>70</w:t>
          </w:r>
          <w:r>
            <w:rPr>
              <w:color w:val="auto"/>
              <w:sz w:val="24"/>
              <w:szCs w:val="24"/>
            </w:rPr>
            <w:fldChar w:fldCharType="end"/>
          </w:r>
          <w:r>
            <w:rPr>
              <w:rFonts w:hint="eastAsia"/>
              <w:color w:val="auto"/>
              <w:sz w:val="24"/>
              <w:szCs w:val="24"/>
              <w:lang w:eastAsia="zh-CN"/>
            </w:rPr>
            <w:fldChar w:fldCharType="end"/>
          </w:r>
        </w:p>
        <w:p w14:paraId="396F7BF9">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_Toc6626 </w:instrText>
          </w:r>
          <w:r>
            <w:rPr>
              <w:rFonts w:hint="eastAsia"/>
              <w:color w:val="auto"/>
              <w:sz w:val="24"/>
              <w:szCs w:val="24"/>
              <w:lang w:eastAsia="zh-CN"/>
            </w:rPr>
            <w:fldChar w:fldCharType="separate"/>
          </w:r>
          <w:r>
            <w:rPr>
              <w:color w:val="auto"/>
              <w:sz w:val="24"/>
              <w:szCs w:val="24"/>
              <w:lang w:val="en-US" w:eastAsia="zh-CN"/>
            </w:rPr>
            <w:t>5.</w:t>
          </w:r>
          <w:r>
            <w:rPr>
              <w:rFonts w:hint="eastAsia"/>
              <w:color w:val="auto"/>
              <w:sz w:val="24"/>
              <w:szCs w:val="24"/>
              <w:lang w:val="en-US" w:eastAsia="zh-CN"/>
            </w:rPr>
            <w:t>4</w:t>
          </w:r>
          <w:r>
            <w:rPr>
              <w:color w:val="auto"/>
              <w:sz w:val="24"/>
              <w:szCs w:val="24"/>
              <w:lang w:val="en-US" w:eastAsia="zh-CN"/>
            </w:rPr>
            <w:t>公辅设施单元</w:t>
          </w:r>
          <w:r>
            <w:rPr>
              <w:color w:val="auto"/>
              <w:sz w:val="24"/>
              <w:szCs w:val="24"/>
            </w:rPr>
            <w:tab/>
          </w:r>
          <w:r>
            <w:rPr>
              <w:color w:val="auto"/>
              <w:sz w:val="24"/>
              <w:szCs w:val="24"/>
            </w:rPr>
            <w:fldChar w:fldCharType="begin"/>
          </w:r>
          <w:r>
            <w:rPr>
              <w:color w:val="auto"/>
              <w:sz w:val="24"/>
              <w:szCs w:val="24"/>
            </w:rPr>
            <w:instrText xml:space="preserve"> PAGEREF _Toc6626 \h </w:instrText>
          </w:r>
          <w:r>
            <w:rPr>
              <w:color w:val="auto"/>
              <w:sz w:val="24"/>
              <w:szCs w:val="24"/>
            </w:rPr>
            <w:fldChar w:fldCharType="separate"/>
          </w:r>
          <w:r>
            <w:rPr>
              <w:color w:val="auto"/>
              <w:sz w:val="24"/>
              <w:szCs w:val="24"/>
            </w:rPr>
            <w:t>70</w:t>
          </w:r>
          <w:r>
            <w:rPr>
              <w:color w:val="auto"/>
              <w:sz w:val="24"/>
              <w:szCs w:val="24"/>
            </w:rPr>
            <w:fldChar w:fldCharType="end"/>
          </w:r>
          <w:r>
            <w:rPr>
              <w:rFonts w:hint="eastAsia"/>
              <w:color w:val="auto"/>
              <w:sz w:val="24"/>
              <w:szCs w:val="24"/>
              <w:lang w:eastAsia="zh-CN"/>
            </w:rPr>
            <w:fldChar w:fldCharType="end"/>
          </w:r>
        </w:p>
        <w:p w14:paraId="0B40E85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_Toc9523 </w:instrText>
          </w:r>
          <w:r>
            <w:rPr>
              <w:rFonts w:hint="eastAsia"/>
              <w:color w:val="auto"/>
              <w:sz w:val="24"/>
              <w:szCs w:val="24"/>
              <w:lang w:eastAsia="zh-CN"/>
            </w:rPr>
            <w:fldChar w:fldCharType="separate"/>
          </w:r>
          <w:r>
            <w:rPr>
              <w:rFonts w:hint="eastAsia"/>
              <w:color w:val="auto"/>
              <w:sz w:val="24"/>
              <w:szCs w:val="24"/>
              <w:lang w:val="en-US" w:eastAsia="zh-CN"/>
            </w:rPr>
            <w:t>5.4.1供配电子单元</w:t>
          </w:r>
          <w:r>
            <w:rPr>
              <w:color w:val="auto"/>
              <w:sz w:val="24"/>
              <w:szCs w:val="24"/>
            </w:rPr>
            <w:tab/>
          </w:r>
          <w:r>
            <w:rPr>
              <w:color w:val="auto"/>
              <w:sz w:val="24"/>
              <w:szCs w:val="24"/>
            </w:rPr>
            <w:fldChar w:fldCharType="begin"/>
          </w:r>
          <w:r>
            <w:rPr>
              <w:color w:val="auto"/>
              <w:sz w:val="24"/>
              <w:szCs w:val="24"/>
            </w:rPr>
            <w:instrText xml:space="preserve"> PAGEREF _Toc9523 \h </w:instrText>
          </w:r>
          <w:r>
            <w:rPr>
              <w:color w:val="auto"/>
              <w:sz w:val="24"/>
              <w:szCs w:val="24"/>
            </w:rPr>
            <w:fldChar w:fldCharType="separate"/>
          </w:r>
          <w:r>
            <w:rPr>
              <w:color w:val="auto"/>
              <w:sz w:val="24"/>
              <w:szCs w:val="24"/>
            </w:rPr>
            <w:t>70</w:t>
          </w:r>
          <w:r>
            <w:rPr>
              <w:color w:val="auto"/>
              <w:sz w:val="24"/>
              <w:szCs w:val="24"/>
            </w:rPr>
            <w:fldChar w:fldCharType="end"/>
          </w:r>
          <w:r>
            <w:rPr>
              <w:rFonts w:hint="eastAsia"/>
              <w:color w:val="auto"/>
              <w:sz w:val="24"/>
              <w:szCs w:val="24"/>
              <w:lang w:eastAsia="zh-CN"/>
            </w:rPr>
            <w:fldChar w:fldCharType="end"/>
          </w:r>
        </w:p>
        <w:p w14:paraId="129C59D6">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_Toc2624 </w:instrText>
          </w:r>
          <w:r>
            <w:rPr>
              <w:rFonts w:hint="eastAsia"/>
              <w:color w:val="auto"/>
              <w:sz w:val="24"/>
              <w:szCs w:val="24"/>
              <w:lang w:eastAsia="zh-CN"/>
            </w:rPr>
            <w:fldChar w:fldCharType="separate"/>
          </w:r>
          <w:r>
            <w:rPr>
              <w:rFonts w:hint="eastAsia"/>
              <w:color w:val="auto"/>
              <w:sz w:val="24"/>
              <w:szCs w:val="24"/>
            </w:rPr>
            <w:t>5.</w:t>
          </w:r>
          <w:r>
            <w:rPr>
              <w:rFonts w:hint="eastAsia"/>
              <w:color w:val="auto"/>
              <w:sz w:val="24"/>
              <w:szCs w:val="24"/>
              <w:lang w:val="en-US" w:eastAsia="zh-CN"/>
            </w:rPr>
            <w:t>4</w:t>
          </w:r>
          <w:r>
            <w:rPr>
              <w:rFonts w:hint="eastAsia"/>
              <w:color w:val="auto"/>
              <w:sz w:val="24"/>
              <w:szCs w:val="24"/>
            </w:rPr>
            <w:t>.</w:t>
          </w:r>
          <w:r>
            <w:rPr>
              <w:rFonts w:hint="eastAsia"/>
              <w:color w:val="auto"/>
              <w:sz w:val="24"/>
              <w:szCs w:val="24"/>
              <w:lang w:val="en-US" w:eastAsia="zh-CN"/>
            </w:rPr>
            <w:t>2</w:t>
          </w:r>
          <w:r>
            <w:rPr>
              <w:rFonts w:hint="eastAsia"/>
              <w:color w:val="auto"/>
              <w:sz w:val="24"/>
              <w:szCs w:val="24"/>
            </w:rPr>
            <w:t>消防</w:t>
          </w:r>
          <w:r>
            <w:rPr>
              <w:rFonts w:hint="eastAsia"/>
              <w:color w:val="auto"/>
              <w:sz w:val="24"/>
              <w:szCs w:val="24"/>
              <w:lang w:val="en-US" w:eastAsia="zh-CN"/>
            </w:rPr>
            <w:t>子单元</w:t>
          </w:r>
          <w:r>
            <w:rPr>
              <w:color w:val="auto"/>
              <w:sz w:val="24"/>
              <w:szCs w:val="24"/>
            </w:rPr>
            <w:tab/>
          </w:r>
          <w:r>
            <w:rPr>
              <w:color w:val="auto"/>
              <w:sz w:val="24"/>
              <w:szCs w:val="24"/>
            </w:rPr>
            <w:fldChar w:fldCharType="begin"/>
          </w:r>
          <w:r>
            <w:rPr>
              <w:color w:val="auto"/>
              <w:sz w:val="24"/>
              <w:szCs w:val="24"/>
            </w:rPr>
            <w:instrText xml:space="preserve"> PAGEREF _Toc2624 \h </w:instrText>
          </w:r>
          <w:r>
            <w:rPr>
              <w:color w:val="auto"/>
              <w:sz w:val="24"/>
              <w:szCs w:val="24"/>
            </w:rPr>
            <w:fldChar w:fldCharType="separate"/>
          </w:r>
          <w:r>
            <w:rPr>
              <w:color w:val="auto"/>
              <w:sz w:val="24"/>
              <w:szCs w:val="24"/>
            </w:rPr>
            <w:t>71</w:t>
          </w:r>
          <w:r>
            <w:rPr>
              <w:color w:val="auto"/>
              <w:sz w:val="24"/>
              <w:szCs w:val="24"/>
            </w:rPr>
            <w:fldChar w:fldCharType="end"/>
          </w:r>
          <w:r>
            <w:rPr>
              <w:rFonts w:hint="eastAsia"/>
              <w:color w:val="auto"/>
              <w:sz w:val="24"/>
              <w:szCs w:val="24"/>
              <w:lang w:eastAsia="zh-CN"/>
            </w:rPr>
            <w:fldChar w:fldCharType="end"/>
          </w:r>
        </w:p>
        <w:p w14:paraId="322DD0E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_Toc25292 </w:instrText>
          </w:r>
          <w:r>
            <w:rPr>
              <w:rFonts w:hint="eastAsia"/>
              <w:color w:val="auto"/>
              <w:sz w:val="24"/>
              <w:szCs w:val="24"/>
              <w:lang w:eastAsia="zh-CN"/>
            </w:rPr>
            <w:fldChar w:fldCharType="separate"/>
          </w:r>
          <w:r>
            <w:rPr>
              <w:rFonts w:hint="eastAsia"/>
              <w:color w:val="auto"/>
              <w:sz w:val="24"/>
              <w:szCs w:val="24"/>
              <w:lang w:val="en-US" w:eastAsia="zh-CN"/>
            </w:rPr>
            <w:t>5.4.3给排水子单元</w:t>
          </w:r>
          <w:r>
            <w:rPr>
              <w:color w:val="auto"/>
              <w:sz w:val="24"/>
              <w:szCs w:val="24"/>
            </w:rPr>
            <w:tab/>
          </w:r>
          <w:r>
            <w:rPr>
              <w:color w:val="auto"/>
              <w:sz w:val="24"/>
              <w:szCs w:val="24"/>
            </w:rPr>
            <w:fldChar w:fldCharType="begin"/>
          </w:r>
          <w:r>
            <w:rPr>
              <w:color w:val="auto"/>
              <w:sz w:val="24"/>
              <w:szCs w:val="24"/>
            </w:rPr>
            <w:instrText xml:space="preserve"> PAGEREF _Toc25292 \h </w:instrText>
          </w:r>
          <w:r>
            <w:rPr>
              <w:color w:val="auto"/>
              <w:sz w:val="24"/>
              <w:szCs w:val="24"/>
            </w:rPr>
            <w:fldChar w:fldCharType="separate"/>
          </w:r>
          <w:r>
            <w:rPr>
              <w:color w:val="auto"/>
              <w:sz w:val="24"/>
              <w:szCs w:val="24"/>
            </w:rPr>
            <w:t>73</w:t>
          </w:r>
          <w:r>
            <w:rPr>
              <w:color w:val="auto"/>
              <w:sz w:val="24"/>
              <w:szCs w:val="24"/>
            </w:rPr>
            <w:fldChar w:fldCharType="end"/>
          </w:r>
          <w:r>
            <w:rPr>
              <w:rFonts w:hint="eastAsia"/>
              <w:color w:val="auto"/>
              <w:sz w:val="24"/>
              <w:szCs w:val="24"/>
              <w:lang w:eastAsia="zh-CN"/>
            </w:rPr>
            <w:fldChar w:fldCharType="end"/>
          </w:r>
        </w:p>
        <w:p w14:paraId="33FC34F3">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_Toc11265 </w:instrText>
          </w:r>
          <w:r>
            <w:rPr>
              <w:rFonts w:hint="eastAsia"/>
              <w:color w:val="auto"/>
              <w:sz w:val="24"/>
              <w:szCs w:val="24"/>
              <w:lang w:eastAsia="zh-CN"/>
            </w:rPr>
            <w:fldChar w:fldCharType="separate"/>
          </w:r>
          <w:r>
            <w:rPr>
              <w:rFonts w:hint="eastAsia"/>
              <w:color w:val="auto"/>
              <w:sz w:val="24"/>
              <w:szCs w:val="24"/>
              <w:lang w:val="en-US" w:eastAsia="zh-CN"/>
            </w:rPr>
            <w:t>5.4.4防雷、防静电接地子单元</w:t>
          </w:r>
          <w:r>
            <w:rPr>
              <w:color w:val="auto"/>
              <w:sz w:val="24"/>
              <w:szCs w:val="24"/>
            </w:rPr>
            <w:tab/>
          </w:r>
          <w:r>
            <w:rPr>
              <w:color w:val="auto"/>
              <w:sz w:val="24"/>
              <w:szCs w:val="24"/>
            </w:rPr>
            <w:fldChar w:fldCharType="begin"/>
          </w:r>
          <w:r>
            <w:rPr>
              <w:color w:val="auto"/>
              <w:sz w:val="24"/>
              <w:szCs w:val="24"/>
            </w:rPr>
            <w:instrText xml:space="preserve"> PAGEREF _Toc11265 \h </w:instrText>
          </w:r>
          <w:r>
            <w:rPr>
              <w:color w:val="auto"/>
              <w:sz w:val="24"/>
              <w:szCs w:val="24"/>
            </w:rPr>
            <w:fldChar w:fldCharType="separate"/>
          </w:r>
          <w:r>
            <w:rPr>
              <w:color w:val="auto"/>
              <w:sz w:val="24"/>
              <w:szCs w:val="24"/>
            </w:rPr>
            <w:t>74</w:t>
          </w:r>
          <w:r>
            <w:rPr>
              <w:color w:val="auto"/>
              <w:sz w:val="24"/>
              <w:szCs w:val="24"/>
            </w:rPr>
            <w:fldChar w:fldCharType="end"/>
          </w:r>
          <w:r>
            <w:rPr>
              <w:rFonts w:hint="eastAsia"/>
              <w:color w:val="auto"/>
              <w:sz w:val="24"/>
              <w:szCs w:val="24"/>
              <w:lang w:eastAsia="zh-CN"/>
            </w:rPr>
            <w:fldChar w:fldCharType="end"/>
          </w:r>
        </w:p>
        <w:p w14:paraId="7F802B77">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_Toc23041 </w:instrText>
          </w:r>
          <w:r>
            <w:rPr>
              <w:rFonts w:hint="eastAsia"/>
              <w:color w:val="auto"/>
              <w:sz w:val="24"/>
              <w:szCs w:val="24"/>
              <w:lang w:eastAsia="zh-CN"/>
            </w:rPr>
            <w:fldChar w:fldCharType="separate"/>
          </w:r>
          <w:r>
            <w:rPr>
              <w:rFonts w:hint="eastAsia"/>
              <w:color w:val="auto"/>
              <w:sz w:val="24"/>
              <w:szCs w:val="24"/>
              <w:lang w:val="en-US" w:eastAsia="zh-CN"/>
            </w:rPr>
            <w:t>5.4.5单元评价小结</w:t>
          </w:r>
          <w:r>
            <w:rPr>
              <w:color w:val="auto"/>
              <w:sz w:val="24"/>
              <w:szCs w:val="24"/>
            </w:rPr>
            <w:tab/>
          </w:r>
          <w:r>
            <w:rPr>
              <w:color w:val="auto"/>
              <w:sz w:val="24"/>
              <w:szCs w:val="24"/>
            </w:rPr>
            <w:fldChar w:fldCharType="begin"/>
          </w:r>
          <w:r>
            <w:rPr>
              <w:color w:val="auto"/>
              <w:sz w:val="24"/>
              <w:szCs w:val="24"/>
            </w:rPr>
            <w:instrText xml:space="preserve"> PAGEREF _Toc23041 \h </w:instrText>
          </w:r>
          <w:r>
            <w:rPr>
              <w:color w:val="auto"/>
              <w:sz w:val="24"/>
              <w:szCs w:val="24"/>
            </w:rPr>
            <w:fldChar w:fldCharType="separate"/>
          </w:r>
          <w:r>
            <w:rPr>
              <w:color w:val="auto"/>
              <w:sz w:val="24"/>
              <w:szCs w:val="24"/>
            </w:rPr>
            <w:t>75</w:t>
          </w:r>
          <w:r>
            <w:rPr>
              <w:color w:val="auto"/>
              <w:sz w:val="24"/>
              <w:szCs w:val="24"/>
            </w:rPr>
            <w:fldChar w:fldCharType="end"/>
          </w:r>
          <w:r>
            <w:rPr>
              <w:rFonts w:hint="eastAsia"/>
              <w:color w:val="auto"/>
              <w:sz w:val="24"/>
              <w:szCs w:val="24"/>
              <w:lang w:eastAsia="zh-CN"/>
            </w:rPr>
            <w:fldChar w:fldCharType="end"/>
          </w:r>
        </w:p>
        <w:p w14:paraId="68601D5A">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_Toc27795 </w:instrText>
          </w:r>
          <w:r>
            <w:rPr>
              <w:rFonts w:hint="eastAsia"/>
              <w:color w:val="auto"/>
              <w:sz w:val="24"/>
              <w:szCs w:val="24"/>
              <w:lang w:eastAsia="zh-CN"/>
            </w:rPr>
            <w:fldChar w:fldCharType="separate"/>
          </w:r>
          <w:r>
            <w:rPr>
              <w:rFonts w:hint="eastAsia"/>
              <w:color w:val="auto"/>
              <w:sz w:val="24"/>
              <w:szCs w:val="24"/>
              <w:lang w:val="en-US" w:eastAsia="zh-CN"/>
            </w:rPr>
            <w:t>5.5安全管理评价单元</w:t>
          </w:r>
          <w:r>
            <w:rPr>
              <w:color w:val="auto"/>
              <w:sz w:val="24"/>
              <w:szCs w:val="24"/>
            </w:rPr>
            <w:tab/>
          </w:r>
          <w:r>
            <w:rPr>
              <w:color w:val="auto"/>
              <w:sz w:val="24"/>
              <w:szCs w:val="24"/>
            </w:rPr>
            <w:fldChar w:fldCharType="begin"/>
          </w:r>
          <w:r>
            <w:rPr>
              <w:color w:val="auto"/>
              <w:sz w:val="24"/>
              <w:szCs w:val="24"/>
            </w:rPr>
            <w:instrText xml:space="preserve"> PAGEREF _Toc27795 \h </w:instrText>
          </w:r>
          <w:r>
            <w:rPr>
              <w:color w:val="auto"/>
              <w:sz w:val="24"/>
              <w:szCs w:val="24"/>
            </w:rPr>
            <w:fldChar w:fldCharType="separate"/>
          </w:r>
          <w:r>
            <w:rPr>
              <w:color w:val="auto"/>
              <w:sz w:val="24"/>
              <w:szCs w:val="24"/>
            </w:rPr>
            <w:t>75</w:t>
          </w:r>
          <w:r>
            <w:rPr>
              <w:color w:val="auto"/>
              <w:sz w:val="24"/>
              <w:szCs w:val="24"/>
            </w:rPr>
            <w:fldChar w:fldCharType="end"/>
          </w:r>
          <w:r>
            <w:rPr>
              <w:rFonts w:hint="eastAsia"/>
              <w:color w:val="auto"/>
              <w:sz w:val="24"/>
              <w:szCs w:val="24"/>
              <w:lang w:eastAsia="zh-CN"/>
            </w:rPr>
            <w:fldChar w:fldCharType="end"/>
          </w:r>
        </w:p>
        <w:p w14:paraId="34D40F49">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_Toc29402 </w:instrText>
          </w:r>
          <w:r>
            <w:rPr>
              <w:rFonts w:hint="eastAsia"/>
              <w:color w:val="auto"/>
              <w:sz w:val="24"/>
              <w:szCs w:val="24"/>
              <w:lang w:eastAsia="zh-CN"/>
            </w:rPr>
            <w:fldChar w:fldCharType="separate"/>
          </w:r>
          <w:r>
            <w:rPr>
              <w:rFonts w:hint="eastAsia"/>
              <w:color w:val="auto"/>
              <w:sz w:val="24"/>
              <w:szCs w:val="24"/>
              <w:lang w:val="en-US" w:eastAsia="zh-CN"/>
            </w:rPr>
            <w:t>5.5.1法律、法规的符合性检查</w:t>
          </w:r>
          <w:r>
            <w:rPr>
              <w:color w:val="auto"/>
              <w:sz w:val="24"/>
              <w:szCs w:val="24"/>
            </w:rPr>
            <w:tab/>
          </w:r>
          <w:r>
            <w:rPr>
              <w:color w:val="auto"/>
              <w:sz w:val="24"/>
              <w:szCs w:val="24"/>
            </w:rPr>
            <w:fldChar w:fldCharType="begin"/>
          </w:r>
          <w:r>
            <w:rPr>
              <w:color w:val="auto"/>
              <w:sz w:val="24"/>
              <w:szCs w:val="24"/>
            </w:rPr>
            <w:instrText xml:space="preserve"> PAGEREF _Toc29402 \h </w:instrText>
          </w:r>
          <w:r>
            <w:rPr>
              <w:color w:val="auto"/>
              <w:sz w:val="24"/>
              <w:szCs w:val="24"/>
            </w:rPr>
            <w:fldChar w:fldCharType="separate"/>
          </w:r>
          <w:r>
            <w:rPr>
              <w:color w:val="auto"/>
              <w:sz w:val="24"/>
              <w:szCs w:val="24"/>
            </w:rPr>
            <w:t>75</w:t>
          </w:r>
          <w:r>
            <w:rPr>
              <w:color w:val="auto"/>
              <w:sz w:val="24"/>
              <w:szCs w:val="24"/>
            </w:rPr>
            <w:fldChar w:fldCharType="end"/>
          </w:r>
          <w:r>
            <w:rPr>
              <w:rFonts w:hint="eastAsia"/>
              <w:color w:val="auto"/>
              <w:sz w:val="24"/>
              <w:szCs w:val="24"/>
              <w:lang w:eastAsia="zh-CN"/>
            </w:rPr>
            <w:fldChar w:fldCharType="end"/>
          </w:r>
        </w:p>
        <w:p w14:paraId="11574954">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_Toc11009 </w:instrText>
          </w:r>
          <w:r>
            <w:rPr>
              <w:rFonts w:hint="eastAsia"/>
              <w:color w:val="auto"/>
              <w:sz w:val="24"/>
              <w:szCs w:val="24"/>
              <w:lang w:eastAsia="zh-CN"/>
            </w:rPr>
            <w:fldChar w:fldCharType="separate"/>
          </w:r>
          <w:r>
            <w:rPr>
              <w:rFonts w:hint="eastAsia"/>
              <w:color w:val="auto"/>
              <w:sz w:val="24"/>
              <w:szCs w:val="24"/>
              <w:lang w:val="en-US" w:eastAsia="zh-CN"/>
            </w:rPr>
            <w:t>5.5.2</w:t>
          </w:r>
          <w:r>
            <w:rPr>
              <w:rFonts w:hint="eastAsia"/>
              <w:color w:val="auto"/>
              <w:sz w:val="24"/>
              <w:szCs w:val="24"/>
            </w:rPr>
            <w:t>安全管理机构设置</w:t>
          </w:r>
          <w:r>
            <w:rPr>
              <w:color w:val="auto"/>
              <w:sz w:val="24"/>
              <w:szCs w:val="24"/>
            </w:rPr>
            <w:tab/>
          </w:r>
          <w:r>
            <w:rPr>
              <w:color w:val="auto"/>
              <w:sz w:val="24"/>
              <w:szCs w:val="24"/>
            </w:rPr>
            <w:fldChar w:fldCharType="begin"/>
          </w:r>
          <w:r>
            <w:rPr>
              <w:color w:val="auto"/>
              <w:sz w:val="24"/>
              <w:szCs w:val="24"/>
            </w:rPr>
            <w:instrText xml:space="preserve"> PAGEREF _Toc11009 \h </w:instrText>
          </w:r>
          <w:r>
            <w:rPr>
              <w:color w:val="auto"/>
              <w:sz w:val="24"/>
              <w:szCs w:val="24"/>
            </w:rPr>
            <w:fldChar w:fldCharType="separate"/>
          </w:r>
          <w:r>
            <w:rPr>
              <w:color w:val="auto"/>
              <w:sz w:val="24"/>
              <w:szCs w:val="24"/>
            </w:rPr>
            <w:t>76</w:t>
          </w:r>
          <w:r>
            <w:rPr>
              <w:color w:val="auto"/>
              <w:sz w:val="24"/>
              <w:szCs w:val="24"/>
            </w:rPr>
            <w:fldChar w:fldCharType="end"/>
          </w:r>
          <w:r>
            <w:rPr>
              <w:rFonts w:hint="eastAsia"/>
              <w:color w:val="auto"/>
              <w:sz w:val="24"/>
              <w:szCs w:val="24"/>
              <w:lang w:eastAsia="zh-CN"/>
            </w:rPr>
            <w:fldChar w:fldCharType="end"/>
          </w:r>
        </w:p>
        <w:p w14:paraId="37C88030">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_Toc21196 </w:instrText>
          </w:r>
          <w:r>
            <w:rPr>
              <w:rFonts w:hint="eastAsia"/>
              <w:color w:val="auto"/>
              <w:sz w:val="24"/>
              <w:szCs w:val="24"/>
              <w:lang w:eastAsia="zh-CN"/>
            </w:rPr>
            <w:fldChar w:fldCharType="separate"/>
          </w:r>
          <w:r>
            <w:rPr>
              <w:rFonts w:hint="eastAsia"/>
              <w:color w:val="auto"/>
              <w:sz w:val="24"/>
              <w:szCs w:val="24"/>
            </w:rPr>
            <w:t>5.</w:t>
          </w:r>
          <w:r>
            <w:rPr>
              <w:rFonts w:hint="eastAsia"/>
              <w:color w:val="auto"/>
              <w:sz w:val="24"/>
              <w:szCs w:val="24"/>
              <w:lang w:val="en-US" w:eastAsia="zh-CN"/>
            </w:rPr>
            <w:t>5</w:t>
          </w:r>
          <w:r>
            <w:rPr>
              <w:rFonts w:hint="eastAsia"/>
              <w:color w:val="auto"/>
              <w:sz w:val="24"/>
              <w:szCs w:val="24"/>
            </w:rPr>
            <w:t>.</w:t>
          </w:r>
          <w:r>
            <w:rPr>
              <w:rFonts w:hint="eastAsia"/>
              <w:color w:val="auto"/>
              <w:sz w:val="24"/>
              <w:szCs w:val="24"/>
              <w:lang w:val="en-US" w:eastAsia="zh-CN"/>
            </w:rPr>
            <w:t>3</w:t>
          </w:r>
          <w:r>
            <w:rPr>
              <w:rFonts w:hint="eastAsia"/>
              <w:color w:val="auto"/>
              <w:sz w:val="24"/>
              <w:szCs w:val="24"/>
            </w:rPr>
            <w:t>安全生产管理规章制度、安全操作规程</w:t>
          </w:r>
          <w:r>
            <w:rPr>
              <w:color w:val="auto"/>
              <w:sz w:val="24"/>
              <w:szCs w:val="24"/>
            </w:rPr>
            <w:tab/>
          </w:r>
          <w:r>
            <w:rPr>
              <w:color w:val="auto"/>
              <w:sz w:val="24"/>
              <w:szCs w:val="24"/>
            </w:rPr>
            <w:fldChar w:fldCharType="begin"/>
          </w:r>
          <w:r>
            <w:rPr>
              <w:color w:val="auto"/>
              <w:sz w:val="24"/>
              <w:szCs w:val="24"/>
            </w:rPr>
            <w:instrText xml:space="preserve"> PAGEREF _Toc21196 \h </w:instrText>
          </w:r>
          <w:r>
            <w:rPr>
              <w:color w:val="auto"/>
              <w:sz w:val="24"/>
              <w:szCs w:val="24"/>
            </w:rPr>
            <w:fldChar w:fldCharType="separate"/>
          </w:r>
          <w:r>
            <w:rPr>
              <w:color w:val="auto"/>
              <w:sz w:val="24"/>
              <w:szCs w:val="24"/>
            </w:rPr>
            <w:t>76</w:t>
          </w:r>
          <w:r>
            <w:rPr>
              <w:color w:val="auto"/>
              <w:sz w:val="24"/>
              <w:szCs w:val="24"/>
            </w:rPr>
            <w:fldChar w:fldCharType="end"/>
          </w:r>
          <w:r>
            <w:rPr>
              <w:rFonts w:hint="eastAsia"/>
              <w:color w:val="auto"/>
              <w:sz w:val="24"/>
              <w:szCs w:val="24"/>
              <w:lang w:eastAsia="zh-CN"/>
            </w:rPr>
            <w:fldChar w:fldCharType="end"/>
          </w:r>
        </w:p>
        <w:p w14:paraId="0A42D1B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_Toc5913 </w:instrText>
          </w:r>
          <w:r>
            <w:rPr>
              <w:rFonts w:hint="eastAsia"/>
              <w:color w:val="auto"/>
              <w:sz w:val="24"/>
              <w:szCs w:val="24"/>
              <w:lang w:eastAsia="zh-CN"/>
            </w:rPr>
            <w:fldChar w:fldCharType="separate"/>
          </w:r>
          <w:r>
            <w:rPr>
              <w:rFonts w:hint="eastAsia"/>
              <w:color w:val="auto"/>
              <w:sz w:val="24"/>
              <w:szCs w:val="24"/>
            </w:rPr>
            <w:t>5</w:t>
          </w:r>
          <w:r>
            <w:rPr>
              <w:color w:val="auto"/>
              <w:sz w:val="24"/>
              <w:szCs w:val="24"/>
            </w:rPr>
            <w:t>.</w:t>
          </w:r>
          <w:r>
            <w:rPr>
              <w:rFonts w:hint="eastAsia"/>
              <w:color w:val="auto"/>
              <w:sz w:val="24"/>
              <w:szCs w:val="24"/>
              <w:lang w:val="en-US" w:eastAsia="zh-CN"/>
            </w:rPr>
            <w:t>5.4</w:t>
          </w:r>
          <w:r>
            <w:rPr>
              <w:rFonts w:hint="eastAsia"/>
              <w:color w:val="auto"/>
              <w:sz w:val="24"/>
              <w:szCs w:val="24"/>
            </w:rPr>
            <w:t>事故应急预案、备案及演练</w:t>
          </w:r>
          <w:r>
            <w:rPr>
              <w:color w:val="auto"/>
              <w:sz w:val="24"/>
              <w:szCs w:val="24"/>
            </w:rPr>
            <w:tab/>
          </w:r>
          <w:r>
            <w:rPr>
              <w:color w:val="auto"/>
              <w:sz w:val="24"/>
              <w:szCs w:val="24"/>
            </w:rPr>
            <w:fldChar w:fldCharType="begin"/>
          </w:r>
          <w:r>
            <w:rPr>
              <w:color w:val="auto"/>
              <w:sz w:val="24"/>
              <w:szCs w:val="24"/>
            </w:rPr>
            <w:instrText xml:space="preserve"> PAGEREF _Toc5913 \h </w:instrText>
          </w:r>
          <w:r>
            <w:rPr>
              <w:color w:val="auto"/>
              <w:sz w:val="24"/>
              <w:szCs w:val="24"/>
            </w:rPr>
            <w:fldChar w:fldCharType="separate"/>
          </w:r>
          <w:r>
            <w:rPr>
              <w:color w:val="auto"/>
              <w:sz w:val="24"/>
              <w:szCs w:val="24"/>
            </w:rPr>
            <w:t>76</w:t>
          </w:r>
          <w:r>
            <w:rPr>
              <w:color w:val="auto"/>
              <w:sz w:val="24"/>
              <w:szCs w:val="24"/>
            </w:rPr>
            <w:fldChar w:fldCharType="end"/>
          </w:r>
          <w:r>
            <w:rPr>
              <w:rFonts w:hint="eastAsia"/>
              <w:color w:val="auto"/>
              <w:sz w:val="24"/>
              <w:szCs w:val="24"/>
              <w:lang w:eastAsia="zh-CN"/>
            </w:rPr>
            <w:fldChar w:fldCharType="end"/>
          </w:r>
        </w:p>
        <w:p w14:paraId="00006F77">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_Toc20950 </w:instrText>
          </w:r>
          <w:r>
            <w:rPr>
              <w:rFonts w:hint="eastAsia"/>
              <w:color w:val="auto"/>
              <w:sz w:val="24"/>
              <w:szCs w:val="24"/>
              <w:lang w:eastAsia="zh-CN"/>
            </w:rPr>
            <w:fldChar w:fldCharType="separate"/>
          </w:r>
          <w:r>
            <w:rPr>
              <w:rFonts w:hint="eastAsia"/>
              <w:color w:val="auto"/>
              <w:sz w:val="24"/>
              <w:szCs w:val="24"/>
            </w:rPr>
            <w:t>5</w:t>
          </w:r>
          <w:r>
            <w:rPr>
              <w:color w:val="auto"/>
              <w:sz w:val="24"/>
              <w:szCs w:val="24"/>
            </w:rPr>
            <w:t>.</w:t>
          </w:r>
          <w:r>
            <w:rPr>
              <w:rFonts w:hint="eastAsia"/>
              <w:color w:val="auto"/>
              <w:sz w:val="24"/>
              <w:szCs w:val="24"/>
              <w:lang w:val="en-US" w:eastAsia="zh-CN"/>
            </w:rPr>
            <w:t>5</w:t>
          </w:r>
          <w:r>
            <w:rPr>
              <w:color w:val="auto"/>
              <w:sz w:val="24"/>
              <w:szCs w:val="24"/>
            </w:rPr>
            <w:t>.</w:t>
          </w:r>
          <w:r>
            <w:rPr>
              <w:rFonts w:hint="eastAsia"/>
              <w:color w:val="auto"/>
              <w:sz w:val="24"/>
              <w:szCs w:val="24"/>
              <w:lang w:val="en-US" w:eastAsia="zh-CN"/>
            </w:rPr>
            <w:t>5双重预防机制建设</w:t>
          </w:r>
          <w:r>
            <w:rPr>
              <w:color w:val="auto"/>
              <w:sz w:val="24"/>
              <w:szCs w:val="24"/>
            </w:rPr>
            <w:tab/>
          </w:r>
          <w:r>
            <w:rPr>
              <w:color w:val="auto"/>
              <w:sz w:val="24"/>
              <w:szCs w:val="24"/>
            </w:rPr>
            <w:fldChar w:fldCharType="begin"/>
          </w:r>
          <w:r>
            <w:rPr>
              <w:color w:val="auto"/>
              <w:sz w:val="24"/>
              <w:szCs w:val="24"/>
            </w:rPr>
            <w:instrText xml:space="preserve"> PAGEREF _Toc20950 \h </w:instrText>
          </w:r>
          <w:r>
            <w:rPr>
              <w:color w:val="auto"/>
              <w:sz w:val="24"/>
              <w:szCs w:val="24"/>
            </w:rPr>
            <w:fldChar w:fldCharType="separate"/>
          </w:r>
          <w:r>
            <w:rPr>
              <w:color w:val="auto"/>
              <w:sz w:val="24"/>
              <w:szCs w:val="24"/>
            </w:rPr>
            <w:t>77</w:t>
          </w:r>
          <w:r>
            <w:rPr>
              <w:color w:val="auto"/>
              <w:sz w:val="24"/>
              <w:szCs w:val="24"/>
            </w:rPr>
            <w:fldChar w:fldCharType="end"/>
          </w:r>
          <w:r>
            <w:rPr>
              <w:rFonts w:hint="eastAsia"/>
              <w:color w:val="auto"/>
              <w:sz w:val="24"/>
              <w:szCs w:val="24"/>
              <w:lang w:eastAsia="zh-CN"/>
            </w:rPr>
            <w:fldChar w:fldCharType="end"/>
          </w:r>
        </w:p>
        <w:p w14:paraId="505B777E">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_Toc6821 </w:instrText>
          </w:r>
          <w:r>
            <w:rPr>
              <w:rFonts w:hint="eastAsia"/>
              <w:color w:val="auto"/>
              <w:sz w:val="24"/>
              <w:szCs w:val="24"/>
              <w:lang w:eastAsia="zh-CN"/>
            </w:rPr>
            <w:fldChar w:fldCharType="separate"/>
          </w:r>
          <w:r>
            <w:rPr>
              <w:rFonts w:hint="eastAsia"/>
              <w:color w:val="auto"/>
              <w:sz w:val="24"/>
              <w:szCs w:val="24"/>
              <w:lang w:val="en-US" w:eastAsia="zh-CN"/>
            </w:rPr>
            <w:t>5.5.6</w:t>
          </w:r>
          <w:r>
            <w:rPr>
              <w:rFonts w:hint="eastAsia"/>
              <w:color w:val="auto"/>
              <w:sz w:val="24"/>
              <w:szCs w:val="24"/>
            </w:rPr>
            <w:t>评价小结</w:t>
          </w:r>
          <w:r>
            <w:rPr>
              <w:color w:val="auto"/>
              <w:sz w:val="24"/>
              <w:szCs w:val="24"/>
            </w:rPr>
            <w:tab/>
          </w:r>
          <w:r>
            <w:rPr>
              <w:color w:val="auto"/>
              <w:sz w:val="24"/>
              <w:szCs w:val="24"/>
            </w:rPr>
            <w:fldChar w:fldCharType="begin"/>
          </w:r>
          <w:r>
            <w:rPr>
              <w:color w:val="auto"/>
              <w:sz w:val="24"/>
              <w:szCs w:val="24"/>
            </w:rPr>
            <w:instrText xml:space="preserve"> PAGEREF _Toc6821 \h </w:instrText>
          </w:r>
          <w:r>
            <w:rPr>
              <w:color w:val="auto"/>
              <w:sz w:val="24"/>
              <w:szCs w:val="24"/>
            </w:rPr>
            <w:fldChar w:fldCharType="separate"/>
          </w:r>
          <w:r>
            <w:rPr>
              <w:color w:val="auto"/>
              <w:sz w:val="24"/>
              <w:szCs w:val="24"/>
            </w:rPr>
            <w:t>77</w:t>
          </w:r>
          <w:r>
            <w:rPr>
              <w:color w:val="auto"/>
              <w:sz w:val="24"/>
              <w:szCs w:val="24"/>
            </w:rPr>
            <w:fldChar w:fldCharType="end"/>
          </w:r>
          <w:r>
            <w:rPr>
              <w:rFonts w:hint="eastAsia"/>
              <w:color w:val="auto"/>
              <w:sz w:val="24"/>
              <w:szCs w:val="24"/>
              <w:lang w:eastAsia="zh-CN"/>
            </w:rPr>
            <w:fldChar w:fldCharType="end"/>
          </w:r>
        </w:p>
        <w:p w14:paraId="4382DCF4">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_Toc25941 </w:instrText>
          </w:r>
          <w:r>
            <w:rPr>
              <w:rFonts w:hint="eastAsia"/>
              <w:color w:val="auto"/>
              <w:sz w:val="24"/>
              <w:szCs w:val="24"/>
              <w:lang w:eastAsia="zh-CN"/>
            </w:rPr>
            <w:fldChar w:fldCharType="separate"/>
          </w:r>
          <w:r>
            <w:rPr>
              <w:rFonts w:hint="eastAsia"/>
              <w:color w:val="auto"/>
              <w:sz w:val="24"/>
              <w:szCs w:val="24"/>
              <w:lang w:val="en-US" w:eastAsia="zh-CN"/>
            </w:rPr>
            <w:t>5.6</w:t>
          </w:r>
          <w:r>
            <w:rPr>
              <w:color w:val="auto"/>
              <w:sz w:val="24"/>
              <w:szCs w:val="24"/>
            </w:rPr>
            <w:t>重大生产安全事故隐患判定标准</w:t>
          </w:r>
          <w:r>
            <w:rPr>
              <w:rFonts w:hint="eastAsia"/>
              <w:color w:val="auto"/>
              <w:sz w:val="24"/>
              <w:szCs w:val="24"/>
            </w:rPr>
            <w:t>检查</w:t>
          </w:r>
          <w:r>
            <w:rPr>
              <w:color w:val="auto"/>
              <w:sz w:val="24"/>
              <w:szCs w:val="24"/>
            </w:rPr>
            <w:tab/>
          </w:r>
          <w:r>
            <w:rPr>
              <w:color w:val="auto"/>
              <w:sz w:val="24"/>
              <w:szCs w:val="24"/>
            </w:rPr>
            <w:fldChar w:fldCharType="begin"/>
          </w:r>
          <w:r>
            <w:rPr>
              <w:color w:val="auto"/>
              <w:sz w:val="24"/>
              <w:szCs w:val="24"/>
            </w:rPr>
            <w:instrText xml:space="preserve"> PAGEREF _Toc25941 \h </w:instrText>
          </w:r>
          <w:r>
            <w:rPr>
              <w:color w:val="auto"/>
              <w:sz w:val="24"/>
              <w:szCs w:val="24"/>
            </w:rPr>
            <w:fldChar w:fldCharType="separate"/>
          </w:r>
          <w:r>
            <w:rPr>
              <w:color w:val="auto"/>
              <w:sz w:val="24"/>
              <w:szCs w:val="24"/>
            </w:rPr>
            <w:t>78</w:t>
          </w:r>
          <w:r>
            <w:rPr>
              <w:color w:val="auto"/>
              <w:sz w:val="24"/>
              <w:szCs w:val="24"/>
            </w:rPr>
            <w:fldChar w:fldCharType="end"/>
          </w:r>
          <w:r>
            <w:rPr>
              <w:rFonts w:hint="eastAsia"/>
              <w:color w:val="auto"/>
              <w:sz w:val="24"/>
              <w:szCs w:val="24"/>
              <w:lang w:eastAsia="zh-CN"/>
            </w:rPr>
            <w:fldChar w:fldCharType="end"/>
          </w:r>
        </w:p>
        <w:p w14:paraId="1F701240">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_Toc9566 </w:instrText>
          </w:r>
          <w:r>
            <w:rPr>
              <w:rFonts w:hint="eastAsia"/>
              <w:color w:val="auto"/>
              <w:sz w:val="24"/>
              <w:szCs w:val="24"/>
              <w:lang w:eastAsia="zh-CN"/>
            </w:rPr>
            <w:fldChar w:fldCharType="separate"/>
          </w:r>
          <w:r>
            <w:rPr>
              <w:rFonts w:hint="default"/>
              <w:color w:val="auto"/>
              <w:sz w:val="24"/>
              <w:szCs w:val="24"/>
              <w:lang w:val="en-US" w:eastAsia="zh-CN"/>
            </w:rPr>
            <w:t>5.</w:t>
          </w:r>
          <w:r>
            <w:rPr>
              <w:rFonts w:hint="eastAsia"/>
              <w:color w:val="auto"/>
              <w:sz w:val="24"/>
              <w:szCs w:val="24"/>
              <w:lang w:val="en-US" w:eastAsia="zh-CN"/>
            </w:rPr>
            <w:t>7</w:t>
          </w:r>
          <w:r>
            <w:rPr>
              <w:rFonts w:hint="default"/>
              <w:color w:val="auto"/>
              <w:sz w:val="24"/>
              <w:szCs w:val="24"/>
              <w:lang w:val="en-US" w:eastAsia="zh-CN"/>
            </w:rPr>
            <w:t>项目设计采取的安全防护措施</w:t>
          </w:r>
          <w:r>
            <w:rPr>
              <w:rFonts w:hint="eastAsia"/>
              <w:color w:val="auto"/>
              <w:sz w:val="24"/>
              <w:szCs w:val="24"/>
              <w:lang w:val="en-US" w:eastAsia="zh-CN"/>
            </w:rPr>
            <w:t>落实</w:t>
          </w:r>
          <w:r>
            <w:rPr>
              <w:rFonts w:hint="default"/>
              <w:color w:val="auto"/>
              <w:sz w:val="24"/>
              <w:szCs w:val="24"/>
              <w:lang w:val="en-US" w:eastAsia="zh-CN"/>
            </w:rPr>
            <w:t>情况</w:t>
          </w:r>
          <w:r>
            <w:rPr>
              <w:color w:val="auto"/>
              <w:sz w:val="24"/>
              <w:szCs w:val="24"/>
            </w:rPr>
            <w:tab/>
          </w:r>
          <w:r>
            <w:rPr>
              <w:color w:val="auto"/>
              <w:sz w:val="24"/>
              <w:szCs w:val="24"/>
            </w:rPr>
            <w:fldChar w:fldCharType="begin"/>
          </w:r>
          <w:r>
            <w:rPr>
              <w:color w:val="auto"/>
              <w:sz w:val="24"/>
              <w:szCs w:val="24"/>
            </w:rPr>
            <w:instrText xml:space="preserve"> PAGEREF _Toc9566 \h </w:instrText>
          </w:r>
          <w:r>
            <w:rPr>
              <w:color w:val="auto"/>
              <w:sz w:val="24"/>
              <w:szCs w:val="24"/>
            </w:rPr>
            <w:fldChar w:fldCharType="separate"/>
          </w:r>
          <w:r>
            <w:rPr>
              <w:color w:val="auto"/>
              <w:sz w:val="24"/>
              <w:szCs w:val="24"/>
            </w:rPr>
            <w:t>78</w:t>
          </w:r>
          <w:r>
            <w:rPr>
              <w:color w:val="auto"/>
              <w:sz w:val="24"/>
              <w:szCs w:val="24"/>
            </w:rPr>
            <w:fldChar w:fldCharType="end"/>
          </w:r>
          <w:r>
            <w:rPr>
              <w:rFonts w:hint="eastAsia"/>
              <w:color w:val="auto"/>
              <w:sz w:val="24"/>
              <w:szCs w:val="24"/>
              <w:lang w:eastAsia="zh-CN"/>
            </w:rPr>
            <w:fldChar w:fldCharType="end"/>
          </w:r>
        </w:p>
        <w:p w14:paraId="39D58B6B">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_Toc5801 </w:instrText>
          </w:r>
          <w:r>
            <w:rPr>
              <w:rFonts w:hint="eastAsia"/>
              <w:color w:val="auto"/>
              <w:sz w:val="24"/>
              <w:szCs w:val="24"/>
              <w:lang w:eastAsia="zh-CN"/>
            </w:rPr>
            <w:fldChar w:fldCharType="separate"/>
          </w:r>
          <w:r>
            <w:rPr>
              <w:rFonts w:hint="eastAsia"/>
              <w:color w:val="auto"/>
              <w:sz w:val="24"/>
              <w:szCs w:val="24"/>
            </w:rPr>
            <w:t>5</w:t>
          </w:r>
          <w:r>
            <w:rPr>
              <w:rFonts w:hint="eastAsia"/>
              <w:color w:val="auto"/>
              <w:sz w:val="24"/>
              <w:szCs w:val="24"/>
              <w:lang w:val="en-US" w:eastAsia="zh-CN"/>
            </w:rPr>
            <w:t>.7</w:t>
          </w:r>
          <w:r>
            <w:rPr>
              <w:rFonts w:hint="eastAsia"/>
              <w:color w:val="auto"/>
              <w:sz w:val="24"/>
              <w:szCs w:val="24"/>
            </w:rPr>
            <w:t>.1项目安全设施设计采取的安全防护措施</w:t>
          </w:r>
          <w:r>
            <w:rPr>
              <w:rFonts w:hint="eastAsia"/>
              <w:color w:val="auto"/>
              <w:sz w:val="24"/>
              <w:szCs w:val="24"/>
              <w:lang w:val="en-US" w:eastAsia="zh-CN"/>
            </w:rPr>
            <w:t>落实</w:t>
          </w:r>
          <w:r>
            <w:rPr>
              <w:rFonts w:hint="eastAsia"/>
              <w:color w:val="auto"/>
              <w:sz w:val="24"/>
              <w:szCs w:val="24"/>
            </w:rPr>
            <w:t>情况</w:t>
          </w:r>
          <w:r>
            <w:rPr>
              <w:color w:val="auto"/>
              <w:sz w:val="24"/>
              <w:szCs w:val="24"/>
            </w:rPr>
            <w:tab/>
          </w:r>
          <w:r>
            <w:rPr>
              <w:color w:val="auto"/>
              <w:sz w:val="24"/>
              <w:szCs w:val="24"/>
            </w:rPr>
            <w:fldChar w:fldCharType="begin"/>
          </w:r>
          <w:r>
            <w:rPr>
              <w:color w:val="auto"/>
              <w:sz w:val="24"/>
              <w:szCs w:val="24"/>
            </w:rPr>
            <w:instrText xml:space="preserve"> PAGEREF _Toc5801 \h </w:instrText>
          </w:r>
          <w:r>
            <w:rPr>
              <w:color w:val="auto"/>
              <w:sz w:val="24"/>
              <w:szCs w:val="24"/>
            </w:rPr>
            <w:fldChar w:fldCharType="separate"/>
          </w:r>
          <w:r>
            <w:rPr>
              <w:color w:val="auto"/>
              <w:sz w:val="24"/>
              <w:szCs w:val="24"/>
            </w:rPr>
            <w:t>78</w:t>
          </w:r>
          <w:r>
            <w:rPr>
              <w:color w:val="auto"/>
              <w:sz w:val="24"/>
              <w:szCs w:val="24"/>
            </w:rPr>
            <w:fldChar w:fldCharType="end"/>
          </w:r>
          <w:r>
            <w:rPr>
              <w:rFonts w:hint="eastAsia"/>
              <w:color w:val="auto"/>
              <w:sz w:val="24"/>
              <w:szCs w:val="24"/>
              <w:lang w:eastAsia="zh-CN"/>
            </w:rPr>
            <w:fldChar w:fldCharType="end"/>
          </w:r>
        </w:p>
        <w:p w14:paraId="2E206E95">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_Toc14724 </w:instrText>
          </w:r>
          <w:r>
            <w:rPr>
              <w:rFonts w:hint="eastAsia"/>
              <w:color w:val="auto"/>
              <w:sz w:val="24"/>
              <w:szCs w:val="24"/>
              <w:lang w:eastAsia="zh-CN"/>
            </w:rPr>
            <w:fldChar w:fldCharType="separate"/>
          </w:r>
          <w:r>
            <w:rPr>
              <w:rFonts w:hint="eastAsia" w:ascii="Times New Roman" w:hAnsi="Times New Roman" w:eastAsia="宋体" w:cs="Times New Roman"/>
              <w:color w:val="auto"/>
              <w:kern w:val="44"/>
              <w:sz w:val="24"/>
              <w:szCs w:val="24"/>
              <w:lang w:val="en-US" w:eastAsia="zh-CN" w:bidi="ar-SA"/>
            </w:rPr>
            <w:t>6.</w:t>
          </w:r>
          <w:r>
            <w:rPr>
              <w:rFonts w:hint="eastAsia"/>
              <w:color w:val="auto"/>
              <w:sz w:val="24"/>
              <w:szCs w:val="24"/>
            </w:rPr>
            <w:t>定量评价</w:t>
          </w:r>
          <w:r>
            <w:rPr>
              <w:color w:val="auto"/>
              <w:sz w:val="24"/>
              <w:szCs w:val="24"/>
            </w:rPr>
            <w:tab/>
          </w:r>
          <w:r>
            <w:rPr>
              <w:color w:val="auto"/>
              <w:sz w:val="24"/>
              <w:szCs w:val="24"/>
            </w:rPr>
            <w:fldChar w:fldCharType="begin"/>
          </w:r>
          <w:r>
            <w:rPr>
              <w:color w:val="auto"/>
              <w:sz w:val="24"/>
              <w:szCs w:val="24"/>
            </w:rPr>
            <w:instrText xml:space="preserve"> PAGEREF _Toc14724 \h </w:instrText>
          </w:r>
          <w:r>
            <w:rPr>
              <w:color w:val="auto"/>
              <w:sz w:val="24"/>
              <w:szCs w:val="24"/>
            </w:rPr>
            <w:fldChar w:fldCharType="separate"/>
          </w:r>
          <w:r>
            <w:rPr>
              <w:color w:val="auto"/>
              <w:sz w:val="24"/>
              <w:szCs w:val="24"/>
            </w:rPr>
            <w:t>89</w:t>
          </w:r>
          <w:r>
            <w:rPr>
              <w:color w:val="auto"/>
              <w:sz w:val="24"/>
              <w:szCs w:val="24"/>
            </w:rPr>
            <w:fldChar w:fldCharType="end"/>
          </w:r>
          <w:r>
            <w:rPr>
              <w:rFonts w:hint="eastAsia"/>
              <w:color w:val="auto"/>
              <w:sz w:val="24"/>
              <w:szCs w:val="24"/>
              <w:lang w:eastAsia="zh-CN"/>
            </w:rPr>
            <w:fldChar w:fldCharType="end"/>
          </w:r>
        </w:p>
        <w:p w14:paraId="28CA043B">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_Toc3049 </w:instrText>
          </w:r>
          <w:r>
            <w:rPr>
              <w:rFonts w:hint="eastAsia"/>
              <w:color w:val="auto"/>
              <w:sz w:val="24"/>
              <w:szCs w:val="24"/>
              <w:lang w:eastAsia="zh-CN"/>
            </w:rPr>
            <w:fldChar w:fldCharType="separate"/>
          </w:r>
          <w:r>
            <w:rPr>
              <w:rFonts w:hint="default"/>
              <w:color w:val="auto"/>
              <w:sz w:val="24"/>
              <w:szCs w:val="24"/>
              <w:lang w:val="en-US" w:eastAsia="zh-CN"/>
            </w:rPr>
            <w:t>6.</w:t>
          </w:r>
          <w:r>
            <w:rPr>
              <w:rFonts w:hint="eastAsia"/>
              <w:color w:val="auto"/>
              <w:sz w:val="24"/>
              <w:szCs w:val="24"/>
              <w:lang w:val="en-US" w:eastAsia="zh-CN"/>
            </w:rPr>
            <w:t>1</w:t>
          </w:r>
          <w:r>
            <w:rPr>
              <w:rFonts w:hint="default"/>
              <w:color w:val="auto"/>
              <w:sz w:val="24"/>
              <w:szCs w:val="24"/>
              <w:lang w:val="en-US" w:eastAsia="zh-CN"/>
            </w:rPr>
            <w:t>作业条件危险性分析</w:t>
          </w:r>
          <w:r>
            <w:rPr>
              <w:color w:val="auto"/>
              <w:sz w:val="24"/>
              <w:szCs w:val="24"/>
            </w:rPr>
            <w:tab/>
          </w:r>
          <w:r>
            <w:rPr>
              <w:color w:val="auto"/>
              <w:sz w:val="24"/>
              <w:szCs w:val="24"/>
            </w:rPr>
            <w:fldChar w:fldCharType="begin"/>
          </w:r>
          <w:r>
            <w:rPr>
              <w:color w:val="auto"/>
              <w:sz w:val="24"/>
              <w:szCs w:val="24"/>
            </w:rPr>
            <w:instrText xml:space="preserve"> PAGEREF _Toc3049 \h </w:instrText>
          </w:r>
          <w:r>
            <w:rPr>
              <w:color w:val="auto"/>
              <w:sz w:val="24"/>
              <w:szCs w:val="24"/>
            </w:rPr>
            <w:fldChar w:fldCharType="separate"/>
          </w:r>
          <w:r>
            <w:rPr>
              <w:color w:val="auto"/>
              <w:sz w:val="24"/>
              <w:szCs w:val="24"/>
            </w:rPr>
            <w:t>89</w:t>
          </w:r>
          <w:r>
            <w:rPr>
              <w:color w:val="auto"/>
              <w:sz w:val="24"/>
              <w:szCs w:val="24"/>
            </w:rPr>
            <w:fldChar w:fldCharType="end"/>
          </w:r>
          <w:r>
            <w:rPr>
              <w:rFonts w:hint="eastAsia"/>
              <w:color w:val="auto"/>
              <w:sz w:val="24"/>
              <w:szCs w:val="24"/>
              <w:lang w:eastAsia="zh-CN"/>
            </w:rPr>
            <w:fldChar w:fldCharType="end"/>
          </w:r>
        </w:p>
        <w:p w14:paraId="6C735A3A">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_Toc17994 </w:instrText>
          </w:r>
          <w:r>
            <w:rPr>
              <w:rFonts w:hint="eastAsia"/>
              <w:color w:val="auto"/>
              <w:sz w:val="24"/>
              <w:szCs w:val="24"/>
              <w:lang w:eastAsia="zh-CN"/>
            </w:rPr>
            <w:fldChar w:fldCharType="separate"/>
          </w:r>
          <w:r>
            <w:rPr>
              <w:rFonts w:hint="default"/>
              <w:color w:val="auto"/>
              <w:sz w:val="24"/>
              <w:szCs w:val="24"/>
              <w:lang w:val="en-US" w:eastAsia="zh-CN"/>
            </w:rPr>
            <w:t>7.安全对策措施建议</w:t>
          </w:r>
          <w:r>
            <w:rPr>
              <w:color w:val="auto"/>
              <w:sz w:val="24"/>
              <w:szCs w:val="24"/>
            </w:rPr>
            <w:tab/>
          </w:r>
          <w:r>
            <w:rPr>
              <w:color w:val="auto"/>
              <w:sz w:val="24"/>
              <w:szCs w:val="24"/>
            </w:rPr>
            <w:fldChar w:fldCharType="begin"/>
          </w:r>
          <w:r>
            <w:rPr>
              <w:color w:val="auto"/>
              <w:sz w:val="24"/>
              <w:szCs w:val="24"/>
            </w:rPr>
            <w:instrText xml:space="preserve"> PAGEREF _Toc17994 \h </w:instrText>
          </w:r>
          <w:r>
            <w:rPr>
              <w:color w:val="auto"/>
              <w:sz w:val="24"/>
              <w:szCs w:val="24"/>
            </w:rPr>
            <w:fldChar w:fldCharType="separate"/>
          </w:r>
          <w:r>
            <w:rPr>
              <w:color w:val="auto"/>
              <w:sz w:val="24"/>
              <w:szCs w:val="24"/>
            </w:rPr>
            <w:t>91</w:t>
          </w:r>
          <w:r>
            <w:rPr>
              <w:color w:val="auto"/>
              <w:sz w:val="24"/>
              <w:szCs w:val="24"/>
            </w:rPr>
            <w:fldChar w:fldCharType="end"/>
          </w:r>
          <w:r>
            <w:rPr>
              <w:rFonts w:hint="eastAsia"/>
              <w:color w:val="auto"/>
              <w:sz w:val="24"/>
              <w:szCs w:val="24"/>
              <w:lang w:eastAsia="zh-CN"/>
            </w:rPr>
            <w:fldChar w:fldCharType="end"/>
          </w:r>
        </w:p>
        <w:p w14:paraId="44A10C53">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_Toc6955 </w:instrText>
          </w:r>
          <w:r>
            <w:rPr>
              <w:rFonts w:hint="eastAsia"/>
              <w:color w:val="auto"/>
              <w:sz w:val="24"/>
              <w:szCs w:val="24"/>
              <w:lang w:eastAsia="zh-CN"/>
            </w:rPr>
            <w:fldChar w:fldCharType="separate"/>
          </w:r>
          <w:r>
            <w:rPr>
              <w:rFonts w:hint="default"/>
              <w:color w:val="auto"/>
              <w:sz w:val="24"/>
              <w:szCs w:val="24"/>
              <w:lang w:val="en-US" w:eastAsia="zh-CN"/>
            </w:rPr>
            <w:t>7.</w:t>
          </w:r>
          <w:r>
            <w:rPr>
              <w:rFonts w:hint="eastAsia"/>
              <w:color w:val="auto"/>
              <w:sz w:val="24"/>
              <w:szCs w:val="24"/>
              <w:lang w:val="en-US" w:eastAsia="zh-CN"/>
            </w:rPr>
            <w:t>1</w:t>
          </w:r>
          <w:r>
            <w:rPr>
              <w:rFonts w:hint="default"/>
              <w:color w:val="auto"/>
              <w:sz w:val="24"/>
              <w:szCs w:val="24"/>
              <w:lang w:val="en-US" w:eastAsia="zh-CN"/>
            </w:rPr>
            <w:t>安全对策措施建议</w:t>
          </w:r>
          <w:r>
            <w:rPr>
              <w:color w:val="auto"/>
              <w:sz w:val="24"/>
              <w:szCs w:val="24"/>
            </w:rPr>
            <w:tab/>
          </w:r>
          <w:r>
            <w:rPr>
              <w:color w:val="auto"/>
              <w:sz w:val="24"/>
              <w:szCs w:val="24"/>
            </w:rPr>
            <w:fldChar w:fldCharType="begin"/>
          </w:r>
          <w:r>
            <w:rPr>
              <w:color w:val="auto"/>
              <w:sz w:val="24"/>
              <w:szCs w:val="24"/>
            </w:rPr>
            <w:instrText xml:space="preserve"> PAGEREF _Toc6955 \h </w:instrText>
          </w:r>
          <w:r>
            <w:rPr>
              <w:color w:val="auto"/>
              <w:sz w:val="24"/>
              <w:szCs w:val="24"/>
            </w:rPr>
            <w:fldChar w:fldCharType="separate"/>
          </w:r>
          <w:r>
            <w:rPr>
              <w:color w:val="auto"/>
              <w:sz w:val="24"/>
              <w:szCs w:val="24"/>
            </w:rPr>
            <w:t>91</w:t>
          </w:r>
          <w:r>
            <w:rPr>
              <w:color w:val="auto"/>
              <w:sz w:val="24"/>
              <w:szCs w:val="24"/>
            </w:rPr>
            <w:fldChar w:fldCharType="end"/>
          </w:r>
          <w:r>
            <w:rPr>
              <w:rFonts w:hint="eastAsia"/>
              <w:color w:val="auto"/>
              <w:sz w:val="24"/>
              <w:szCs w:val="24"/>
              <w:lang w:eastAsia="zh-CN"/>
            </w:rPr>
            <w:fldChar w:fldCharType="end"/>
          </w:r>
        </w:p>
        <w:p w14:paraId="6BE129AD">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_Toc1643 </w:instrText>
          </w:r>
          <w:r>
            <w:rPr>
              <w:rFonts w:hint="eastAsia"/>
              <w:color w:val="auto"/>
              <w:sz w:val="24"/>
              <w:szCs w:val="24"/>
              <w:lang w:eastAsia="zh-CN"/>
            </w:rPr>
            <w:fldChar w:fldCharType="separate"/>
          </w:r>
          <w:r>
            <w:rPr>
              <w:rFonts w:hint="default"/>
              <w:color w:val="auto"/>
              <w:sz w:val="24"/>
              <w:szCs w:val="24"/>
              <w:lang w:val="en-US" w:eastAsia="zh-CN"/>
            </w:rPr>
            <w:t>7.</w:t>
          </w:r>
          <w:r>
            <w:rPr>
              <w:rFonts w:hint="eastAsia"/>
              <w:color w:val="auto"/>
              <w:sz w:val="24"/>
              <w:szCs w:val="24"/>
              <w:lang w:val="en-US" w:eastAsia="zh-CN"/>
            </w:rPr>
            <w:t>1</w:t>
          </w:r>
          <w:r>
            <w:rPr>
              <w:rFonts w:hint="default"/>
              <w:color w:val="auto"/>
              <w:sz w:val="24"/>
              <w:szCs w:val="24"/>
              <w:lang w:val="en-US" w:eastAsia="zh-CN"/>
            </w:rPr>
            <w:t>.1建设项目存在的问题及改进建议</w:t>
          </w:r>
          <w:r>
            <w:rPr>
              <w:color w:val="auto"/>
              <w:sz w:val="24"/>
              <w:szCs w:val="24"/>
            </w:rPr>
            <w:tab/>
          </w:r>
          <w:r>
            <w:rPr>
              <w:color w:val="auto"/>
              <w:sz w:val="24"/>
              <w:szCs w:val="24"/>
            </w:rPr>
            <w:fldChar w:fldCharType="begin"/>
          </w:r>
          <w:r>
            <w:rPr>
              <w:color w:val="auto"/>
              <w:sz w:val="24"/>
              <w:szCs w:val="24"/>
            </w:rPr>
            <w:instrText xml:space="preserve"> PAGEREF _Toc1643 \h </w:instrText>
          </w:r>
          <w:r>
            <w:rPr>
              <w:color w:val="auto"/>
              <w:sz w:val="24"/>
              <w:szCs w:val="24"/>
            </w:rPr>
            <w:fldChar w:fldCharType="separate"/>
          </w:r>
          <w:r>
            <w:rPr>
              <w:color w:val="auto"/>
              <w:sz w:val="24"/>
              <w:szCs w:val="24"/>
            </w:rPr>
            <w:t>91</w:t>
          </w:r>
          <w:r>
            <w:rPr>
              <w:color w:val="auto"/>
              <w:sz w:val="24"/>
              <w:szCs w:val="24"/>
            </w:rPr>
            <w:fldChar w:fldCharType="end"/>
          </w:r>
          <w:r>
            <w:rPr>
              <w:rFonts w:hint="eastAsia"/>
              <w:color w:val="auto"/>
              <w:sz w:val="24"/>
              <w:szCs w:val="24"/>
              <w:lang w:eastAsia="zh-CN"/>
            </w:rPr>
            <w:fldChar w:fldCharType="end"/>
          </w:r>
        </w:p>
        <w:p w14:paraId="00920815">
          <w:pPr>
            <w:pStyle w:val="8"/>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_Toc25909 </w:instrText>
          </w:r>
          <w:r>
            <w:rPr>
              <w:rFonts w:hint="eastAsia"/>
              <w:color w:val="auto"/>
              <w:sz w:val="24"/>
              <w:szCs w:val="24"/>
              <w:lang w:eastAsia="zh-CN"/>
            </w:rPr>
            <w:fldChar w:fldCharType="separate"/>
          </w:r>
          <w:r>
            <w:rPr>
              <w:rFonts w:hint="eastAsia"/>
              <w:color w:val="auto"/>
              <w:sz w:val="24"/>
              <w:szCs w:val="24"/>
            </w:rPr>
            <w:t>7.</w:t>
          </w:r>
          <w:r>
            <w:rPr>
              <w:rFonts w:hint="eastAsia"/>
              <w:color w:val="auto"/>
              <w:sz w:val="24"/>
              <w:szCs w:val="24"/>
              <w:lang w:val="en-US" w:eastAsia="zh-CN"/>
            </w:rPr>
            <w:t>1</w:t>
          </w:r>
          <w:r>
            <w:rPr>
              <w:rFonts w:hint="eastAsia"/>
              <w:color w:val="auto"/>
              <w:sz w:val="24"/>
              <w:szCs w:val="24"/>
            </w:rPr>
            <w:t>.</w:t>
          </w:r>
          <w:r>
            <w:rPr>
              <w:rFonts w:hint="eastAsia"/>
              <w:color w:val="auto"/>
              <w:sz w:val="24"/>
              <w:szCs w:val="24"/>
              <w:lang w:val="en-US" w:eastAsia="zh-CN"/>
            </w:rPr>
            <w:t>2</w:t>
          </w:r>
          <w:r>
            <w:rPr>
              <w:rFonts w:hint="eastAsia"/>
              <w:color w:val="auto"/>
              <w:sz w:val="24"/>
              <w:szCs w:val="24"/>
            </w:rPr>
            <w:t>建议补充的安全对策措施</w:t>
          </w:r>
          <w:r>
            <w:rPr>
              <w:color w:val="auto"/>
              <w:sz w:val="24"/>
              <w:szCs w:val="24"/>
            </w:rPr>
            <w:tab/>
          </w:r>
          <w:r>
            <w:rPr>
              <w:color w:val="auto"/>
              <w:sz w:val="24"/>
              <w:szCs w:val="24"/>
            </w:rPr>
            <w:fldChar w:fldCharType="begin"/>
          </w:r>
          <w:r>
            <w:rPr>
              <w:color w:val="auto"/>
              <w:sz w:val="24"/>
              <w:szCs w:val="24"/>
            </w:rPr>
            <w:instrText xml:space="preserve"> PAGEREF _Toc25909 \h </w:instrText>
          </w:r>
          <w:r>
            <w:rPr>
              <w:color w:val="auto"/>
              <w:sz w:val="24"/>
              <w:szCs w:val="24"/>
            </w:rPr>
            <w:fldChar w:fldCharType="separate"/>
          </w:r>
          <w:r>
            <w:rPr>
              <w:color w:val="auto"/>
              <w:sz w:val="24"/>
              <w:szCs w:val="24"/>
            </w:rPr>
            <w:t>91</w:t>
          </w:r>
          <w:r>
            <w:rPr>
              <w:color w:val="auto"/>
              <w:sz w:val="24"/>
              <w:szCs w:val="24"/>
            </w:rPr>
            <w:fldChar w:fldCharType="end"/>
          </w:r>
          <w:r>
            <w:rPr>
              <w:rFonts w:hint="eastAsia"/>
              <w:color w:val="auto"/>
              <w:sz w:val="24"/>
              <w:szCs w:val="24"/>
              <w:lang w:eastAsia="zh-CN"/>
            </w:rPr>
            <w:fldChar w:fldCharType="end"/>
          </w:r>
        </w:p>
        <w:p w14:paraId="5640B066">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_Toc3238 </w:instrText>
          </w:r>
          <w:r>
            <w:rPr>
              <w:rFonts w:hint="eastAsia"/>
              <w:color w:val="auto"/>
              <w:sz w:val="24"/>
              <w:szCs w:val="24"/>
              <w:lang w:eastAsia="zh-CN"/>
            </w:rPr>
            <w:fldChar w:fldCharType="separate"/>
          </w:r>
          <w:r>
            <w:rPr>
              <w:rFonts w:hint="eastAsia"/>
              <w:color w:val="auto"/>
              <w:sz w:val="24"/>
              <w:szCs w:val="24"/>
              <w:lang w:val="en-US" w:eastAsia="zh-CN"/>
            </w:rPr>
            <w:t>7.2企业隐患整改情况</w:t>
          </w:r>
          <w:r>
            <w:rPr>
              <w:color w:val="auto"/>
              <w:sz w:val="24"/>
              <w:szCs w:val="24"/>
            </w:rPr>
            <w:tab/>
          </w:r>
          <w:r>
            <w:rPr>
              <w:color w:val="auto"/>
              <w:sz w:val="24"/>
              <w:szCs w:val="24"/>
            </w:rPr>
            <w:fldChar w:fldCharType="begin"/>
          </w:r>
          <w:r>
            <w:rPr>
              <w:color w:val="auto"/>
              <w:sz w:val="24"/>
              <w:szCs w:val="24"/>
            </w:rPr>
            <w:instrText xml:space="preserve"> PAGEREF _Toc3238 \h </w:instrText>
          </w:r>
          <w:r>
            <w:rPr>
              <w:color w:val="auto"/>
              <w:sz w:val="24"/>
              <w:szCs w:val="24"/>
            </w:rPr>
            <w:fldChar w:fldCharType="separate"/>
          </w:r>
          <w:r>
            <w:rPr>
              <w:color w:val="auto"/>
              <w:sz w:val="24"/>
              <w:szCs w:val="24"/>
            </w:rPr>
            <w:t>92</w:t>
          </w:r>
          <w:r>
            <w:rPr>
              <w:color w:val="auto"/>
              <w:sz w:val="24"/>
              <w:szCs w:val="24"/>
            </w:rPr>
            <w:fldChar w:fldCharType="end"/>
          </w:r>
          <w:r>
            <w:rPr>
              <w:rFonts w:hint="eastAsia"/>
              <w:color w:val="auto"/>
              <w:sz w:val="24"/>
              <w:szCs w:val="24"/>
              <w:lang w:eastAsia="zh-CN"/>
            </w:rPr>
            <w:fldChar w:fldCharType="end"/>
          </w:r>
        </w:p>
        <w:p w14:paraId="39539481">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_Toc6803 </w:instrText>
          </w:r>
          <w:r>
            <w:rPr>
              <w:rFonts w:hint="eastAsia"/>
              <w:color w:val="auto"/>
              <w:sz w:val="24"/>
              <w:szCs w:val="24"/>
              <w:lang w:eastAsia="zh-CN"/>
            </w:rPr>
            <w:fldChar w:fldCharType="separate"/>
          </w:r>
          <w:r>
            <w:rPr>
              <w:rFonts w:hint="eastAsia"/>
              <w:color w:val="auto"/>
              <w:sz w:val="24"/>
              <w:szCs w:val="24"/>
              <w:lang w:eastAsia="zh-CN"/>
            </w:rPr>
            <w:t>8.评价结论</w:t>
          </w:r>
          <w:r>
            <w:rPr>
              <w:color w:val="auto"/>
              <w:sz w:val="24"/>
              <w:szCs w:val="24"/>
            </w:rPr>
            <w:tab/>
          </w:r>
          <w:r>
            <w:rPr>
              <w:color w:val="auto"/>
              <w:sz w:val="24"/>
              <w:szCs w:val="24"/>
            </w:rPr>
            <w:fldChar w:fldCharType="begin"/>
          </w:r>
          <w:r>
            <w:rPr>
              <w:color w:val="auto"/>
              <w:sz w:val="24"/>
              <w:szCs w:val="24"/>
            </w:rPr>
            <w:instrText xml:space="preserve"> PAGEREF _Toc6803 \h </w:instrText>
          </w:r>
          <w:r>
            <w:rPr>
              <w:color w:val="auto"/>
              <w:sz w:val="24"/>
              <w:szCs w:val="24"/>
            </w:rPr>
            <w:fldChar w:fldCharType="separate"/>
          </w:r>
          <w:r>
            <w:rPr>
              <w:color w:val="auto"/>
              <w:sz w:val="24"/>
              <w:szCs w:val="24"/>
            </w:rPr>
            <w:t>93</w:t>
          </w:r>
          <w:r>
            <w:rPr>
              <w:color w:val="auto"/>
              <w:sz w:val="24"/>
              <w:szCs w:val="24"/>
            </w:rPr>
            <w:fldChar w:fldCharType="end"/>
          </w:r>
          <w:r>
            <w:rPr>
              <w:rFonts w:hint="eastAsia"/>
              <w:color w:val="auto"/>
              <w:sz w:val="24"/>
              <w:szCs w:val="24"/>
              <w:lang w:eastAsia="zh-CN"/>
            </w:rPr>
            <w:fldChar w:fldCharType="end"/>
          </w:r>
        </w:p>
        <w:p w14:paraId="72E8EC27">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_Toc13565 </w:instrText>
          </w:r>
          <w:r>
            <w:rPr>
              <w:rFonts w:hint="eastAsia"/>
              <w:color w:val="auto"/>
              <w:sz w:val="24"/>
              <w:szCs w:val="24"/>
              <w:lang w:eastAsia="zh-CN"/>
            </w:rPr>
            <w:fldChar w:fldCharType="separate"/>
          </w:r>
          <w:r>
            <w:rPr>
              <w:rFonts w:hint="eastAsia"/>
              <w:color w:val="auto"/>
              <w:sz w:val="24"/>
              <w:szCs w:val="24"/>
              <w:lang w:eastAsia="zh-CN"/>
            </w:rPr>
            <w:t>8.1危险、有害因素辨识结果</w:t>
          </w:r>
          <w:r>
            <w:rPr>
              <w:color w:val="auto"/>
              <w:sz w:val="24"/>
              <w:szCs w:val="24"/>
            </w:rPr>
            <w:tab/>
          </w:r>
          <w:r>
            <w:rPr>
              <w:color w:val="auto"/>
              <w:sz w:val="24"/>
              <w:szCs w:val="24"/>
            </w:rPr>
            <w:fldChar w:fldCharType="begin"/>
          </w:r>
          <w:r>
            <w:rPr>
              <w:color w:val="auto"/>
              <w:sz w:val="24"/>
              <w:szCs w:val="24"/>
            </w:rPr>
            <w:instrText xml:space="preserve"> PAGEREF _Toc13565 \h </w:instrText>
          </w:r>
          <w:r>
            <w:rPr>
              <w:color w:val="auto"/>
              <w:sz w:val="24"/>
              <w:szCs w:val="24"/>
            </w:rPr>
            <w:fldChar w:fldCharType="separate"/>
          </w:r>
          <w:r>
            <w:rPr>
              <w:color w:val="auto"/>
              <w:sz w:val="24"/>
              <w:szCs w:val="24"/>
            </w:rPr>
            <w:t>93</w:t>
          </w:r>
          <w:r>
            <w:rPr>
              <w:color w:val="auto"/>
              <w:sz w:val="24"/>
              <w:szCs w:val="24"/>
            </w:rPr>
            <w:fldChar w:fldCharType="end"/>
          </w:r>
          <w:r>
            <w:rPr>
              <w:rFonts w:hint="eastAsia"/>
              <w:color w:val="auto"/>
              <w:sz w:val="24"/>
              <w:szCs w:val="24"/>
              <w:lang w:eastAsia="zh-CN"/>
            </w:rPr>
            <w:fldChar w:fldCharType="end"/>
          </w:r>
        </w:p>
        <w:p w14:paraId="77DC8E27">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_Toc26204 </w:instrText>
          </w:r>
          <w:r>
            <w:rPr>
              <w:rFonts w:hint="eastAsia"/>
              <w:color w:val="auto"/>
              <w:sz w:val="24"/>
              <w:szCs w:val="24"/>
              <w:lang w:eastAsia="zh-CN"/>
            </w:rPr>
            <w:fldChar w:fldCharType="separate"/>
          </w:r>
          <w:r>
            <w:rPr>
              <w:rFonts w:hint="default"/>
              <w:color w:val="auto"/>
              <w:sz w:val="24"/>
              <w:szCs w:val="24"/>
              <w:lang w:val="en-US" w:eastAsia="zh-CN"/>
            </w:rPr>
            <w:t>8.2符合性评价结果</w:t>
          </w:r>
          <w:r>
            <w:rPr>
              <w:color w:val="auto"/>
              <w:sz w:val="24"/>
              <w:szCs w:val="24"/>
            </w:rPr>
            <w:tab/>
          </w:r>
          <w:r>
            <w:rPr>
              <w:color w:val="auto"/>
              <w:sz w:val="24"/>
              <w:szCs w:val="24"/>
            </w:rPr>
            <w:fldChar w:fldCharType="begin"/>
          </w:r>
          <w:r>
            <w:rPr>
              <w:color w:val="auto"/>
              <w:sz w:val="24"/>
              <w:szCs w:val="24"/>
            </w:rPr>
            <w:instrText xml:space="preserve"> PAGEREF _Toc26204 \h </w:instrText>
          </w:r>
          <w:r>
            <w:rPr>
              <w:color w:val="auto"/>
              <w:sz w:val="24"/>
              <w:szCs w:val="24"/>
            </w:rPr>
            <w:fldChar w:fldCharType="separate"/>
          </w:r>
          <w:r>
            <w:rPr>
              <w:color w:val="auto"/>
              <w:sz w:val="24"/>
              <w:szCs w:val="24"/>
            </w:rPr>
            <w:t>94</w:t>
          </w:r>
          <w:r>
            <w:rPr>
              <w:color w:val="auto"/>
              <w:sz w:val="24"/>
              <w:szCs w:val="24"/>
            </w:rPr>
            <w:fldChar w:fldCharType="end"/>
          </w:r>
          <w:r>
            <w:rPr>
              <w:rFonts w:hint="eastAsia"/>
              <w:color w:val="auto"/>
              <w:sz w:val="24"/>
              <w:szCs w:val="24"/>
              <w:lang w:eastAsia="zh-CN"/>
            </w:rPr>
            <w:fldChar w:fldCharType="end"/>
          </w:r>
        </w:p>
        <w:p w14:paraId="6813257E">
          <w:pPr>
            <w:pStyle w:val="11"/>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_Toc10460 </w:instrText>
          </w:r>
          <w:r>
            <w:rPr>
              <w:rFonts w:hint="eastAsia"/>
              <w:color w:val="auto"/>
              <w:sz w:val="24"/>
              <w:szCs w:val="24"/>
              <w:lang w:eastAsia="zh-CN"/>
            </w:rPr>
            <w:fldChar w:fldCharType="separate"/>
          </w:r>
          <w:r>
            <w:rPr>
              <w:rFonts w:hint="eastAsia"/>
              <w:color w:val="auto"/>
              <w:sz w:val="24"/>
              <w:szCs w:val="24"/>
              <w:lang w:val="en-US" w:eastAsia="zh-CN"/>
            </w:rPr>
            <w:t>8.3评价结论</w:t>
          </w:r>
          <w:r>
            <w:rPr>
              <w:color w:val="auto"/>
              <w:sz w:val="24"/>
              <w:szCs w:val="24"/>
            </w:rPr>
            <w:tab/>
          </w:r>
          <w:r>
            <w:rPr>
              <w:color w:val="auto"/>
              <w:sz w:val="24"/>
              <w:szCs w:val="24"/>
            </w:rPr>
            <w:fldChar w:fldCharType="begin"/>
          </w:r>
          <w:r>
            <w:rPr>
              <w:color w:val="auto"/>
              <w:sz w:val="24"/>
              <w:szCs w:val="24"/>
            </w:rPr>
            <w:instrText xml:space="preserve"> PAGEREF _Toc10460 \h </w:instrText>
          </w:r>
          <w:r>
            <w:rPr>
              <w:color w:val="auto"/>
              <w:sz w:val="24"/>
              <w:szCs w:val="24"/>
            </w:rPr>
            <w:fldChar w:fldCharType="separate"/>
          </w:r>
          <w:r>
            <w:rPr>
              <w:color w:val="auto"/>
              <w:sz w:val="24"/>
              <w:szCs w:val="24"/>
            </w:rPr>
            <w:t>96</w:t>
          </w:r>
          <w:r>
            <w:rPr>
              <w:color w:val="auto"/>
              <w:sz w:val="24"/>
              <w:szCs w:val="24"/>
            </w:rPr>
            <w:fldChar w:fldCharType="end"/>
          </w:r>
          <w:r>
            <w:rPr>
              <w:rFonts w:hint="eastAsia"/>
              <w:color w:val="auto"/>
              <w:sz w:val="24"/>
              <w:szCs w:val="24"/>
              <w:lang w:eastAsia="zh-CN"/>
            </w:rPr>
            <w:fldChar w:fldCharType="end"/>
          </w:r>
        </w:p>
        <w:p w14:paraId="04F2C8E5">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_Toc5171 </w:instrText>
          </w:r>
          <w:r>
            <w:rPr>
              <w:rFonts w:hint="eastAsia"/>
              <w:color w:val="auto"/>
              <w:sz w:val="24"/>
              <w:szCs w:val="24"/>
              <w:lang w:eastAsia="zh-CN"/>
            </w:rPr>
            <w:fldChar w:fldCharType="separate"/>
          </w:r>
          <w:r>
            <w:rPr>
              <w:color w:val="auto"/>
              <w:sz w:val="24"/>
              <w:szCs w:val="24"/>
            </w:rPr>
            <w:t>9</w:t>
          </w:r>
          <w:r>
            <w:rPr>
              <w:rFonts w:hint="eastAsia"/>
              <w:color w:val="auto"/>
              <w:sz w:val="24"/>
              <w:szCs w:val="24"/>
            </w:rPr>
            <w:t>.与建设单位交换意见的情况结果</w:t>
          </w:r>
          <w:r>
            <w:rPr>
              <w:color w:val="auto"/>
              <w:sz w:val="24"/>
              <w:szCs w:val="24"/>
            </w:rPr>
            <w:tab/>
          </w:r>
          <w:r>
            <w:rPr>
              <w:color w:val="auto"/>
              <w:sz w:val="24"/>
              <w:szCs w:val="24"/>
            </w:rPr>
            <w:fldChar w:fldCharType="begin"/>
          </w:r>
          <w:r>
            <w:rPr>
              <w:color w:val="auto"/>
              <w:sz w:val="24"/>
              <w:szCs w:val="24"/>
            </w:rPr>
            <w:instrText xml:space="preserve"> PAGEREF _Toc5171 \h </w:instrText>
          </w:r>
          <w:r>
            <w:rPr>
              <w:color w:val="auto"/>
              <w:sz w:val="24"/>
              <w:szCs w:val="24"/>
            </w:rPr>
            <w:fldChar w:fldCharType="separate"/>
          </w:r>
          <w:r>
            <w:rPr>
              <w:color w:val="auto"/>
              <w:sz w:val="24"/>
              <w:szCs w:val="24"/>
            </w:rPr>
            <w:t>97</w:t>
          </w:r>
          <w:r>
            <w:rPr>
              <w:color w:val="auto"/>
              <w:sz w:val="24"/>
              <w:szCs w:val="24"/>
            </w:rPr>
            <w:fldChar w:fldCharType="end"/>
          </w:r>
          <w:r>
            <w:rPr>
              <w:rFonts w:hint="eastAsia"/>
              <w:color w:val="auto"/>
              <w:sz w:val="24"/>
              <w:szCs w:val="24"/>
              <w:lang w:eastAsia="zh-CN"/>
            </w:rPr>
            <w:fldChar w:fldCharType="end"/>
          </w:r>
        </w:p>
        <w:p w14:paraId="2D30E4EC">
          <w:pPr>
            <w:pStyle w:val="10"/>
            <w:keepNext w:val="0"/>
            <w:keepLines w:val="0"/>
            <w:pageBreakBefore w:val="0"/>
            <w:widowControl w:val="0"/>
            <w:tabs>
              <w:tab w:val="right" w:leader="dot" w:pos="9072"/>
            </w:tabs>
            <w:kinsoku/>
            <w:wordWrap/>
            <w:overflowPunct/>
            <w:topLinePunct w:val="0"/>
            <w:autoSpaceDE/>
            <w:autoSpaceDN/>
            <w:bidi w:val="0"/>
            <w:adjustRightInd w:val="0"/>
            <w:snapToGrid w:val="0"/>
            <w:ind w:firstLine="0" w:firstLineChars="0"/>
            <w:textAlignment w:val="auto"/>
            <w:rPr>
              <w:color w:val="auto"/>
              <w:sz w:val="24"/>
              <w:szCs w:val="24"/>
            </w:rPr>
          </w:pPr>
          <w:r>
            <w:rPr>
              <w:rFonts w:hint="eastAsia"/>
              <w:color w:val="auto"/>
              <w:sz w:val="24"/>
              <w:szCs w:val="24"/>
              <w:lang w:eastAsia="zh-CN"/>
            </w:rPr>
            <w:fldChar w:fldCharType="begin"/>
          </w:r>
          <w:r>
            <w:rPr>
              <w:rFonts w:hint="eastAsia"/>
              <w:color w:val="auto"/>
              <w:sz w:val="24"/>
              <w:szCs w:val="24"/>
              <w:lang w:eastAsia="zh-CN"/>
            </w:rPr>
            <w:instrText xml:space="preserve"> HYPERLINK \l _Toc21916 </w:instrText>
          </w:r>
          <w:r>
            <w:rPr>
              <w:rFonts w:hint="eastAsia"/>
              <w:color w:val="auto"/>
              <w:sz w:val="24"/>
              <w:szCs w:val="24"/>
              <w:lang w:eastAsia="zh-CN"/>
            </w:rPr>
            <w:fldChar w:fldCharType="separate"/>
          </w:r>
          <w:r>
            <w:rPr>
              <w:rFonts w:hint="eastAsia"/>
              <w:color w:val="auto"/>
              <w:sz w:val="24"/>
              <w:szCs w:val="24"/>
              <w:lang w:val="en-US" w:eastAsia="zh-CN"/>
            </w:rPr>
            <w:t>10. 附件</w:t>
          </w:r>
          <w:r>
            <w:rPr>
              <w:color w:val="auto"/>
              <w:sz w:val="24"/>
              <w:szCs w:val="24"/>
            </w:rPr>
            <w:tab/>
          </w:r>
          <w:r>
            <w:rPr>
              <w:color w:val="auto"/>
              <w:sz w:val="24"/>
              <w:szCs w:val="24"/>
            </w:rPr>
            <w:fldChar w:fldCharType="begin"/>
          </w:r>
          <w:r>
            <w:rPr>
              <w:color w:val="auto"/>
              <w:sz w:val="24"/>
              <w:szCs w:val="24"/>
            </w:rPr>
            <w:instrText xml:space="preserve"> PAGEREF _Toc21916 \h </w:instrText>
          </w:r>
          <w:r>
            <w:rPr>
              <w:color w:val="auto"/>
              <w:sz w:val="24"/>
              <w:szCs w:val="24"/>
            </w:rPr>
            <w:fldChar w:fldCharType="separate"/>
          </w:r>
          <w:r>
            <w:rPr>
              <w:color w:val="auto"/>
              <w:sz w:val="24"/>
              <w:szCs w:val="24"/>
            </w:rPr>
            <w:t>97</w:t>
          </w:r>
          <w:r>
            <w:rPr>
              <w:color w:val="auto"/>
              <w:sz w:val="24"/>
              <w:szCs w:val="24"/>
            </w:rPr>
            <w:fldChar w:fldCharType="end"/>
          </w:r>
          <w:r>
            <w:rPr>
              <w:rFonts w:hint="eastAsia"/>
              <w:color w:val="auto"/>
              <w:sz w:val="24"/>
              <w:szCs w:val="24"/>
              <w:lang w:eastAsia="zh-CN"/>
            </w:rPr>
            <w:fldChar w:fldCharType="end"/>
          </w:r>
        </w:p>
        <w:p w14:paraId="366F788B">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Times New Roman" w:hAnsi="Times New Roman" w:eastAsia="宋体" w:cs="Times New Roman"/>
              <w:color w:val="auto"/>
              <w:kern w:val="2"/>
              <w:sz w:val="28"/>
              <w:szCs w:val="28"/>
              <w:lang w:val="en-US" w:eastAsia="zh-CN" w:bidi="ar-SA"/>
            </w:rPr>
          </w:pPr>
          <w:r>
            <w:rPr>
              <w:rFonts w:hint="eastAsia"/>
              <w:color w:val="auto"/>
              <w:sz w:val="24"/>
              <w:szCs w:val="24"/>
              <w:lang w:eastAsia="zh-CN"/>
            </w:rPr>
            <w:fldChar w:fldCharType="end"/>
          </w:r>
        </w:p>
      </w:sdtContent>
    </w:sdt>
    <w:p w14:paraId="4112DEE3">
      <w:pPr>
        <w:bidi w:val="0"/>
        <w:rPr>
          <w:rFonts w:hint="eastAsia" w:ascii="Times New Roman" w:hAnsi="Times New Roman" w:eastAsia="宋体" w:cs="Times New Roman"/>
          <w:color w:val="auto"/>
          <w:kern w:val="2"/>
          <w:sz w:val="28"/>
          <w:szCs w:val="28"/>
          <w:lang w:val="en-US" w:eastAsia="zh-CN" w:bidi="ar-SA"/>
        </w:rPr>
      </w:pPr>
    </w:p>
    <w:p w14:paraId="2448A781">
      <w:pPr>
        <w:tabs>
          <w:tab w:val="center" w:pos="2060"/>
        </w:tabs>
        <w:rPr>
          <w:color w:val="auto"/>
        </w:rPr>
      </w:pPr>
      <w:r>
        <w:rPr>
          <w:rFonts w:hint="eastAsia"/>
          <w:color w:val="auto"/>
          <w:lang w:eastAsia="zh-CN"/>
        </w:rPr>
        <w:tab/>
      </w:r>
      <w:r>
        <w:rPr>
          <w:color w:val="auto"/>
        </w:rPr>
        <w:br w:type="page"/>
      </w:r>
    </w:p>
    <w:p w14:paraId="56529F7C">
      <w:pPr>
        <w:keepNext/>
        <w:keepLines/>
        <w:widowControl w:val="0"/>
        <w:numPr>
          <w:ilvl w:val="0"/>
          <w:numId w:val="0"/>
        </w:numPr>
        <w:tabs>
          <w:tab w:val="right" w:pos="9072"/>
        </w:tabs>
        <w:bidi w:val="0"/>
        <w:spacing w:beforeAutospacing="0" w:afterAutospacing="0" w:line="360" w:lineRule="auto"/>
        <w:ind w:left="0" w:leftChars="0" w:firstLine="0" w:firstLineChars="0"/>
        <w:jc w:val="left"/>
        <w:outlineLvl w:val="0"/>
        <w:rPr>
          <w:rFonts w:hint="eastAsia" w:ascii="Times New Roman" w:hAnsi="Times New Roman" w:eastAsia="黑体" w:cs="Times New Roman"/>
          <w:b/>
          <w:color w:val="auto"/>
          <w:kern w:val="44"/>
          <w:sz w:val="32"/>
          <w:szCs w:val="24"/>
          <w:lang w:val="en-US" w:eastAsia="zh-CN" w:bidi="ar-SA"/>
        </w:rPr>
        <w:sectPr>
          <w:headerReference r:id="rId6" w:type="default"/>
          <w:footerReference r:id="rId7" w:type="default"/>
          <w:pgSz w:w="11906" w:h="16838"/>
          <w:pgMar w:top="1417" w:right="1417" w:bottom="1417" w:left="1417" w:header="850" w:footer="680" w:gutter="0"/>
          <w:pgBorders>
            <w:top w:val="none" w:sz="0" w:space="0"/>
            <w:left w:val="none" w:sz="0" w:space="0"/>
            <w:bottom w:val="none" w:sz="0" w:space="0"/>
            <w:right w:val="none" w:sz="0" w:space="0"/>
          </w:pgBorders>
          <w:pgNumType w:fmt="upperRoman" w:start="1"/>
          <w:cols w:space="0" w:num="1"/>
          <w:rtlGutter w:val="0"/>
          <w:docGrid w:type="lines" w:linePitch="389" w:charSpace="0"/>
        </w:sectPr>
      </w:pPr>
    </w:p>
    <w:p w14:paraId="0A3912FB">
      <w:pPr>
        <w:keepNext/>
        <w:keepLines/>
        <w:widowControl w:val="0"/>
        <w:numPr>
          <w:ilvl w:val="0"/>
          <w:numId w:val="0"/>
        </w:numPr>
        <w:bidi w:val="0"/>
        <w:spacing w:beforeAutospacing="0" w:afterAutospacing="0" w:line="360" w:lineRule="auto"/>
        <w:ind w:left="0" w:leftChars="0" w:firstLine="0" w:firstLineChars="0"/>
        <w:jc w:val="center"/>
        <w:outlineLvl w:val="0"/>
        <w:rPr>
          <w:rFonts w:hint="eastAsia" w:ascii="Times New Roman" w:hAnsi="Times New Roman" w:eastAsia="宋体" w:cs="宋体"/>
          <w:b/>
          <w:color w:val="auto"/>
          <w:kern w:val="44"/>
          <w:sz w:val="32"/>
          <w:szCs w:val="24"/>
          <w:lang w:val="en-US" w:eastAsia="zh-CN" w:bidi="ar-SA"/>
        </w:rPr>
      </w:pPr>
      <w:bookmarkStart w:id="1" w:name="_Toc31179"/>
      <w:r>
        <w:rPr>
          <w:rFonts w:hint="eastAsia" w:ascii="Times New Roman" w:hAnsi="Times New Roman" w:eastAsia="黑体" w:cs="Times New Roman"/>
          <w:b/>
          <w:color w:val="auto"/>
          <w:kern w:val="44"/>
          <w:sz w:val="32"/>
          <w:szCs w:val="24"/>
          <w:lang w:val="en-US" w:eastAsia="zh-CN" w:bidi="ar-SA"/>
        </w:rPr>
        <w:t>1.</w:t>
      </w:r>
      <w:r>
        <w:rPr>
          <w:rFonts w:hint="eastAsia" w:ascii="宋体" w:hAnsi="宋体" w:eastAsia="宋体" w:cs="宋体"/>
          <w:b/>
          <w:color w:val="auto"/>
          <w:kern w:val="44"/>
          <w:sz w:val="32"/>
          <w:szCs w:val="24"/>
          <w:lang w:val="en-US" w:eastAsia="zh-CN" w:bidi="ar-SA"/>
        </w:rPr>
        <w:t>评价概述</w:t>
      </w:r>
      <w:bookmarkEnd w:id="1"/>
    </w:p>
    <w:p w14:paraId="078A3C86">
      <w:pPr>
        <w:pStyle w:val="3"/>
        <w:bidi w:val="0"/>
        <w:rPr>
          <w:rFonts w:hint="eastAsia" w:ascii="Times New Roman" w:hAnsi="Times New Roman"/>
          <w:color w:val="auto"/>
        </w:rPr>
      </w:pPr>
      <w:bookmarkStart w:id="2" w:name="_Toc13865"/>
      <w:r>
        <w:rPr>
          <w:rFonts w:hint="eastAsia" w:ascii="Times New Roman" w:hAnsi="Times New Roman"/>
          <w:color w:val="auto"/>
        </w:rPr>
        <w:t>1.1评价目的和原则</w:t>
      </w:r>
      <w:bookmarkEnd w:id="2"/>
    </w:p>
    <w:p w14:paraId="1A1F71B9">
      <w:pPr>
        <w:pStyle w:val="4"/>
        <w:bidi w:val="0"/>
        <w:rPr>
          <w:rFonts w:hint="eastAsia" w:ascii="Times New Roman" w:hAnsi="Times New Roman"/>
          <w:color w:val="auto"/>
        </w:rPr>
      </w:pPr>
      <w:bookmarkStart w:id="3" w:name="_Toc30110"/>
      <w:r>
        <w:rPr>
          <w:rFonts w:hint="eastAsia" w:ascii="Times New Roman" w:hAnsi="Times New Roman"/>
          <w:color w:val="auto"/>
        </w:rPr>
        <w:t>1.1.1评价目的</w:t>
      </w:r>
      <w:bookmarkEnd w:id="3"/>
    </w:p>
    <w:p w14:paraId="162144CB">
      <w:pPr>
        <w:bidi w:val="0"/>
        <w:rPr>
          <w:rFonts w:hint="eastAsia"/>
          <w:color w:val="auto"/>
        </w:rPr>
      </w:pPr>
      <w:r>
        <w:rPr>
          <w:rFonts w:hint="eastAsia"/>
          <w:color w:val="auto"/>
        </w:rPr>
        <w:t>安全验收评价是在建设项目竣工后正式生产运行前，通过检查建设项目安全设施与主体工程同时设计、同时施工、同时投入生产和使用的情况，检查安全生产管理措施到位情况，检查安全生产规章制度健全情况，检查事故应急救援预案建立情况，审查确定建设项目满足安全生产法律法规、规章、标准、规范要求的符合性，从整体上确定建设项目满足安全生产法律法规、规章、标准、规范要求的符合性，从整体上确定建设项目的运行状况和安全管理情况，做出安全验收评价结论的活动。</w:t>
      </w:r>
    </w:p>
    <w:p w14:paraId="2475BC33">
      <w:pPr>
        <w:bidi w:val="0"/>
        <w:rPr>
          <w:rFonts w:hint="eastAsia"/>
          <w:color w:val="auto"/>
        </w:rPr>
      </w:pPr>
      <w:r>
        <w:rPr>
          <w:rFonts w:hint="eastAsia"/>
          <w:color w:val="auto"/>
        </w:rPr>
        <w:t>安全验收评价的目的是：</w:t>
      </w:r>
    </w:p>
    <w:p w14:paraId="5BD6D05F">
      <w:pPr>
        <w:bidi w:val="0"/>
        <w:rPr>
          <w:rFonts w:hint="eastAsia"/>
          <w:color w:val="auto"/>
        </w:rPr>
      </w:pPr>
      <w:r>
        <w:rPr>
          <w:rFonts w:hint="eastAsia"/>
          <w:color w:val="auto"/>
        </w:rPr>
        <w:t>1</w:t>
      </w:r>
      <w:r>
        <w:rPr>
          <w:rFonts w:hint="eastAsia"/>
          <w:color w:val="auto"/>
          <w:lang w:val="en-US" w:eastAsia="zh-CN"/>
        </w:rPr>
        <w:t>.</w:t>
      </w:r>
      <w:r>
        <w:rPr>
          <w:rFonts w:hint="eastAsia"/>
          <w:color w:val="auto"/>
        </w:rPr>
        <w:t>贯彻“安全第一、预防为主、综合治理”的方针，对建设项目及其安全设施试生产（使用）情况进行安全验收评价，为建设项目安全设施竣工安全验收提供技术依据，为应急管理部门实施监督管理提供依据。</w:t>
      </w:r>
    </w:p>
    <w:p w14:paraId="23BB9688">
      <w:pPr>
        <w:bidi w:val="0"/>
        <w:rPr>
          <w:rFonts w:hint="eastAsia"/>
          <w:color w:val="auto"/>
        </w:rPr>
      </w:pPr>
      <w:r>
        <w:rPr>
          <w:rFonts w:hint="eastAsia"/>
          <w:color w:val="auto"/>
        </w:rPr>
        <w:t>2</w:t>
      </w:r>
      <w:r>
        <w:rPr>
          <w:rFonts w:hint="eastAsia"/>
          <w:color w:val="auto"/>
          <w:lang w:val="en-US" w:eastAsia="zh-CN"/>
        </w:rPr>
        <w:t>.</w:t>
      </w:r>
      <w:r>
        <w:rPr>
          <w:rFonts w:hint="eastAsia"/>
          <w:color w:val="auto"/>
        </w:rPr>
        <w:t>通过对建设项目的安全设施、设备、装置及实际运行状况及安全管理状况的安全评价，查找、辨识及分析建设项目运行过程潜在的危险、有害因素，预测其发生事故的可能性及严重程度。</w:t>
      </w:r>
    </w:p>
    <w:p w14:paraId="0CCFA200">
      <w:pPr>
        <w:bidi w:val="0"/>
        <w:rPr>
          <w:rFonts w:hint="eastAsia"/>
          <w:color w:val="auto"/>
        </w:rPr>
      </w:pPr>
      <w:r>
        <w:rPr>
          <w:rFonts w:hint="eastAsia"/>
          <w:color w:val="auto"/>
        </w:rPr>
        <w:t>3</w:t>
      </w:r>
      <w:r>
        <w:rPr>
          <w:rFonts w:hint="eastAsia"/>
          <w:color w:val="auto"/>
          <w:lang w:val="en-US" w:eastAsia="zh-CN"/>
        </w:rPr>
        <w:t>.</w:t>
      </w:r>
      <w:r>
        <w:rPr>
          <w:rFonts w:hint="eastAsia"/>
          <w:color w:val="auto"/>
        </w:rPr>
        <w:t>检查建设项目中安全设施与主体工程同时设计、同时施工、同时投入生产和使用的情况，检查建设项目的安全设施与安全生产法律法规、规章、标准、规范的符合性及安装、施工、调试、检验、检测情况，检查安全生产管理规章制度、安全规程、事故应急救援预案的健全情况及安全管理措施到位情况，得出建设项目与安全生产法律、法规、规章、标准、规范符合</w:t>
      </w:r>
      <w:r>
        <w:rPr>
          <w:rFonts w:hint="eastAsia"/>
          <w:color w:val="auto"/>
          <w:spacing w:val="-6"/>
          <w:sz w:val="28"/>
        </w:rPr>
        <w:t>性的结论；根据预测发生事故的可能性及严重程度，评价建设项目采取的安全设施及措施后的风险可接受程度，提出合理可行的安全对策措施建议。</w:t>
      </w:r>
    </w:p>
    <w:p w14:paraId="34706625">
      <w:pPr>
        <w:bidi w:val="0"/>
        <w:rPr>
          <w:rFonts w:hint="eastAsia"/>
          <w:color w:val="auto"/>
        </w:rPr>
      </w:pPr>
      <w:r>
        <w:rPr>
          <w:rFonts w:hint="eastAsia"/>
          <w:color w:val="auto"/>
        </w:rPr>
        <w:t>4</w:t>
      </w:r>
      <w:r>
        <w:rPr>
          <w:rFonts w:hint="eastAsia"/>
          <w:color w:val="auto"/>
          <w:lang w:val="en-US" w:eastAsia="zh-CN"/>
        </w:rPr>
        <w:t>.</w:t>
      </w:r>
      <w:r>
        <w:rPr>
          <w:rFonts w:hint="eastAsia"/>
          <w:color w:val="auto"/>
        </w:rPr>
        <w:t>为建设项目的安全生产管理，事故应急救援，安全标准化等工作提供指导。</w:t>
      </w:r>
    </w:p>
    <w:p w14:paraId="7E9554AF">
      <w:pPr>
        <w:pStyle w:val="4"/>
        <w:bidi w:val="0"/>
        <w:rPr>
          <w:rFonts w:hint="eastAsia" w:ascii="Times New Roman" w:hAnsi="Times New Roman"/>
          <w:color w:val="auto"/>
        </w:rPr>
      </w:pPr>
      <w:bookmarkStart w:id="4" w:name="_Toc29950"/>
      <w:r>
        <w:rPr>
          <w:rFonts w:hint="eastAsia" w:ascii="Times New Roman" w:hAnsi="Times New Roman"/>
          <w:color w:val="auto"/>
        </w:rPr>
        <w:t>1.1.2</w:t>
      </w:r>
      <w:r>
        <w:rPr>
          <w:rFonts w:hint="eastAsia" w:ascii="Times New Roman" w:hAnsi="Times New Roman"/>
          <w:color w:val="auto"/>
          <w:lang w:val="en-US" w:eastAsia="zh-CN"/>
        </w:rPr>
        <w:t xml:space="preserve"> </w:t>
      </w:r>
      <w:r>
        <w:rPr>
          <w:rFonts w:hint="eastAsia" w:ascii="Times New Roman" w:hAnsi="Times New Roman"/>
          <w:color w:val="auto"/>
        </w:rPr>
        <w:t>评价原则</w:t>
      </w:r>
      <w:bookmarkEnd w:id="4"/>
    </w:p>
    <w:p w14:paraId="6AD7380E">
      <w:pPr>
        <w:bidi w:val="0"/>
        <w:rPr>
          <w:color w:val="auto"/>
        </w:rPr>
      </w:pPr>
      <w:r>
        <w:rPr>
          <w:color w:val="auto"/>
        </w:rPr>
        <w:t>1</w:t>
      </w:r>
      <w:r>
        <w:rPr>
          <w:rFonts w:hint="eastAsia"/>
          <w:color w:val="auto"/>
          <w:lang w:val="en-US" w:eastAsia="zh-CN"/>
        </w:rPr>
        <w:t>.</w:t>
      </w:r>
      <w:r>
        <w:rPr>
          <w:color w:val="auto"/>
        </w:rPr>
        <w:t>认真贯彻国家现行安全生产法律、法规，严格执行国家标准与规范，力求评价的科学性与公正性。</w:t>
      </w:r>
    </w:p>
    <w:p w14:paraId="7B9AA86C">
      <w:pPr>
        <w:bidi w:val="0"/>
        <w:rPr>
          <w:color w:val="auto"/>
        </w:rPr>
      </w:pPr>
      <w:r>
        <w:rPr>
          <w:color w:val="auto"/>
        </w:rPr>
        <w:t>2</w:t>
      </w:r>
      <w:r>
        <w:rPr>
          <w:rFonts w:hint="eastAsia"/>
          <w:color w:val="auto"/>
          <w:lang w:val="en-US" w:eastAsia="zh-CN"/>
        </w:rPr>
        <w:t>.</w:t>
      </w:r>
      <w:r>
        <w:rPr>
          <w:color w:val="auto"/>
        </w:rPr>
        <w:t>采用科学、适用的评价技术方法，力求使评价结论客观，符合建设项目的生产实际。</w:t>
      </w:r>
    </w:p>
    <w:p w14:paraId="2060DC11">
      <w:pPr>
        <w:bidi w:val="0"/>
        <w:rPr>
          <w:color w:val="auto"/>
        </w:rPr>
      </w:pPr>
      <w:r>
        <w:rPr>
          <w:color w:val="auto"/>
        </w:rPr>
        <w:t>3</w:t>
      </w:r>
      <w:r>
        <w:rPr>
          <w:rFonts w:hint="eastAsia"/>
          <w:color w:val="auto"/>
          <w:lang w:val="en-US" w:eastAsia="zh-CN"/>
        </w:rPr>
        <w:t>.</w:t>
      </w:r>
      <w:r>
        <w:rPr>
          <w:color w:val="auto"/>
        </w:rPr>
        <w:t>深入现场，深入实际，充分发挥评价人员和有关专家的专业技术优势，在全面分析危险、有害因素的基础上，提出较为有效的安全对策措施。</w:t>
      </w:r>
    </w:p>
    <w:p w14:paraId="27C08B56">
      <w:pPr>
        <w:bidi w:val="0"/>
        <w:rPr>
          <w:color w:val="auto"/>
        </w:rPr>
      </w:pPr>
      <w:r>
        <w:rPr>
          <w:color w:val="auto"/>
        </w:rPr>
        <w:t>4</w:t>
      </w:r>
      <w:r>
        <w:rPr>
          <w:rFonts w:hint="eastAsia"/>
          <w:color w:val="auto"/>
          <w:lang w:val="en-US" w:eastAsia="zh-CN"/>
        </w:rPr>
        <w:t>.</w:t>
      </w:r>
      <w:r>
        <w:rPr>
          <w:color w:val="auto"/>
        </w:rPr>
        <w:t>诚信、负责，为企业服务。</w:t>
      </w:r>
    </w:p>
    <w:p w14:paraId="53C0F4B2">
      <w:pPr>
        <w:pStyle w:val="3"/>
        <w:bidi w:val="0"/>
        <w:rPr>
          <w:rFonts w:hint="eastAsia" w:ascii="Times New Roman" w:hAnsi="Times New Roman"/>
          <w:color w:val="auto"/>
        </w:rPr>
      </w:pPr>
      <w:bookmarkStart w:id="5" w:name="_Toc11087"/>
      <w:r>
        <w:rPr>
          <w:rFonts w:hint="eastAsia" w:ascii="Times New Roman" w:hAnsi="Times New Roman"/>
          <w:color w:val="auto"/>
        </w:rPr>
        <w:t>1.2</w:t>
      </w:r>
      <w:r>
        <w:rPr>
          <w:rFonts w:hint="eastAsia" w:ascii="Times New Roman" w:hAnsi="Times New Roman"/>
          <w:color w:val="auto"/>
          <w:lang w:val="en-US" w:eastAsia="zh-CN"/>
        </w:rPr>
        <w:t xml:space="preserve"> </w:t>
      </w:r>
      <w:r>
        <w:rPr>
          <w:rFonts w:hint="eastAsia" w:ascii="Times New Roman" w:hAnsi="Times New Roman"/>
          <w:color w:val="auto"/>
        </w:rPr>
        <w:t>评价依据</w:t>
      </w:r>
      <w:bookmarkEnd w:id="5"/>
    </w:p>
    <w:p w14:paraId="020BB456">
      <w:pPr>
        <w:pStyle w:val="4"/>
        <w:bidi w:val="0"/>
        <w:rPr>
          <w:rFonts w:hint="eastAsia" w:ascii="Times New Roman" w:hAnsi="Times New Roman"/>
          <w:color w:val="auto"/>
        </w:rPr>
      </w:pPr>
      <w:bookmarkStart w:id="6" w:name="_Toc25082"/>
      <w:r>
        <w:rPr>
          <w:rFonts w:hint="eastAsia" w:ascii="Times New Roman" w:hAnsi="Times New Roman"/>
          <w:color w:val="auto"/>
        </w:rPr>
        <w:t>1.2.1</w:t>
      </w:r>
      <w:r>
        <w:rPr>
          <w:rFonts w:hint="eastAsia" w:ascii="Times New Roman" w:hAnsi="Times New Roman"/>
          <w:color w:val="auto"/>
          <w:lang w:val="en-US" w:eastAsia="zh-CN"/>
        </w:rPr>
        <w:t xml:space="preserve"> </w:t>
      </w:r>
      <w:r>
        <w:rPr>
          <w:rFonts w:hint="eastAsia" w:ascii="Times New Roman" w:hAnsi="Times New Roman"/>
          <w:color w:val="auto"/>
        </w:rPr>
        <w:t>法律</w:t>
      </w:r>
      <w:bookmarkEnd w:id="6"/>
    </w:p>
    <w:p w14:paraId="70A5FCE6">
      <w:pPr>
        <w:bidi w:val="0"/>
        <w:rPr>
          <w:rFonts w:hint="eastAsia"/>
          <w:color w:val="auto"/>
        </w:rPr>
      </w:pPr>
      <w:r>
        <w:rPr>
          <w:rFonts w:hint="eastAsia"/>
          <w:color w:val="auto"/>
        </w:rPr>
        <w:t>1.《中华人民共和国安全生产法》（主席令</w:t>
      </w:r>
      <w:r>
        <w:rPr>
          <w:rFonts w:hint="eastAsia"/>
          <w:color w:val="auto"/>
          <w:lang w:eastAsia="zh-CN"/>
        </w:rPr>
        <w:t>〔</w:t>
      </w:r>
      <w:r>
        <w:rPr>
          <w:rFonts w:hint="eastAsia"/>
          <w:color w:val="auto"/>
        </w:rPr>
        <w:t>2002</w:t>
      </w:r>
      <w:r>
        <w:rPr>
          <w:rFonts w:hint="eastAsia"/>
          <w:color w:val="auto"/>
          <w:lang w:eastAsia="zh-CN"/>
        </w:rPr>
        <w:t>〕</w:t>
      </w:r>
      <w:r>
        <w:rPr>
          <w:rFonts w:hint="eastAsia"/>
          <w:color w:val="auto"/>
        </w:rPr>
        <w:t>第70号，经主席令</w:t>
      </w:r>
      <w:r>
        <w:rPr>
          <w:rFonts w:hint="eastAsia"/>
          <w:color w:val="auto"/>
          <w:lang w:eastAsia="zh-CN"/>
        </w:rPr>
        <w:t>〔</w:t>
      </w:r>
      <w:r>
        <w:rPr>
          <w:rFonts w:hint="eastAsia"/>
          <w:color w:val="auto"/>
        </w:rPr>
        <w:t>2009</w:t>
      </w:r>
      <w:r>
        <w:rPr>
          <w:rFonts w:hint="eastAsia"/>
          <w:color w:val="auto"/>
          <w:lang w:eastAsia="zh-CN"/>
        </w:rPr>
        <w:t>〕</w:t>
      </w:r>
      <w:r>
        <w:rPr>
          <w:rFonts w:hint="eastAsia"/>
          <w:color w:val="auto"/>
        </w:rPr>
        <w:t>第18号、主席令</w:t>
      </w:r>
      <w:r>
        <w:rPr>
          <w:rFonts w:hint="eastAsia"/>
          <w:color w:val="auto"/>
          <w:lang w:eastAsia="zh-CN"/>
        </w:rPr>
        <w:t>〔</w:t>
      </w:r>
      <w:r>
        <w:rPr>
          <w:rFonts w:hint="eastAsia"/>
          <w:color w:val="auto"/>
        </w:rPr>
        <w:t>2014</w:t>
      </w:r>
      <w:r>
        <w:rPr>
          <w:rFonts w:hint="eastAsia"/>
          <w:color w:val="auto"/>
          <w:lang w:eastAsia="zh-CN"/>
        </w:rPr>
        <w:t>〕</w:t>
      </w:r>
      <w:r>
        <w:rPr>
          <w:rFonts w:hint="eastAsia"/>
          <w:color w:val="auto"/>
        </w:rPr>
        <w:t>第13号、主席令</w:t>
      </w:r>
      <w:r>
        <w:rPr>
          <w:rFonts w:hint="eastAsia"/>
          <w:color w:val="auto"/>
          <w:lang w:eastAsia="zh-CN"/>
        </w:rPr>
        <w:t>〔</w:t>
      </w:r>
      <w:r>
        <w:rPr>
          <w:rFonts w:hint="eastAsia"/>
          <w:color w:val="auto"/>
        </w:rPr>
        <w:t>2021</w:t>
      </w:r>
      <w:r>
        <w:rPr>
          <w:rFonts w:hint="eastAsia"/>
          <w:color w:val="auto"/>
          <w:lang w:eastAsia="zh-CN"/>
        </w:rPr>
        <w:t>〕</w:t>
      </w:r>
      <w:r>
        <w:rPr>
          <w:rFonts w:hint="eastAsia"/>
          <w:color w:val="auto"/>
        </w:rPr>
        <w:t>第88号修</w:t>
      </w:r>
      <w:r>
        <w:rPr>
          <w:rFonts w:hint="eastAsia"/>
          <w:color w:val="auto"/>
          <w:lang w:val="en-US" w:eastAsia="zh-CN"/>
        </w:rPr>
        <w:t>正</w:t>
      </w:r>
      <w:r>
        <w:rPr>
          <w:rFonts w:hint="eastAsia"/>
          <w:color w:val="auto"/>
        </w:rPr>
        <w:t>，自20</w:t>
      </w:r>
      <w:r>
        <w:rPr>
          <w:rFonts w:hint="eastAsia"/>
          <w:color w:val="auto"/>
          <w:lang w:val="en-US" w:eastAsia="zh-CN"/>
        </w:rPr>
        <w:t>02</w:t>
      </w:r>
      <w:r>
        <w:rPr>
          <w:rFonts w:hint="eastAsia"/>
          <w:color w:val="auto"/>
        </w:rPr>
        <w:t>年</w:t>
      </w:r>
      <w:r>
        <w:rPr>
          <w:rFonts w:hint="eastAsia"/>
          <w:color w:val="auto"/>
          <w:lang w:val="en-US" w:eastAsia="zh-CN"/>
        </w:rPr>
        <w:t>11</w:t>
      </w:r>
      <w:r>
        <w:rPr>
          <w:rFonts w:hint="eastAsia"/>
          <w:color w:val="auto"/>
        </w:rPr>
        <w:t>月1日起施行）</w:t>
      </w:r>
    </w:p>
    <w:p w14:paraId="075F5E58">
      <w:pPr>
        <w:bidi w:val="0"/>
        <w:rPr>
          <w:rFonts w:hint="eastAsia"/>
          <w:color w:val="auto"/>
        </w:rPr>
      </w:pPr>
      <w:r>
        <w:rPr>
          <w:rFonts w:hint="eastAsia"/>
          <w:color w:val="auto"/>
        </w:rPr>
        <w:t>2.《中华人民共和国劳动法》（主席令</w:t>
      </w:r>
      <w:r>
        <w:rPr>
          <w:rFonts w:hint="eastAsia"/>
          <w:color w:val="auto"/>
          <w:lang w:eastAsia="zh-CN"/>
        </w:rPr>
        <w:t>〔</w:t>
      </w:r>
      <w:r>
        <w:rPr>
          <w:rFonts w:hint="eastAsia"/>
          <w:color w:val="auto"/>
        </w:rPr>
        <w:t>1994</w:t>
      </w:r>
      <w:r>
        <w:rPr>
          <w:rFonts w:hint="eastAsia"/>
          <w:color w:val="auto"/>
          <w:lang w:eastAsia="zh-CN"/>
        </w:rPr>
        <w:t>〕</w:t>
      </w:r>
      <w:r>
        <w:rPr>
          <w:rFonts w:hint="eastAsia"/>
          <w:color w:val="auto"/>
        </w:rPr>
        <w:t>第28号，经主席令</w:t>
      </w:r>
      <w:r>
        <w:rPr>
          <w:rFonts w:hint="eastAsia"/>
          <w:color w:val="auto"/>
          <w:lang w:eastAsia="zh-CN"/>
        </w:rPr>
        <w:t>〔</w:t>
      </w:r>
      <w:r>
        <w:rPr>
          <w:rFonts w:hint="eastAsia"/>
          <w:color w:val="auto"/>
        </w:rPr>
        <w:t>2009</w:t>
      </w:r>
      <w:r>
        <w:rPr>
          <w:rFonts w:hint="eastAsia"/>
          <w:color w:val="auto"/>
          <w:lang w:eastAsia="zh-CN"/>
        </w:rPr>
        <w:t>〕</w:t>
      </w:r>
      <w:r>
        <w:rPr>
          <w:rFonts w:hint="eastAsia"/>
          <w:color w:val="auto"/>
        </w:rPr>
        <w:t>第</w:t>
      </w:r>
      <w:r>
        <w:rPr>
          <w:rFonts w:hint="eastAsia"/>
          <w:color w:val="auto"/>
          <w:lang w:val="en-US" w:eastAsia="zh-CN"/>
        </w:rPr>
        <w:t>18</w:t>
      </w:r>
      <w:r>
        <w:rPr>
          <w:rFonts w:hint="eastAsia"/>
          <w:color w:val="auto"/>
        </w:rPr>
        <w:t>号、主席令</w:t>
      </w:r>
      <w:r>
        <w:rPr>
          <w:rFonts w:hint="eastAsia"/>
          <w:color w:val="auto"/>
          <w:lang w:eastAsia="zh-CN"/>
        </w:rPr>
        <w:t>〔</w:t>
      </w:r>
      <w:r>
        <w:rPr>
          <w:rFonts w:hint="eastAsia"/>
          <w:color w:val="auto"/>
        </w:rPr>
        <w:t>2018</w:t>
      </w:r>
      <w:r>
        <w:rPr>
          <w:rFonts w:hint="eastAsia"/>
          <w:color w:val="auto"/>
          <w:lang w:eastAsia="zh-CN"/>
        </w:rPr>
        <w:t>〕</w:t>
      </w:r>
      <w:r>
        <w:rPr>
          <w:rFonts w:hint="eastAsia"/>
          <w:color w:val="auto"/>
        </w:rPr>
        <w:t>第24号修</w:t>
      </w:r>
      <w:r>
        <w:rPr>
          <w:rFonts w:hint="eastAsia"/>
          <w:color w:val="auto"/>
          <w:lang w:val="en-US" w:eastAsia="zh-CN"/>
        </w:rPr>
        <w:t>正</w:t>
      </w:r>
      <w:r>
        <w:rPr>
          <w:rFonts w:hint="eastAsia"/>
          <w:color w:val="auto"/>
        </w:rPr>
        <w:t>，自</w:t>
      </w:r>
      <w:r>
        <w:rPr>
          <w:rFonts w:hint="eastAsia"/>
          <w:color w:val="auto"/>
          <w:lang w:val="en-US" w:eastAsia="zh-CN"/>
        </w:rPr>
        <w:t>1995</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1</w:t>
      </w:r>
      <w:r>
        <w:rPr>
          <w:rFonts w:hint="eastAsia"/>
          <w:color w:val="auto"/>
        </w:rPr>
        <w:t>日起施行）</w:t>
      </w:r>
    </w:p>
    <w:p w14:paraId="4C21FB85">
      <w:pPr>
        <w:bidi w:val="0"/>
        <w:rPr>
          <w:rFonts w:hint="eastAsia"/>
          <w:color w:val="auto"/>
        </w:rPr>
      </w:pPr>
      <w:r>
        <w:rPr>
          <w:rFonts w:hint="eastAsia"/>
          <w:color w:val="auto"/>
        </w:rPr>
        <w:t>3.《中华人民共和国消防法》（主席令</w:t>
      </w:r>
      <w:r>
        <w:rPr>
          <w:rFonts w:hint="eastAsia"/>
          <w:color w:val="auto"/>
          <w:lang w:eastAsia="zh-CN"/>
        </w:rPr>
        <w:t>〔</w:t>
      </w:r>
      <w:r>
        <w:rPr>
          <w:rFonts w:hint="eastAsia"/>
          <w:color w:val="auto"/>
        </w:rPr>
        <w:t>1998</w:t>
      </w:r>
      <w:r>
        <w:rPr>
          <w:rFonts w:hint="eastAsia"/>
          <w:color w:val="auto"/>
          <w:lang w:eastAsia="zh-CN"/>
        </w:rPr>
        <w:t>〕</w:t>
      </w:r>
      <w:r>
        <w:rPr>
          <w:rFonts w:hint="eastAsia"/>
          <w:color w:val="auto"/>
        </w:rPr>
        <w:t>第4号</w:t>
      </w:r>
      <w:r>
        <w:rPr>
          <w:rFonts w:hint="eastAsia"/>
          <w:color w:val="auto"/>
          <w:lang w:eastAsia="zh-CN"/>
        </w:rPr>
        <w:t>，</w:t>
      </w:r>
      <w:r>
        <w:rPr>
          <w:rFonts w:hint="eastAsia"/>
          <w:color w:val="auto"/>
          <w:lang w:val="en-US" w:eastAsia="zh-CN"/>
        </w:rPr>
        <w:t>经</w:t>
      </w:r>
      <w:r>
        <w:rPr>
          <w:rFonts w:hint="eastAsia"/>
          <w:color w:val="auto"/>
        </w:rPr>
        <w:t>主席令</w:t>
      </w:r>
      <w:r>
        <w:rPr>
          <w:rFonts w:hint="eastAsia"/>
          <w:color w:val="auto"/>
          <w:lang w:eastAsia="zh-CN"/>
        </w:rPr>
        <w:t>〔</w:t>
      </w:r>
      <w:r>
        <w:rPr>
          <w:rFonts w:hint="eastAsia"/>
          <w:color w:val="auto"/>
        </w:rPr>
        <w:t>2019</w:t>
      </w:r>
      <w:r>
        <w:rPr>
          <w:rFonts w:hint="eastAsia"/>
          <w:color w:val="auto"/>
          <w:lang w:eastAsia="zh-CN"/>
        </w:rPr>
        <w:t>〕</w:t>
      </w:r>
      <w:r>
        <w:rPr>
          <w:rFonts w:hint="eastAsia"/>
          <w:color w:val="auto"/>
        </w:rPr>
        <w:t>第29号、主席令</w:t>
      </w:r>
      <w:r>
        <w:rPr>
          <w:rFonts w:hint="eastAsia"/>
          <w:color w:val="auto"/>
          <w:lang w:eastAsia="zh-CN"/>
        </w:rPr>
        <w:t>〔</w:t>
      </w:r>
      <w:r>
        <w:rPr>
          <w:rFonts w:hint="eastAsia"/>
          <w:color w:val="auto"/>
        </w:rPr>
        <w:t>2021</w:t>
      </w:r>
      <w:r>
        <w:rPr>
          <w:rFonts w:hint="eastAsia"/>
          <w:color w:val="auto"/>
          <w:lang w:eastAsia="zh-CN"/>
        </w:rPr>
        <w:t>〕</w:t>
      </w:r>
      <w:r>
        <w:rPr>
          <w:rFonts w:hint="eastAsia"/>
          <w:color w:val="auto"/>
        </w:rPr>
        <w:t>第81号</w:t>
      </w:r>
      <w:r>
        <w:rPr>
          <w:rFonts w:hint="eastAsia"/>
          <w:color w:val="auto"/>
          <w:lang w:val="en-US" w:eastAsia="zh-CN"/>
        </w:rPr>
        <w:t>修正</w:t>
      </w:r>
      <w:r>
        <w:rPr>
          <w:rFonts w:hint="eastAsia"/>
          <w:color w:val="auto"/>
        </w:rPr>
        <w:t>，</w:t>
      </w:r>
      <w:r>
        <w:rPr>
          <w:rFonts w:hint="eastAsia"/>
          <w:color w:val="auto"/>
          <w:lang w:val="en-US" w:eastAsia="zh-CN"/>
        </w:rPr>
        <w:t>经</w:t>
      </w:r>
      <w:r>
        <w:rPr>
          <w:rFonts w:hint="eastAsia"/>
          <w:color w:val="auto"/>
        </w:rPr>
        <w:t>主席令</w:t>
      </w:r>
      <w:r>
        <w:rPr>
          <w:rFonts w:hint="eastAsia"/>
          <w:color w:val="auto"/>
          <w:lang w:eastAsia="zh-CN"/>
        </w:rPr>
        <w:t>〔</w:t>
      </w:r>
      <w:r>
        <w:rPr>
          <w:rFonts w:hint="eastAsia"/>
          <w:color w:val="auto"/>
        </w:rPr>
        <w:t>2008</w:t>
      </w:r>
      <w:r>
        <w:rPr>
          <w:rFonts w:hint="eastAsia"/>
          <w:color w:val="auto"/>
          <w:lang w:eastAsia="zh-CN"/>
        </w:rPr>
        <w:t>〕</w:t>
      </w:r>
      <w:r>
        <w:rPr>
          <w:rFonts w:hint="eastAsia"/>
          <w:color w:val="auto"/>
        </w:rPr>
        <w:t>第6号</w:t>
      </w:r>
      <w:r>
        <w:rPr>
          <w:rFonts w:hint="eastAsia"/>
          <w:color w:val="auto"/>
          <w:lang w:val="en-US" w:eastAsia="zh-CN"/>
        </w:rPr>
        <w:t>修订</w:t>
      </w:r>
      <w:r>
        <w:rPr>
          <w:rFonts w:hint="eastAsia"/>
          <w:color w:val="auto"/>
          <w:lang w:eastAsia="zh-CN"/>
        </w:rPr>
        <w:t>，</w:t>
      </w:r>
      <w:r>
        <w:rPr>
          <w:rFonts w:hint="eastAsia"/>
          <w:color w:val="auto"/>
        </w:rPr>
        <w:t>自20</w:t>
      </w:r>
      <w:r>
        <w:rPr>
          <w:rFonts w:hint="eastAsia"/>
          <w:color w:val="auto"/>
          <w:lang w:val="en-US" w:eastAsia="zh-CN"/>
        </w:rPr>
        <w:t>09</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1</w:t>
      </w:r>
      <w:r>
        <w:rPr>
          <w:rFonts w:hint="eastAsia"/>
          <w:color w:val="auto"/>
        </w:rPr>
        <w:t>日起施行）</w:t>
      </w:r>
    </w:p>
    <w:p w14:paraId="759A89ED">
      <w:pPr>
        <w:bidi w:val="0"/>
        <w:rPr>
          <w:rFonts w:hint="eastAsia"/>
          <w:color w:val="auto"/>
        </w:rPr>
      </w:pPr>
      <w:r>
        <w:rPr>
          <w:rFonts w:hint="eastAsia"/>
          <w:color w:val="auto"/>
        </w:rPr>
        <w:t>4.《中华人民共和国职业病防治法》（主席令</w:t>
      </w:r>
      <w:r>
        <w:rPr>
          <w:rFonts w:hint="eastAsia"/>
          <w:color w:val="auto"/>
          <w:lang w:eastAsia="zh-CN"/>
        </w:rPr>
        <w:t>〔</w:t>
      </w:r>
      <w:r>
        <w:rPr>
          <w:rFonts w:hint="eastAsia"/>
          <w:color w:val="auto"/>
        </w:rPr>
        <w:t>2001</w:t>
      </w:r>
      <w:r>
        <w:rPr>
          <w:rFonts w:hint="eastAsia"/>
          <w:color w:val="auto"/>
          <w:lang w:eastAsia="zh-CN"/>
        </w:rPr>
        <w:t>〕</w:t>
      </w:r>
      <w:r>
        <w:rPr>
          <w:rFonts w:hint="eastAsia"/>
          <w:color w:val="auto"/>
        </w:rPr>
        <w:t>第60号，经主席令</w:t>
      </w:r>
      <w:r>
        <w:rPr>
          <w:rFonts w:hint="eastAsia"/>
          <w:color w:val="auto"/>
          <w:lang w:eastAsia="zh-CN"/>
        </w:rPr>
        <w:t>〔</w:t>
      </w:r>
      <w:r>
        <w:rPr>
          <w:rFonts w:hint="eastAsia"/>
          <w:color w:val="auto"/>
        </w:rPr>
        <w:t>2011</w:t>
      </w:r>
      <w:r>
        <w:rPr>
          <w:rFonts w:hint="eastAsia"/>
          <w:color w:val="auto"/>
          <w:lang w:eastAsia="zh-CN"/>
        </w:rPr>
        <w:t>〕</w:t>
      </w:r>
      <w:r>
        <w:rPr>
          <w:rFonts w:hint="eastAsia"/>
          <w:color w:val="auto"/>
        </w:rPr>
        <w:t>第52号、主席令</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第81号、主席令</w:t>
      </w:r>
      <w:r>
        <w:rPr>
          <w:rFonts w:hint="eastAsia"/>
          <w:color w:val="auto"/>
          <w:lang w:eastAsia="zh-CN"/>
        </w:rPr>
        <w:t>〔</w:t>
      </w:r>
      <w:r>
        <w:rPr>
          <w:rFonts w:hint="eastAsia"/>
          <w:color w:val="auto"/>
        </w:rPr>
        <w:t>2018</w:t>
      </w:r>
      <w:r>
        <w:rPr>
          <w:rFonts w:hint="eastAsia"/>
          <w:color w:val="auto"/>
          <w:lang w:eastAsia="zh-CN"/>
        </w:rPr>
        <w:t>〕</w:t>
      </w:r>
      <w:r>
        <w:rPr>
          <w:rFonts w:hint="eastAsia"/>
          <w:color w:val="auto"/>
        </w:rPr>
        <w:t>第24号修</w:t>
      </w:r>
      <w:r>
        <w:rPr>
          <w:rFonts w:hint="eastAsia"/>
          <w:color w:val="auto"/>
          <w:lang w:val="en-US" w:eastAsia="zh-CN"/>
        </w:rPr>
        <w:t>正</w:t>
      </w:r>
      <w:r>
        <w:rPr>
          <w:rFonts w:hint="eastAsia"/>
          <w:color w:val="auto"/>
        </w:rPr>
        <w:t>，自</w:t>
      </w:r>
      <w:r>
        <w:rPr>
          <w:rFonts w:hint="eastAsia"/>
          <w:color w:val="auto"/>
          <w:lang w:val="en-US" w:eastAsia="zh-CN"/>
        </w:rPr>
        <w:t>2002</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1</w:t>
      </w:r>
      <w:r>
        <w:rPr>
          <w:rFonts w:hint="eastAsia"/>
          <w:color w:val="auto"/>
        </w:rPr>
        <w:t>日起施行）</w:t>
      </w:r>
    </w:p>
    <w:p w14:paraId="59589C92">
      <w:pPr>
        <w:bidi w:val="0"/>
        <w:rPr>
          <w:rFonts w:hint="eastAsia"/>
          <w:color w:val="auto"/>
        </w:rPr>
      </w:pPr>
      <w:r>
        <w:rPr>
          <w:rFonts w:hint="eastAsia"/>
          <w:color w:val="auto"/>
        </w:rPr>
        <w:t>5.《中华人民共和国特种设备安全法》（主席令</w:t>
      </w:r>
      <w:r>
        <w:rPr>
          <w:rFonts w:hint="eastAsia"/>
          <w:color w:val="auto"/>
          <w:lang w:eastAsia="zh-CN"/>
        </w:rPr>
        <w:t>〔</w:t>
      </w:r>
      <w:r>
        <w:rPr>
          <w:rFonts w:hint="eastAsia"/>
          <w:color w:val="auto"/>
        </w:rPr>
        <w:t>2013</w:t>
      </w:r>
      <w:r>
        <w:rPr>
          <w:rFonts w:hint="eastAsia"/>
          <w:color w:val="auto"/>
          <w:lang w:eastAsia="zh-CN"/>
        </w:rPr>
        <w:t>〕</w:t>
      </w:r>
      <w:r>
        <w:rPr>
          <w:rFonts w:hint="eastAsia"/>
          <w:color w:val="auto"/>
        </w:rPr>
        <w:t>第4号，自2014年1月1日起施行）</w:t>
      </w:r>
    </w:p>
    <w:p w14:paraId="634D1897">
      <w:pPr>
        <w:bidi w:val="0"/>
        <w:rPr>
          <w:rFonts w:hint="eastAsia"/>
          <w:color w:val="auto"/>
        </w:rPr>
      </w:pPr>
      <w:r>
        <w:rPr>
          <w:rFonts w:hint="eastAsia"/>
          <w:color w:val="auto"/>
        </w:rPr>
        <w:t>6.《中华人民共和国建筑法》（主席令</w:t>
      </w:r>
      <w:r>
        <w:rPr>
          <w:rFonts w:hint="eastAsia"/>
          <w:color w:val="auto"/>
          <w:lang w:eastAsia="zh-CN"/>
        </w:rPr>
        <w:t>〔</w:t>
      </w:r>
      <w:r>
        <w:rPr>
          <w:rFonts w:hint="eastAsia"/>
          <w:color w:val="auto"/>
          <w:lang w:val="en-US" w:eastAsia="zh-CN"/>
        </w:rPr>
        <w:t>1997</w:t>
      </w:r>
      <w:r>
        <w:rPr>
          <w:rFonts w:hint="eastAsia"/>
          <w:color w:val="auto"/>
          <w:lang w:eastAsia="zh-CN"/>
        </w:rPr>
        <w:t>〕</w:t>
      </w:r>
      <w:r>
        <w:rPr>
          <w:rFonts w:hint="eastAsia"/>
          <w:color w:val="auto"/>
        </w:rPr>
        <w:t>第</w:t>
      </w:r>
      <w:r>
        <w:rPr>
          <w:rFonts w:hint="eastAsia"/>
          <w:color w:val="auto"/>
          <w:lang w:val="en-US" w:eastAsia="zh-CN"/>
        </w:rPr>
        <w:t>91</w:t>
      </w:r>
      <w:r>
        <w:rPr>
          <w:rFonts w:hint="eastAsia"/>
          <w:color w:val="auto"/>
        </w:rPr>
        <w:t>号</w:t>
      </w:r>
      <w:r>
        <w:rPr>
          <w:rFonts w:hint="eastAsia"/>
          <w:color w:val="auto"/>
          <w:lang w:eastAsia="zh-CN"/>
        </w:rPr>
        <w:t>，</w:t>
      </w:r>
      <w:r>
        <w:rPr>
          <w:rFonts w:hint="eastAsia"/>
          <w:color w:val="auto"/>
          <w:lang w:val="en-US" w:eastAsia="zh-CN"/>
        </w:rPr>
        <w:t>经</w:t>
      </w:r>
      <w:r>
        <w:rPr>
          <w:rFonts w:hint="eastAsia"/>
          <w:color w:val="auto"/>
        </w:rPr>
        <w:t>主席令</w:t>
      </w:r>
      <w:r>
        <w:rPr>
          <w:rFonts w:hint="eastAsia"/>
          <w:color w:val="auto"/>
          <w:lang w:eastAsia="zh-CN"/>
        </w:rPr>
        <w:t>〔</w:t>
      </w:r>
      <w:r>
        <w:rPr>
          <w:rFonts w:hint="eastAsia"/>
          <w:color w:val="auto"/>
        </w:rPr>
        <w:t>2011</w:t>
      </w:r>
      <w:r>
        <w:rPr>
          <w:rFonts w:hint="eastAsia"/>
          <w:color w:val="auto"/>
          <w:lang w:eastAsia="zh-CN"/>
        </w:rPr>
        <w:t>〕</w:t>
      </w:r>
      <w:r>
        <w:rPr>
          <w:rFonts w:hint="eastAsia"/>
          <w:color w:val="auto"/>
        </w:rPr>
        <w:t>第46号</w:t>
      </w:r>
      <w:r>
        <w:rPr>
          <w:rFonts w:hint="eastAsia"/>
          <w:color w:val="auto"/>
          <w:lang w:eastAsia="zh-CN"/>
        </w:rPr>
        <w:t>、主席令〔201</w:t>
      </w:r>
      <w:r>
        <w:rPr>
          <w:rFonts w:hint="eastAsia"/>
          <w:color w:val="auto"/>
          <w:lang w:val="en-US" w:eastAsia="zh-CN"/>
        </w:rPr>
        <w:t>9</w:t>
      </w:r>
      <w:r>
        <w:rPr>
          <w:rFonts w:hint="eastAsia"/>
          <w:color w:val="auto"/>
          <w:lang w:eastAsia="zh-CN"/>
        </w:rPr>
        <w:t>〕第</w:t>
      </w:r>
      <w:r>
        <w:rPr>
          <w:rFonts w:hint="eastAsia"/>
          <w:color w:val="auto"/>
          <w:lang w:val="en-US" w:eastAsia="zh-CN"/>
        </w:rPr>
        <w:t>29</w:t>
      </w:r>
      <w:r>
        <w:rPr>
          <w:rFonts w:hint="eastAsia"/>
          <w:color w:val="auto"/>
          <w:lang w:eastAsia="zh-CN"/>
        </w:rPr>
        <w:t>号</w:t>
      </w:r>
      <w:r>
        <w:rPr>
          <w:rFonts w:hint="eastAsia"/>
          <w:color w:val="auto"/>
          <w:lang w:val="en-US" w:eastAsia="zh-CN"/>
        </w:rPr>
        <w:t>修正</w:t>
      </w:r>
      <w:r>
        <w:rPr>
          <w:rFonts w:hint="eastAsia"/>
          <w:color w:val="auto"/>
        </w:rPr>
        <w:t>，自</w:t>
      </w:r>
      <w:r>
        <w:rPr>
          <w:rFonts w:hint="eastAsia"/>
          <w:color w:val="auto"/>
          <w:lang w:val="en-US" w:eastAsia="zh-CN"/>
        </w:rPr>
        <w:t>1998</w:t>
      </w:r>
      <w:r>
        <w:rPr>
          <w:rFonts w:hint="eastAsia"/>
          <w:color w:val="auto"/>
        </w:rPr>
        <w:t>年</w:t>
      </w:r>
      <w:r>
        <w:rPr>
          <w:rFonts w:hint="eastAsia"/>
          <w:color w:val="auto"/>
          <w:lang w:val="en-US" w:eastAsia="zh-CN"/>
        </w:rPr>
        <w:t>3</w:t>
      </w:r>
      <w:r>
        <w:rPr>
          <w:rFonts w:hint="eastAsia"/>
          <w:color w:val="auto"/>
        </w:rPr>
        <w:t>月1日起施行）</w:t>
      </w:r>
    </w:p>
    <w:p w14:paraId="3F0EF38C">
      <w:pPr>
        <w:bidi w:val="0"/>
        <w:rPr>
          <w:rFonts w:hint="eastAsia"/>
          <w:color w:val="auto"/>
        </w:rPr>
      </w:pPr>
      <w:r>
        <w:rPr>
          <w:rFonts w:hint="eastAsia"/>
          <w:color w:val="auto"/>
        </w:rPr>
        <w:t>7.《中华人民共和国道路交通安全法》（主席令</w:t>
      </w:r>
      <w:r>
        <w:rPr>
          <w:rFonts w:hint="eastAsia"/>
          <w:color w:val="auto"/>
          <w:lang w:eastAsia="zh-CN"/>
        </w:rPr>
        <w:t>〔</w:t>
      </w:r>
      <w:r>
        <w:rPr>
          <w:rFonts w:hint="eastAsia"/>
          <w:color w:val="auto"/>
        </w:rPr>
        <w:t>2003</w:t>
      </w:r>
      <w:r>
        <w:rPr>
          <w:rFonts w:hint="eastAsia"/>
          <w:color w:val="auto"/>
          <w:lang w:eastAsia="zh-CN"/>
        </w:rPr>
        <w:t>〕</w:t>
      </w:r>
      <w:r>
        <w:rPr>
          <w:rFonts w:hint="eastAsia"/>
          <w:color w:val="auto"/>
        </w:rPr>
        <w:t>第8号，经主席令</w:t>
      </w:r>
      <w:r>
        <w:rPr>
          <w:rFonts w:hint="eastAsia"/>
          <w:color w:val="auto"/>
          <w:lang w:eastAsia="zh-CN"/>
        </w:rPr>
        <w:t>〔</w:t>
      </w:r>
      <w:r>
        <w:rPr>
          <w:rFonts w:hint="eastAsia"/>
          <w:color w:val="auto"/>
        </w:rPr>
        <w:t>2007</w:t>
      </w:r>
      <w:r>
        <w:rPr>
          <w:rFonts w:hint="eastAsia"/>
          <w:color w:val="auto"/>
          <w:lang w:eastAsia="zh-CN"/>
        </w:rPr>
        <w:t>〕</w:t>
      </w:r>
      <w:r>
        <w:rPr>
          <w:rFonts w:hint="eastAsia"/>
          <w:color w:val="auto"/>
        </w:rPr>
        <w:t>第81号、主席令</w:t>
      </w:r>
      <w:r>
        <w:rPr>
          <w:rFonts w:hint="eastAsia"/>
          <w:color w:val="auto"/>
          <w:lang w:eastAsia="zh-CN"/>
        </w:rPr>
        <w:t>〔</w:t>
      </w:r>
      <w:r>
        <w:rPr>
          <w:rFonts w:hint="eastAsia"/>
          <w:color w:val="auto"/>
        </w:rPr>
        <w:t>2011</w:t>
      </w:r>
      <w:r>
        <w:rPr>
          <w:rFonts w:hint="eastAsia"/>
          <w:color w:val="auto"/>
          <w:lang w:eastAsia="zh-CN"/>
        </w:rPr>
        <w:t>〕</w:t>
      </w:r>
      <w:r>
        <w:rPr>
          <w:rFonts w:hint="eastAsia"/>
          <w:color w:val="auto"/>
        </w:rPr>
        <w:t>第47号、主席令</w:t>
      </w:r>
      <w:r>
        <w:rPr>
          <w:rFonts w:hint="eastAsia"/>
          <w:color w:val="auto"/>
          <w:lang w:eastAsia="zh-CN"/>
        </w:rPr>
        <w:t>〔</w:t>
      </w:r>
      <w:r>
        <w:rPr>
          <w:rFonts w:hint="eastAsia"/>
          <w:color w:val="auto"/>
        </w:rPr>
        <w:t>2021</w:t>
      </w:r>
      <w:r>
        <w:rPr>
          <w:rFonts w:hint="eastAsia"/>
          <w:color w:val="auto"/>
          <w:lang w:eastAsia="zh-CN"/>
        </w:rPr>
        <w:t>〕</w:t>
      </w:r>
      <w:r>
        <w:rPr>
          <w:rFonts w:hint="eastAsia"/>
          <w:color w:val="auto"/>
        </w:rPr>
        <w:t>第81号修</w:t>
      </w:r>
      <w:r>
        <w:rPr>
          <w:rFonts w:hint="eastAsia"/>
          <w:color w:val="auto"/>
          <w:lang w:val="en-US" w:eastAsia="zh-CN"/>
        </w:rPr>
        <w:t>正</w:t>
      </w:r>
      <w:r>
        <w:rPr>
          <w:rFonts w:hint="eastAsia"/>
          <w:color w:val="auto"/>
        </w:rPr>
        <w:t>，自20</w:t>
      </w:r>
      <w:r>
        <w:rPr>
          <w:rFonts w:hint="eastAsia"/>
          <w:color w:val="auto"/>
          <w:lang w:val="en-US" w:eastAsia="zh-CN"/>
        </w:rPr>
        <w:t>04</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1</w:t>
      </w:r>
      <w:r>
        <w:rPr>
          <w:rFonts w:hint="eastAsia"/>
          <w:color w:val="auto"/>
        </w:rPr>
        <w:t>日起施行）</w:t>
      </w:r>
    </w:p>
    <w:p w14:paraId="3A629746">
      <w:pPr>
        <w:bidi w:val="0"/>
        <w:rPr>
          <w:rFonts w:hint="eastAsia"/>
          <w:color w:val="auto"/>
        </w:rPr>
      </w:pPr>
      <w:r>
        <w:rPr>
          <w:rFonts w:hint="eastAsia"/>
          <w:color w:val="auto"/>
        </w:rPr>
        <w:t>8.《中华人民共和国突发事件应对法》（主席令</w:t>
      </w:r>
      <w:r>
        <w:rPr>
          <w:rFonts w:hint="eastAsia"/>
          <w:color w:val="auto"/>
          <w:lang w:eastAsia="zh-CN"/>
        </w:rPr>
        <w:t>〔</w:t>
      </w:r>
      <w:r>
        <w:rPr>
          <w:rFonts w:hint="eastAsia"/>
          <w:color w:val="auto"/>
        </w:rPr>
        <w:t>2007</w:t>
      </w:r>
      <w:r>
        <w:rPr>
          <w:rFonts w:hint="eastAsia"/>
          <w:color w:val="auto"/>
          <w:lang w:eastAsia="zh-CN"/>
        </w:rPr>
        <w:t>〕</w:t>
      </w:r>
      <w:r>
        <w:rPr>
          <w:rFonts w:hint="eastAsia"/>
          <w:color w:val="auto"/>
        </w:rPr>
        <w:t>第69号，经主席令</w:t>
      </w:r>
      <w:r>
        <w:rPr>
          <w:rFonts w:hint="eastAsia"/>
          <w:color w:val="auto"/>
          <w:lang w:eastAsia="zh-CN"/>
        </w:rPr>
        <w:t>〔</w:t>
      </w:r>
      <w:r>
        <w:rPr>
          <w:rFonts w:hint="eastAsia"/>
          <w:color w:val="auto"/>
          <w:lang w:val="en-US" w:eastAsia="zh-CN"/>
        </w:rPr>
        <w:t>2024</w:t>
      </w:r>
      <w:r>
        <w:rPr>
          <w:rFonts w:hint="eastAsia"/>
          <w:color w:val="auto"/>
          <w:lang w:eastAsia="zh-CN"/>
        </w:rPr>
        <w:t>〕</w:t>
      </w:r>
      <w:r>
        <w:rPr>
          <w:rFonts w:hint="eastAsia"/>
          <w:color w:val="auto"/>
        </w:rPr>
        <w:t>第</w:t>
      </w:r>
      <w:r>
        <w:rPr>
          <w:rFonts w:hint="eastAsia"/>
          <w:color w:val="auto"/>
          <w:lang w:val="en-US" w:eastAsia="zh-CN"/>
        </w:rPr>
        <w:t>25</w:t>
      </w:r>
      <w:r>
        <w:rPr>
          <w:rFonts w:hint="eastAsia"/>
          <w:color w:val="auto"/>
        </w:rPr>
        <w:t>号</w:t>
      </w:r>
      <w:r>
        <w:rPr>
          <w:rFonts w:hint="eastAsia"/>
          <w:color w:val="auto"/>
          <w:lang w:val="en-US" w:eastAsia="zh-CN"/>
        </w:rPr>
        <w:t>修订，</w:t>
      </w:r>
      <w:r>
        <w:rPr>
          <w:rFonts w:hint="eastAsia"/>
          <w:color w:val="auto"/>
        </w:rPr>
        <w:t>自20</w:t>
      </w:r>
      <w:r>
        <w:rPr>
          <w:rFonts w:hint="eastAsia"/>
          <w:color w:val="auto"/>
          <w:lang w:val="en-US" w:eastAsia="zh-CN"/>
        </w:rPr>
        <w:t>24</w:t>
      </w:r>
      <w:r>
        <w:rPr>
          <w:rFonts w:hint="eastAsia"/>
          <w:color w:val="auto"/>
        </w:rPr>
        <w:t>年11月1日起施行）</w:t>
      </w:r>
    </w:p>
    <w:p w14:paraId="445A4905">
      <w:pPr>
        <w:bidi w:val="0"/>
        <w:rPr>
          <w:rFonts w:hint="eastAsia"/>
          <w:color w:val="auto"/>
          <w:lang w:val="en-US" w:eastAsia="zh-CN"/>
        </w:rPr>
      </w:pPr>
      <w:r>
        <w:rPr>
          <w:rFonts w:hint="eastAsia"/>
          <w:color w:val="auto"/>
          <w:lang w:val="en-US" w:eastAsia="zh-CN"/>
        </w:rPr>
        <w:t>9.《中华人民共和国防洪法》（主席令〔1997〕第88号，经主席令〔2009〕第18号、主席令〔2015〕第23号、主席令〔2016〕第48号修正，自1998年1月1日起施行）</w:t>
      </w:r>
    </w:p>
    <w:p w14:paraId="0FB1BED2">
      <w:pPr>
        <w:bidi w:val="0"/>
        <w:rPr>
          <w:rFonts w:hint="eastAsia"/>
          <w:color w:val="auto"/>
          <w:lang w:val="en-US" w:eastAsia="zh-CN"/>
        </w:rPr>
      </w:pPr>
      <w:r>
        <w:rPr>
          <w:rFonts w:hint="eastAsia"/>
          <w:color w:val="auto"/>
          <w:lang w:val="en-US" w:eastAsia="zh-CN"/>
        </w:rPr>
        <w:t>10.《中华人民共和国气象法》（主席令〔1999〕第23号，经主席令〔2009〕第18号、主席令〔2014〕第14号、主席令〔2016〕第57号修正，自2000年1月1日起施行）</w:t>
      </w:r>
    </w:p>
    <w:p w14:paraId="52AF5F55">
      <w:pPr>
        <w:bidi w:val="0"/>
        <w:rPr>
          <w:rFonts w:hint="eastAsia"/>
          <w:color w:val="auto"/>
          <w:lang w:val="en-US" w:eastAsia="zh-CN"/>
        </w:rPr>
      </w:pPr>
      <w:r>
        <w:rPr>
          <w:rFonts w:hint="eastAsia"/>
          <w:color w:val="auto"/>
          <w:lang w:val="en-US" w:eastAsia="zh-CN"/>
        </w:rPr>
        <w:t>11.《中华人民共和国防震减灾法》（主席令〔1997〕第94号，经主席令〔2008〕第7号修订，自2009年5月1日起施行）</w:t>
      </w:r>
    </w:p>
    <w:p w14:paraId="6FAC35C6">
      <w:pPr>
        <w:bidi w:val="0"/>
        <w:rPr>
          <w:rFonts w:hint="eastAsia"/>
          <w:color w:val="auto"/>
          <w:lang w:val="en-US" w:eastAsia="zh-CN"/>
        </w:rPr>
      </w:pPr>
      <w:r>
        <w:rPr>
          <w:rFonts w:hint="eastAsia"/>
          <w:color w:val="auto"/>
          <w:lang w:val="en-US" w:eastAsia="zh-CN"/>
        </w:rPr>
        <w:t>12.《中华人民共和国水土保持法》（主席令〔1991〕第49号，经主席令〔2009〕第18号修正，经主席令〔2010〕第39号修订，自2011年3月1日起施行）</w:t>
      </w:r>
    </w:p>
    <w:p w14:paraId="7A17BF2B">
      <w:pPr>
        <w:bidi w:val="0"/>
        <w:rPr>
          <w:rFonts w:hint="eastAsia"/>
          <w:color w:val="auto"/>
          <w:lang w:val="en-US" w:eastAsia="zh-CN"/>
        </w:rPr>
      </w:pPr>
      <w:r>
        <w:rPr>
          <w:rFonts w:hint="eastAsia"/>
          <w:color w:val="auto"/>
          <w:lang w:val="en-US" w:eastAsia="zh-CN"/>
        </w:rPr>
        <w:t>13.《中华人民共和国节约能源法》（主席令〔1997〕第90号，经主席令〔2016〕第48号、主席令〔2018〕第16号修正，经主席令〔2007〕第74号修订，自2008年4月1日起施行）</w:t>
      </w:r>
    </w:p>
    <w:p w14:paraId="51C4CD35">
      <w:pPr>
        <w:bidi w:val="0"/>
        <w:rPr>
          <w:rFonts w:hint="eastAsia"/>
          <w:color w:val="auto"/>
          <w:lang w:val="en-US" w:eastAsia="zh-CN"/>
        </w:rPr>
      </w:pPr>
      <w:r>
        <w:rPr>
          <w:rFonts w:hint="eastAsia"/>
          <w:color w:val="auto"/>
          <w:lang w:val="en-US" w:eastAsia="zh-CN"/>
        </w:rPr>
        <w:t>14.《中华人民共和国环境保护法》（主席令〔1989〕第22号，经主席令〔2014〕第9号修订，自2015年1月1日起施行）</w:t>
      </w:r>
    </w:p>
    <w:p w14:paraId="7DC47D7D">
      <w:pPr>
        <w:bidi w:val="0"/>
        <w:rPr>
          <w:rFonts w:hint="eastAsia"/>
          <w:color w:val="auto"/>
          <w:lang w:val="en-US" w:eastAsia="zh-CN"/>
        </w:rPr>
      </w:pPr>
      <w:r>
        <w:rPr>
          <w:rFonts w:hint="eastAsia"/>
          <w:color w:val="auto"/>
          <w:lang w:val="en-US" w:eastAsia="zh-CN"/>
        </w:rPr>
        <w:t>15.《中华人民共和国大气污染防治法》（主席令〔1987〕第57号，经主席令〔1995〕第54号、主席令〔2000〕第32号、主席令〔2018〕第16号修正，经主席令〔2015〕第31号修订，自2016年1月1日起施行）</w:t>
      </w:r>
    </w:p>
    <w:p w14:paraId="655BCB8C">
      <w:pPr>
        <w:bidi w:val="0"/>
        <w:rPr>
          <w:rFonts w:hint="eastAsia"/>
          <w:color w:val="auto"/>
          <w:lang w:val="en-US" w:eastAsia="zh-CN"/>
        </w:rPr>
      </w:pPr>
      <w:r>
        <w:rPr>
          <w:rFonts w:hint="eastAsia"/>
          <w:color w:val="auto"/>
          <w:lang w:val="en-US" w:eastAsia="zh-CN"/>
        </w:rPr>
        <w:t>16.《中华人民共和国清洁生产促进法》（主席令〔2002〕第70号，经主席令〔2012〕第54号修正，自2003年1月1日起施行）</w:t>
      </w:r>
    </w:p>
    <w:p w14:paraId="51677C2A">
      <w:pPr>
        <w:bidi w:val="0"/>
        <w:rPr>
          <w:rFonts w:hint="eastAsia"/>
          <w:color w:val="auto"/>
          <w:lang w:val="en-US" w:eastAsia="zh-CN"/>
        </w:rPr>
      </w:pPr>
      <w:r>
        <w:rPr>
          <w:rFonts w:hint="eastAsia"/>
          <w:color w:val="auto"/>
          <w:lang w:val="en-US" w:eastAsia="zh-CN"/>
        </w:rPr>
        <w:t>17.《中华人民共和国电力法》（主席令〔1995〕第60号，经主席令〔2009〕第18号、主席令〔2015〕第24号、主席令〔2018〕第23号修正，自1996年4月1日起施行）</w:t>
      </w:r>
    </w:p>
    <w:p w14:paraId="76755B01">
      <w:pPr>
        <w:bidi w:val="0"/>
        <w:rPr>
          <w:rFonts w:hint="eastAsia"/>
          <w:color w:val="auto"/>
          <w:lang w:val="en-US" w:eastAsia="zh-CN"/>
        </w:rPr>
      </w:pPr>
      <w:r>
        <w:rPr>
          <w:rFonts w:hint="eastAsia"/>
          <w:color w:val="auto"/>
          <w:lang w:val="en-US" w:eastAsia="zh-CN"/>
        </w:rPr>
        <w:t>18.《中华人民共和国固体废物污染环境防治法》（主席令〔1995〕第60号，经主席令〔2004〕第31号、主席令〔2013〕第5号、主席令〔2015〕第31号、主席令〔2016〕第57号修正，经主席令〔2020〕第43号修订，自2020年9月1日起施行）</w:t>
      </w:r>
    </w:p>
    <w:p w14:paraId="4C3F4144">
      <w:pPr>
        <w:pStyle w:val="4"/>
        <w:bidi w:val="0"/>
        <w:rPr>
          <w:rFonts w:hint="default" w:ascii="Times New Roman" w:hAnsi="Times New Roman" w:eastAsia="宋体"/>
          <w:color w:val="auto"/>
          <w:lang w:val="en-US" w:eastAsia="zh-CN"/>
        </w:rPr>
      </w:pPr>
      <w:bookmarkStart w:id="7" w:name="_Toc3155"/>
      <w:r>
        <w:rPr>
          <w:rFonts w:hint="eastAsia" w:ascii="Times New Roman" w:hAnsi="Times New Roman"/>
          <w:color w:val="auto"/>
          <w:lang w:val="en-US" w:eastAsia="zh-CN"/>
        </w:rPr>
        <w:t>1.2.2行政法规</w:t>
      </w:r>
      <w:bookmarkEnd w:id="7"/>
    </w:p>
    <w:p w14:paraId="76CB6033">
      <w:pPr>
        <w:bidi w:val="0"/>
        <w:rPr>
          <w:rFonts w:hint="eastAsia"/>
          <w:color w:val="auto"/>
        </w:rPr>
      </w:pPr>
      <w:r>
        <w:rPr>
          <w:rFonts w:hint="eastAsia"/>
          <w:color w:val="auto"/>
          <w:lang w:val="en-US" w:eastAsia="zh-CN"/>
        </w:rPr>
        <w:t>1</w:t>
      </w:r>
      <w:r>
        <w:rPr>
          <w:rFonts w:hint="eastAsia"/>
          <w:color w:val="auto"/>
        </w:rPr>
        <w:t>.《危险化学品安全管理条例》（国务院令</w:t>
      </w:r>
      <w:r>
        <w:rPr>
          <w:rFonts w:hint="eastAsia"/>
          <w:color w:val="auto"/>
          <w:lang w:eastAsia="zh-CN"/>
        </w:rPr>
        <w:t>〔</w:t>
      </w:r>
      <w:r>
        <w:rPr>
          <w:rFonts w:hint="eastAsia"/>
          <w:color w:val="auto"/>
          <w:lang w:val="en-US" w:eastAsia="zh-CN"/>
        </w:rPr>
        <w:t>2002</w:t>
      </w:r>
      <w:r>
        <w:rPr>
          <w:rFonts w:hint="eastAsia"/>
          <w:color w:val="auto"/>
          <w:lang w:eastAsia="zh-CN"/>
        </w:rPr>
        <w:t>〕</w:t>
      </w:r>
      <w:r>
        <w:rPr>
          <w:rFonts w:hint="eastAsia"/>
          <w:color w:val="auto"/>
        </w:rPr>
        <w:t>第344号，经国务院令</w:t>
      </w:r>
      <w:r>
        <w:rPr>
          <w:rFonts w:hint="eastAsia"/>
          <w:color w:val="auto"/>
          <w:lang w:eastAsia="zh-CN"/>
        </w:rPr>
        <w:t>〔</w:t>
      </w:r>
      <w:r>
        <w:rPr>
          <w:rFonts w:hint="eastAsia"/>
          <w:color w:val="auto"/>
          <w:lang w:val="en-US" w:eastAsia="zh-CN"/>
        </w:rPr>
        <w:t>2011</w:t>
      </w:r>
      <w:r>
        <w:rPr>
          <w:rFonts w:hint="eastAsia"/>
          <w:color w:val="auto"/>
          <w:lang w:eastAsia="zh-CN"/>
        </w:rPr>
        <w:t>〕</w:t>
      </w:r>
      <w:r>
        <w:rPr>
          <w:rFonts w:hint="eastAsia"/>
          <w:color w:val="auto"/>
        </w:rPr>
        <w:t>第591号</w:t>
      </w:r>
      <w:r>
        <w:rPr>
          <w:rFonts w:hint="eastAsia"/>
          <w:color w:val="auto"/>
          <w:lang w:val="en-US" w:eastAsia="zh-CN"/>
        </w:rPr>
        <w:t>修订</w:t>
      </w:r>
      <w:r>
        <w:rPr>
          <w:rFonts w:hint="eastAsia"/>
          <w:color w:val="auto"/>
        </w:rPr>
        <w:t>、</w:t>
      </w:r>
      <w:r>
        <w:rPr>
          <w:rFonts w:hint="eastAsia"/>
          <w:color w:val="auto"/>
          <w:lang w:val="en-US" w:eastAsia="zh-CN"/>
        </w:rPr>
        <w:t>经国务院令</w:t>
      </w:r>
      <w:r>
        <w:rPr>
          <w:rFonts w:hint="eastAsia"/>
          <w:color w:val="auto"/>
          <w:lang w:eastAsia="zh-CN"/>
        </w:rPr>
        <w:t>〔</w:t>
      </w:r>
      <w:r>
        <w:rPr>
          <w:rFonts w:hint="eastAsia"/>
          <w:color w:val="auto"/>
          <w:lang w:val="en-US" w:eastAsia="zh-CN"/>
        </w:rPr>
        <w:t>2013</w:t>
      </w:r>
      <w:r>
        <w:rPr>
          <w:rFonts w:hint="eastAsia"/>
          <w:color w:val="auto"/>
          <w:lang w:eastAsia="zh-CN"/>
        </w:rPr>
        <w:t>〕</w:t>
      </w:r>
      <w:r>
        <w:rPr>
          <w:rFonts w:hint="eastAsia"/>
          <w:color w:val="auto"/>
        </w:rPr>
        <w:t>第645号修</w:t>
      </w:r>
      <w:r>
        <w:rPr>
          <w:rFonts w:hint="eastAsia"/>
          <w:color w:val="auto"/>
          <w:lang w:val="en-US" w:eastAsia="zh-CN"/>
        </w:rPr>
        <w:t>正</w:t>
      </w:r>
      <w:r>
        <w:rPr>
          <w:rFonts w:hint="eastAsia"/>
          <w:color w:val="auto"/>
        </w:rPr>
        <w:t>，自201</w:t>
      </w:r>
      <w:r>
        <w:rPr>
          <w:rFonts w:hint="eastAsia"/>
          <w:color w:val="auto"/>
          <w:lang w:val="en-US" w:eastAsia="zh-CN"/>
        </w:rPr>
        <w:t>1</w:t>
      </w:r>
      <w:r>
        <w:rPr>
          <w:rFonts w:hint="eastAsia"/>
          <w:color w:val="auto"/>
        </w:rPr>
        <w:t>年12月</w:t>
      </w:r>
      <w:r>
        <w:rPr>
          <w:rFonts w:hint="eastAsia"/>
          <w:color w:val="auto"/>
          <w:lang w:val="en-US" w:eastAsia="zh-CN"/>
        </w:rPr>
        <w:t>1</w:t>
      </w:r>
      <w:r>
        <w:rPr>
          <w:rFonts w:hint="eastAsia"/>
          <w:color w:val="auto"/>
        </w:rPr>
        <w:t>日起实施）</w:t>
      </w:r>
    </w:p>
    <w:p w14:paraId="23085E9D">
      <w:pPr>
        <w:bidi w:val="0"/>
        <w:rPr>
          <w:rFonts w:hint="eastAsia"/>
          <w:color w:val="auto"/>
        </w:rPr>
      </w:pPr>
      <w:r>
        <w:rPr>
          <w:rFonts w:hint="eastAsia"/>
          <w:color w:val="auto"/>
          <w:lang w:val="en-US" w:eastAsia="zh-CN"/>
        </w:rPr>
        <w:t>2</w:t>
      </w:r>
      <w:r>
        <w:rPr>
          <w:rFonts w:hint="eastAsia"/>
          <w:color w:val="auto"/>
        </w:rPr>
        <w:t>.《工伤保险条例》（国务院令</w:t>
      </w:r>
      <w:r>
        <w:rPr>
          <w:rFonts w:hint="eastAsia"/>
          <w:color w:val="auto"/>
          <w:lang w:eastAsia="zh-CN"/>
        </w:rPr>
        <w:t>〔</w:t>
      </w:r>
      <w:r>
        <w:rPr>
          <w:rFonts w:hint="eastAsia"/>
          <w:color w:val="auto"/>
        </w:rPr>
        <w:t>20</w:t>
      </w:r>
      <w:r>
        <w:rPr>
          <w:rFonts w:hint="eastAsia"/>
          <w:color w:val="auto"/>
          <w:lang w:val="en-US" w:eastAsia="zh-CN"/>
        </w:rPr>
        <w:t>03</w:t>
      </w:r>
      <w:r>
        <w:rPr>
          <w:rFonts w:hint="eastAsia"/>
          <w:color w:val="auto"/>
          <w:lang w:eastAsia="zh-CN"/>
        </w:rPr>
        <w:t>〕</w:t>
      </w:r>
      <w:r>
        <w:rPr>
          <w:rFonts w:hint="eastAsia"/>
          <w:color w:val="auto"/>
        </w:rPr>
        <w:t>第375号，经国务院令</w:t>
      </w:r>
      <w:r>
        <w:rPr>
          <w:rFonts w:hint="eastAsia"/>
          <w:color w:val="auto"/>
          <w:lang w:eastAsia="zh-CN"/>
        </w:rPr>
        <w:t>〔</w:t>
      </w:r>
      <w:r>
        <w:rPr>
          <w:rFonts w:hint="eastAsia"/>
          <w:color w:val="auto"/>
        </w:rPr>
        <w:t>2010</w:t>
      </w:r>
      <w:r>
        <w:rPr>
          <w:rFonts w:hint="eastAsia"/>
          <w:color w:val="auto"/>
          <w:lang w:eastAsia="zh-CN"/>
        </w:rPr>
        <w:t>〕</w:t>
      </w:r>
      <w:r>
        <w:rPr>
          <w:rFonts w:hint="eastAsia"/>
          <w:color w:val="auto"/>
        </w:rPr>
        <w:t>第586号修</w:t>
      </w:r>
      <w:r>
        <w:rPr>
          <w:rFonts w:hint="eastAsia"/>
          <w:color w:val="auto"/>
          <w:lang w:val="en-US" w:eastAsia="zh-CN"/>
        </w:rPr>
        <w:t>正</w:t>
      </w:r>
      <w:r>
        <w:rPr>
          <w:rFonts w:hint="eastAsia"/>
          <w:color w:val="auto"/>
        </w:rPr>
        <w:t>，自20</w:t>
      </w:r>
      <w:r>
        <w:rPr>
          <w:rFonts w:hint="eastAsia"/>
          <w:color w:val="auto"/>
          <w:lang w:val="en-US" w:eastAsia="zh-CN"/>
        </w:rPr>
        <w:t>04</w:t>
      </w:r>
      <w:r>
        <w:rPr>
          <w:rFonts w:hint="eastAsia"/>
          <w:color w:val="auto"/>
        </w:rPr>
        <w:t>年1月1日起施行）</w:t>
      </w:r>
    </w:p>
    <w:p w14:paraId="5D68A0BC">
      <w:pPr>
        <w:bidi w:val="0"/>
        <w:rPr>
          <w:rFonts w:hint="eastAsia"/>
          <w:color w:val="auto"/>
        </w:rPr>
      </w:pPr>
      <w:r>
        <w:rPr>
          <w:rFonts w:hint="eastAsia"/>
          <w:color w:val="auto"/>
          <w:lang w:val="en-US" w:eastAsia="zh-CN"/>
        </w:rPr>
        <w:t>3.</w:t>
      </w:r>
      <w:r>
        <w:rPr>
          <w:rFonts w:hint="eastAsia"/>
          <w:color w:val="auto"/>
        </w:rPr>
        <w:t>《劳动保障监察条例》（国务院令</w:t>
      </w:r>
      <w:r>
        <w:rPr>
          <w:rFonts w:hint="eastAsia"/>
          <w:color w:val="auto"/>
          <w:lang w:eastAsia="zh-CN"/>
        </w:rPr>
        <w:t>〔</w:t>
      </w:r>
      <w:r>
        <w:rPr>
          <w:rFonts w:hint="eastAsia"/>
          <w:color w:val="auto"/>
          <w:lang w:val="en-US" w:eastAsia="zh-CN"/>
        </w:rPr>
        <w:t>2004</w:t>
      </w:r>
      <w:r>
        <w:rPr>
          <w:rFonts w:hint="eastAsia"/>
          <w:color w:val="auto"/>
          <w:lang w:eastAsia="zh-CN"/>
        </w:rPr>
        <w:t>〕</w:t>
      </w:r>
      <w:r>
        <w:rPr>
          <w:rFonts w:hint="eastAsia"/>
          <w:color w:val="auto"/>
        </w:rPr>
        <w:t>第423号，自2004年12月1日起施行）</w:t>
      </w:r>
    </w:p>
    <w:p w14:paraId="31CEA603">
      <w:pPr>
        <w:bidi w:val="0"/>
        <w:rPr>
          <w:rFonts w:hint="eastAsia"/>
          <w:color w:val="auto"/>
        </w:rPr>
      </w:pPr>
      <w:r>
        <w:rPr>
          <w:rFonts w:hint="eastAsia"/>
          <w:color w:val="auto"/>
          <w:lang w:val="en-US" w:eastAsia="zh-CN"/>
        </w:rPr>
        <w:t>4.</w:t>
      </w:r>
      <w:r>
        <w:rPr>
          <w:rFonts w:hint="eastAsia"/>
          <w:color w:val="auto"/>
        </w:rPr>
        <w:t>《特种设备安全监察条例》（国务院令</w:t>
      </w:r>
      <w:r>
        <w:rPr>
          <w:rFonts w:hint="eastAsia"/>
          <w:color w:val="auto"/>
          <w:lang w:eastAsia="zh-CN"/>
        </w:rPr>
        <w:t>〔</w:t>
      </w:r>
      <w:r>
        <w:rPr>
          <w:rFonts w:hint="eastAsia"/>
          <w:color w:val="auto"/>
        </w:rPr>
        <w:t>2003</w:t>
      </w:r>
      <w:r>
        <w:rPr>
          <w:rFonts w:hint="eastAsia"/>
          <w:color w:val="auto"/>
          <w:lang w:eastAsia="zh-CN"/>
        </w:rPr>
        <w:t>〕</w:t>
      </w:r>
      <w:r>
        <w:rPr>
          <w:rFonts w:hint="eastAsia"/>
          <w:color w:val="auto"/>
        </w:rPr>
        <w:t>第37</w:t>
      </w:r>
      <w:r>
        <w:rPr>
          <w:rFonts w:hint="eastAsia"/>
          <w:color w:val="auto"/>
          <w:lang w:val="en-US" w:eastAsia="zh-CN"/>
        </w:rPr>
        <w:t>3</w:t>
      </w:r>
      <w:r>
        <w:rPr>
          <w:rFonts w:hint="eastAsia"/>
          <w:color w:val="auto"/>
        </w:rPr>
        <w:t>号</w:t>
      </w:r>
      <w:r>
        <w:rPr>
          <w:rFonts w:hint="eastAsia"/>
          <w:color w:val="auto"/>
          <w:lang w:eastAsia="zh-CN"/>
        </w:rPr>
        <w:t>，</w:t>
      </w:r>
      <w:r>
        <w:rPr>
          <w:rFonts w:hint="eastAsia"/>
          <w:color w:val="auto"/>
          <w:lang w:val="en-US" w:eastAsia="zh-CN"/>
        </w:rPr>
        <w:t>经</w:t>
      </w:r>
      <w:r>
        <w:rPr>
          <w:rFonts w:hint="eastAsia"/>
          <w:color w:val="auto"/>
        </w:rPr>
        <w:t>国务院令</w:t>
      </w:r>
      <w:r>
        <w:rPr>
          <w:rFonts w:hint="eastAsia"/>
          <w:color w:val="auto"/>
          <w:lang w:eastAsia="zh-CN"/>
        </w:rPr>
        <w:t>〔</w:t>
      </w:r>
      <w:r>
        <w:rPr>
          <w:rFonts w:hint="eastAsia"/>
          <w:color w:val="auto"/>
        </w:rPr>
        <w:t>2009</w:t>
      </w:r>
      <w:r>
        <w:rPr>
          <w:rFonts w:hint="eastAsia"/>
          <w:color w:val="auto"/>
          <w:lang w:eastAsia="zh-CN"/>
        </w:rPr>
        <w:t>〕</w:t>
      </w:r>
      <w:r>
        <w:rPr>
          <w:rFonts w:hint="eastAsia"/>
          <w:color w:val="auto"/>
        </w:rPr>
        <w:t>第549号</w:t>
      </w:r>
      <w:r>
        <w:rPr>
          <w:rFonts w:hint="eastAsia"/>
          <w:color w:val="auto"/>
          <w:lang w:val="en-US" w:eastAsia="zh-CN"/>
        </w:rPr>
        <w:t>修正</w:t>
      </w:r>
      <w:r>
        <w:rPr>
          <w:rFonts w:hint="eastAsia"/>
          <w:color w:val="auto"/>
          <w:lang w:eastAsia="zh-CN"/>
        </w:rPr>
        <w:t>，</w:t>
      </w:r>
      <w:r>
        <w:rPr>
          <w:rFonts w:hint="eastAsia"/>
          <w:color w:val="auto"/>
          <w:lang w:val="en-US" w:eastAsia="zh-CN"/>
        </w:rPr>
        <w:t>自</w:t>
      </w:r>
      <w:r>
        <w:rPr>
          <w:rFonts w:hint="eastAsia"/>
          <w:color w:val="auto"/>
          <w:lang w:eastAsia="zh-CN"/>
        </w:rPr>
        <w:t>2003年6月1日起施行</w:t>
      </w:r>
      <w:r>
        <w:rPr>
          <w:rFonts w:hint="eastAsia"/>
          <w:color w:val="auto"/>
        </w:rPr>
        <w:t>）</w:t>
      </w:r>
    </w:p>
    <w:p w14:paraId="0264FB88">
      <w:pPr>
        <w:bidi w:val="0"/>
        <w:rPr>
          <w:rFonts w:hint="eastAsia"/>
          <w:color w:val="auto"/>
        </w:rPr>
      </w:pPr>
      <w:r>
        <w:rPr>
          <w:rFonts w:hint="eastAsia"/>
          <w:color w:val="auto"/>
          <w:lang w:val="en-US" w:eastAsia="zh-CN"/>
        </w:rPr>
        <w:t>5</w:t>
      </w:r>
      <w:r>
        <w:rPr>
          <w:rFonts w:hint="eastAsia"/>
          <w:color w:val="auto"/>
        </w:rPr>
        <w:t>.《易制毒化学品管理条例》（国务院令</w:t>
      </w:r>
      <w:r>
        <w:rPr>
          <w:rFonts w:hint="eastAsia"/>
          <w:color w:val="auto"/>
          <w:lang w:eastAsia="zh-CN"/>
        </w:rPr>
        <w:t>〔</w:t>
      </w:r>
      <w:r>
        <w:rPr>
          <w:rFonts w:hint="eastAsia"/>
          <w:color w:val="auto"/>
        </w:rPr>
        <w:t>2005</w:t>
      </w:r>
      <w:r>
        <w:rPr>
          <w:rFonts w:hint="eastAsia"/>
          <w:color w:val="auto"/>
          <w:lang w:eastAsia="zh-CN"/>
        </w:rPr>
        <w:t>〕</w:t>
      </w:r>
      <w:r>
        <w:rPr>
          <w:rFonts w:hint="eastAsia"/>
          <w:color w:val="auto"/>
        </w:rPr>
        <w:t>第445号，经</w:t>
      </w:r>
      <w:r>
        <w:rPr>
          <w:rFonts w:hint="eastAsia"/>
          <w:color w:val="auto"/>
          <w:lang w:val="en-US" w:eastAsia="zh-CN"/>
        </w:rPr>
        <w:t>国务院令</w:t>
      </w:r>
      <w:r>
        <w:rPr>
          <w:rFonts w:hint="eastAsia"/>
          <w:color w:val="auto"/>
          <w:lang w:eastAsia="zh-CN"/>
        </w:rPr>
        <w:t>〔</w:t>
      </w:r>
      <w:r>
        <w:rPr>
          <w:rFonts w:hint="eastAsia"/>
          <w:color w:val="auto"/>
        </w:rPr>
        <w:t>2014</w:t>
      </w:r>
      <w:r>
        <w:rPr>
          <w:rFonts w:hint="eastAsia"/>
          <w:color w:val="auto"/>
          <w:lang w:eastAsia="zh-CN"/>
        </w:rPr>
        <w:t>〕</w:t>
      </w:r>
      <w:r>
        <w:rPr>
          <w:rFonts w:hint="eastAsia"/>
          <w:color w:val="auto"/>
        </w:rPr>
        <w:t>第653号、</w:t>
      </w:r>
      <w:r>
        <w:rPr>
          <w:rFonts w:hint="eastAsia"/>
          <w:color w:val="auto"/>
          <w:lang w:val="en-US" w:eastAsia="zh-CN"/>
        </w:rPr>
        <w:t>国务院令</w:t>
      </w:r>
      <w:r>
        <w:rPr>
          <w:rFonts w:hint="eastAsia"/>
          <w:color w:val="auto"/>
          <w:lang w:eastAsia="zh-CN"/>
        </w:rPr>
        <w:t>〔</w:t>
      </w:r>
      <w:r>
        <w:rPr>
          <w:rFonts w:hint="eastAsia"/>
          <w:color w:val="auto"/>
        </w:rPr>
        <w:t>2016</w:t>
      </w:r>
      <w:r>
        <w:rPr>
          <w:rFonts w:hint="eastAsia"/>
          <w:color w:val="auto"/>
          <w:lang w:eastAsia="zh-CN"/>
        </w:rPr>
        <w:t>〕</w:t>
      </w:r>
      <w:r>
        <w:rPr>
          <w:rFonts w:hint="eastAsia"/>
          <w:color w:val="auto"/>
        </w:rPr>
        <w:t>第666号、</w:t>
      </w:r>
      <w:r>
        <w:rPr>
          <w:rFonts w:hint="eastAsia"/>
          <w:color w:val="auto"/>
          <w:lang w:val="en-US" w:eastAsia="zh-CN"/>
        </w:rPr>
        <w:t>国务院令</w:t>
      </w:r>
      <w:r>
        <w:rPr>
          <w:rFonts w:hint="eastAsia"/>
          <w:color w:val="auto"/>
          <w:lang w:eastAsia="zh-CN"/>
        </w:rPr>
        <w:t>〔</w:t>
      </w:r>
      <w:r>
        <w:rPr>
          <w:rFonts w:hint="eastAsia"/>
          <w:color w:val="auto"/>
        </w:rPr>
        <w:t>2018</w:t>
      </w:r>
      <w:r>
        <w:rPr>
          <w:rFonts w:hint="eastAsia"/>
          <w:color w:val="auto"/>
          <w:lang w:eastAsia="zh-CN"/>
        </w:rPr>
        <w:t>〕</w:t>
      </w:r>
      <w:r>
        <w:rPr>
          <w:rFonts w:hint="eastAsia"/>
          <w:color w:val="auto"/>
        </w:rPr>
        <w:t>第703号修</w:t>
      </w:r>
      <w:r>
        <w:rPr>
          <w:rFonts w:hint="eastAsia"/>
          <w:color w:val="auto"/>
          <w:lang w:val="en-US" w:eastAsia="zh-CN"/>
        </w:rPr>
        <w:t>正</w:t>
      </w:r>
      <w:r>
        <w:rPr>
          <w:rFonts w:hint="eastAsia"/>
          <w:color w:val="auto"/>
        </w:rPr>
        <w:t>，自20</w:t>
      </w:r>
      <w:r>
        <w:rPr>
          <w:rFonts w:hint="eastAsia"/>
          <w:color w:val="auto"/>
          <w:lang w:val="en-US" w:eastAsia="zh-CN"/>
        </w:rPr>
        <w:t>05</w:t>
      </w:r>
      <w:r>
        <w:rPr>
          <w:rFonts w:hint="eastAsia"/>
          <w:color w:val="auto"/>
        </w:rPr>
        <w:t>年</w:t>
      </w:r>
      <w:r>
        <w:rPr>
          <w:rFonts w:hint="eastAsia"/>
          <w:color w:val="auto"/>
          <w:lang w:val="en-US" w:eastAsia="zh-CN"/>
        </w:rPr>
        <w:t>11</w:t>
      </w:r>
      <w:r>
        <w:rPr>
          <w:rFonts w:hint="eastAsia"/>
          <w:color w:val="auto"/>
        </w:rPr>
        <w:t>月1日起施行）</w:t>
      </w:r>
    </w:p>
    <w:p w14:paraId="11CCE962">
      <w:pPr>
        <w:bidi w:val="0"/>
        <w:rPr>
          <w:rFonts w:hint="eastAsia"/>
          <w:color w:val="auto"/>
        </w:rPr>
      </w:pPr>
      <w:r>
        <w:rPr>
          <w:rFonts w:hint="eastAsia"/>
          <w:color w:val="auto"/>
          <w:lang w:val="en-US" w:eastAsia="zh-CN"/>
        </w:rPr>
        <w:t>6</w:t>
      </w:r>
      <w:r>
        <w:rPr>
          <w:rFonts w:hint="eastAsia"/>
          <w:color w:val="auto"/>
        </w:rPr>
        <w:t>.《公路安全保护条例》（国务院令</w:t>
      </w:r>
      <w:r>
        <w:rPr>
          <w:rFonts w:hint="eastAsia"/>
          <w:color w:val="auto"/>
          <w:lang w:eastAsia="zh-CN"/>
        </w:rPr>
        <w:t>〔</w:t>
      </w:r>
      <w:r>
        <w:rPr>
          <w:rFonts w:hint="eastAsia"/>
          <w:color w:val="auto"/>
        </w:rPr>
        <w:t>2011</w:t>
      </w:r>
      <w:r>
        <w:rPr>
          <w:rFonts w:hint="eastAsia"/>
          <w:color w:val="auto"/>
          <w:lang w:eastAsia="zh-CN"/>
        </w:rPr>
        <w:t>〕</w:t>
      </w:r>
      <w:r>
        <w:rPr>
          <w:rFonts w:hint="eastAsia"/>
          <w:color w:val="auto"/>
        </w:rPr>
        <w:t>第593号，自2011年7月1日起实施）</w:t>
      </w:r>
    </w:p>
    <w:p w14:paraId="7ED09FEF">
      <w:pPr>
        <w:bidi w:val="0"/>
        <w:rPr>
          <w:rFonts w:hint="eastAsia"/>
          <w:color w:val="auto"/>
        </w:rPr>
      </w:pPr>
      <w:r>
        <w:rPr>
          <w:rFonts w:hint="eastAsia"/>
          <w:color w:val="auto"/>
          <w:lang w:val="en-US" w:eastAsia="zh-CN"/>
        </w:rPr>
        <w:t>7.</w:t>
      </w:r>
      <w:r>
        <w:rPr>
          <w:rFonts w:hint="eastAsia"/>
          <w:color w:val="auto"/>
        </w:rPr>
        <w:t>《建设工程质量管理条例》（国务院令</w:t>
      </w:r>
      <w:r>
        <w:rPr>
          <w:rFonts w:hint="eastAsia"/>
          <w:color w:val="auto"/>
          <w:lang w:eastAsia="zh-CN"/>
        </w:rPr>
        <w:t>〔</w:t>
      </w:r>
      <w:r>
        <w:rPr>
          <w:rFonts w:hint="eastAsia"/>
          <w:color w:val="auto"/>
        </w:rPr>
        <w:t>2000</w:t>
      </w:r>
      <w:r>
        <w:rPr>
          <w:rFonts w:hint="eastAsia"/>
          <w:color w:val="auto"/>
          <w:lang w:eastAsia="zh-CN"/>
        </w:rPr>
        <w:t>〕</w:t>
      </w:r>
      <w:r>
        <w:rPr>
          <w:rFonts w:hint="eastAsia"/>
          <w:color w:val="auto"/>
        </w:rPr>
        <w:t>第279号，经</w:t>
      </w:r>
      <w:r>
        <w:rPr>
          <w:rFonts w:hint="eastAsia"/>
          <w:color w:val="auto"/>
          <w:lang w:val="en-US" w:eastAsia="zh-CN"/>
        </w:rPr>
        <w:t>国务院令</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第687号、</w:t>
      </w:r>
      <w:r>
        <w:rPr>
          <w:rFonts w:hint="eastAsia"/>
          <w:color w:val="auto"/>
          <w:lang w:val="en-US" w:eastAsia="zh-CN"/>
        </w:rPr>
        <w:t>国务院令</w:t>
      </w:r>
      <w:r>
        <w:rPr>
          <w:rFonts w:hint="eastAsia"/>
          <w:color w:val="auto"/>
          <w:lang w:eastAsia="zh-CN"/>
        </w:rPr>
        <w:t>〔</w:t>
      </w:r>
      <w:r>
        <w:rPr>
          <w:rFonts w:hint="eastAsia"/>
          <w:color w:val="auto"/>
        </w:rPr>
        <w:t>2019</w:t>
      </w:r>
      <w:r>
        <w:rPr>
          <w:rFonts w:hint="eastAsia"/>
          <w:color w:val="auto"/>
          <w:lang w:eastAsia="zh-CN"/>
        </w:rPr>
        <w:t>〕</w:t>
      </w:r>
      <w:r>
        <w:rPr>
          <w:rFonts w:hint="eastAsia"/>
          <w:color w:val="auto"/>
        </w:rPr>
        <w:t>第714号修</w:t>
      </w:r>
      <w:r>
        <w:rPr>
          <w:rFonts w:hint="eastAsia"/>
          <w:color w:val="auto"/>
          <w:lang w:val="en-US" w:eastAsia="zh-CN"/>
        </w:rPr>
        <w:t>正</w:t>
      </w:r>
      <w:r>
        <w:rPr>
          <w:rFonts w:hint="eastAsia"/>
          <w:color w:val="auto"/>
        </w:rPr>
        <w:t>，自20</w:t>
      </w:r>
      <w:r>
        <w:rPr>
          <w:rFonts w:hint="eastAsia"/>
          <w:color w:val="auto"/>
          <w:lang w:val="en-US" w:eastAsia="zh-CN"/>
        </w:rPr>
        <w:t>00</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30</w:t>
      </w:r>
      <w:r>
        <w:rPr>
          <w:rFonts w:hint="eastAsia"/>
          <w:color w:val="auto"/>
        </w:rPr>
        <w:t>日起施行）</w:t>
      </w:r>
    </w:p>
    <w:p w14:paraId="0D655DC1">
      <w:pPr>
        <w:bidi w:val="0"/>
        <w:rPr>
          <w:rFonts w:hint="eastAsia"/>
          <w:color w:val="auto"/>
        </w:rPr>
      </w:pPr>
      <w:r>
        <w:rPr>
          <w:rFonts w:hint="eastAsia"/>
          <w:color w:val="auto"/>
          <w:lang w:val="en-US" w:eastAsia="zh-CN"/>
        </w:rPr>
        <w:t>8.</w:t>
      </w:r>
      <w:r>
        <w:rPr>
          <w:rFonts w:hint="eastAsia"/>
          <w:color w:val="auto"/>
        </w:rPr>
        <w:t>《建设工程安全生产管理条例》（国务院令</w:t>
      </w:r>
      <w:r>
        <w:rPr>
          <w:rFonts w:hint="eastAsia"/>
          <w:color w:val="auto"/>
          <w:lang w:eastAsia="zh-CN"/>
        </w:rPr>
        <w:t>〔</w:t>
      </w:r>
      <w:r>
        <w:rPr>
          <w:rFonts w:hint="eastAsia"/>
          <w:color w:val="auto"/>
        </w:rPr>
        <w:t>2003</w:t>
      </w:r>
      <w:r>
        <w:rPr>
          <w:rFonts w:hint="eastAsia"/>
          <w:color w:val="auto"/>
          <w:lang w:eastAsia="zh-CN"/>
        </w:rPr>
        <w:t>〕</w:t>
      </w:r>
      <w:r>
        <w:rPr>
          <w:rFonts w:hint="eastAsia"/>
          <w:color w:val="auto"/>
        </w:rPr>
        <w:t>第393号，自2004年2月1日起施行）</w:t>
      </w:r>
    </w:p>
    <w:p w14:paraId="2750C907">
      <w:pPr>
        <w:bidi w:val="0"/>
        <w:rPr>
          <w:rFonts w:hint="eastAsia"/>
          <w:color w:val="auto"/>
        </w:rPr>
      </w:pPr>
      <w:r>
        <w:rPr>
          <w:rFonts w:hint="eastAsia"/>
          <w:color w:val="auto"/>
          <w:lang w:val="en-US" w:eastAsia="zh-CN"/>
        </w:rPr>
        <w:t>9.</w:t>
      </w:r>
      <w:r>
        <w:rPr>
          <w:rFonts w:hint="eastAsia"/>
          <w:color w:val="auto"/>
        </w:rPr>
        <w:t>《生产安全事故应急条例》（国务院令</w:t>
      </w:r>
      <w:r>
        <w:rPr>
          <w:rFonts w:hint="eastAsia"/>
          <w:color w:val="auto"/>
          <w:lang w:eastAsia="zh-CN"/>
        </w:rPr>
        <w:t>〔</w:t>
      </w:r>
      <w:r>
        <w:rPr>
          <w:rFonts w:hint="eastAsia"/>
          <w:color w:val="auto"/>
        </w:rPr>
        <w:t>2018</w:t>
      </w:r>
      <w:r>
        <w:rPr>
          <w:rFonts w:hint="eastAsia"/>
          <w:color w:val="auto"/>
          <w:lang w:eastAsia="zh-CN"/>
        </w:rPr>
        <w:t>〕</w:t>
      </w:r>
      <w:r>
        <w:rPr>
          <w:rFonts w:hint="eastAsia"/>
          <w:color w:val="auto"/>
        </w:rPr>
        <w:t>第708号，自2019年4月1日起施行）</w:t>
      </w:r>
    </w:p>
    <w:p w14:paraId="77FFF2C8">
      <w:pPr>
        <w:bidi w:val="0"/>
        <w:rPr>
          <w:color w:val="auto"/>
        </w:rPr>
      </w:pPr>
      <w:r>
        <w:rPr>
          <w:rFonts w:hint="eastAsia"/>
          <w:color w:val="auto"/>
          <w:lang w:val="en-US" w:eastAsia="zh-CN"/>
        </w:rPr>
        <w:t>10.</w:t>
      </w:r>
      <w:r>
        <w:rPr>
          <w:color w:val="auto"/>
        </w:rPr>
        <w:t>《中华人民共和国监控化学品管理条例》（</w:t>
      </w:r>
      <w:r>
        <w:rPr>
          <w:rFonts w:hint="eastAsia"/>
          <w:color w:val="auto"/>
          <w:lang w:val="en-US" w:eastAsia="zh-CN"/>
        </w:rPr>
        <w:t>国务院</w:t>
      </w:r>
      <w:r>
        <w:rPr>
          <w:rFonts w:hint="eastAsia"/>
          <w:color w:val="auto"/>
          <w:lang w:eastAsia="zh-CN"/>
        </w:rPr>
        <w:t>〔</w:t>
      </w:r>
      <w:r>
        <w:rPr>
          <w:rFonts w:hint="eastAsia"/>
          <w:color w:val="auto"/>
          <w:lang w:val="en-US" w:eastAsia="zh-CN"/>
        </w:rPr>
        <w:t>1995</w:t>
      </w:r>
      <w:r>
        <w:rPr>
          <w:rFonts w:hint="eastAsia"/>
          <w:color w:val="auto"/>
          <w:lang w:eastAsia="zh-CN"/>
        </w:rPr>
        <w:t>〕</w:t>
      </w:r>
      <w:r>
        <w:rPr>
          <w:rFonts w:hint="eastAsia"/>
          <w:color w:val="auto"/>
          <w:lang w:val="en-US" w:eastAsia="zh-CN"/>
        </w:rPr>
        <w:t>令</w:t>
      </w:r>
      <w:r>
        <w:rPr>
          <w:rFonts w:hint="eastAsia"/>
          <w:color w:val="auto"/>
        </w:rPr>
        <w:t>第</w:t>
      </w:r>
      <w:r>
        <w:rPr>
          <w:rFonts w:hint="eastAsia"/>
          <w:color w:val="auto"/>
          <w:lang w:val="en-US" w:eastAsia="zh-CN"/>
        </w:rPr>
        <w:t>190</w:t>
      </w:r>
      <w:r>
        <w:rPr>
          <w:rFonts w:hint="eastAsia"/>
          <w:color w:val="auto"/>
        </w:rPr>
        <w:t>号</w:t>
      </w:r>
      <w:r>
        <w:rPr>
          <w:rFonts w:hint="eastAsia"/>
          <w:color w:val="auto"/>
          <w:lang w:eastAsia="zh-CN"/>
        </w:rPr>
        <w:t>，</w:t>
      </w:r>
      <w:r>
        <w:rPr>
          <w:rFonts w:hint="eastAsia"/>
          <w:color w:val="auto"/>
          <w:lang w:val="en-US" w:eastAsia="zh-CN"/>
        </w:rPr>
        <w:t>经</w:t>
      </w:r>
      <w:r>
        <w:rPr>
          <w:rFonts w:hint="eastAsia"/>
          <w:color w:val="auto"/>
        </w:rPr>
        <w:t>国务院令</w:t>
      </w:r>
      <w:r>
        <w:rPr>
          <w:rFonts w:hint="eastAsia"/>
          <w:color w:val="auto"/>
          <w:lang w:eastAsia="zh-CN"/>
        </w:rPr>
        <w:t>〔</w:t>
      </w:r>
      <w:r>
        <w:rPr>
          <w:rFonts w:hint="eastAsia"/>
          <w:color w:val="auto"/>
          <w:lang w:val="en-US" w:eastAsia="zh-CN"/>
        </w:rPr>
        <w:t>2011</w:t>
      </w:r>
      <w:r>
        <w:rPr>
          <w:rFonts w:hint="eastAsia"/>
          <w:color w:val="auto"/>
          <w:lang w:eastAsia="zh-CN"/>
        </w:rPr>
        <w:t>〕</w:t>
      </w:r>
      <w:r>
        <w:rPr>
          <w:rFonts w:hint="eastAsia"/>
          <w:color w:val="auto"/>
        </w:rPr>
        <w:t>第588号修</w:t>
      </w:r>
      <w:r>
        <w:rPr>
          <w:rFonts w:hint="eastAsia"/>
          <w:color w:val="auto"/>
          <w:lang w:eastAsia="zh-CN"/>
        </w:rPr>
        <w:t>正，</w:t>
      </w:r>
      <w:r>
        <w:rPr>
          <w:rFonts w:hint="eastAsia"/>
          <w:color w:val="auto"/>
          <w:lang w:val="en-US" w:eastAsia="zh-CN"/>
        </w:rPr>
        <w:t>自</w:t>
      </w:r>
      <w:r>
        <w:rPr>
          <w:rFonts w:hint="eastAsia"/>
          <w:color w:val="auto"/>
          <w:lang w:eastAsia="zh-CN"/>
        </w:rPr>
        <w:t>1995年12月27日</w:t>
      </w:r>
      <w:r>
        <w:rPr>
          <w:rFonts w:hint="eastAsia"/>
          <w:color w:val="auto"/>
          <w:lang w:val="en-US" w:eastAsia="zh-CN"/>
        </w:rPr>
        <w:t>起实施</w:t>
      </w:r>
      <w:r>
        <w:rPr>
          <w:color w:val="auto"/>
        </w:rPr>
        <w:t>）</w:t>
      </w:r>
    </w:p>
    <w:p w14:paraId="7E1E5B55">
      <w:pPr>
        <w:pStyle w:val="4"/>
        <w:bidi w:val="0"/>
        <w:rPr>
          <w:rFonts w:hint="eastAsia" w:ascii="Times New Roman" w:hAnsi="Times New Roman"/>
          <w:color w:val="auto"/>
          <w:lang w:val="en-US" w:eastAsia="zh-CN"/>
        </w:rPr>
      </w:pPr>
      <w:bookmarkStart w:id="8" w:name="_Toc20654"/>
      <w:r>
        <w:rPr>
          <w:rFonts w:hint="eastAsia" w:ascii="Times New Roman" w:hAnsi="Times New Roman"/>
          <w:color w:val="auto"/>
          <w:lang w:val="en-US" w:eastAsia="zh-CN"/>
        </w:rPr>
        <w:t>1.2.3部门规章</w:t>
      </w:r>
      <w:bookmarkEnd w:id="8"/>
    </w:p>
    <w:p w14:paraId="7BEBB607">
      <w:pPr>
        <w:bidi w:val="0"/>
        <w:rPr>
          <w:rFonts w:hint="eastAsia"/>
          <w:color w:val="auto"/>
        </w:rPr>
      </w:pPr>
      <w:r>
        <w:rPr>
          <w:rFonts w:hint="eastAsia"/>
          <w:color w:val="auto"/>
          <w:lang w:val="en-US" w:eastAsia="zh-CN"/>
        </w:rPr>
        <w:t>1.</w:t>
      </w:r>
      <w:r>
        <w:rPr>
          <w:rFonts w:hint="eastAsia"/>
          <w:color w:val="auto"/>
        </w:rPr>
        <w:t>《生产经营单位安全培训规定》（国家安监总局令</w:t>
      </w:r>
      <w:r>
        <w:rPr>
          <w:rFonts w:hint="eastAsia"/>
          <w:color w:val="auto"/>
          <w:lang w:eastAsia="zh-CN"/>
        </w:rPr>
        <w:t>〔</w:t>
      </w:r>
      <w:r>
        <w:rPr>
          <w:rFonts w:hint="eastAsia"/>
          <w:color w:val="auto"/>
        </w:rPr>
        <w:t>20</w:t>
      </w:r>
      <w:r>
        <w:rPr>
          <w:rFonts w:hint="eastAsia"/>
          <w:color w:val="auto"/>
          <w:lang w:val="en-US" w:eastAsia="zh-CN"/>
        </w:rPr>
        <w:t>06</w:t>
      </w:r>
      <w:r>
        <w:rPr>
          <w:rFonts w:hint="eastAsia"/>
          <w:color w:val="auto"/>
          <w:lang w:eastAsia="zh-CN"/>
        </w:rPr>
        <w:t>〕</w:t>
      </w:r>
      <w:r>
        <w:rPr>
          <w:rFonts w:hint="eastAsia"/>
          <w:color w:val="auto"/>
        </w:rPr>
        <w:t>第3号，</w:t>
      </w:r>
      <w:r>
        <w:rPr>
          <w:rFonts w:hint="eastAsia"/>
          <w:color w:val="auto"/>
          <w:lang w:val="en-US" w:eastAsia="zh-CN"/>
        </w:rPr>
        <w:t>经</w:t>
      </w:r>
      <w:r>
        <w:rPr>
          <w:rFonts w:hint="eastAsia"/>
          <w:color w:val="auto"/>
        </w:rPr>
        <w:t>国家安监总局令</w:t>
      </w:r>
      <w:r>
        <w:rPr>
          <w:rFonts w:hint="eastAsia"/>
          <w:color w:val="auto"/>
          <w:lang w:eastAsia="zh-CN"/>
        </w:rPr>
        <w:t>〔</w:t>
      </w:r>
      <w:r>
        <w:rPr>
          <w:rFonts w:hint="eastAsia"/>
          <w:color w:val="auto"/>
        </w:rPr>
        <w:t>201</w:t>
      </w:r>
      <w:r>
        <w:rPr>
          <w:rFonts w:hint="eastAsia"/>
          <w:color w:val="auto"/>
          <w:lang w:val="en-US" w:eastAsia="zh-CN"/>
        </w:rPr>
        <w:t>3</w:t>
      </w:r>
      <w:r>
        <w:rPr>
          <w:rFonts w:hint="eastAsia"/>
          <w:color w:val="auto"/>
          <w:lang w:eastAsia="zh-CN"/>
        </w:rPr>
        <w:t>〕</w:t>
      </w:r>
      <w:r>
        <w:rPr>
          <w:rFonts w:hint="eastAsia"/>
          <w:color w:val="auto"/>
        </w:rPr>
        <w:t>第63号、</w:t>
      </w:r>
      <w:r>
        <w:rPr>
          <w:rFonts w:hint="eastAsia"/>
          <w:color w:val="auto"/>
          <w:lang w:eastAsia="zh-CN"/>
        </w:rPr>
        <w:t>〔</w:t>
      </w:r>
      <w:r>
        <w:rPr>
          <w:rFonts w:hint="eastAsia"/>
          <w:color w:val="auto"/>
        </w:rPr>
        <w:t>201</w:t>
      </w:r>
      <w:r>
        <w:rPr>
          <w:rFonts w:hint="eastAsia"/>
          <w:color w:val="auto"/>
          <w:lang w:val="en-US" w:eastAsia="zh-CN"/>
        </w:rPr>
        <w:t>5</w:t>
      </w:r>
      <w:r>
        <w:rPr>
          <w:rFonts w:hint="eastAsia"/>
          <w:color w:val="auto"/>
          <w:lang w:eastAsia="zh-CN"/>
        </w:rPr>
        <w:t>〕</w:t>
      </w:r>
      <w:r>
        <w:rPr>
          <w:rFonts w:hint="eastAsia"/>
          <w:color w:val="auto"/>
          <w:lang w:val="en-US" w:eastAsia="zh-CN"/>
        </w:rPr>
        <w:t>第</w:t>
      </w:r>
      <w:r>
        <w:rPr>
          <w:rFonts w:hint="eastAsia"/>
          <w:color w:val="auto"/>
        </w:rPr>
        <w:t>80号修正</w:t>
      </w:r>
      <w:r>
        <w:rPr>
          <w:rFonts w:hint="eastAsia"/>
          <w:color w:val="auto"/>
          <w:lang w:eastAsia="zh-CN"/>
        </w:rPr>
        <w:t>，</w:t>
      </w:r>
      <w:r>
        <w:rPr>
          <w:rFonts w:hint="eastAsia"/>
          <w:color w:val="auto"/>
        </w:rPr>
        <w:t>自2006年3月1日起施行）</w:t>
      </w:r>
    </w:p>
    <w:p w14:paraId="5F25FE26">
      <w:pPr>
        <w:bidi w:val="0"/>
        <w:rPr>
          <w:rFonts w:hint="eastAsia"/>
          <w:color w:val="auto"/>
        </w:rPr>
      </w:pPr>
      <w:r>
        <w:rPr>
          <w:rFonts w:hint="eastAsia"/>
          <w:color w:val="auto"/>
          <w:lang w:val="en-US" w:eastAsia="zh-CN"/>
        </w:rPr>
        <w:t>2.</w:t>
      </w:r>
      <w:r>
        <w:rPr>
          <w:rFonts w:hint="eastAsia"/>
          <w:color w:val="auto"/>
        </w:rPr>
        <w:t>《安全生产事故隐患排查治理暂行规定》（国家安监总局令</w:t>
      </w:r>
      <w:r>
        <w:rPr>
          <w:rFonts w:hint="eastAsia"/>
          <w:color w:val="auto"/>
          <w:lang w:eastAsia="zh-CN"/>
        </w:rPr>
        <w:t>〔</w:t>
      </w:r>
      <w:r>
        <w:rPr>
          <w:rFonts w:hint="eastAsia"/>
          <w:color w:val="auto"/>
        </w:rPr>
        <w:t>200</w:t>
      </w:r>
      <w:r>
        <w:rPr>
          <w:rFonts w:hint="eastAsia"/>
          <w:color w:val="auto"/>
          <w:lang w:val="en-US" w:eastAsia="zh-CN"/>
        </w:rPr>
        <w:t>7</w:t>
      </w:r>
      <w:r>
        <w:rPr>
          <w:rFonts w:hint="eastAsia"/>
          <w:color w:val="auto"/>
          <w:lang w:eastAsia="zh-CN"/>
        </w:rPr>
        <w:t>〕</w:t>
      </w:r>
      <w:r>
        <w:rPr>
          <w:rFonts w:hint="eastAsia"/>
          <w:color w:val="auto"/>
        </w:rPr>
        <w:t>第16号</w:t>
      </w:r>
      <w:r>
        <w:rPr>
          <w:rFonts w:hint="eastAsia"/>
          <w:color w:val="auto"/>
          <w:lang w:eastAsia="zh-CN"/>
        </w:rPr>
        <w:t>，</w:t>
      </w:r>
      <w:r>
        <w:rPr>
          <w:color w:val="auto"/>
          <w:lang w:val="en-US" w:eastAsia="zh-CN"/>
        </w:rPr>
        <w:t>自2008年2月1日起施行</w:t>
      </w:r>
      <w:r>
        <w:rPr>
          <w:rFonts w:hint="eastAsia"/>
          <w:color w:val="auto"/>
        </w:rPr>
        <w:t>）</w:t>
      </w:r>
    </w:p>
    <w:p w14:paraId="509F9428">
      <w:pPr>
        <w:bidi w:val="0"/>
        <w:rPr>
          <w:rFonts w:hint="eastAsia"/>
          <w:color w:val="auto"/>
        </w:rPr>
      </w:pPr>
      <w:r>
        <w:rPr>
          <w:rFonts w:hint="eastAsia"/>
          <w:color w:val="auto"/>
          <w:lang w:val="en-US" w:eastAsia="zh-CN"/>
        </w:rPr>
        <w:t>3.《生产安全事故信息报告和处置办法》（国家安监总局令〔2009〕第21号，</w:t>
      </w:r>
      <w:r>
        <w:rPr>
          <w:color w:val="auto"/>
        </w:rPr>
        <w:t>自2009年7月1日起施行</w:t>
      </w:r>
      <w:r>
        <w:rPr>
          <w:rFonts w:hint="eastAsia"/>
          <w:color w:val="auto"/>
          <w:lang w:val="en-US" w:eastAsia="zh-CN"/>
        </w:rPr>
        <w:t>）</w:t>
      </w:r>
    </w:p>
    <w:p w14:paraId="1997233E">
      <w:pPr>
        <w:bidi w:val="0"/>
        <w:rPr>
          <w:rFonts w:hint="eastAsia"/>
          <w:color w:val="auto"/>
        </w:rPr>
      </w:pPr>
      <w:r>
        <w:rPr>
          <w:rFonts w:hint="eastAsia"/>
          <w:color w:val="auto"/>
          <w:lang w:val="en-US" w:eastAsia="zh-CN"/>
        </w:rPr>
        <w:t>4.</w:t>
      </w:r>
      <w:r>
        <w:rPr>
          <w:rFonts w:hint="eastAsia"/>
          <w:color w:val="auto"/>
        </w:rPr>
        <w:t>《特种作业人员安全技术培训考核管理规定》（国家安监总局令</w:t>
      </w:r>
      <w:r>
        <w:rPr>
          <w:rFonts w:hint="eastAsia"/>
          <w:color w:val="auto"/>
          <w:lang w:eastAsia="zh-CN"/>
        </w:rPr>
        <w:t>〔</w:t>
      </w:r>
      <w:r>
        <w:rPr>
          <w:rFonts w:hint="eastAsia"/>
          <w:color w:val="auto"/>
        </w:rPr>
        <w:t>20</w:t>
      </w:r>
      <w:r>
        <w:rPr>
          <w:rFonts w:hint="eastAsia"/>
          <w:color w:val="auto"/>
          <w:lang w:val="en-US" w:eastAsia="zh-CN"/>
        </w:rPr>
        <w:t>10</w:t>
      </w:r>
      <w:r>
        <w:rPr>
          <w:rFonts w:hint="eastAsia"/>
          <w:color w:val="auto"/>
          <w:lang w:eastAsia="zh-CN"/>
        </w:rPr>
        <w:t>〕</w:t>
      </w:r>
      <w:r>
        <w:rPr>
          <w:rFonts w:hint="eastAsia"/>
          <w:color w:val="auto"/>
        </w:rPr>
        <w:t>第30号，</w:t>
      </w:r>
      <w:r>
        <w:rPr>
          <w:rFonts w:hint="eastAsia"/>
          <w:color w:val="auto"/>
          <w:lang w:val="en-US" w:eastAsia="zh-CN"/>
        </w:rPr>
        <w:t>经</w:t>
      </w:r>
      <w:r>
        <w:rPr>
          <w:rFonts w:hint="eastAsia"/>
          <w:color w:val="auto"/>
        </w:rPr>
        <w:t>国家安监总局令第</w:t>
      </w:r>
      <w:r>
        <w:rPr>
          <w:rFonts w:hint="eastAsia"/>
          <w:color w:val="auto"/>
          <w:lang w:eastAsia="zh-CN"/>
        </w:rPr>
        <w:t>〔</w:t>
      </w:r>
      <w:r>
        <w:rPr>
          <w:rFonts w:hint="eastAsia"/>
          <w:color w:val="auto"/>
        </w:rPr>
        <w:t>20</w:t>
      </w:r>
      <w:r>
        <w:rPr>
          <w:rFonts w:hint="eastAsia"/>
          <w:color w:val="auto"/>
          <w:lang w:val="en-US" w:eastAsia="zh-CN"/>
        </w:rPr>
        <w:t>13</w:t>
      </w:r>
      <w:r>
        <w:rPr>
          <w:rFonts w:hint="eastAsia"/>
          <w:color w:val="auto"/>
          <w:lang w:eastAsia="zh-CN"/>
        </w:rPr>
        <w:t>〕</w:t>
      </w:r>
      <w:r>
        <w:rPr>
          <w:rFonts w:hint="eastAsia"/>
          <w:color w:val="auto"/>
        </w:rPr>
        <w:t>63号、</w:t>
      </w:r>
      <w:r>
        <w:rPr>
          <w:rFonts w:hint="eastAsia"/>
          <w:color w:val="auto"/>
          <w:lang w:eastAsia="zh-CN"/>
        </w:rPr>
        <w:t>〔</w:t>
      </w:r>
      <w:r>
        <w:rPr>
          <w:rFonts w:hint="eastAsia"/>
          <w:color w:val="auto"/>
        </w:rPr>
        <w:t>201</w:t>
      </w:r>
      <w:r>
        <w:rPr>
          <w:rFonts w:hint="eastAsia"/>
          <w:color w:val="auto"/>
          <w:lang w:val="en-US" w:eastAsia="zh-CN"/>
        </w:rPr>
        <w:t>5</w:t>
      </w:r>
      <w:r>
        <w:rPr>
          <w:rFonts w:hint="eastAsia"/>
          <w:color w:val="auto"/>
          <w:lang w:eastAsia="zh-CN"/>
        </w:rPr>
        <w:t>〕</w:t>
      </w:r>
      <w:r>
        <w:rPr>
          <w:rFonts w:hint="eastAsia"/>
          <w:color w:val="auto"/>
        </w:rPr>
        <w:t>80号修正</w:t>
      </w:r>
      <w:r>
        <w:rPr>
          <w:rFonts w:hint="eastAsia"/>
          <w:color w:val="auto"/>
          <w:lang w:eastAsia="zh-CN"/>
        </w:rPr>
        <w:t>，</w:t>
      </w:r>
      <w:r>
        <w:rPr>
          <w:rFonts w:hint="eastAsia"/>
          <w:color w:val="auto"/>
        </w:rPr>
        <w:t>自2010年7月1日起施行）</w:t>
      </w:r>
    </w:p>
    <w:p w14:paraId="56EDCEBD">
      <w:pPr>
        <w:bidi w:val="0"/>
        <w:rPr>
          <w:rFonts w:hint="eastAsia"/>
          <w:color w:val="auto"/>
        </w:rPr>
      </w:pPr>
      <w:r>
        <w:rPr>
          <w:rFonts w:hint="eastAsia"/>
          <w:color w:val="auto"/>
          <w:lang w:val="en-US" w:eastAsia="zh-CN"/>
        </w:rPr>
        <w:t>5.</w:t>
      </w:r>
      <w:r>
        <w:rPr>
          <w:rFonts w:hint="eastAsia"/>
          <w:color w:val="auto"/>
          <w:lang w:eastAsia="zh-CN"/>
        </w:rPr>
        <w:t>《</w:t>
      </w:r>
      <w:r>
        <w:rPr>
          <w:rFonts w:hint="eastAsia"/>
          <w:color w:val="auto"/>
        </w:rPr>
        <w:t>安全生产培训管理办法》（国家安监总局令</w:t>
      </w:r>
      <w:r>
        <w:rPr>
          <w:rFonts w:hint="eastAsia"/>
          <w:color w:val="auto"/>
          <w:lang w:eastAsia="zh-CN"/>
        </w:rPr>
        <w:t>〔</w:t>
      </w:r>
      <w:r>
        <w:rPr>
          <w:rFonts w:hint="eastAsia"/>
          <w:color w:val="auto"/>
        </w:rPr>
        <w:t>201</w:t>
      </w:r>
      <w:r>
        <w:rPr>
          <w:rFonts w:hint="eastAsia"/>
          <w:color w:val="auto"/>
          <w:lang w:val="en-US" w:eastAsia="zh-CN"/>
        </w:rPr>
        <w:t>2</w:t>
      </w:r>
      <w:r>
        <w:rPr>
          <w:rFonts w:hint="eastAsia"/>
          <w:color w:val="auto"/>
          <w:lang w:eastAsia="zh-CN"/>
        </w:rPr>
        <w:t>〕</w:t>
      </w:r>
      <w:r>
        <w:rPr>
          <w:rFonts w:hint="eastAsia"/>
          <w:color w:val="auto"/>
        </w:rPr>
        <w:t>第44号，</w:t>
      </w:r>
      <w:r>
        <w:rPr>
          <w:rFonts w:hint="eastAsia"/>
          <w:color w:val="auto"/>
          <w:lang w:val="en-US" w:eastAsia="zh-CN"/>
        </w:rPr>
        <w:t>经</w:t>
      </w:r>
      <w:r>
        <w:rPr>
          <w:rFonts w:hint="eastAsia"/>
          <w:color w:val="auto"/>
        </w:rPr>
        <w:t>国家安监总局令</w:t>
      </w:r>
      <w:r>
        <w:rPr>
          <w:rFonts w:hint="eastAsia"/>
          <w:color w:val="auto"/>
          <w:lang w:eastAsia="zh-CN"/>
        </w:rPr>
        <w:t>〔</w:t>
      </w:r>
      <w:r>
        <w:rPr>
          <w:rFonts w:hint="eastAsia"/>
          <w:color w:val="auto"/>
        </w:rPr>
        <w:t>201</w:t>
      </w:r>
      <w:r>
        <w:rPr>
          <w:rFonts w:hint="eastAsia"/>
          <w:color w:val="auto"/>
          <w:lang w:val="en-US" w:eastAsia="zh-CN"/>
        </w:rPr>
        <w:t>3</w:t>
      </w:r>
      <w:r>
        <w:rPr>
          <w:rFonts w:hint="eastAsia"/>
          <w:color w:val="auto"/>
          <w:lang w:eastAsia="zh-CN"/>
        </w:rPr>
        <w:t>〕</w:t>
      </w:r>
      <w:r>
        <w:rPr>
          <w:rFonts w:hint="eastAsia"/>
          <w:color w:val="auto"/>
        </w:rPr>
        <w:t>第63号、</w:t>
      </w:r>
      <w:r>
        <w:rPr>
          <w:rFonts w:hint="eastAsia"/>
          <w:color w:val="auto"/>
          <w:lang w:eastAsia="zh-CN"/>
        </w:rPr>
        <w:t>〔</w:t>
      </w:r>
      <w:r>
        <w:rPr>
          <w:rFonts w:hint="eastAsia"/>
          <w:color w:val="auto"/>
        </w:rPr>
        <w:t>201</w:t>
      </w:r>
      <w:r>
        <w:rPr>
          <w:rFonts w:hint="eastAsia"/>
          <w:color w:val="auto"/>
          <w:lang w:val="en-US" w:eastAsia="zh-CN"/>
        </w:rPr>
        <w:t>5</w:t>
      </w:r>
      <w:r>
        <w:rPr>
          <w:rFonts w:hint="eastAsia"/>
          <w:color w:val="auto"/>
          <w:lang w:eastAsia="zh-CN"/>
        </w:rPr>
        <w:t>〕</w:t>
      </w:r>
      <w:r>
        <w:rPr>
          <w:rFonts w:hint="eastAsia"/>
          <w:color w:val="auto"/>
          <w:lang w:val="en-US" w:eastAsia="zh-CN"/>
        </w:rPr>
        <w:t>第</w:t>
      </w:r>
      <w:r>
        <w:rPr>
          <w:rFonts w:hint="eastAsia"/>
          <w:color w:val="auto"/>
        </w:rPr>
        <w:t>80号修正</w:t>
      </w:r>
      <w:r>
        <w:rPr>
          <w:rFonts w:hint="eastAsia"/>
          <w:color w:val="auto"/>
          <w:lang w:eastAsia="zh-CN"/>
        </w:rPr>
        <w:t>，</w:t>
      </w:r>
      <w:r>
        <w:rPr>
          <w:rFonts w:hint="eastAsia"/>
          <w:color w:val="auto"/>
        </w:rPr>
        <w:t>自</w:t>
      </w:r>
      <w:r>
        <w:rPr>
          <w:color w:val="auto"/>
        </w:rPr>
        <w:t>2012</w:t>
      </w:r>
      <w:r>
        <w:rPr>
          <w:rFonts w:hint="eastAsia"/>
          <w:color w:val="auto"/>
        </w:rPr>
        <w:t>年</w:t>
      </w:r>
      <w:r>
        <w:rPr>
          <w:color w:val="auto"/>
        </w:rPr>
        <w:t>3</w:t>
      </w:r>
      <w:r>
        <w:rPr>
          <w:rFonts w:hint="eastAsia"/>
          <w:color w:val="auto"/>
        </w:rPr>
        <w:t>月</w:t>
      </w:r>
      <w:r>
        <w:rPr>
          <w:color w:val="auto"/>
        </w:rPr>
        <w:t>1</w:t>
      </w:r>
      <w:r>
        <w:rPr>
          <w:rFonts w:hint="eastAsia"/>
          <w:color w:val="auto"/>
        </w:rPr>
        <w:t>日起施行）</w:t>
      </w:r>
    </w:p>
    <w:p w14:paraId="458E6AAB">
      <w:pPr>
        <w:bidi w:val="0"/>
        <w:rPr>
          <w:rFonts w:hint="eastAsia"/>
          <w:color w:val="auto"/>
        </w:rPr>
      </w:pPr>
      <w:r>
        <w:rPr>
          <w:rFonts w:hint="eastAsia"/>
          <w:color w:val="auto"/>
          <w:lang w:val="en-US" w:eastAsia="zh-CN"/>
        </w:rPr>
        <w:t>6.</w:t>
      </w:r>
      <w:r>
        <w:rPr>
          <w:rFonts w:hint="eastAsia"/>
          <w:color w:val="auto"/>
        </w:rPr>
        <w:t>《建设项目安全设施“三同时”监督管理办法》</w:t>
      </w:r>
      <w:r>
        <w:rPr>
          <w:rFonts w:hint="eastAsia"/>
          <w:color w:val="auto"/>
          <w:lang w:eastAsia="zh-CN"/>
        </w:rPr>
        <w:t>（</w:t>
      </w:r>
      <w:r>
        <w:rPr>
          <w:rFonts w:hint="eastAsia"/>
          <w:color w:val="auto"/>
        </w:rPr>
        <w:t>国家安监管总局令</w:t>
      </w:r>
      <w:r>
        <w:rPr>
          <w:rFonts w:hint="eastAsia"/>
          <w:color w:val="auto"/>
          <w:lang w:eastAsia="zh-CN"/>
        </w:rPr>
        <w:t>〔</w:t>
      </w:r>
      <w:r>
        <w:rPr>
          <w:rFonts w:hint="eastAsia"/>
          <w:color w:val="auto"/>
        </w:rPr>
        <w:t>201</w:t>
      </w:r>
      <w:r>
        <w:rPr>
          <w:rFonts w:hint="eastAsia"/>
          <w:color w:val="auto"/>
          <w:lang w:val="en-US" w:eastAsia="zh-CN"/>
        </w:rPr>
        <w:t>0</w:t>
      </w:r>
      <w:r>
        <w:rPr>
          <w:rFonts w:hint="eastAsia"/>
          <w:color w:val="auto"/>
          <w:lang w:eastAsia="zh-CN"/>
        </w:rPr>
        <w:t>〕</w:t>
      </w:r>
      <w:r>
        <w:rPr>
          <w:rFonts w:hint="eastAsia"/>
          <w:color w:val="auto"/>
        </w:rPr>
        <w:t>第36号</w:t>
      </w:r>
      <w:r>
        <w:rPr>
          <w:rFonts w:hint="eastAsia"/>
          <w:color w:val="auto"/>
          <w:lang w:eastAsia="zh-CN"/>
        </w:rPr>
        <w:t>，</w:t>
      </w:r>
      <w:r>
        <w:rPr>
          <w:rFonts w:hint="eastAsia"/>
          <w:color w:val="auto"/>
          <w:lang w:val="en-US" w:eastAsia="zh-CN"/>
        </w:rPr>
        <w:t>经</w:t>
      </w:r>
      <w:r>
        <w:rPr>
          <w:rFonts w:hint="eastAsia"/>
          <w:color w:val="auto"/>
        </w:rPr>
        <w:t>国家安全监管总局令</w:t>
      </w:r>
      <w:r>
        <w:rPr>
          <w:rFonts w:hint="eastAsia"/>
          <w:color w:val="auto"/>
          <w:lang w:eastAsia="zh-CN"/>
        </w:rPr>
        <w:t>〔</w:t>
      </w:r>
      <w:r>
        <w:rPr>
          <w:rFonts w:hint="eastAsia"/>
          <w:color w:val="auto"/>
        </w:rPr>
        <w:t>2015</w:t>
      </w:r>
      <w:r>
        <w:rPr>
          <w:rFonts w:hint="eastAsia"/>
          <w:color w:val="auto"/>
          <w:lang w:eastAsia="zh-CN"/>
        </w:rPr>
        <w:t>〕</w:t>
      </w:r>
      <w:r>
        <w:rPr>
          <w:rFonts w:hint="eastAsia"/>
          <w:color w:val="auto"/>
        </w:rPr>
        <w:t>第77号修正</w:t>
      </w:r>
      <w:r>
        <w:rPr>
          <w:rFonts w:hint="eastAsia"/>
          <w:color w:val="auto"/>
          <w:lang w:eastAsia="zh-CN"/>
        </w:rPr>
        <w:t>，</w:t>
      </w:r>
      <w:r>
        <w:rPr>
          <w:rFonts w:hint="eastAsia"/>
          <w:color w:val="auto"/>
          <w:lang w:val="en-US" w:eastAsia="zh-CN"/>
        </w:rPr>
        <w:t>自</w:t>
      </w:r>
      <w:r>
        <w:rPr>
          <w:color w:val="auto"/>
        </w:rPr>
        <w:t>201</w:t>
      </w:r>
      <w:r>
        <w:rPr>
          <w:rFonts w:hint="eastAsia"/>
          <w:color w:val="auto"/>
          <w:lang w:val="en-US" w:eastAsia="zh-CN"/>
        </w:rPr>
        <w:t>1</w:t>
      </w:r>
      <w:r>
        <w:rPr>
          <w:color w:val="auto"/>
        </w:rPr>
        <w:t>年</w:t>
      </w:r>
      <w:r>
        <w:rPr>
          <w:rFonts w:hint="eastAsia"/>
          <w:color w:val="auto"/>
          <w:lang w:val="en-US" w:eastAsia="zh-CN"/>
        </w:rPr>
        <w:t>2</w:t>
      </w:r>
      <w:r>
        <w:rPr>
          <w:color w:val="auto"/>
        </w:rPr>
        <w:t>月1日施行</w:t>
      </w:r>
      <w:r>
        <w:rPr>
          <w:rFonts w:hint="eastAsia"/>
          <w:color w:val="auto"/>
        </w:rPr>
        <w:t>）</w:t>
      </w:r>
    </w:p>
    <w:p w14:paraId="12C29759">
      <w:pPr>
        <w:bidi w:val="0"/>
        <w:rPr>
          <w:rFonts w:hint="eastAsia"/>
          <w:color w:val="auto"/>
        </w:rPr>
      </w:pPr>
      <w:r>
        <w:rPr>
          <w:rFonts w:hint="eastAsia"/>
          <w:color w:val="auto"/>
          <w:lang w:val="en-US" w:eastAsia="zh-CN"/>
        </w:rPr>
        <w:t>7.</w:t>
      </w:r>
      <w:r>
        <w:rPr>
          <w:rFonts w:hint="eastAsia"/>
          <w:color w:val="auto"/>
        </w:rPr>
        <w:t>《用人单位职业健康监护监督管理办法》（国家安监总局令</w:t>
      </w:r>
      <w:r>
        <w:rPr>
          <w:rFonts w:hint="eastAsia"/>
          <w:color w:val="auto"/>
          <w:lang w:eastAsia="zh-CN"/>
        </w:rPr>
        <w:t>〔</w:t>
      </w:r>
      <w:r>
        <w:rPr>
          <w:rFonts w:hint="eastAsia"/>
          <w:color w:val="auto"/>
        </w:rPr>
        <w:t>2010</w:t>
      </w:r>
      <w:r>
        <w:rPr>
          <w:rFonts w:hint="eastAsia"/>
          <w:color w:val="auto"/>
          <w:lang w:eastAsia="zh-CN"/>
        </w:rPr>
        <w:t>〕</w:t>
      </w:r>
      <w:r>
        <w:rPr>
          <w:rFonts w:hint="eastAsia"/>
          <w:color w:val="auto"/>
        </w:rPr>
        <w:t>第49号</w:t>
      </w:r>
      <w:r>
        <w:rPr>
          <w:rFonts w:hint="eastAsia"/>
          <w:color w:val="auto"/>
          <w:lang w:eastAsia="zh-CN"/>
        </w:rPr>
        <w:t>，自2012年6月1日起施行</w:t>
      </w:r>
      <w:r>
        <w:rPr>
          <w:rFonts w:hint="eastAsia"/>
          <w:color w:val="auto"/>
        </w:rPr>
        <w:t>）</w:t>
      </w:r>
    </w:p>
    <w:p w14:paraId="09A10ABF">
      <w:pPr>
        <w:bidi w:val="0"/>
        <w:rPr>
          <w:rFonts w:hint="eastAsia"/>
          <w:color w:val="auto"/>
        </w:rPr>
      </w:pPr>
      <w:r>
        <w:rPr>
          <w:rFonts w:hint="eastAsia"/>
          <w:color w:val="auto"/>
          <w:lang w:val="en-US" w:eastAsia="zh-CN"/>
        </w:rPr>
        <w:t>8.</w:t>
      </w:r>
      <w:r>
        <w:rPr>
          <w:rFonts w:hint="eastAsia"/>
          <w:color w:val="auto"/>
        </w:rPr>
        <w:t>《国家安全监管总局关于废止和修改劳动防护用品和安全培训等领域十部规章的决定》（国家安监总局令</w:t>
      </w:r>
      <w:r>
        <w:rPr>
          <w:rFonts w:hint="eastAsia"/>
          <w:color w:val="auto"/>
          <w:lang w:eastAsia="zh-CN"/>
        </w:rPr>
        <w:t>〔</w:t>
      </w:r>
      <w:r>
        <w:rPr>
          <w:rFonts w:hint="eastAsia"/>
          <w:color w:val="auto"/>
        </w:rPr>
        <w:t>201</w:t>
      </w:r>
      <w:r>
        <w:rPr>
          <w:rFonts w:hint="eastAsia"/>
          <w:color w:val="auto"/>
          <w:lang w:val="en-US" w:eastAsia="zh-CN"/>
        </w:rPr>
        <w:t>5</w:t>
      </w:r>
      <w:r>
        <w:rPr>
          <w:rFonts w:hint="eastAsia"/>
          <w:color w:val="auto"/>
          <w:lang w:eastAsia="zh-CN"/>
        </w:rPr>
        <w:t>〕</w:t>
      </w:r>
      <w:r>
        <w:rPr>
          <w:rFonts w:hint="eastAsia"/>
          <w:color w:val="auto"/>
        </w:rPr>
        <w:t>第80号</w:t>
      </w:r>
      <w:r>
        <w:rPr>
          <w:rFonts w:hint="eastAsia"/>
          <w:color w:val="auto"/>
          <w:lang w:eastAsia="zh-CN"/>
        </w:rPr>
        <w:t>，自2015年7月1日起施行</w:t>
      </w:r>
      <w:r>
        <w:rPr>
          <w:rFonts w:hint="eastAsia"/>
          <w:color w:val="auto"/>
        </w:rPr>
        <w:t>）</w:t>
      </w:r>
    </w:p>
    <w:p w14:paraId="2E8C334C">
      <w:pPr>
        <w:bidi w:val="0"/>
        <w:rPr>
          <w:rFonts w:hint="eastAsia" w:eastAsia="宋体"/>
          <w:color w:val="auto"/>
          <w:lang w:eastAsia="zh-CN"/>
        </w:rPr>
      </w:pPr>
      <w:r>
        <w:rPr>
          <w:rFonts w:hint="eastAsia"/>
          <w:color w:val="auto"/>
          <w:lang w:val="en-US" w:eastAsia="zh-CN"/>
        </w:rPr>
        <w:t>9.</w:t>
      </w:r>
      <w:r>
        <w:rPr>
          <w:rFonts w:hint="eastAsia"/>
          <w:color w:val="auto"/>
          <w:lang w:eastAsia="zh-CN"/>
        </w:rPr>
        <w:t>《工贸企业重大事故隐患判定标准》（应急管理部令〔2023〕第1</w:t>
      </w:r>
      <w:r>
        <w:rPr>
          <w:rFonts w:hint="eastAsia"/>
          <w:color w:val="auto"/>
          <w:lang w:val="en-US" w:eastAsia="zh-CN"/>
        </w:rPr>
        <w:t>0</w:t>
      </w:r>
      <w:r>
        <w:rPr>
          <w:rFonts w:hint="eastAsia"/>
          <w:color w:val="auto"/>
          <w:lang w:eastAsia="zh-CN"/>
        </w:rPr>
        <w:t>号，自20</w:t>
      </w:r>
      <w:r>
        <w:rPr>
          <w:rFonts w:hint="eastAsia"/>
          <w:color w:val="auto"/>
          <w:lang w:val="en-US" w:eastAsia="zh-CN"/>
        </w:rPr>
        <w:t>23</w:t>
      </w:r>
      <w:r>
        <w:rPr>
          <w:rFonts w:hint="eastAsia"/>
          <w:color w:val="auto"/>
          <w:lang w:eastAsia="zh-CN"/>
        </w:rPr>
        <w:t>年</w:t>
      </w:r>
      <w:r>
        <w:rPr>
          <w:rFonts w:hint="eastAsia"/>
          <w:color w:val="auto"/>
          <w:lang w:val="en-US" w:eastAsia="zh-CN"/>
        </w:rPr>
        <w:t>5</w:t>
      </w:r>
      <w:r>
        <w:rPr>
          <w:rFonts w:hint="eastAsia"/>
          <w:color w:val="auto"/>
          <w:lang w:eastAsia="zh-CN"/>
        </w:rPr>
        <w:t>月1</w:t>
      </w:r>
      <w:r>
        <w:rPr>
          <w:rFonts w:hint="eastAsia"/>
          <w:color w:val="auto"/>
          <w:lang w:val="en-US" w:eastAsia="zh-CN"/>
        </w:rPr>
        <w:t>5</w:t>
      </w:r>
      <w:r>
        <w:rPr>
          <w:rFonts w:hint="eastAsia"/>
          <w:color w:val="auto"/>
          <w:lang w:eastAsia="zh-CN"/>
        </w:rPr>
        <w:t>日起施行）</w:t>
      </w:r>
    </w:p>
    <w:p w14:paraId="645E38BB">
      <w:pPr>
        <w:bidi w:val="0"/>
        <w:rPr>
          <w:rFonts w:hint="default"/>
          <w:color w:val="auto"/>
          <w:lang w:val="en-US" w:eastAsia="zh-CN"/>
        </w:rPr>
      </w:pPr>
      <w:r>
        <w:rPr>
          <w:rFonts w:hint="eastAsia"/>
          <w:color w:val="auto"/>
          <w:lang w:val="en-US" w:eastAsia="zh-CN"/>
        </w:rPr>
        <w:t>10.《</w:t>
      </w:r>
      <w:r>
        <w:rPr>
          <w:rFonts w:hint="eastAsia"/>
          <w:color w:val="auto"/>
        </w:rPr>
        <w:t>工贸企业有限空间作业安全规定</w:t>
      </w:r>
      <w:r>
        <w:rPr>
          <w:rFonts w:hint="eastAsia"/>
          <w:color w:val="auto"/>
          <w:lang w:val="en-US" w:eastAsia="zh-CN"/>
        </w:rPr>
        <w:t>》（</w:t>
      </w:r>
      <w:r>
        <w:rPr>
          <w:rFonts w:hint="eastAsia"/>
          <w:color w:val="auto"/>
        </w:rPr>
        <w:t>应急管理部令</w:t>
      </w:r>
      <w:r>
        <w:rPr>
          <w:rFonts w:hint="eastAsia"/>
          <w:color w:val="auto"/>
          <w:lang w:eastAsia="zh-CN"/>
        </w:rPr>
        <w:t>〔</w:t>
      </w:r>
      <w:r>
        <w:rPr>
          <w:rFonts w:hint="eastAsia"/>
          <w:color w:val="auto"/>
          <w:lang w:val="en-US" w:eastAsia="zh-CN"/>
        </w:rPr>
        <w:t>2023</w:t>
      </w:r>
      <w:r>
        <w:rPr>
          <w:rFonts w:hint="eastAsia"/>
          <w:color w:val="auto"/>
          <w:lang w:eastAsia="zh-CN"/>
        </w:rPr>
        <w:t>〕</w:t>
      </w:r>
      <w:r>
        <w:rPr>
          <w:rFonts w:hint="eastAsia"/>
          <w:color w:val="auto"/>
        </w:rPr>
        <w:t>第13号</w:t>
      </w:r>
      <w:r>
        <w:rPr>
          <w:rFonts w:hint="eastAsia"/>
          <w:color w:val="auto"/>
          <w:lang w:eastAsia="zh-CN"/>
        </w:rPr>
        <w:t>，</w:t>
      </w:r>
      <w:r>
        <w:rPr>
          <w:rFonts w:hint="eastAsia"/>
          <w:color w:val="auto"/>
          <w:lang w:val="en-US" w:eastAsia="zh-CN"/>
        </w:rPr>
        <w:t>自2024年1月1日起施行）</w:t>
      </w:r>
    </w:p>
    <w:p w14:paraId="4FC1F78B">
      <w:pPr>
        <w:bidi w:val="0"/>
        <w:rPr>
          <w:rFonts w:hint="eastAsia"/>
          <w:color w:val="auto"/>
          <w:lang w:eastAsia="zh-CN"/>
        </w:rPr>
      </w:pPr>
      <w:r>
        <w:rPr>
          <w:rFonts w:hint="eastAsia"/>
          <w:color w:val="auto"/>
          <w:lang w:val="en-US" w:eastAsia="zh-CN"/>
        </w:rPr>
        <w:t>11.</w:t>
      </w:r>
      <w:r>
        <w:rPr>
          <w:rFonts w:hint="eastAsia"/>
          <w:color w:val="auto"/>
        </w:rPr>
        <w:t>《特种设备安全监督检查办法》</w:t>
      </w:r>
      <w:r>
        <w:rPr>
          <w:rFonts w:hint="eastAsia"/>
          <w:color w:val="auto"/>
          <w:lang w:eastAsia="zh-CN"/>
        </w:rPr>
        <w:t>（</w:t>
      </w:r>
      <w:r>
        <w:rPr>
          <w:rFonts w:hint="eastAsia"/>
          <w:color w:val="auto"/>
        </w:rPr>
        <w:t>国家市场监督管理总局令</w:t>
      </w:r>
      <w:r>
        <w:rPr>
          <w:rFonts w:hint="eastAsia"/>
          <w:color w:val="auto"/>
          <w:lang w:eastAsia="zh-CN"/>
        </w:rPr>
        <w:t>〔</w:t>
      </w:r>
      <w:r>
        <w:rPr>
          <w:rFonts w:hint="eastAsia"/>
          <w:color w:val="auto"/>
        </w:rPr>
        <w:t>2015</w:t>
      </w:r>
      <w:r>
        <w:rPr>
          <w:rFonts w:hint="eastAsia"/>
          <w:color w:val="auto"/>
          <w:lang w:eastAsia="zh-CN"/>
        </w:rPr>
        <w:t>〕</w:t>
      </w:r>
      <w:r>
        <w:rPr>
          <w:rFonts w:hint="eastAsia"/>
          <w:color w:val="auto"/>
        </w:rPr>
        <w:t>第57号</w:t>
      </w:r>
      <w:r>
        <w:rPr>
          <w:rFonts w:hint="eastAsia"/>
          <w:color w:val="auto"/>
          <w:lang w:eastAsia="zh-CN"/>
        </w:rPr>
        <w:t>，自2022年7月1日起施行）</w:t>
      </w:r>
    </w:p>
    <w:p w14:paraId="0265B638">
      <w:pPr>
        <w:bidi w:val="0"/>
        <w:rPr>
          <w:rFonts w:hint="eastAsia"/>
          <w:color w:val="auto"/>
          <w:lang w:eastAsia="zh-CN"/>
        </w:rPr>
      </w:pPr>
      <w:r>
        <w:rPr>
          <w:rFonts w:hint="eastAsia"/>
          <w:color w:val="auto"/>
          <w:lang w:val="en-US" w:eastAsia="zh-CN"/>
        </w:rPr>
        <w:t>12.</w:t>
      </w:r>
      <w:r>
        <w:rPr>
          <w:rFonts w:hint="eastAsia"/>
          <w:color w:val="auto"/>
          <w:lang w:eastAsia="zh-CN"/>
        </w:rPr>
        <w:t>《产业结构调整指导目录（2024年本）》（国家发改委令〔2023〕第7号，自2024年2月1日起施行)</w:t>
      </w:r>
    </w:p>
    <w:p w14:paraId="74B0D673">
      <w:pPr>
        <w:bidi w:val="0"/>
        <w:rPr>
          <w:rFonts w:hint="eastAsia"/>
          <w:color w:val="auto"/>
          <w:lang w:eastAsia="zh-CN"/>
        </w:rPr>
      </w:pPr>
      <w:r>
        <w:rPr>
          <w:rFonts w:hint="eastAsia"/>
          <w:color w:val="auto"/>
          <w:lang w:val="en-US" w:eastAsia="zh-CN"/>
        </w:rPr>
        <w:t>13</w:t>
      </w:r>
      <w:r>
        <w:rPr>
          <w:rFonts w:hint="eastAsia"/>
          <w:color w:val="auto"/>
          <w:lang w:eastAsia="zh-CN"/>
        </w:rPr>
        <w:t>.《特种设备作业人员监督管理办法》（国家质量监督检验检疫总局令〔2011〕第140号，自2011年7月1日起施行）</w:t>
      </w:r>
    </w:p>
    <w:p w14:paraId="76041F76">
      <w:pPr>
        <w:pStyle w:val="4"/>
        <w:bidi w:val="0"/>
        <w:rPr>
          <w:rFonts w:hint="eastAsia" w:ascii="Times New Roman" w:hAnsi="Times New Roman"/>
          <w:color w:val="auto"/>
          <w:lang w:val="en-US" w:eastAsia="zh-CN"/>
        </w:rPr>
      </w:pPr>
      <w:bookmarkStart w:id="9" w:name="_Toc28189"/>
      <w:r>
        <w:rPr>
          <w:rFonts w:hint="eastAsia" w:ascii="Times New Roman" w:hAnsi="Times New Roman"/>
          <w:color w:val="auto"/>
        </w:rPr>
        <w:t>1.2.</w:t>
      </w:r>
      <w:r>
        <w:rPr>
          <w:rFonts w:hint="eastAsia" w:ascii="Times New Roman" w:hAnsi="Times New Roman"/>
          <w:color w:val="auto"/>
          <w:lang w:val="en-US" w:eastAsia="zh-CN"/>
        </w:rPr>
        <w:t>4 地方性法规</w:t>
      </w:r>
      <w:bookmarkEnd w:id="9"/>
    </w:p>
    <w:p w14:paraId="27EC1C29">
      <w:pPr>
        <w:bidi w:val="0"/>
        <w:rPr>
          <w:rFonts w:hint="eastAsia"/>
          <w:color w:val="auto"/>
        </w:rPr>
      </w:pPr>
      <w:r>
        <w:rPr>
          <w:rFonts w:hint="eastAsia"/>
          <w:color w:val="auto"/>
          <w:lang w:val="en-US" w:eastAsia="zh-CN"/>
        </w:rPr>
        <w:t>1.</w:t>
      </w:r>
      <w:r>
        <w:rPr>
          <w:rFonts w:hint="eastAsia"/>
          <w:color w:val="auto"/>
        </w:rPr>
        <w:t>《江西省安全生产条例》（2007年3月29日江西省第十届人民代表大会常务委员会第二十八次会议通过</w:t>
      </w:r>
      <w:r>
        <w:rPr>
          <w:rFonts w:hint="eastAsia"/>
          <w:color w:val="auto"/>
          <w:lang w:eastAsia="zh-CN"/>
        </w:rPr>
        <w:t>，</w:t>
      </w:r>
      <w:r>
        <w:rPr>
          <w:rFonts w:hint="eastAsia"/>
          <w:color w:val="auto"/>
        </w:rPr>
        <w:t>2017年7月26日江西省第十二届人民代表大会常务委员会第三十四次会议第一次修订</w:t>
      </w:r>
      <w:r>
        <w:rPr>
          <w:rFonts w:hint="eastAsia"/>
          <w:color w:val="auto"/>
          <w:lang w:eastAsia="zh-CN"/>
        </w:rPr>
        <w:t>，</w:t>
      </w:r>
      <w:r>
        <w:rPr>
          <w:rFonts w:hint="eastAsia"/>
          <w:color w:val="auto"/>
        </w:rPr>
        <w:t>2019年9月28日江西省第十三届人民代表大会常务委员会第十五次会议修正</w:t>
      </w:r>
      <w:r>
        <w:rPr>
          <w:rFonts w:hint="eastAsia"/>
          <w:color w:val="auto"/>
          <w:lang w:eastAsia="zh-CN"/>
        </w:rPr>
        <w:t>，</w:t>
      </w:r>
      <w:r>
        <w:rPr>
          <w:rFonts w:hint="eastAsia"/>
          <w:color w:val="auto"/>
        </w:rPr>
        <w:t>2023年7月26日江西省第十四届人民代表大会常务委员会第三次会议第二次修订</w:t>
      </w:r>
      <w:r>
        <w:rPr>
          <w:rFonts w:hint="eastAsia"/>
          <w:color w:val="auto"/>
          <w:lang w:eastAsia="zh-CN"/>
        </w:rPr>
        <w:t>，自2023年9月1日起施行</w:t>
      </w:r>
      <w:r>
        <w:rPr>
          <w:rFonts w:hint="eastAsia"/>
          <w:color w:val="auto"/>
        </w:rPr>
        <w:t>）</w:t>
      </w:r>
    </w:p>
    <w:p w14:paraId="674914B5">
      <w:pPr>
        <w:bidi w:val="0"/>
        <w:rPr>
          <w:rFonts w:hint="eastAsia"/>
          <w:color w:val="auto"/>
        </w:rPr>
      </w:pPr>
      <w:r>
        <w:rPr>
          <w:rFonts w:hint="eastAsia"/>
          <w:color w:val="auto"/>
          <w:lang w:val="en-US" w:eastAsia="zh-CN"/>
        </w:rPr>
        <w:t>2.</w:t>
      </w:r>
      <w:r>
        <w:rPr>
          <w:rFonts w:hint="eastAsia"/>
          <w:color w:val="auto"/>
        </w:rPr>
        <w:t>《江西省消防条例》（1995年12月20日江西省第八届人民代表大会常务委员会第十九次会议通过，2018年7月27日江西省第十三届人民代表大会常务委员会第四次会议第五次修正，2020年11月25日江西省第十三届人民代表大会常务委员会第二十五次会议第六次修正，自2010年11月9日起施行）</w:t>
      </w:r>
    </w:p>
    <w:p w14:paraId="7BED7C40">
      <w:pPr>
        <w:bidi w:val="0"/>
        <w:rPr>
          <w:rFonts w:hint="eastAsia"/>
          <w:color w:val="auto"/>
        </w:rPr>
      </w:pPr>
      <w:r>
        <w:rPr>
          <w:rFonts w:hint="eastAsia"/>
          <w:color w:val="auto"/>
          <w:lang w:val="en-US" w:eastAsia="zh-CN"/>
        </w:rPr>
        <w:t>3.</w:t>
      </w:r>
      <w:r>
        <w:rPr>
          <w:rFonts w:hint="eastAsia"/>
          <w:color w:val="auto"/>
        </w:rPr>
        <w:t>《江西省特种设备安全条例》（2017年11月30日江西省第十二届人大常务委员会第三十六次会议通过，2019年9月28日江西省第十三届人民代表大会常务委员会第十五次会议</w:t>
      </w:r>
      <w:r>
        <w:rPr>
          <w:rFonts w:hint="eastAsia"/>
          <w:color w:val="auto"/>
          <w:lang w:val="en-US" w:eastAsia="zh-CN"/>
        </w:rPr>
        <w:t>修正，自</w:t>
      </w:r>
      <w:r>
        <w:rPr>
          <w:rFonts w:hint="eastAsia"/>
          <w:color w:val="auto"/>
        </w:rPr>
        <w:t>2018年3月1日起施行）</w:t>
      </w:r>
    </w:p>
    <w:p w14:paraId="3D425C34">
      <w:pPr>
        <w:bidi w:val="0"/>
        <w:rPr>
          <w:rFonts w:hint="eastAsia"/>
          <w:color w:val="auto"/>
        </w:rPr>
      </w:pPr>
      <w:r>
        <w:rPr>
          <w:rFonts w:hint="eastAsia"/>
          <w:color w:val="auto"/>
          <w:lang w:val="en-US" w:eastAsia="zh-CN"/>
        </w:rPr>
        <w:t>4.</w:t>
      </w:r>
      <w:r>
        <w:rPr>
          <w:rFonts w:hint="eastAsia"/>
          <w:color w:val="auto"/>
        </w:rPr>
        <w:t>《江西省生产安全事故隐患排查治理办法》（2018年10月10日省人民政府令第238号发布，2021年6月9日省人民政府令第250号第一次修正，自2018年12月1日起施行）</w:t>
      </w:r>
    </w:p>
    <w:p w14:paraId="39477013">
      <w:pPr>
        <w:pStyle w:val="4"/>
        <w:bidi w:val="0"/>
        <w:rPr>
          <w:rFonts w:hint="eastAsia" w:ascii="Times New Roman" w:hAnsi="Times New Roman"/>
          <w:color w:val="auto"/>
          <w:lang w:val="en-US" w:eastAsia="zh-CN"/>
        </w:rPr>
      </w:pPr>
      <w:bookmarkStart w:id="10" w:name="_Toc30783"/>
      <w:r>
        <w:rPr>
          <w:rFonts w:hint="eastAsia" w:ascii="Times New Roman" w:hAnsi="Times New Roman"/>
          <w:color w:val="auto"/>
        </w:rPr>
        <w:t>1.2.</w:t>
      </w:r>
      <w:r>
        <w:rPr>
          <w:rFonts w:hint="eastAsia" w:ascii="Times New Roman" w:hAnsi="Times New Roman"/>
          <w:color w:val="auto"/>
          <w:lang w:val="en-US" w:eastAsia="zh-CN"/>
        </w:rPr>
        <w:t>5 规范性文件</w:t>
      </w:r>
      <w:bookmarkEnd w:id="10"/>
    </w:p>
    <w:p w14:paraId="3A4378CB">
      <w:pPr>
        <w:bidi w:val="0"/>
        <w:rPr>
          <w:rFonts w:hint="eastAsia"/>
          <w:color w:val="auto"/>
        </w:rPr>
      </w:pPr>
      <w:r>
        <w:rPr>
          <w:rFonts w:hint="eastAsia"/>
          <w:color w:val="auto"/>
          <w:lang w:val="en-US" w:eastAsia="zh-CN"/>
        </w:rPr>
        <w:t>1.</w:t>
      </w:r>
      <w:r>
        <w:rPr>
          <w:rFonts w:hint="eastAsia"/>
          <w:color w:val="auto"/>
        </w:rPr>
        <w:t>《国务院关于进一步加强安全生产工作的决定》（国发</w:t>
      </w:r>
      <w:r>
        <w:rPr>
          <w:rFonts w:hint="eastAsia"/>
          <w:color w:val="auto"/>
          <w:lang w:eastAsia="zh-CN"/>
        </w:rPr>
        <w:t>〔</w:t>
      </w:r>
      <w:r>
        <w:rPr>
          <w:rFonts w:hint="eastAsia"/>
          <w:color w:val="auto"/>
          <w:lang w:val="en-US" w:eastAsia="zh-CN"/>
        </w:rPr>
        <w:t>2004</w:t>
      </w:r>
      <w:r>
        <w:rPr>
          <w:rFonts w:hint="eastAsia"/>
          <w:color w:val="auto"/>
          <w:lang w:eastAsia="zh-CN"/>
        </w:rPr>
        <w:t>〕</w:t>
      </w:r>
      <w:r>
        <w:rPr>
          <w:rFonts w:hint="eastAsia"/>
          <w:color w:val="auto"/>
        </w:rPr>
        <w:t>2号）</w:t>
      </w:r>
    </w:p>
    <w:p w14:paraId="499FEA44">
      <w:pPr>
        <w:bidi w:val="0"/>
        <w:rPr>
          <w:rFonts w:hint="eastAsia"/>
          <w:color w:val="auto"/>
        </w:rPr>
      </w:pPr>
      <w:r>
        <w:rPr>
          <w:rFonts w:hint="eastAsia"/>
          <w:color w:val="auto"/>
          <w:lang w:val="en-US" w:eastAsia="zh-CN"/>
        </w:rPr>
        <w:t>2.</w:t>
      </w:r>
      <w:r>
        <w:rPr>
          <w:rFonts w:hint="eastAsia"/>
          <w:color w:val="auto"/>
        </w:rPr>
        <w:t>《国务院关于进一步加强企业安全生产工作的通知》（国发</w:t>
      </w:r>
      <w:r>
        <w:rPr>
          <w:rFonts w:hint="eastAsia"/>
          <w:color w:val="auto"/>
          <w:lang w:eastAsia="zh-CN"/>
        </w:rPr>
        <w:t>〔</w:t>
      </w:r>
      <w:r>
        <w:rPr>
          <w:rFonts w:hint="eastAsia"/>
          <w:color w:val="auto"/>
          <w:lang w:val="en-US" w:eastAsia="zh-CN"/>
        </w:rPr>
        <w:t>2010</w:t>
      </w:r>
      <w:r>
        <w:rPr>
          <w:rFonts w:hint="eastAsia"/>
          <w:color w:val="auto"/>
          <w:lang w:eastAsia="zh-CN"/>
        </w:rPr>
        <w:t>〕</w:t>
      </w:r>
      <w:r>
        <w:rPr>
          <w:rFonts w:hint="eastAsia"/>
          <w:color w:val="auto"/>
        </w:rPr>
        <w:t>23号）</w:t>
      </w:r>
    </w:p>
    <w:p w14:paraId="17339651">
      <w:pPr>
        <w:bidi w:val="0"/>
        <w:rPr>
          <w:rFonts w:hint="eastAsia"/>
          <w:color w:val="auto"/>
        </w:rPr>
      </w:pPr>
      <w:r>
        <w:rPr>
          <w:rFonts w:hint="eastAsia"/>
          <w:color w:val="auto"/>
          <w:lang w:val="en-US" w:eastAsia="zh-CN"/>
        </w:rPr>
        <w:t>3.</w:t>
      </w:r>
      <w:r>
        <w:rPr>
          <w:rFonts w:hint="eastAsia"/>
          <w:color w:val="auto"/>
        </w:rPr>
        <w:t>《国务院关于加强地质灾害防治工作的决定》（国发</w:t>
      </w:r>
      <w:r>
        <w:rPr>
          <w:rFonts w:hint="eastAsia"/>
          <w:color w:val="auto"/>
          <w:lang w:eastAsia="zh-CN"/>
        </w:rPr>
        <w:t>〔</w:t>
      </w:r>
      <w:r>
        <w:rPr>
          <w:rFonts w:hint="eastAsia"/>
          <w:color w:val="auto"/>
          <w:lang w:val="en-US" w:eastAsia="zh-CN"/>
        </w:rPr>
        <w:t>2011</w:t>
      </w:r>
      <w:r>
        <w:rPr>
          <w:rFonts w:hint="eastAsia"/>
          <w:color w:val="auto"/>
          <w:lang w:eastAsia="zh-CN"/>
        </w:rPr>
        <w:t>〕</w:t>
      </w:r>
      <w:r>
        <w:rPr>
          <w:rFonts w:hint="eastAsia"/>
          <w:color w:val="auto"/>
        </w:rPr>
        <w:t>20号）</w:t>
      </w:r>
    </w:p>
    <w:p w14:paraId="18664339">
      <w:pPr>
        <w:bidi w:val="0"/>
        <w:rPr>
          <w:rFonts w:hint="eastAsia"/>
          <w:color w:val="auto"/>
        </w:rPr>
      </w:pPr>
      <w:r>
        <w:rPr>
          <w:rFonts w:hint="eastAsia"/>
          <w:color w:val="auto"/>
          <w:lang w:val="en-US" w:eastAsia="zh-CN"/>
        </w:rPr>
        <w:t>4.</w:t>
      </w:r>
      <w:r>
        <w:rPr>
          <w:rFonts w:hint="eastAsia"/>
          <w:color w:val="auto"/>
        </w:rPr>
        <w:t>《国务院关于坚持科学发展安全发展促进安全生产形势持续稳定好转的意见》（国发</w:t>
      </w:r>
      <w:r>
        <w:rPr>
          <w:rFonts w:hint="eastAsia"/>
          <w:color w:val="auto"/>
          <w:lang w:eastAsia="zh-CN"/>
        </w:rPr>
        <w:t>〔</w:t>
      </w:r>
      <w:r>
        <w:rPr>
          <w:rFonts w:hint="eastAsia"/>
          <w:color w:val="auto"/>
          <w:lang w:val="en-US" w:eastAsia="zh-CN"/>
        </w:rPr>
        <w:t>2011</w:t>
      </w:r>
      <w:r>
        <w:rPr>
          <w:rFonts w:hint="eastAsia"/>
          <w:color w:val="auto"/>
          <w:lang w:eastAsia="zh-CN"/>
        </w:rPr>
        <w:t>〕</w:t>
      </w:r>
      <w:r>
        <w:rPr>
          <w:rFonts w:hint="eastAsia"/>
          <w:color w:val="auto"/>
        </w:rPr>
        <w:t>40号）</w:t>
      </w:r>
    </w:p>
    <w:p w14:paraId="79310ABD">
      <w:pPr>
        <w:bidi w:val="0"/>
        <w:rPr>
          <w:rFonts w:hint="eastAsia"/>
          <w:color w:val="auto"/>
        </w:rPr>
      </w:pPr>
      <w:r>
        <w:rPr>
          <w:rFonts w:hint="eastAsia"/>
          <w:color w:val="auto"/>
          <w:lang w:val="en-US" w:eastAsia="zh-CN"/>
        </w:rPr>
        <w:t>5.</w:t>
      </w:r>
      <w:r>
        <w:rPr>
          <w:rFonts w:hint="eastAsia"/>
          <w:color w:val="auto"/>
        </w:rPr>
        <w:t>《江西省人民政府关于进一步加强企业安全生产工作的实施意见》（赣府发</w:t>
      </w:r>
      <w:r>
        <w:rPr>
          <w:rFonts w:hint="eastAsia"/>
          <w:color w:val="auto"/>
          <w:lang w:eastAsia="zh-CN"/>
        </w:rPr>
        <w:t>〔</w:t>
      </w:r>
      <w:r>
        <w:rPr>
          <w:rFonts w:hint="eastAsia"/>
          <w:color w:val="auto"/>
          <w:lang w:val="en-US" w:eastAsia="zh-CN"/>
        </w:rPr>
        <w:t>2010</w:t>
      </w:r>
      <w:r>
        <w:rPr>
          <w:rFonts w:hint="eastAsia"/>
          <w:color w:val="auto"/>
          <w:lang w:eastAsia="zh-CN"/>
        </w:rPr>
        <w:t>〕</w:t>
      </w:r>
      <w:r>
        <w:rPr>
          <w:rFonts w:hint="eastAsia"/>
          <w:color w:val="auto"/>
        </w:rPr>
        <w:t>32号）</w:t>
      </w:r>
    </w:p>
    <w:p w14:paraId="65878028">
      <w:pPr>
        <w:bidi w:val="0"/>
        <w:rPr>
          <w:rFonts w:hint="eastAsia"/>
          <w:color w:val="auto"/>
          <w:lang w:eastAsia="zh-CN"/>
        </w:rPr>
      </w:pPr>
      <w:r>
        <w:rPr>
          <w:rFonts w:hint="eastAsia"/>
          <w:color w:val="auto"/>
          <w:lang w:val="en-US" w:eastAsia="zh-CN"/>
        </w:rPr>
        <w:t>6.</w:t>
      </w:r>
      <w:r>
        <w:rPr>
          <w:rFonts w:hint="eastAsia"/>
          <w:color w:val="auto"/>
          <w:lang w:eastAsia="zh-CN"/>
        </w:rPr>
        <w:t>《</w:t>
      </w:r>
      <w:r>
        <w:rPr>
          <w:rFonts w:hint="eastAsia"/>
          <w:color w:val="auto"/>
        </w:rPr>
        <w:t>国务院安委会办公室关于认真学习贯彻</w:t>
      </w:r>
      <w:r>
        <w:rPr>
          <w:rFonts w:hint="eastAsia"/>
          <w:color w:val="auto"/>
          <w:lang w:val="en-US" w:eastAsia="zh-CN"/>
        </w:rPr>
        <w:t>&lt;</w:t>
      </w:r>
      <w:r>
        <w:rPr>
          <w:rFonts w:hint="eastAsia"/>
          <w:color w:val="auto"/>
        </w:rPr>
        <w:t>国务院关于坚持科学发展安全发展促进安全生产形势持续稳定好转的意见</w:t>
      </w:r>
      <w:r>
        <w:rPr>
          <w:rFonts w:hint="eastAsia"/>
          <w:color w:val="auto"/>
          <w:lang w:val="en-US" w:eastAsia="zh-CN"/>
        </w:rPr>
        <w:t>&gt;</w:t>
      </w:r>
      <w:r>
        <w:rPr>
          <w:rFonts w:hint="eastAsia"/>
          <w:color w:val="auto"/>
        </w:rPr>
        <w:t>的通知</w:t>
      </w:r>
      <w:r>
        <w:rPr>
          <w:rFonts w:hint="eastAsia"/>
          <w:color w:val="auto"/>
          <w:lang w:eastAsia="zh-CN"/>
        </w:rPr>
        <w:t>》（</w:t>
      </w:r>
      <w:r>
        <w:rPr>
          <w:color w:val="auto"/>
        </w:rPr>
        <w:t>安委办</w:t>
      </w:r>
      <w:r>
        <w:rPr>
          <w:rFonts w:hint="eastAsia"/>
          <w:color w:val="auto"/>
          <w:lang w:eastAsia="zh-CN"/>
        </w:rPr>
        <w:t>〔</w:t>
      </w:r>
      <w:r>
        <w:rPr>
          <w:rFonts w:hint="eastAsia"/>
          <w:color w:val="auto"/>
          <w:lang w:val="en-US" w:eastAsia="zh-CN"/>
        </w:rPr>
        <w:t>2011</w:t>
      </w:r>
      <w:r>
        <w:rPr>
          <w:rFonts w:hint="eastAsia"/>
          <w:color w:val="auto"/>
          <w:lang w:eastAsia="zh-CN"/>
        </w:rPr>
        <w:t>〕</w:t>
      </w:r>
      <w:r>
        <w:rPr>
          <w:color w:val="auto"/>
        </w:rPr>
        <w:t>48号</w:t>
      </w:r>
      <w:r>
        <w:rPr>
          <w:rFonts w:hint="eastAsia"/>
          <w:color w:val="auto"/>
          <w:lang w:eastAsia="zh-CN"/>
        </w:rPr>
        <w:t>）</w:t>
      </w:r>
    </w:p>
    <w:p w14:paraId="32E03E13">
      <w:pPr>
        <w:bidi w:val="0"/>
        <w:rPr>
          <w:rFonts w:hint="eastAsia"/>
          <w:color w:val="auto"/>
        </w:rPr>
      </w:pPr>
      <w:r>
        <w:rPr>
          <w:rFonts w:hint="eastAsia"/>
          <w:color w:val="auto"/>
          <w:lang w:val="en-US" w:eastAsia="zh-CN"/>
        </w:rPr>
        <w:t>7.</w:t>
      </w:r>
      <w:r>
        <w:rPr>
          <w:rFonts w:hint="eastAsia"/>
          <w:color w:val="auto"/>
        </w:rPr>
        <w:t>《国务院安委办关于建立安全隐患排查治理体系的通知》（安委办</w:t>
      </w:r>
      <w:r>
        <w:rPr>
          <w:rFonts w:hint="eastAsia"/>
          <w:color w:val="auto"/>
          <w:lang w:eastAsia="zh-CN"/>
        </w:rPr>
        <w:t>〔</w:t>
      </w:r>
      <w:r>
        <w:rPr>
          <w:rFonts w:hint="eastAsia"/>
          <w:color w:val="auto"/>
          <w:lang w:val="en-US" w:eastAsia="zh-CN"/>
        </w:rPr>
        <w:t>2012</w:t>
      </w:r>
      <w:r>
        <w:rPr>
          <w:rFonts w:hint="eastAsia"/>
          <w:color w:val="auto"/>
          <w:lang w:eastAsia="zh-CN"/>
        </w:rPr>
        <w:t>〕</w:t>
      </w:r>
      <w:r>
        <w:rPr>
          <w:rFonts w:hint="eastAsia"/>
          <w:color w:val="auto"/>
        </w:rPr>
        <w:t>1号）</w:t>
      </w:r>
    </w:p>
    <w:p w14:paraId="70DEE204">
      <w:pPr>
        <w:bidi w:val="0"/>
        <w:rPr>
          <w:rFonts w:hint="eastAsia"/>
          <w:color w:val="auto"/>
        </w:rPr>
      </w:pPr>
      <w:r>
        <w:rPr>
          <w:rFonts w:hint="eastAsia"/>
          <w:color w:val="auto"/>
          <w:lang w:val="en-US" w:eastAsia="zh-CN"/>
        </w:rPr>
        <w:t>8.</w:t>
      </w:r>
      <w:r>
        <w:rPr>
          <w:rFonts w:hint="eastAsia"/>
          <w:color w:val="auto"/>
        </w:rPr>
        <w:t>《关于认真学习和贯彻落实〈国务院关于进一步加强企业安全生产工作的通知〉的通知》（安委办</w:t>
      </w:r>
      <w:r>
        <w:rPr>
          <w:rFonts w:hint="eastAsia"/>
          <w:color w:val="auto"/>
          <w:lang w:eastAsia="zh-CN"/>
        </w:rPr>
        <w:t>〔</w:t>
      </w:r>
      <w:r>
        <w:rPr>
          <w:rFonts w:hint="eastAsia"/>
          <w:color w:val="auto"/>
          <w:lang w:val="en-US" w:eastAsia="zh-CN"/>
        </w:rPr>
        <w:t>2010</w:t>
      </w:r>
      <w:r>
        <w:rPr>
          <w:rFonts w:hint="eastAsia"/>
          <w:color w:val="auto"/>
          <w:lang w:eastAsia="zh-CN"/>
        </w:rPr>
        <w:t>〕</w:t>
      </w:r>
      <w:r>
        <w:rPr>
          <w:rFonts w:hint="eastAsia"/>
          <w:color w:val="auto"/>
        </w:rPr>
        <w:t>15号）</w:t>
      </w:r>
    </w:p>
    <w:p w14:paraId="39C2A7CF">
      <w:pPr>
        <w:bidi w:val="0"/>
        <w:rPr>
          <w:rFonts w:hint="eastAsia"/>
          <w:color w:val="auto"/>
        </w:rPr>
      </w:pPr>
      <w:r>
        <w:rPr>
          <w:rFonts w:hint="eastAsia"/>
          <w:color w:val="auto"/>
          <w:lang w:val="en-US" w:eastAsia="zh-CN"/>
        </w:rPr>
        <w:t>9.</w:t>
      </w:r>
      <w:r>
        <w:rPr>
          <w:rFonts w:hint="eastAsia"/>
          <w:color w:val="auto"/>
        </w:rPr>
        <w:t>《国务院安委会办公室关于实施遏制重特大事故工作指南构建双重预防机制的意见》（安委办</w:t>
      </w:r>
      <w:r>
        <w:rPr>
          <w:rFonts w:hint="eastAsia"/>
          <w:color w:val="auto"/>
          <w:lang w:eastAsia="zh-CN"/>
        </w:rPr>
        <w:t>〔</w:t>
      </w:r>
      <w:r>
        <w:rPr>
          <w:rFonts w:hint="eastAsia"/>
          <w:color w:val="auto"/>
          <w:lang w:val="en-US" w:eastAsia="zh-CN"/>
        </w:rPr>
        <w:t>2016</w:t>
      </w:r>
      <w:r>
        <w:rPr>
          <w:rFonts w:hint="eastAsia"/>
          <w:color w:val="auto"/>
          <w:lang w:eastAsia="zh-CN"/>
        </w:rPr>
        <w:t>〕</w:t>
      </w:r>
      <w:r>
        <w:rPr>
          <w:rFonts w:hint="eastAsia"/>
          <w:color w:val="auto"/>
        </w:rPr>
        <w:t>11号）</w:t>
      </w:r>
    </w:p>
    <w:p w14:paraId="4B361FC2">
      <w:pPr>
        <w:bidi w:val="0"/>
        <w:rPr>
          <w:rFonts w:hint="eastAsia"/>
          <w:color w:val="auto"/>
          <w:lang w:eastAsia="zh-CN"/>
        </w:rPr>
      </w:pPr>
      <w:r>
        <w:rPr>
          <w:rFonts w:hint="eastAsia"/>
          <w:color w:val="auto"/>
          <w:lang w:val="en-US" w:eastAsia="zh-CN"/>
        </w:rPr>
        <w:t>10.</w:t>
      </w:r>
      <w:r>
        <w:rPr>
          <w:rFonts w:hint="eastAsia"/>
          <w:color w:val="auto"/>
        </w:rPr>
        <w:t>《关于印发&lt;江西省关于进一步加强高危行业企业生产安全事故应急预案管理规定（暂行）&gt;的通知》</w:t>
      </w:r>
      <w:r>
        <w:rPr>
          <w:rFonts w:hint="eastAsia"/>
          <w:color w:val="auto"/>
          <w:lang w:eastAsia="zh-CN"/>
        </w:rPr>
        <w:t>（赣安监管应急字〔</w:t>
      </w:r>
      <w:r>
        <w:rPr>
          <w:rFonts w:hint="eastAsia"/>
          <w:color w:val="auto"/>
          <w:lang w:val="en-US" w:eastAsia="zh-CN"/>
        </w:rPr>
        <w:t>2012</w:t>
      </w:r>
      <w:r>
        <w:rPr>
          <w:rFonts w:hint="eastAsia"/>
          <w:color w:val="auto"/>
          <w:lang w:eastAsia="zh-CN"/>
        </w:rPr>
        <w:t>〕63号）</w:t>
      </w:r>
    </w:p>
    <w:p w14:paraId="3EFE4748">
      <w:pPr>
        <w:bidi w:val="0"/>
        <w:rPr>
          <w:rFonts w:hint="eastAsia"/>
          <w:color w:val="auto"/>
        </w:rPr>
      </w:pPr>
      <w:r>
        <w:rPr>
          <w:rFonts w:hint="eastAsia"/>
          <w:color w:val="auto"/>
          <w:lang w:val="en-US" w:eastAsia="zh-CN"/>
        </w:rPr>
        <w:t>11.</w:t>
      </w:r>
      <w:r>
        <w:rPr>
          <w:rFonts w:hint="eastAsia"/>
          <w:color w:val="auto"/>
        </w:rPr>
        <w:t>《江西省安委会关于加强生产经营单位事故隐患排查治理工作的指导意见》（赣安</w:t>
      </w:r>
      <w:r>
        <w:rPr>
          <w:rFonts w:hint="eastAsia"/>
          <w:color w:val="auto"/>
          <w:lang w:eastAsia="zh-CN"/>
        </w:rPr>
        <w:t>〔</w:t>
      </w:r>
      <w:r>
        <w:rPr>
          <w:rFonts w:hint="eastAsia"/>
          <w:color w:val="auto"/>
          <w:lang w:val="en-US" w:eastAsia="zh-CN"/>
        </w:rPr>
        <w:t>2014</w:t>
      </w:r>
      <w:r>
        <w:rPr>
          <w:rFonts w:hint="eastAsia"/>
          <w:color w:val="auto"/>
          <w:lang w:eastAsia="zh-CN"/>
        </w:rPr>
        <w:t>〕</w:t>
      </w:r>
      <w:r>
        <w:rPr>
          <w:rFonts w:hint="eastAsia"/>
          <w:color w:val="auto"/>
        </w:rPr>
        <w:t>32号）</w:t>
      </w:r>
    </w:p>
    <w:p w14:paraId="4A6BD8F6">
      <w:pPr>
        <w:bidi w:val="0"/>
        <w:rPr>
          <w:rFonts w:hint="eastAsia"/>
          <w:color w:val="auto"/>
        </w:rPr>
      </w:pPr>
      <w:r>
        <w:rPr>
          <w:rFonts w:hint="eastAsia"/>
          <w:color w:val="auto"/>
          <w:lang w:val="en-US" w:eastAsia="zh-CN"/>
        </w:rPr>
        <w:t>12.</w:t>
      </w:r>
      <w:r>
        <w:rPr>
          <w:rFonts w:hint="eastAsia"/>
          <w:color w:val="auto"/>
        </w:rPr>
        <w:t>《国家安全监管总局关于宣布失效一批安全生产文件的通知》（安监总政法</w:t>
      </w:r>
      <w:r>
        <w:rPr>
          <w:rFonts w:hint="eastAsia"/>
          <w:color w:val="auto"/>
          <w:lang w:eastAsia="zh-CN"/>
        </w:rPr>
        <w:t>〔</w:t>
      </w:r>
      <w:r>
        <w:rPr>
          <w:rFonts w:hint="eastAsia"/>
          <w:color w:val="auto"/>
          <w:lang w:val="en-US" w:eastAsia="zh-CN"/>
        </w:rPr>
        <w:t>2018</w:t>
      </w:r>
      <w:r>
        <w:rPr>
          <w:rFonts w:hint="eastAsia"/>
          <w:color w:val="auto"/>
          <w:lang w:eastAsia="zh-CN"/>
        </w:rPr>
        <w:t>〕</w:t>
      </w:r>
      <w:r>
        <w:rPr>
          <w:rFonts w:hint="eastAsia"/>
          <w:color w:val="auto"/>
        </w:rPr>
        <w:t>28号）</w:t>
      </w:r>
    </w:p>
    <w:p w14:paraId="32118806">
      <w:pPr>
        <w:bidi w:val="0"/>
        <w:rPr>
          <w:rFonts w:hint="eastAsia"/>
          <w:color w:val="auto"/>
        </w:rPr>
      </w:pPr>
      <w:r>
        <w:rPr>
          <w:rFonts w:hint="eastAsia"/>
          <w:color w:val="auto"/>
          <w:lang w:val="en-US" w:eastAsia="zh-CN"/>
        </w:rPr>
        <w:t>13.</w:t>
      </w:r>
      <w:r>
        <w:rPr>
          <w:rFonts w:hint="eastAsia"/>
          <w:color w:val="auto"/>
        </w:rPr>
        <w:t>《江西省安委会办公室关于印发企业安全生产资料建档通用要求的通知》（赣安办字</w:t>
      </w:r>
      <w:r>
        <w:rPr>
          <w:rFonts w:hint="eastAsia"/>
          <w:color w:val="auto"/>
          <w:lang w:eastAsia="zh-CN"/>
        </w:rPr>
        <w:t>〔</w:t>
      </w:r>
      <w:r>
        <w:rPr>
          <w:rFonts w:hint="eastAsia"/>
          <w:color w:val="auto"/>
          <w:lang w:val="en-US" w:eastAsia="zh-CN"/>
        </w:rPr>
        <w:t>2016</w:t>
      </w:r>
      <w:r>
        <w:rPr>
          <w:rFonts w:hint="eastAsia"/>
          <w:color w:val="auto"/>
          <w:lang w:eastAsia="zh-CN"/>
        </w:rPr>
        <w:t>〕</w:t>
      </w:r>
      <w:r>
        <w:rPr>
          <w:rFonts w:hint="eastAsia"/>
          <w:color w:val="auto"/>
        </w:rPr>
        <w:t>53号）</w:t>
      </w:r>
    </w:p>
    <w:p w14:paraId="1E75F3DD">
      <w:pPr>
        <w:bidi w:val="0"/>
        <w:rPr>
          <w:rFonts w:hint="eastAsia"/>
          <w:color w:val="auto"/>
          <w:lang w:eastAsia="zh-CN"/>
        </w:rPr>
      </w:pPr>
      <w:r>
        <w:rPr>
          <w:rFonts w:hint="eastAsia"/>
          <w:color w:val="auto"/>
          <w:lang w:val="en-US" w:eastAsia="zh-CN"/>
        </w:rPr>
        <w:t>14.</w:t>
      </w:r>
      <w:r>
        <w:rPr>
          <w:rFonts w:hint="eastAsia"/>
          <w:color w:val="auto"/>
        </w:rPr>
        <w:t>《江西省安委会办公室关于印发江西省安全风险分级管控体系建设通用指南的通知》（赣安办字</w:t>
      </w:r>
      <w:r>
        <w:rPr>
          <w:rFonts w:hint="eastAsia"/>
          <w:color w:val="auto"/>
          <w:lang w:eastAsia="zh-CN"/>
        </w:rPr>
        <w:t>〔</w:t>
      </w:r>
      <w:r>
        <w:rPr>
          <w:rFonts w:hint="eastAsia"/>
          <w:color w:val="auto"/>
          <w:lang w:val="en-US" w:eastAsia="zh-CN"/>
        </w:rPr>
        <w:t>2016</w:t>
      </w:r>
      <w:r>
        <w:rPr>
          <w:rFonts w:hint="eastAsia"/>
          <w:color w:val="auto"/>
          <w:lang w:eastAsia="zh-CN"/>
        </w:rPr>
        <w:t>〕</w:t>
      </w:r>
      <w:r>
        <w:rPr>
          <w:rFonts w:hint="eastAsia"/>
          <w:color w:val="auto"/>
        </w:rPr>
        <w:t>55号）</w:t>
      </w:r>
    </w:p>
    <w:p w14:paraId="43425C99">
      <w:pPr>
        <w:bidi w:val="0"/>
        <w:rPr>
          <w:rFonts w:hint="eastAsia"/>
          <w:color w:val="auto"/>
        </w:rPr>
      </w:pPr>
      <w:r>
        <w:rPr>
          <w:rFonts w:hint="eastAsia"/>
          <w:color w:val="auto"/>
          <w:lang w:val="en-US" w:eastAsia="zh-CN"/>
        </w:rPr>
        <w:t>15.</w:t>
      </w:r>
      <w:r>
        <w:rPr>
          <w:rFonts w:hint="eastAsia"/>
          <w:color w:val="auto"/>
        </w:rPr>
        <w:t>《江西省安全生产委员会关于在全省高危行业领域实施安全生产责任保险制度的指导意见》（赣安</w:t>
      </w:r>
      <w:r>
        <w:rPr>
          <w:rFonts w:hint="eastAsia"/>
          <w:color w:val="auto"/>
          <w:lang w:eastAsia="zh-CN"/>
        </w:rPr>
        <w:t>〔</w:t>
      </w:r>
      <w:r>
        <w:rPr>
          <w:rFonts w:hint="eastAsia"/>
          <w:color w:val="auto"/>
          <w:lang w:val="en-US" w:eastAsia="zh-CN"/>
        </w:rPr>
        <w:t>2017</w:t>
      </w:r>
      <w:r>
        <w:rPr>
          <w:rFonts w:hint="eastAsia"/>
          <w:color w:val="auto"/>
          <w:lang w:eastAsia="zh-CN"/>
        </w:rPr>
        <w:t>〕</w:t>
      </w:r>
      <w:r>
        <w:rPr>
          <w:rFonts w:hint="eastAsia"/>
          <w:color w:val="auto"/>
        </w:rPr>
        <w:t>22号）</w:t>
      </w:r>
    </w:p>
    <w:p w14:paraId="40EF4703">
      <w:pPr>
        <w:bidi w:val="0"/>
        <w:rPr>
          <w:rFonts w:hint="eastAsia"/>
          <w:color w:val="auto"/>
        </w:rPr>
      </w:pPr>
      <w:r>
        <w:rPr>
          <w:rFonts w:hint="eastAsia"/>
          <w:color w:val="auto"/>
          <w:lang w:val="en-US" w:eastAsia="zh-CN"/>
        </w:rPr>
        <w:t>16.</w:t>
      </w:r>
      <w:r>
        <w:rPr>
          <w:rFonts w:hint="eastAsia"/>
          <w:color w:val="auto"/>
        </w:rPr>
        <w:t>《国家安全监管总局关于进一步加强企业安全生产规范化建设严格落实企业安全生产主体责任的指导意见》（安监总办</w:t>
      </w:r>
      <w:r>
        <w:rPr>
          <w:rFonts w:hint="eastAsia"/>
          <w:color w:val="auto"/>
          <w:lang w:eastAsia="zh-CN"/>
        </w:rPr>
        <w:t>〔</w:t>
      </w:r>
      <w:r>
        <w:rPr>
          <w:rFonts w:hint="eastAsia"/>
          <w:color w:val="auto"/>
        </w:rPr>
        <w:t>2010</w:t>
      </w:r>
      <w:r>
        <w:rPr>
          <w:rFonts w:hint="eastAsia"/>
          <w:color w:val="auto"/>
          <w:lang w:eastAsia="zh-CN"/>
        </w:rPr>
        <w:t>〕</w:t>
      </w:r>
      <w:r>
        <w:rPr>
          <w:rFonts w:hint="eastAsia"/>
          <w:color w:val="auto"/>
        </w:rPr>
        <w:t>139号）</w:t>
      </w:r>
    </w:p>
    <w:p w14:paraId="3622F5DB">
      <w:pPr>
        <w:bidi w:val="0"/>
        <w:rPr>
          <w:rFonts w:hint="eastAsia"/>
          <w:color w:val="auto"/>
        </w:rPr>
      </w:pPr>
      <w:r>
        <w:rPr>
          <w:rFonts w:hint="eastAsia"/>
          <w:color w:val="auto"/>
          <w:lang w:val="en-US" w:eastAsia="zh-CN"/>
        </w:rPr>
        <w:t>17.</w:t>
      </w:r>
      <w:r>
        <w:rPr>
          <w:rFonts w:hint="eastAsia"/>
          <w:color w:val="auto"/>
        </w:rPr>
        <w:t>《国家安全监管总局</w:t>
      </w:r>
      <w:r>
        <w:rPr>
          <w:rFonts w:hint="eastAsia"/>
          <w:color w:val="auto"/>
          <w:lang w:eastAsia="zh-CN"/>
        </w:rPr>
        <w:t>、</w:t>
      </w:r>
      <w:r>
        <w:rPr>
          <w:rFonts w:hint="eastAsia"/>
          <w:color w:val="auto"/>
        </w:rPr>
        <w:t>保监会</w:t>
      </w:r>
      <w:r>
        <w:rPr>
          <w:rFonts w:hint="eastAsia"/>
          <w:color w:val="auto"/>
          <w:lang w:eastAsia="zh-CN"/>
        </w:rPr>
        <w:t>、</w:t>
      </w:r>
      <w:r>
        <w:rPr>
          <w:rFonts w:hint="eastAsia"/>
          <w:color w:val="auto"/>
        </w:rPr>
        <w:t>财政部关于印发〈安全生产责任保险实施办法〉的通知》（安监总办</w:t>
      </w:r>
      <w:r>
        <w:rPr>
          <w:rFonts w:hint="eastAsia"/>
          <w:color w:val="auto"/>
          <w:lang w:eastAsia="zh-CN"/>
        </w:rPr>
        <w:t>〔</w:t>
      </w:r>
      <w:r>
        <w:rPr>
          <w:rFonts w:hint="eastAsia"/>
          <w:color w:val="auto"/>
          <w:lang w:val="en-US" w:eastAsia="zh-CN"/>
        </w:rPr>
        <w:t>2017</w:t>
      </w:r>
      <w:r>
        <w:rPr>
          <w:rFonts w:hint="eastAsia"/>
          <w:color w:val="auto"/>
          <w:lang w:eastAsia="zh-CN"/>
        </w:rPr>
        <w:t>〕</w:t>
      </w:r>
      <w:r>
        <w:rPr>
          <w:rFonts w:hint="eastAsia"/>
          <w:color w:val="auto"/>
        </w:rPr>
        <w:t>140号）</w:t>
      </w:r>
    </w:p>
    <w:p w14:paraId="36D5358A">
      <w:pPr>
        <w:bidi w:val="0"/>
        <w:rPr>
          <w:rFonts w:hint="eastAsia"/>
          <w:color w:val="auto"/>
        </w:rPr>
      </w:pPr>
      <w:r>
        <w:rPr>
          <w:rFonts w:hint="eastAsia"/>
          <w:color w:val="auto"/>
          <w:lang w:val="en-US" w:eastAsia="zh-CN"/>
        </w:rPr>
        <w:t>18.《国家安全监管总局办公厅关于修改用人单位劳动防护用品管理规范的通知》（安监总厅安健</w:t>
      </w:r>
      <w:r>
        <w:rPr>
          <w:rFonts w:hint="eastAsia"/>
          <w:color w:val="auto"/>
          <w:lang w:eastAsia="zh-CN"/>
        </w:rPr>
        <w:t>〔</w:t>
      </w:r>
      <w:r>
        <w:rPr>
          <w:rFonts w:hint="eastAsia"/>
          <w:color w:val="auto"/>
          <w:lang w:val="en-US" w:eastAsia="zh-CN"/>
        </w:rPr>
        <w:t>2018</w:t>
      </w:r>
      <w:r>
        <w:rPr>
          <w:rFonts w:hint="eastAsia"/>
          <w:color w:val="auto"/>
          <w:lang w:eastAsia="zh-CN"/>
        </w:rPr>
        <w:t>〕</w:t>
      </w:r>
      <w:r>
        <w:rPr>
          <w:rFonts w:hint="eastAsia"/>
          <w:color w:val="auto"/>
          <w:lang w:val="en-US" w:eastAsia="zh-CN"/>
        </w:rPr>
        <w:t>3号）</w:t>
      </w:r>
    </w:p>
    <w:p w14:paraId="16348381">
      <w:pPr>
        <w:bidi w:val="0"/>
        <w:rPr>
          <w:rFonts w:hint="eastAsia"/>
          <w:color w:val="auto"/>
        </w:rPr>
      </w:pPr>
      <w:r>
        <w:rPr>
          <w:rFonts w:hint="eastAsia"/>
          <w:color w:val="auto"/>
          <w:lang w:val="en-US" w:eastAsia="zh-CN"/>
        </w:rPr>
        <w:t>19.《财政部应急部关于印发〈企业安全生产费用提取和使用管理办法〉的通知》（财资</w:t>
      </w:r>
      <w:r>
        <w:rPr>
          <w:rFonts w:hint="eastAsia"/>
          <w:color w:val="auto"/>
          <w:lang w:eastAsia="zh-CN"/>
        </w:rPr>
        <w:t>〔</w:t>
      </w:r>
      <w:r>
        <w:rPr>
          <w:rFonts w:hint="eastAsia"/>
          <w:color w:val="auto"/>
          <w:lang w:val="en-US" w:eastAsia="zh-CN"/>
        </w:rPr>
        <w:t>2022</w:t>
      </w:r>
      <w:r>
        <w:rPr>
          <w:rFonts w:hint="eastAsia"/>
          <w:color w:val="auto"/>
          <w:lang w:eastAsia="zh-CN"/>
        </w:rPr>
        <w:t>〕</w:t>
      </w:r>
      <w:r>
        <w:rPr>
          <w:rFonts w:hint="eastAsia"/>
          <w:color w:val="auto"/>
          <w:lang w:val="en-US" w:eastAsia="zh-CN"/>
        </w:rPr>
        <w:t>136号，2022年11月21日）</w:t>
      </w:r>
    </w:p>
    <w:p w14:paraId="20AD9F29">
      <w:pPr>
        <w:bidi w:val="0"/>
        <w:rPr>
          <w:rFonts w:hint="eastAsia"/>
          <w:color w:val="auto"/>
        </w:rPr>
      </w:pPr>
      <w:r>
        <w:rPr>
          <w:rFonts w:hint="eastAsia"/>
          <w:color w:val="auto"/>
          <w:lang w:val="en-US" w:eastAsia="zh-CN"/>
        </w:rPr>
        <w:t>20.</w:t>
      </w:r>
      <w:r>
        <w:rPr>
          <w:rFonts w:hint="eastAsia"/>
          <w:color w:val="auto"/>
        </w:rPr>
        <w:t>《江西省安委会办公室关于推动生产经营单位构建安全风险分级管控和隐患排查治理双重预防机制的指导意见》（赣安办字</w:t>
      </w:r>
      <w:r>
        <w:rPr>
          <w:rFonts w:hint="eastAsia"/>
          <w:color w:val="auto"/>
          <w:lang w:eastAsia="zh-CN"/>
        </w:rPr>
        <w:t>〔</w:t>
      </w:r>
      <w:r>
        <w:rPr>
          <w:rFonts w:hint="eastAsia"/>
          <w:color w:val="auto"/>
          <w:lang w:val="en-US" w:eastAsia="zh-CN"/>
        </w:rPr>
        <w:t>2023</w:t>
      </w:r>
      <w:r>
        <w:rPr>
          <w:rFonts w:hint="eastAsia"/>
          <w:color w:val="auto"/>
          <w:lang w:eastAsia="zh-CN"/>
        </w:rPr>
        <w:t>〕</w:t>
      </w:r>
      <w:r>
        <w:rPr>
          <w:rFonts w:hint="eastAsia"/>
          <w:color w:val="auto"/>
        </w:rPr>
        <w:t>26号）</w:t>
      </w:r>
    </w:p>
    <w:p w14:paraId="68FBB76C">
      <w:pPr>
        <w:bidi w:val="0"/>
        <w:rPr>
          <w:rFonts w:hint="eastAsia"/>
          <w:color w:val="auto"/>
        </w:rPr>
      </w:pPr>
      <w:r>
        <w:rPr>
          <w:rFonts w:hint="eastAsia"/>
          <w:color w:val="auto"/>
          <w:lang w:val="en-US" w:eastAsia="zh-CN"/>
        </w:rPr>
        <w:t>21</w:t>
      </w:r>
      <w:r>
        <w:rPr>
          <w:rFonts w:hint="eastAsia"/>
          <w:color w:val="auto"/>
        </w:rPr>
        <w:t>.《重点监管的危险化工工艺目录（2013完整版）》（国家安全监管总局安监总管三</w:t>
      </w:r>
      <w:r>
        <w:rPr>
          <w:rFonts w:hint="eastAsia"/>
          <w:color w:val="auto"/>
          <w:lang w:eastAsia="zh-CN"/>
        </w:rPr>
        <w:t>〔</w:t>
      </w:r>
      <w:r>
        <w:rPr>
          <w:rFonts w:hint="eastAsia"/>
          <w:color w:val="auto"/>
          <w:lang w:val="en-US" w:eastAsia="zh-CN"/>
        </w:rPr>
        <w:t>2009</w:t>
      </w:r>
      <w:r>
        <w:rPr>
          <w:rFonts w:hint="eastAsia"/>
          <w:color w:val="auto"/>
          <w:lang w:eastAsia="zh-CN"/>
        </w:rPr>
        <w:t>〕</w:t>
      </w:r>
      <w:r>
        <w:rPr>
          <w:rFonts w:hint="eastAsia"/>
          <w:color w:val="auto"/>
        </w:rPr>
        <w:t>116号</w:t>
      </w:r>
      <w:r>
        <w:rPr>
          <w:rFonts w:hint="eastAsia"/>
          <w:color w:val="auto"/>
          <w:lang w:eastAsia="zh-CN"/>
        </w:rPr>
        <w:t>、安监总管三〔2013〕3号</w:t>
      </w:r>
      <w:r>
        <w:rPr>
          <w:rFonts w:hint="eastAsia"/>
          <w:color w:val="auto"/>
        </w:rPr>
        <w:t>）</w:t>
      </w:r>
    </w:p>
    <w:p w14:paraId="1C206034">
      <w:pPr>
        <w:bidi w:val="0"/>
        <w:rPr>
          <w:rFonts w:hint="eastAsia"/>
          <w:color w:val="auto"/>
        </w:rPr>
      </w:pPr>
      <w:r>
        <w:rPr>
          <w:rFonts w:hint="eastAsia"/>
          <w:color w:val="auto"/>
          <w:lang w:val="en-US" w:eastAsia="zh-CN"/>
        </w:rPr>
        <w:t>22</w:t>
      </w:r>
      <w:r>
        <w:rPr>
          <w:rFonts w:hint="eastAsia"/>
          <w:color w:val="auto"/>
        </w:rPr>
        <w:t>.《重点监管的危险化学品名录（2013完整版）》（国家安全监管总局安监总管三</w:t>
      </w:r>
      <w:r>
        <w:rPr>
          <w:rFonts w:hint="eastAsia"/>
          <w:color w:val="auto"/>
          <w:lang w:eastAsia="zh-CN"/>
        </w:rPr>
        <w:t>〔</w:t>
      </w:r>
      <w:r>
        <w:rPr>
          <w:rFonts w:hint="eastAsia"/>
          <w:color w:val="auto"/>
          <w:lang w:val="en-US" w:eastAsia="zh-CN"/>
        </w:rPr>
        <w:t>2011</w:t>
      </w:r>
      <w:r>
        <w:rPr>
          <w:rFonts w:hint="eastAsia"/>
          <w:color w:val="auto"/>
          <w:lang w:eastAsia="zh-CN"/>
        </w:rPr>
        <w:t>〕</w:t>
      </w:r>
      <w:r>
        <w:rPr>
          <w:rFonts w:hint="eastAsia"/>
          <w:color w:val="auto"/>
        </w:rPr>
        <w:t>95号</w:t>
      </w:r>
      <w:r>
        <w:rPr>
          <w:rFonts w:hint="eastAsia"/>
          <w:color w:val="auto"/>
          <w:lang w:eastAsia="zh-CN"/>
        </w:rPr>
        <w:t>、安监总管三〔2013〕12号</w:t>
      </w:r>
      <w:r>
        <w:rPr>
          <w:rFonts w:hint="eastAsia"/>
          <w:color w:val="auto"/>
        </w:rPr>
        <w:t>）</w:t>
      </w:r>
    </w:p>
    <w:p w14:paraId="77EB7193">
      <w:pPr>
        <w:bidi w:val="0"/>
        <w:rPr>
          <w:rFonts w:hint="eastAsia"/>
          <w:color w:val="auto"/>
        </w:rPr>
      </w:pPr>
      <w:r>
        <w:rPr>
          <w:rFonts w:hint="eastAsia"/>
          <w:color w:val="auto"/>
          <w:lang w:val="en-US" w:eastAsia="zh-CN"/>
        </w:rPr>
        <w:t>23</w:t>
      </w:r>
      <w:r>
        <w:rPr>
          <w:rFonts w:hint="eastAsia"/>
          <w:color w:val="auto"/>
        </w:rPr>
        <w:t>.《生产安全事故应急预案管理办法》（国家安监总局令</w:t>
      </w:r>
      <w:r>
        <w:rPr>
          <w:rFonts w:hint="eastAsia"/>
          <w:color w:val="auto"/>
          <w:lang w:eastAsia="zh-CN"/>
        </w:rPr>
        <w:t>〔</w:t>
      </w:r>
      <w:r>
        <w:rPr>
          <w:rFonts w:hint="eastAsia"/>
          <w:color w:val="auto"/>
        </w:rPr>
        <w:t>2016</w:t>
      </w:r>
      <w:r>
        <w:rPr>
          <w:rFonts w:hint="eastAsia"/>
          <w:color w:val="auto"/>
          <w:lang w:eastAsia="zh-CN"/>
        </w:rPr>
        <w:t>〕</w:t>
      </w:r>
      <w:r>
        <w:rPr>
          <w:rFonts w:hint="eastAsia"/>
          <w:color w:val="auto"/>
        </w:rPr>
        <w:t>第88号，经应急管理部令</w:t>
      </w:r>
      <w:r>
        <w:rPr>
          <w:rFonts w:hint="eastAsia"/>
          <w:color w:val="auto"/>
          <w:lang w:eastAsia="zh-CN"/>
        </w:rPr>
        <w:t>〔</w:t>
      </w:r>
      <w:r>
        <w:rPr>
          <w:rFonts w:hint="eastAsia"/>
          <w:color w:val="auto"/>
        </w:rPr>
        <w:t>2019</w:t>
      </w:r>
      <w:r>
        <w:rPr>
          <w:rFonts w:hint="eastAsia"/>
          <w:color w:val="auto"/>
          <w:lang w:eastAsia="zh-CN"/>
        </w:rPr>
        <w:t>〕</w:t>
      </w:r>
      <w:r>
        <w:rPr>
          <w:rFonts w:hint="eastAsia"/>
          <w:color w:val="auto"/>
        </w:rPr>
        <w:t>第2号修正，自2016年7月1日起施行）</w:t>
      </w:r>
    </w:p>
    <w:p w14:paraId="5F1F711C">
      <w:pPr>
        <w:bidi w:val="0"/>
        <w:rPr>
          <w:rFonts w:hint="eastAsia"/>
          <w:color w:val="auto"/>
          <w:lang w:eastAsia="zh-CN"/>
        </w:rPr>
      </w:pPr>
      <w:r>
        <w:rPr>
          <w:rFonts w:hint="eastAsia"/>
          <w:color w:val="auto"/>
          <w:lang w:val="en-US" w:eastAsia="zh-CN"/>
        </w:rPr>
        <w:t>24</w:t>
      </w:r>
      <w:r>
        <w:rPr>
          <w:rFonts w:hint="eastAsia"/>
          <w:color w:val="auto"/>
        </w:rPr>
        <w:t>.《国家安全监管总局关于进一步做好冶金有色建材机械轻工纺织烟草商贸等行业建设项目安全设施“三同时”工作的通知》</w:t>
      </w:r>
      <w:r>
        <w:rPr>
          <w:rFonts w:hint="eastAsia"/>
          <w:color w:val="auto"/>
          <w:lang w:eastAsia="zh-CN"/>
        </w:rPr>
        <w:t>（</w:t>
      </w:r>
      <w:r>
        <w:rPr>
          <w:rFonts w:hint="eastAsia"/>
          <w:color w:val="auto"/>
        </w:rPr>
        <w:t>国家安监总局安监总管四</w:t>
      </w:r>
      <w:r>
        <w:rPr>
          <w:rFonts w:hint="eastAsia"/>
          <w:color w:val="auto"/>
          <w:lang w:eastAsia="zh-CN"/>
        </w:rPr>
        <w:t>〔</w:t>
      </w:r>
      <w:r>
        <w:rPr>
          <w:rFonts w:hint="eastAsia"/>
          <w:color w:val="auto"/>
          <w:lang w:val="en-US" w:eastAsia="zh-CN"/>
        </w:rPr>
        <w:t>2009</w:t>
      </w:r>
      <w:r>
        <w:rPr>
          <w:rFonts w:hint="eastAsia"/>
          <w:color w:val="auto"/>
          <w:lang w:eastAsia="zh-CN"/>
        </w:rPr>
        <w:t>〕</w:t>
      </w:r>
      <w:r>
        <w:rPr>
          <w:rFonts w:hint="eastAsia"/>
          <w:color w:val="auto"/>
        </w:rPr>
        <w:t>159号</w:t>
      </w:r>
      <w:r>
        <w:rPr>
          <w:rFonts w:hint="eastAsia"/>
          <w:color w:val="auto"/>
          <w:lang w:eastAsia="zh-CN"/>
        </w:rPr>
        <w:t>）</w:t>
      </w:r>
    </w:p>
    <w:p w14:paraId="261DA89C">
      <w:pPr>
        <w:bidi w:val="0"/>
        <w:rPr>
          <w:rFonts w:hint="eastAsia"/>
          <w:color w:val="auto"/>
        </w:rPr>
      </w:pPr>
      <w:r>
        <w:rPr>
          <w:rFonts w:hint="eastAsia"/>
          <w:color w:val="auto"/>
          <w:lang w:val="en-US" w:eastAsia="zh-CN"/>
        </w:rPr>
        <w:t>25</w:t>
      </w:r>
      <w:r>
        <w:rPr>
          <w:rFonts w:hint="eastAsia"/>
          <w:color w:val="auto"/>
        </w:rPr>
        <w:t>.《国家安全监管总局关于冶金有色建材机械轻工纺织烟草商贸等行业企业贯彻落实国务院</w:t>
      </w:r>
      <w:r>
        <w:rPr>
          <w:rFonts w:hint="eastAsia"/>
          <w:color w:val="auto"/>
          <w:lang w:eastAsia="zh-CN"/>
        </w:rPr>
        <w:t>〈</w:t>
      </w:r>
      <w:r>
        <w:rPr>
          <w:rFonts w:hint="eastAsia"/>
          <w:color w:val="auto"/>
        </w:rPr>
        <w:t>通知</w:t>
      </w:r>
      <w:r>
        <w:rPr>
          <w:rFonts w:hint="eastAsia"/>
          <w:color w:val="auto"/>
          <w:lang w:eastAsia="zh-CN"/>
        </w:rPr>
        <w:t>〉</w:t>
      </w:r>
      <w:r>
        <w:rPr>
          <w:rFonts w:hint="eastAsia"/>
          <w:color w:val="auto"/>
        </w:rPr>
        <w:t>的指导意见》</w:t>
      </w:r>
      <w:r>
        <w:rPr>
          <w:rFonts w:hint="eastAsia"/>
          <w:color w:val="auto"/>
          <w:lang w:eastAsia="zh-CN"/>
        </w:rPr>
        <w:t>（</w:t>
      </w:r>
      <w:r>
        <w:rPr>
          <w:rFonts w:hint="eastAsia"/>
          <w:color w:val="auto"/>
        </w:rPr>
        <w:t>安监总管四</w:t>
      </w:r>
      <w:r>
        <w:rPr>
          <w:rFonts w:hint="eastAsia"/>
          <w:color w:val="auto"/>
          <w:lang w:eastAsia="zh-CN"/>
        </w:rPr>
        <w:t>〔</w:t>
      </w:r>
      <w:r>
        <w:rPr>
          <w:rFonts w:hint="eastAsia"/>
          <w:color w:val="auto"/>
          <w:lang w:val="en-US" w:eastAsia="zh-CN"/>
        </w:rPr>
        <w:t>2010</w:t>
      </w:r>
      <w:r>
        <w:rPr>
          <w:rFonts w:hint="eastAsia"/>
          <w:color w:val="auto"/>
          <w:lang w:eastAsia="zh-CN"/>
        </w:rPr>
        <w:t>〕</w:t>
      </w:r>
      <w:r>
        <w:rPr>
          <w:rFonts w:hint="eastAsia"/>
          <w:color w:val="auto"/>
        </w:rPr>
        <w:t>169号</w:t>
      </w:r>
      <w:r>
        <w:rPr>
          <w:rFonts w:hint="eastAsia"/>
          <w:color w:val="auto"/>
          <w:lang w:eastAsia="zh-CN"/>
        </w:rPr>
        <w:t>）</w:t>
      </w:r>
    </w:p>
    <w:p w14:paraId="23E6C3B5">
      <w:pPr>
        <w:bidi w:val="0"/>
        <w:rPr>
          <w:rFonts w:hint="eastAsia"/>
          <w:color w:val="auto"/>
        </w:rPr>
      </w:pPr>
      <w:r>
        <w:rPr>
          <w:rFonts w:hint="eastAsia"/>
          <w:color w:val="auto"/>
          <w:lang w:val="en-US" w:eastAsia="zh-CN"/>
        </w:rPr>
        <w:t>26</w:t>
      </w:r>
      <w:r>
        <w:rPr>
          <w:rFonts w:hint="eastAsia"/>
          <w:color w:val="auto"/>
        </w:rPr>
        <w:t>.《部分工业行业淘汰落后生产工艺装备和产品指导目录（2010年本）》（工业和信息化部工产业</w:t>
      </w:r>
      <w:r>
        <w:rPr>
          <w:rFonts w:hint="eastAsia"/>
          <w:color w:val="auto"/>
          <w:lang w:eastAsia="zh-CN"/>
        </w:rPr>
        <w:t>〔</w:t>
      </w:r>
      <w:r>
        <w:rPr>
          <w:rFonts w:hint="eastAsia"/>
          <w:color w:val="auto"/>
        </w:rPr>
        <w:t>2010</w:t>
      </w:r>
      <w:r>
        <w:rPr>
          <w:rFonts w:hint="eastAsia"/>
          <w:color w:val="auto"/>
          <w:lang w:eastAsia="zh-CN"/>
        </w:rPr>
        <w:t>〕</w:t>
      </w:r>
      <w:r>
        <w:rPr>
          <w:rFonts w:hint="eastAsia"/>
          <w:color w:val="auto"/>
        </w:rPr>
        <w:t>第122号）</w:t>
      </w:r>
    </w:p>
    <w:p w14:paraId="681A9B9D">
      <w:pPr>
        <w:bidi w:val="0"/>
        <w:rPr>
          <w:rFonts w:hint="eastAsia"/>
          <w:color w:val="auto"/>
        </w:rPr>
      </w:pPr>
      <w:r>
        <w:rPr>
          <w:rFonts w:hint="eastAsia"/>
          <w:color w:val="auto"/>
          <w:lang w:val="en-US" w:eastAsia="zh-CN"/>
        </w:rPr>
        <w:t>27</w:t>
      </w:r>
      <w:r>
        <w:rPr>
          <w:rFonts w:hint="eastAsia"/>
          <w:color w:val="auto"/>
        </w:rPr>
        <w:t>.《国家安全监管总局办公厅关于印发淘汰落后与推广先进安全技术装备目录管理办法的通知》（安监总厅科技</w:t>
      </w:r>
      <w:r>
        <w:rPr>
          <w:rFonts w:hint="eastAsia"/>
          <w:color w:val="auto"/>
          <w:lang w:eastAsia="zh-CN"/>
        </w:rPr>
        <w:t>〔</w:t>
      </w:r>
      <w:r>
        <w:rPr>
          <w:rFonts w:hint="eastAsia"/>
          <w:color w:val="auto"/>
          <w:lang w:val="en-US" w:eastAsia="zh-CN"/>
        </w:rPr>
        <w:t>2015</w:t>
      </w:r>
      <w:r>
        <w:rPr>
          <w:rFonts w:hint="eastAsia"/>
          <w:color w:val="auto"/>
          <w:lang w:eastAsia="zh-CN"/>
        </w:rPr>
        <w:t>〕</w:t>
      </w:r>
      <w:r>
        <w:rPr>
          <w:rFonts w:hint="eastAsia"/>
          <w:color w:val="auto"/>
        </w:rPr>
        <w:t>43号）</w:t>
      </w:r>
    </w:p>
    <w:p w14:paraId="1BE67BC6">
      <w:pPr>
        <w:bidi w:val="0"/>
        <w:rPr>
          <w:rFonts w:hint="eastAsia"/>
          <w:color w:val="auto"/>
        </w:rPr>
      </w:pPr>
      <w:r>
        <w:rPr>
          <w:rFonts w:hint="eastAsia"/>
          <w:color w:val="auto"/>
          <w:lang w:val="en-US" w:eastAsia="zh-CN"/>
        </w:rPr>
        <w:t>28</w:t>
      </w:r>
      <w:r>
        <w:rPr>
          <w:rFonts w:hint="eastAsia"/>
          <w:color w:val="auto"/>
        </w:rPr>
        <w:t>.《国家安全监管总局关于印发淘汰落后安全技术装备目录（2015年第一批）的通知》（安监总科技</w:t>
      </w:r>
      <w:r>
        <w:rPr>
          <w:rFonts w:hint="eastAsia"/>
          <w:color w:val="auto"/>
          <w:lang w:eastAsia="zh-CN"/>
        </w:rPr>
        <w:t>〔</w:t>
      </w:r>
      <w:r>
        <w:rPr>
          <w:rFonts w:hint="eastAsia"/>
          <w:color w:val="auto"/>
          <w:lang w:val="en-US" w:eastAsia="zh-CN"/>
        </w:rPr>
        <w:t>2015</w:t>
      </w:r>
      <w:r>
        <w:rPr>
          <w:rFonts w:hint="eastAsia"/>
          <w:color w:val="auto"/>
          <w:lang w:eastAsia="zh-CN"/>
        </w:rPr>
        <w:t>〕</w:t>
      </w:r>
      <w:r>
        <w:rPr>
          <w:rFonts w:hint="eastAsia"/>
          <w:color w:val="auto"/>
        </w:rPr>
        <w:t>75号）</w:t>
      </w:r>
    </w:p>
    <w:p w14:paraId="700CB043">
      <w:pPr>
        <w:bidi w:val="0"/>
        <w:rPr>
          <w:rFonts w:hint="eastAsia"/>
          <w:color w:val="auto"/>
        </w:rPr>
      </w:pPr>
      <w:r>
        <w:rPr>
          <w:rFonts w:hint="eastAsia"/>
          <w:color w:val="auto"/>
          <w:lang w:val="en-US" w:eastAsia="zh-CN"/>
        </w:rPr>
        <w:t>29</w:t>
      </w:r>
      <w:r>
        <w:rPr>
          <w:rFonts w:hint="eastAsia"/>
          <w:color w:val="auto"/>
        </w:rPr>
        <w:t>.《国家安全监管总局关于印发淘汰落后安全技术工艺、设备目录（2016年）的通知》（安监总科技</w:t>
      </w:r>
      <w:r>
        <w:rPr>
          <w:rFonts w:hint="eastAsia"/>
          <w:color w:val="auto"/>
          <w:lang w:eastAsia="zh-CN"/>
        </w:rPr>
        <w:t>〔</w:t>
      </w:r>
      <w:r>
        <w:rPr>
          <w:rFonts w:hint="eastAsia"/>
          <w:color w:val="auto"/>
          <w:lang w:val="en-US" w:eastAsia="zh-CN"/>
        </w:rPr>
        <w:t>2016</w:t>
      </w:r>
      <w:r>
        <w:rPr>
          <w:rFonts w:hint="eastAsia"/>
          <w:color w:val="auto"/>
          <w:lang w:eastAsia="zh-CN"/>
        </w:rPr>
        <w:t>〕</w:t>
      </w:r>
      <w:r>
        <w:rPr>
          <w:rFonts w:hint="eastAsia"/>
          <w:color w:val="auto"/>
        </w:rPr>
        <w:t>137号）</w:t>
      </w:r>
    </w:p>
    <w:p w14:paraId="52245C9A">
      <w:pPr>
        <w:bidi w:val="0"/>
        <w:rPr>
          <w:rFonts w:hint="eastAsia"/>
          <w:color w:val="auto"/>
        </w:rPr>
      </w:pPr>
      <w:r>
        <w:rPr>
          <w:rFonts w:hint="eastAsia"/>
          <w:color w:val="auto"/>
          <w:lang w:val="en-US" w:eastAsia="zh-CN"/>
        </w:rPr>
        <w:t>30</w:t>
      </w:r>
      <w:r>
        <w:rPr>
          <w:rFonts w:hint="eastAsia"/>
          <w:color w:val="auto"/>
        </w:rPr>
        <w:t>.《危险化学品目录》（2015版</w:t>
      </w:r>
      <w:r>
        <w:rPr>
          <w:rFonts w:hint="eastAsia"/>
          <w:color w:val="auto"/>
          <w:lang w:eastAsia="zh-CN"/>
        </w:rPr>
        <w:t>，</w:t>
      </w:r>
      <w:r>
        <w:rPr>
          <w:rFonts w:hint="eastAsia"/>
          <w:color w:val="auto"/>
        </w:rPr>
        <w:t>2022调整）(十部门2022年第8号公告)</w:t>
      </w:r>
    </w:p>
    <w:p w14:paraId="3341E64D">
      <w:pPr>
        <w:bidi w:val="0"/>
        <w:rPr>
          <w:rFonts w:hint="eastAsia"/>
          <w:color w:val="auto"/>
        </w:rPr>
      </w:pPr>
      <w:r>
        <w:rPr>
          <w:rFonts w:hint="eastAsia"/>
          <w:color w:val="auto"/>
          <w:lang w:val="en-US" w:eastAsia="zh-CN"/>
        </w:rPr>
        <w:t>31.</w:t>
      </w:r>
      <w:r>
        <w:rPr>
          <w:rFonts w:hint="eastAsia"/>
          <w:color w:val="auto"/>
          <w:lang w:eastAsia="zh-CN"/>
        </w:rPr>
        <w:t>《</w:t>
      </w:r>
      <w:r>
        <w:rPr>
          <w:rFonts w:hint="eastAsia"/>
          <w:color w:val="auto"/>
          <w:lang w:val="en-US" w:eastAsia="zh-CN"/>
        </w:rPr>
        <w:t>高毒物品目录</w:t>
      </w:r>
      <w:r>
        <w:rPr>
          <w:rFonts w:hint="eastAsia"/>
          <w:color w:val="auto"/>
          <w:lang w:eastAsia="zh-CN"/>
        </w:rPr>
        <w:t>》</w:t>
      </w:r>
      <w:r>
        <w:rPr>
          <w:rFonts w:hint="eastAsia"/>
          <w:color w:val="auto"/>
        </w:rPr>
        <w:t>（卫法监发</w:t>
      </w:r>
      <w:r>
        <w:rPr>
          <w:rFonts w:hint="eastAsia"/>
          <w:color w:val="auto"/>
          <w:lang w:eastAsia="zh-CN"/>
        </w:rPr>
        <w:t>〔</w:t>
      </w:r>
      <w:r>
        <w:rPr>
          <w:color w:val="auto"/>
        </w:rPr>
        <w:t>2003</w:t>
      </w:r>
      <w:r>
        <w:rPr>
          <w:rFonts w:hint="eastAsia"/>
          <w:color w:val="auto"/>
          <w:lang w:eastAsia="zh-CN"/>
        </w:rPr>
        <w:t>〕</w:t>
      </w:r>
      <w:r>
        <w:rPr>
          <w:color w:val="auto"/>
        </w:rPr>
        <w:t>142</w:t>
      </w:r>
      <w:r>
        <w:rPr>
          <w:rFonts w:hint="eastAsia"/>
          <w:color w:val="auto"/>
        </w:rPr>
        <w:t>号）</w:t>
      </w:r>
    </w:p>
    <w:p w14:paraId="396EDF78">
      <w:pPr>
        <w:bidi w:val="0"/>
        <w:rPr>
          <w:rFonts w:hint="eastAsia"/>
          <w:color w:val="auto"/>
          <w:lang w:eastAsia="zh-CN"/>
        </w:rPr>
      </w:pPr>
      <w:r>
        <w:rPr>
          <w:rFonts w:hint="eastAsia"/>
          <w:color w:val="auto"/>
          <w:lang w:val="en-US" w:eastAsia="zh-CN"/>
        </w:rPr>
        <w:t>32.</w:t>
      </w:r>
      <w:r>
        <w:rPr>
          <w:rFonts w:hint="eastAsia"/>
          <w:color w:val="auto"/>
        </w:rPr>
        <w:t>《易制爆危险化学品名录》（</w:t>
      </w:r>
      <w:r>
        <w:rPr>
          <w:color w:val="auto"/>
        </w:rPr>
        <w:t>20</w:t>
      </w:r>
      <w:r>
        <w:rPr>
          <w:rFonts w:hint="eastAsia"/>
          <w:color w:val="auto"/>
        </w:rPr>
        <w:t>17年版）</w:t>
      </w:r>
      <w:r>
        <w:rPr>
          <w:rFonts w:hint="eastAsia"/>
          <w:color w:val="auto"/>
          <w:lang w:eastAsia="zh-CN"/>
        </w:rPr>
        <w:t>（</w:t>
      </w:r>
      <w:r>
        <w:rPr>
          <w:rFonts w:hint="eastAsia"/>
          <w:color w:val="auto"/>
          <w:lang w:val="en-US" w:eastAsia="zh-CN"/>
        </w:rPr>
        <w:t>公安部</w:t>
      </w:r>
      <w:r>
        <w:rPr>
          <w:rFonts w:hint="eastAsia"/>
          <w:color w:val="auto"/>
        </w:rPr>
        <w:t>2017年5月11日</w:t>
      </w:r>
      <w:r>
        <w:rPr>
          <w:rFonts w:hint="eastAsia"/>
          <w:color w:val="auto"/>
          <w:lang w:eastAsia="zh-CN"/>
        </w:rPr>
        <w:t>）</w:t>
      </w:r>
    </w:p>
    <w:p w14:paraId="41B0B67B">
      <w:pPr>
        <w:bidi w:val="0"/>
        <w:rPr>
          <w:rFonts w:hint="default"/>
          <w:color w:val="auto"/>
          <w:lang w:val="en-US" w:eastAsia="zh-CN"/>
        </w:rPr>
      </w:pPr>
      <w:r>
        <w:rPr>
          <w:rFonts w:hint="eastAsia"/>
          <w:color w:val="auto"/>
          <w:lang w:val="en-US" w:eastAsia="zh-CN"/>
        </w:rPr>
        <w:t>33.《易制毒化学品管理条例》(2018修正三)国令〔2005〕445号</w:t>
      </w:r>
    </w:p>
    <w:p w14:paraId="5CEE1E43">
      <w:pPr>
        <w:bidi w:val="0"/>
        <w:rPr>
          <w:rFonts w:hint="eastAsia"/>
          <w:color w:val="auto"/>
          <w:lang w:eastAsia="zh-CN"/>
        </w:rPr>
      </w:pPr>
      <w:r>
        <w:rPr>
          <w:rFonts w:hint="eastAsia"/>
          <w:color w:val="auto"/>
          <w:lang w:val="en-US" w:eastAsia="zh-CN"/>
        </w:rPr>
        <w:t>34.</w:t>
      </w:r>
      <w:r>
        <w:rPr>
          <w:color w:val="auto"/>
        </w:rPr>
        <w:t>《特别管控危险化学品</w:t>
      </w:r>
      <w:r>
        <w:rPr>
          <w:rFonts w:hint="eastAsia"/>
          <w:color w:val="auto"/>
          <w:lang w:val="en-US" w:eastAsia="zh-CN"/>
        </w:rPr>
        <w:t>目</w:t>
      </w:r>
      <w:r>
        <w:rPr>
          <w:color w:val="auto"/>
        </w:rPr>
        <w:t>录（第一版）》</w:t>
      </w:r>
      <w:r>
        <w:rPr>
          <w:rFonts w:hint="eastAsia"/>
          <w:color w:val="auto"/>
          <w:lang w:eastAsia="zh-CN"/>
        </w:rPr>
        <w:t>（</w:t>
      </w:r>
      <w:r>
        <w:rPr>
          <w:rFonts w:hint="eastAsia"/>
          <w:color w:val="auto"/>
          <w:lang w:val="en-US" w:eastAsia="zh-CN"/>
        </w:rPr>
        <w:t>应急管理部、工业和信息化部、公安部、交通运输部2020年第3号公告</w:t>
      </w:r>
      <w:r>
        <w:rPr>
          <w:rFonts w:hint="eastAsia"/>
          <w:color w:val="auto"/>
          <w:lang w:eastAsia="zh-CN"/>
        </w:rPr>
        <w:t>）</w:t>
      </w:r>
    </w:p>
    <w:p w14:paraId="3B78E0DF">
      <w:pPr>
        <w:pStyle w:val="4"/>
        <w:bidi w:val="0"/>
        <w:rPr>
          <w:rFonts w:hint="default" w:ascii="Times New Roman" w:hAnsi="Times New Roman" w:eastAsia="黑体"/>
          <w:color w:val="auto"/>
          <w:lang w:val="en-US" w:eastAsia="zh-CN"/>
        </w:rPr>
      </w:pPr>
      <w:bookmarkStart w:id="11" w:name="_Toc3254"/>
      <w:r>
        <w:rPr>
          <w:rFonts w:hint="eastAsia" w:ascii="Times New Roman" w:hAnsi="Times New Roman"/>
          <w:color w:val="auto"/>
        </w:rPr>
        <w:t>1.2.</w:t>
      </w:r>
      <w:r>
        <w:rPr>
          <w:rFonts w:hint="eastAsia" w:ascii="Times New Roman" w:hAnsi="Times New Roman"/>
          <w:color w:val="auto"/>
          <w:lang w:val="en-US" w:eastAsia="zh-CN"/>
        </w:rPr>
        <w:t>6</w:t>
      </w:r>
      <w:r>
        <w:rPr>
          <w:b/>
          <w:bCs/>
          <w:color w:val="auto"/>
          <w:sz w:val="28"/>
          <w:szCs w:val="28"/>
        </w:rPr>
        <w:t>技术和行业标准</w:t>
      </w:r>
      <w:bookmarkEnd w:id="11"/>
    </w:p>
    <w:p w14:paraId="247FEE49">
      <w:pPr>
        <w:bidi w:val="0"/>
        <w:rPr>
          <w:rFonts w:hint="eastAsia"/>
          <w:color w:val="auto"/>
        </w:rPr>
      </w:pPr>
      <w:r>
        <w:rPr>
          <w:rFonts w:hint="eastAsia"/>
          <w:color w:val="auto"/>
        </w:rPr>
        <w:t>《企业职工伤亡事故分类》                          GB6441-1986</w:t>
      </w:r>
    </w:p>
    <w:p w14:paraId="102C4D84">
      <w:pPr>
        <w:bidi w:val="0"/>
        <w:rPr>
          <w:rFonts w:hint="eastAsia"/>
          <w:color w:val="auto"/>
        </w:rPr>
      </w:pPr>
      <w:r>
        <w:rPr>
          <w:rFonts w:hint="eastAsia"/>
          <w:color w:val="auto"/>
        </w:rPr>
        <w:t>《消防安全标志设置要求》                         GB15630-1995</w:t>
      </w:r>
    </w:p>
    <w:p w14:paraId="1B882E95">
      <w:pPr>
        <w:bidi w:val="0"/>
        <w:rPr>
          <w:rFonts w:hint="eastAsia"/>
          <w:color w:val="auto"/>
        </w:rPr>
      </w:pPr>
      <w:r>
        <w:rPr>
          <w:rFonts w:hint="eastAsia"/>
          <w:color w:val="auto"/>
        </w:rPr>
        <w:t>《工业金属管道设计规范》（2008版）</w:t>
      </w:r>
      <w:r>
        <w:rPr>
          <w:rFonts w:hint="eastAsia"/>
          <w:color w:val="auto"/>
          <w:lang w:val="en-US" w:eastAsia="zh-CN"/>
        </w:rPr>
        <w:t xml:space="preserve">               </w:t>
      </w:r>
      <w:r>
        <w:rPr>
          <w:rFonts w:hint="eastAsia"/>
          <w:color w:val="auto"/>
        </w:rPr>
        <w:t>GB50316-2000</w:t>
      </w:r>
    </w:p>
    <w:p w14:paraId="72269D6C">
      <w:pPr>
        <w:bidi w:val="0"/>
        <w:rPr>
          <w:rFonts w:hint="eastAsia"/>
          <w:color w:val="auto"/>
        </w:rPr>
      </w:pPr>
      <w:r>
        <w:rPr>
          <w:rFonts w:hint="eastAsia"/>
          <w:color w:val="auto"/>
        </w:rPr>
        <w:t>《建筑灭火器配置设计规范》                       GB50140-2005</w:t>
      </w:r>
    </w:p>
    <w:p w14:paraId="32258B3D">
      <w:pPr>
        <w:bidi w:val="0"/>
        <w:rPr>
          <w:rFonts w:hint="eastAsia"/>
          <w:color w:val="auto"/>
        </w:rPr>
      </w:pPr>
      <w:r>
        <w:rPr>
          <w:rFonts w:hint="eastAsia"/>
          <w:color w:val="auto"/>
        </w:rPr>
        <w:t>《防止静电事故通用导则》                         GB12158-2006</w:t>
      </w:r>
    </w:p>
    <w:p w14:paraId="25705FFA">
      <w:pPr>
        <w:bidi w:val="0"/>
        <w:rPr>
          <w:rFonts w:hint="eastAsia"/>
          <w:color w:val="auto"/>
        </w:rPr>
      </w:pPr>
      <w:r>
        <w:rPr>
          <w:rFonts w:hint="eastAsia"/>
          <w:color w:val="auto"/>
        </w:rPr>
        <w:t>《工作场所有害因素职业接触限值第2部分：物理因素》  GBZ2.2-2007</w:t>
      </w:r>
    </w:p>
    <w:p w14:paraId="5B4C674A">
      <w:pPr>
        <w:bidi w:val="0"/>
        <w:rPr>
          <w:rFonts w:hint="eastAsia"/>
          <w:color w:val="auto"/>
        </w:rPr>
      </w:pPr>
      <w:r>
        <w:rPr>
          <w:rFonts w:hint="eastAsia"/>
          <w:color w:val="auto"/>
        </w:rPr>
        <w:t>《工业企业厂内铁路、道路运输安全规程》            GB4387-2008</w:t>
      </w:r>
    </w:p>
    <w:p w14:paraId="26FAC9D6">
      <w:pPr>
        <w:bidi w:val="0"/>
        <w:rPr>
          <w:rFonts w:hint="eastAsia"/>
          <w:color w:val="auto"/>
        </w:rPr>
      </w:pPr>
      <w:r>
        <w:rPr>
          <w:rFonts w:hint="eastAsia"/>
          <w:color w:val="auto"/>
        </w:rPr>
        <w:t>《安全标志及其使用导则》                          GB2894-2008</w:t>
      </w:r>
    </w:p>
    <w:p w14:paraId="48626F9F">
      <w:pPr>
        <w:bidi w:val="0"/>
        <w:rPr>
          <w:rFonts w:hint="eastAsia"/>
          <w:color w:val="auto"/>
        </w:rPr>
      </w:pPr>
      <w:r>
        <w:rPr>
          <w:rFonts w:hint="eastAsia"/>
          <w:color w:val="auto"/>
        </w:rPr>
        <w:t>《安全色》                                        GB2893-2008</w:t>
      </w:r>
    </w:p>
    <w:p w14:paraId="0725C45D">
      <w:pPr>
        <w:bidi w:val="0"/>
        <w:rPr>
          <w:rFonts w:hint="eastAsia"/>
          <w:color w:val="auto"/>
        </w:rPr>
      </w:pPr>
      <w:r>
        <w:rPr>
          <w:rFonts w:hint="eastAsia"/>
          <w:color w:val="auto"/>
        </w:rPr>
        <w:t>《3-110kV高压配电装置设计规范》                  GB50060-2008</w:t>
      </w:r>
    </w:p>
    <w:p w14:paraId="4A124B22">
      <w:pPr>
        <w:bidi w:val="0"/>
        <w:rPr>
          <w:rFonts w:hint="eastAsia"/>
          <w:color w:val="auto"/>
        </w:rPr>
      </w:pPr>
      <w:r>
        <w:rPr>
          <w:rFonts w:hint="eastAsia"/>
          <w:color w:val="auto"/>
        </w:rPr>
        <w:t>《供配电系统设计规范》                           GB50052-2009</w:t>
      </w:r>
    </w:p>
    <w:p w14:paraId="0CB981B2">
      <w:pPr>
        <w:bidi w:val="0"/>
        <w:rPr>
          <w:rFonts w:hint="eastAsia"/>
          <w:color w:val="auto"/>
        </w:rPr>
      </w:pPr>
      <w:r>
        <w:rPr>
          <w:rFonts w:hint="eastAsia"/>
          <w:color w:val="auto"/>
        </w:rPr>
        <w:t>《固定式钢梯及平台安全要求第1部分：钢直梯》    GB4053.1－2009</w:t>
      </w:r>
    </w:p>
    <w:p w14:paraId="40170A78">
      <w:pPr>
        <w:bidi w:val="0"/>
        <w:rPr>
          <w:rFonts w:hint="eastAsia"/>
          <w:color w:val="auto"/>
        </w:rPr>
      </w:pPr>
      <w:r>
        <w:rPr>
          <w:rFonts w:hint="eastAsia"/>
          <w:color w:val="auto"/>
        </w:rPr>
        <w:t>《固定式钢梯及平台安全要求第2部分：钢斜梯》     GB4053.2－2009</w:t>
      </w:r>
    </w:p>
    <w:p w14:paraId="34DFC826">
      <w:pPr>
        <w:bidi w:val="0"/>
        <w:rPr>
          <w:rFonts w:hint="default"/>
          <w:color w:val="auto"/>
          <w:lang w:val="en-US" w:eastAsia="zh-CN"/>
        </w:rPr>
      </w:pPr>
      <w:r>
        <w:rPr>
          <w:rFonts w:hint="eastAsia"/>
          <w:color w:val="auto"/>
        </w:rPr>
        <w:t>《固定式钢梯及平台安全要求第3部分：工业护栏及钢平台》</w:t>
      </w:r>
      <w:r>
        <w:rPr>
          <w:rFonts w:hint="eastAsia"/>
          <w:color w:val="auto"/>
          <w:lang w:val="en-US" w:eastAsia="zh-CN"/>
        </w:rPr>
        <w:t xml:space="preserve">       </w:t>
      </w:r>
    </w:p>
    <w:p w14:paraId="4D0E9CA3">
      <w:pPr>
        <w:bidi w:val="0"/>
        <w:rPr>
          <w:rFonts w:hint="eastAsia"/>
          <w:color w:val="auto"/>
        </w:rPr>
      </w:pPr>
      <w:r>
        <w:rPr>
          <w:rFonts w:hint="eastAsia"/>
          <w:color w:val="auto"/>
        </w:rPr>
        <w:t xml:space="preserve">    </w:t>
      </w:r>
      <w:r>
        <w:rPr>
          <w:rFonts w:hint="eastAsia"/>
          <w:color w:val="auto"/>
          <w:lang w:val="en-US" w:eastAsia="zh-CN"/>
        </w:rPr>
        <w:t xml:space="preserve">                                        </w:t>
      </w:r>
      <w:r>
        <w:rPr>
          <w:rFonts w:hint="eastAsia"/>
          <w:color w:val="auto"/>
        </w:rPr>
        <w:t xml:space="preserve">   GB4053.3-2009</w:t>
      </w:r>
    </w:p>
    <w:p w14:paraId="668EEA7A">
      <w:pPr>
        <w:bidi w:val="0"/>
        <w:rPr>
          <w:rFonts w:hint="eastAsia"/>
          <w:color w:val="auto"/>
        </w:rPr>
      </w:pPr>
      <w:r>
        <w:rPr>
          <w:rFonts w:hint="eastAsia"/>
          <w:color w:val="auto"/>
        </w:rPr>
        <w:t>《水泥工厂职业安全卫生设计规范》                 GB50577-2010</w:t>
      </w:r>
    </w:p>
    <w:p w14:paraId="4C4A5EAF">
      <w:pPr>
        <w:bidi w:val="0"/>
        <w:rPr>
          <w:rFonts w:hint="eastAsia"/>
          <w:color w:val="auto"/>
        </w:rPr>
      </w:pPr>
      <w:r>
        <w:rPr>
          <w:rFonts w:hint="eastAsia"/>
          <w:color w:val="auto"/>
        </w:rPr>
        <w:t>《工业企业设计卫生标准》                           GBZ1-2010</w:t>
      </w:r>
    </w:p>
    <w:p w14:paraId="21505295">
      <w:pPr>
        <w:bidi w:val="0"/>
        <w:rPr>
          <w:rFonts w:hint="eastAsia"/>
          <w:color w:val="auto"/>
        </w:rPr>
      </w:pPr>
      <w:r>
        <w:rPr>
          <w:rFonts w:hint="eastAsia"/>
          <w:color w:val="auto"/>
        </w:rPr>
        <w:t>《职业性接触毒物危害程度分级》</w:t>
      </w:r>
      <w:r>
        <w:rPr>
          <w:rFonts w:hint="eastAsia"/>
          <w:color w:val="auto"/>
          <w:lang w:val="en-US" w:eastAsia="zh-CN"/>
        </w:rPr>
        <w:t xml:space="preserve">                    </w:t>
      </w:r>
      <w:r>
        <w:rPr>
          <w:rFonts w:hint="eastAsia"/>
          <w:color w:val="auto"/>
        </w:rPr>
        <w:t>GBZ230-2010</w:t>
      </w:r>
    </w:p>
    <w:p w14:paraId="46D98A18">
      <w:pPr>
        <w:bidi w:val="0"/>
        <w:rPr>
          <w:rFonts w:hint="eastAsia"/>
          <w:color w:val="auto"/>
        </w:rPr>
      </w:pPr>
      <w:r>
        <w:rPr>
          <w:rFonts w:hint="eastAsia"/>
          <w:color w:val="auto"/>
        </w:rPr>
        <w:t>《建筑物防雷设计规范》                           GB50057-2010</w:t>
      </w:r>
    </w:p>
    <w:p w14:paraId="4EA12962">
      <w:pPr>
        <w:bidi w:val="0"/>
        <w:rPr>
          <w:rFonts w:hint="eastAsia"/>
          <w:color w:val="auto"/>
        </w:rPr>
      </w:pPr>
      <w:r>
        <w:rPr>
          <w:rFonts w:hint="eastAsia"/>
          <w:color w:val="auto"/>
        </w:rPr>
        <w:t>《建筑抗震设计</w:t>
      </w:r>
      <w:r>
        <w:rPr>
          <w:rFonts w:hint="eastAsia"/>
          <w:color w:val="auto"/>
          <w:lang w:val="en-US" w:eastAsia="zh-CN"/>
        </w:rPr>
        <w:t>标准</w:t>
      </w:r>
      <w:r>
        <w:rPr>
          <w:rFonts w:hint="eastAsia"/>
          <w:color w:val="auto"/>
        </w:rPr>
        <w:t>（20</w:t>
      </w:r>
      <w:r>
        <w:rPr>
          <w:rFonts w:hint="eastAsia"/>
          <w:color w:val="auto"/>
          <w:lang w:val="en-US" w:eastAsia="zh-CN"/>
        </w:rPr>
        <w:t>24</w:t>
      </w:r>
      <w:r>
        <w:rPr>
          <w:rFonts w:hint="eastAsia"/>
          <w:color w:val="auto"/>
        </w:rPr>
        <w:t xml:space="preserve">年版）》          </w:t>
      </w:r>
      <w:r>
        <w:rPr>
          <w:rFonts w:hint="eastAsia"/>
          <w:color w:val="auto"/>
          <w:lang w:val="en-US" w:eastAsia="zh-CN"/>
        </w:rPr>
        <w:t xml:space="preserve"> </w:t>
      </w:r>
      <w:r>
        <w:rPr>
          <w:rFonts w:hint="eastAsia"/>
          <w:color w:val="auto"/>
        </w:rPr>
        <w:t xml:space="preserve">      GB</w:t>
      </w:r>
      <w:r>
        <w:rPr>
          <w:rFonts w:hint="eastAsia"/>
          <w:color w:val="auto"/>
          <w:lang w:val="en-US" w:eastAsia="zh-CN"/>
        </w:rPr>
        <w:t>/T</w:t>
      </w:r>
      <w:r>
        <w:rPr>
          <w:rFonts w:hint="eastAsia"/>
          <w:color w:val="auto"/>
        </w:rPr>
        <w:t>50011-2010</w:t>
      </w:r>
    </w:p>
    <w:p w14:paraId="18F5EDCC">
      <w:pPr>
        <w:bidi w:val="0"/>
        <w:rPr>
          <w:rFonts w:hint="eastAsia"/>
          <w:color w:val="auto"/>
        </w:rPr>
      </w:pPr>
      <w:r>
        <w:rPr>
          <w:rFonts w:hint="eastAsia"/>
          <w:color w:val="auto"/>
        </w:rPr>
        <w:t>《低压配电设计规范》                             GB50054-2011</w:t>
      </w:r>
    </w:p>
    <w:p w14:paraId="15A1AF24">
      <w:pPr>
        <w:bidi w:val="0"/>
        <w:rPr>
          <w:rFonts w:hint="eastAsia"/>
          <w:color w:val="auto"/>
        </w:rPr>
      </w:pPr>
      <w:r>
        <w:rPr>
          <w:rFonts w:hint="eastAsia"/>
          <w:color w:val="auto"/>
        </w:rPr>
        <w:t>《工业企业总平面设计规范》                       GB50187-2012</w:t>
      </w:r>
    </w:p>
    <w:p w14:paraId="5A4203D5">
      <w:pPr>
        <w:bidi w:val="0"/>
        <w:rPr>
          <w:rFonts w:hint="eastAsia"/>
          <w:color w:val="auto"/>
        </w:rPr>
      </w:pPr>
      <w:r>
        <w:rPr>
          <w:rFonts w:hint="eastAsia"/>
          <w:color w:val="auto"/>
        </w:rPr>
        <w:t>《危险货物品名表》                               GB12268-2012</w:t>
      </w:r>
    </w:p>
    <w:p w14:paraId="09CF9061">
      <w:pPr>
        <w:bidi w:val="0"/>
        <w:rPr>
          <w:rFonts w:hint="eastAsia"/>
          <w:color w:val="auto"/>
        </w:rPr>
      </w:pPr>
      <w:r>
        <w:rPr>
          <w:rFonts w:hint="eastAsia"/>
          <w:color w:val="auto"/>
        </w:rPr>
        <w:t>《20</w:t>
      </w:r>
      <w:r>
        <w:rPr>
          <w:rFonts w:hint="eastAsia"/>
          <w:color w:val="auto"/>
          <w:lang w:val="en-US" w:eastAsia="zh-CN"/>
        </w:rPr>
        <w:t>k</w:t>
      </w:r>
      <w:r>
        <w:rPr>
          <w:rFonts w:hint="eastAsia"/>
          <w:color w:val="auto"/>
        </w:rPr>
        <w:t>V及以下变电所设计规范》                    GB50053-2013</w:t>
      </w:r>
    </w:p>
    <w:p w14:paraId="372BC0AC">
      <w:pPr>
        <w:bidi w:val="0"/>
        <w:rPr>
          <w:rFonts w:hint="default" w:eastAsia="宋体"/>
          <w:color w:val="auto"/>
          <w:lang w:val="en-US" w:eastAsia="zh-CN"/>
        </w:rPr>
      </w:pPr>
      <w:r>
        <w:rPr>
          <w:rFonts w:hint="eastAsia"/>
          <w:color w:val="auto"/>
        </w:rPr>
        <w:t>《建筑照明设计标准》</w:t>
      </w:r>
      <w:r>
        <w:rPr>
          <w:rFonts w:hint="eastAsia"/>
          <w:color w:val="auto"/>
          <w:lang w:val="en-US" w:eastAsia="zh-CN"/>
        </w:rPr>
        <w:t xml:space="preserve"> </w:t>
      </w:r>
      <w:r>
        <w:rPr>
          <w:rFonts w:hint="eastAsia"/>
          <w:color w:val="auto"/>
        </w:rPr>
        <w:t xml:space="preserve">                          GB</w:t>
      </w:r>
      <w:r>
        <w:rPr>
          <w:rFonts w:hint="eastAsia"/>
          <w:color w:val="auto"/>
          <w:lang w:val="en-US" w:eastAsia="zh-CN"/>
        </w:rPr>
        <w:t>/T50034-2024</w:t>
      </w:r>
    </w:p>
    <w:p w14:paraId="305E5CEF">
      <w:pPr>
        <w:bidi w:val="0"/>
        <w:rPr>
          <w:rFonts w:hint="eastAsia"/>
          <w:color w:val="auto"/>
        </w:rPr>
      </w:pPr>
      <w:r>
        <w:rPr>
          <w:rFonts w:hint="eastAsia"/>
          <w:color w:val="auto"/>
        </w:rPr>
        <w:t>《建筑设计防火规范（2018年版）》                   GB50016-2014</w:t>
      </w:r>
    </w:p>
    <w:p w14:paraId="233B16FD">
      <w:pPr>
        <w:bidi w:val="0"/>
        <w:rPr>
          <w:rFonts w:hint="eastAsia"/>
          <w:color w:val="auto"/>
        </w:rPr>
      </w:pPr>
      <w:r>
        <w:rPr>
          <w:rFonts w:hint="eastAsia"/>
          <w:color w:val="auto"/>
        </w:rPr>
        <w:t>《消防给水及消火栓系统技术规范》                GB 50974-2014</w:t>
      </w:r>
    </w:p>
    <w:p w14:paraId="6E6AD78F">
      <w:pPr>
        <w:bidi w:val="0"/>
        <w:rPr>
          <w:rFonts w:hint="eastAsia"/>
          <w:color w:val="auto"/>
        </w:rPr>
      </w:pPr>
      <w:r>
        <w:rPr>
          <w:rFonts w:hint="eastAsia"/>
          <w:color w:val="auto"/>
        </w:rPr>
        <w:t>《水泥工厂设计规范》                             GB50295-2016</w:t>
      </w:r>
    </w:p>
    <w:p w14:paraId="486188E4">
      <w:pPr>
        <w:bidi w:val="0"/>
        <w:rPr>
          <w:rFonts w:hint="eastAsia"/>
          <w:color w:val="auto"/>
        </w:rPr>
      </w:pPr>
      <w:r>
        <w:rPr>
          <w:rFonts w:hint="eastAsia"/>
          <w:color w:val="auto"/>
        </w:rPr>
        <w:t>《水泥工厂节能设计规范》</w:t>
      </w:r>
      <w:r>
        <w:rPr>
          <w:rFonts w:hint="eastAsia"/>
          <w:color w:val="auto"/>
          <w:lang w:val="en-US" w:eastAsia="zh-CN"/>
        </w:rPr>
        <w:t xml:space="preserve">                         </w:t>
      </w:r>
      <w:r>
        <w:rPr>
          <w:rFonts w:hint="eastAsia"/>
          <w:color w:val="auto"/>
        </w:rPr>
        <w:t>GB50443-2016</w:t>
      </w:r>
    </w:p>
    <w:p w14:paraId="2B988C72">
      <w:pPr>
        <w:bidi w:val="0"/>
        <w:rPr>
          <w:rFonts w:hint="eastAsia"/>
          <w:color w:val="auto"/>
        </w:rPr>
      </w:pPr>
      <w:r>
        <w:rPr>
          <w:rFonts w:hint="eastAsia"/>
          <w:color w:val="auto"/>
        </w:rPr>
        <w:t>《危险化学品重大危险源辨识》                     GB18218-2018</w:t>
      </w:r>
    </w:p>
    <w:p w14:paraId="785FB193">
      <w:pPr>
        <w:bidi w:val="0"/>
        <w:rPr>
          <w:rFonts w:hint="default"/>
          <w:color w:val="auto"/>
          <w:lang w:val="en-US" w:eastAsia="zh-CN"/>
        </w:rPr>
      </w:pPr>
      <w:r>
        <w:rPr>
          <w:rFonts w:hint="eastAsia"/>
          <w:color w:val="auto"/>
          <w:lang w:eastAsia="zh-CN"/>
        </w:rPr>
        <w:t>《</w:t>
      </w:r>
      <w:r>
        <w:rPr>
          <w:rFonts w:hint="eastAsia"/>
          <w:color w:val="auto"/>
          <w:lang w:val="en-US" w:eastAsia="zh-CN"/>
        </w:rPr>
        <w:t>烟气脱硫工艺设计标准</w:t>
      </w:r>
      <w:r>
        <w:rPr>
          <w:rFonts w:hint="eastAsia"/>
          <w:color w:val="auto"/>
          <w:lang w:eastAsia="zh-CN"/>
        </w:rPr>
        <w:t>》</w:t>
      </w:r>
      <w:r>
        <w:rPr>
          <w:rFonts w:hint="eastAsia"/>
          <w:color w:val="auto"/>
          <w:lang w:val="en-US" w:eastAsia="zh-CN"/>
        </w:rPr>
        <w:t xml:space="preserve">                         GB51284-2018</w:t>
      </w:r>
    </w:p>
    <w:p w14:paraId="2D4CD18C">
      <w:pPr>
        <w:bidi w:val="0"/>
        <w:rPr>
          <w:rFonts w:hint="default"/>
          <w:color w:val="auto"/>
          <w:lang w:val="en-US" w:eastAsia="zh-CN"/>
        </w:rPr>
      </w:pPr>
      <w:r>
        <w:rPr>
          <w:rFonts w:hint="eastAsia"/>
          <w:color w:val="auto"/>
        </w:rPr>
        <w:t>《工作场所有害因素职业接触限值第1部分：化学有害因素》</w:t>
      </w:r>
      <w:r>
        <w:rPr>
          <w:rFonts w:hint="eastAsia"/>
          <w:color w:val="auto"/>
          <w:lang w:val="en-US" w:eastAsia="zh-CN"/>
        </w:rPr>
        <w:t xml:space="preserve">      </w:t>
      </w:r>
    </w:p>
    <w:p w14:paraId="5EB37809">
      <w:pPr>
        <w:bidi w:val="0"/>
        <w:rPr>
          <w:rFonts w:hint="eastAsia"/>
          <w:color w:val="auto"/>
        </w:rPr>
      </w:pPr>
      <w:r>
        <w:rPr>
          <w:rFonts w:hint="eastAsia"/>
          <w:color w:val="auto"/>
        </w:rPr>
        <w:t xml:space="preserve">                   </w:t>
      </w:r>
      <w:r>
        <w:rPr>
          <w:rFonts w:hint="eastAsia"/>
          <w:color w:val="auto"/>
          <w:lang w:val="en-US" w:eastAsia="zh-CN"/>
        </w:rPr>
        <w:t xml:space="preserve">     </w:t>
      </w:r>
      <w:r>
        <w:rPr>
          <w:rFonts w:hint="eastAsia"/>
          <w:color w:val="auto"/>
        </w:rPr>
        <w:t xml:space="preserve">              </w:t>
      </w:r>
      <w:r>
        <w:rPr>
          <w:rFonts w:hint="eastAsia"/>
          <w:color w:val="auto"/>
          <w:lang w:val="en-US" w:eastAsia="zh-CN"/>
        </w:rPr>
        <w:t xml:space="preserve">  </w:t>
      </w:r>
      <w:r>
        <w:rPr>
          <w:rFonts w:hint="eastAsia"/>
          <w:color w:val="auto"/>
        </w:rPr>
        <w:t>GBZ2.1-2019/XG1-2022</w:t>
      </w:r>
    </w:p>
    <w:p w14:paraId="2DD6581A">
      <w:pPr>
        <w:bidi w:val="0"/>
        <w:rPr>
          <w:rFonts w:hint="eastAsia"/>
          <w:color w:val="auto"/>
        </w:rPr>
      </w:pPr>
      <w:r>
        <w:rPr>
          <w:rFonts w:hint="eastAsia"/>
          <w:color w:val="auto"/>
        </w:rPr>
        <w:t>《个体防护装备配备规范第1部分：总则》</w:t>
      </w:r>
      <w:r>
        <w:rPr>
          <w:rFonts w:hint="eastAsia"/>
          <w:color w:val="auto"/>
          <w:lang w:val="en-US" w:eastAsia="zh-CN"/>
        </w:rPr>
        <w:t xml:space="preserve"> </w:t>
      </w:r>
      <w:r>
        <w:rPr>
          <w:rFonts w:hint="eastAsia"/>
          <w:color w:val="auto"/>
        </w:rPr>
        <w:t xml:space="preserve">        GB 39800.1-2020</w:t>
      </w:r>
    </w:p>
    <w:p w14:paraId="5D3D2ABD">
      <w:pPr>
        <w:bidi w:val="0"/>
        <w:rPr>
          <w:rFonts w:hint="eastAsia"/>
          <w:color w:val="auto"/>
        </w:rPr>
      </w:pPr>
      <w:r>
        <w:rPr>
          <w:rFonts w:hint="eastAsia"/>
          <w:color w:val="auto"/>
          <w:lang w:eastAsia="zh-CN"/>
        </w:rPr>
        <w:t>《个体防护装备配备规范第5部分：建材》</w:t>
      </w:r>
      <w:r>
        <w:rPr>
          <w:rFonts w:hint="eastAsia"/>
          <w:color w:val="auto"/>
          <w:lang w:val="en-US" w:eastAsia="zh-CN"/>
        </w:rPr>
        <w:t xml:space="preserve">         </w:t>
      </w:r>
      <w:r>
        <w:rPr>
          <w:rFonts w:hint="eastAsia"/>
          <w:color w:val="auto"/>
        </w:rPr>
        <w:t>GB 39800.5-2023</w:t>
      </w:r>
    </w:p>
    <w:p w14:paraId="002915A7">
      <w:pPr>
        <w:bidi w:val="0"/>
        <w:rPr>
          <w:rFonts w:hint="eastAsia"/>
          <w:color w:val="auto"/>
        </w:rPr>
      </w:pPr>
      <w:r>
        <w:rPr>
          <w:rFonts w:hint="eastAsia"/>
          <w:color w:val="auto"/>
        </w:rPr>
        <w:t>《生产设备安全卫生设计总则》                      GB5083-2023</w:t>
      </w:r>
    </w:p>
    <w:p w14:paraId="73846FDB">
      <w:pPr>
        <w:bidi w:val="0"/>
        <w:rPr>
          <w:rFonts w:hint="eastAsia"/>
          <w:color w:val="auto"/>
        </w:rPr>
      </w:pPr>
      <w:r>
        <w:rPr>
          <w:rFonts w:hint="eastAsia"/>
          <w:color w:val="auto"/>
        </w:rPr>
        <w:t>《交流电气装置的接地设计规范》                 GB/T50065-2011</w:t>
      </w:r>
    </w:p>
    <w:p w14:paraId="7AEF8584">
      <w:pPr>
        <w:bidi w:val="0"/>
        <w:rPr>
          <w:rFonts w:hint="eastAsia"/>
          <w:color w:val="auto"/>
        </w:rPr>
      </w:pPr>
      <w:r>
        <w:rPr>
          <w:rFonts w:hint="eastAsia"/>
          <w:color w:val="auto"/>
        </w:rPr>
        <w:t>《用电安全导则》                               GB/T13869-2017</w:t>
      </w:r>
    </w:p>
    <w:p w14:paraId="5B2A20AF">
      <w:pPr>
        <w:bidi w:val="0"/>
        <w:rPr>
          <w:rFonts w:hint="eastAsia"/>
          <w:color w:val="auto"/>
        </w:rPr>
      </w:pPr>
      <w:r>
        <w:rPr>
          <w:rFonts w:hint="eastAsia"/>
          <w:color w:val="auto"/>
        </w:rPr>
        <w:t>《工业循环冷却水处理设计规范》</w:t>
      </w:r>
      <w:r>
        <w:rPr>
          <w:rFonts w:hint="eastAsia"/>
          <w:color w:val="auto"/>
          <w:lang w:val="en-US" w:eastAsia="zh-CN"/>
        </w:rPr>
        <w:t xml:space="preserve">                 </w:t>
      </w:r>
      <w:r>
        <w:rPr>
          <w:rFonts w:hint="eastAsia"/>
          <w:color w:val="auto"/>
        </w:rPr>
        <w:t>GB/T50050-2017</w:t>
      </w:r>
    </w:p>
    <w:p w14:paraId="6653C5C2">
      <w:pPr>
        <w:bidi w:val="0"/>
        <w:rPr>
          <w:rFonts w:hint="eastAsia"/>
          <w:color w:val="auto"/>
        </w:rPr>
      </w:pPr>
      <w:r>
        <w:rPr>
          <w:rFonts w:hint="eastAsia"/>
          <w:color w:val="auto"/>
        </w:rPr>
        <w:t>《工业建筑防腐蚀设计标准》                     GB/T50046-2018</w:t>
      </w:r>
    </w:p>
    <w:p w14:paraId="6AB2CD25">
      <w:pPr>
        <w:bidi w:val="0"/>
        <w:rPr>
          <w:rFonts w:hint="eastAsia"/>
          <w:color w:val="auto"/>
        </w:rPr>
      </w:pPr>
      <w:r>
        <w:rPr>
          <w:rFonts w:hint="eastAsia"/>
          <w:color w:val="auto"/>
        </w:rPr>
        <w:t>《管道支吊架第1部分：技术规范》</w:t>
      </w:r>
      <w:r>
        <w:rPr>
          <w:rFonts w:hint="eastAsia"/>
          <w:color w:val="auto"/>
          <w:lang w:val="en-US" w:eastAsia="zh-CN"/>
        </w:rPr>
        <w:t xml:space="preserve">              </w:t>
      </w:r>
      <w:r>
        <w:rPr>
          <w:rFonts w:hint="eastAsia"/>
          <w:color w:val="auto"/>
        </w:rPr>
        <w:t>GB/T17116.1-2018</w:t>
      </w:r>
    </w:p>
    <w:p w14:paraId="68842996">
      <w:pPr>
        <w:bidi w:val="0"/>
        <w:rPr>
          <w:rFonts w:hint="eastAsia"/>
          <w:color w:val="auto"/>
        </w:rPr>
      </w:pPr>
      <w:r>
        <w:rPr>
          <w:rFonts w:hint="eastAsia"/>
          <w:color w:val="auto"/>
        </w:rPr>
        <w:t>《生产经营单位生产安全事故应急预案编制导则》   GB/T29639-2020</w:t>
      </w:r>
    </w:p>
    <w:p w14:paraId="191A416B">
      <w:pPr>
        <w:bidi w:val="0"/>
        <w:rPr>
          <w:rFonts w:hint="eastAsia"/>
          <w:color w:val="auto"/>
        </w:rPr>
      </w:pPr>
      <w:r>
        <w:rPr>
          <w:rFonts w:hint="eastAsia"/>
          <w:color w:val="auto"/>
        </w:rPr>
        <w:t>《生产过程危险和有害因素分类与代码》           GB/T13861-2022</w:t>
      </w:r>
    </w:p>
    <w:p w14:paraId="27444D11">
      <w:pPr>
        <w:bidi w:val="0"/>
        <w:rPr>
          <w:rFonts w:hint="default"/>
          <w:color w:val="auto"/>
          <w:lang w:val="en-US" w:eastAsia="zh-CN"/>
        </w:rPr>
      </w:pPr>
      <w:r>
        <w:rPr>
          <w:rFonts w:hint="eastAsia"/>
          <w:color w:val="auto"/>
          <w:lang w:eastAsia="zh-CN"/>
        </w:rPr>
        <w:t>《</w:t>
      </w:r>
      <w:r>
        <w:rPr>
          <w:rFonts w:hint="default"/>
          <w:color w:val="auto"/>
          <w:lang w:val="en-US" w:eastAsia="zh-CN"/>
        </w:rPr>
        <w:t>石灰石/石灰-石膏湿法烟气脱硫工程通用技术规范</w:t>
      </w:r>
      <w:r>
        <w:rPr>
          <w:rFonts w:hint="eastAsia"/>
          <w:color w:val="auto"/>
          <w:lang w:eastAsia="zh-CN"/>
        </w:rPr>
        <w:t>》</w:t>
      </w:r>
      <w:r>
        <w:rPr>
          <w:rFonts w:hint="eastAsia"/>
          <w:color w:val="auto"/>
          <w:lang w:val="en-US" w:eastAsia="zh-CN"/>
        </w:rPr>
        <w:t xml:space="preserve">    HJ179-2018</w:t>
      </w:r>
    </w:p>
    <w:p w14:paraId="2DDECF94">
      <w:pPr>
        <w:bidi w:val="0"/>
        <w:rPr>
          <w:rFonts w:hint="eastAsia"/>
          <w:color w:val="auto"/>
        </w:rPr>
      </w:pPr>
      <w:r>
        <w:rPr>
          <w:rFonts w:hint="eastAsia"/>
          <w:color w:val="auto"/>
        </w:rPr>
        <w:t>《安全评价通则》                                  AQ8001-2007</w:t>
      </w:r>
    </w:p>
    <w:p w14:paraId="43BD56B0">
      <w:pPr>
        <w:bidi w:val="0"/>
        <w:rPr>
          <w:rFonts w:hint="eastAsia"/>
          <w:color w:val="auto"/>
        </w:rPr>
      </w:pPr>
      <w:r>
        <w:rPr>
          <w:rFonts w:hint="eastAsia"/>
          <w:color w:val="auto"/>
        </w:rPr>
        <w:t>《安全预评价导则》                                AQ8002-2007</w:t>
      </w:r>
    </w:p>
    <w:p w14:paraId="1047C500">
      <w:pPr>
        <w:bidi w:val="0"/>
        <w:rPr>
          <w:rFonts w:hint="eastAsia"/>
          <w:color w:val="auto"/>
        </w:rPr>
      </w:pPr>
      <w:r>
        <w:rPr>
          <w:rFonts w:hint="eastAsia"/>
          <w:color w:val="auto"/>
        </w:rPr>
        <w:t>《控制室设计规范》                             HG/T20508-2014</w:t>
      </w:r>
    </w:p>
    <w:p w14:paraId="5F8625E8">
      <w:pPr>
        <w:bidi w:val="0"/>
        <w:rPr>
          <w:rFonts w:hint="eastAsia"/>
          <w:color w:val="auto"/>
        </w:rPr>
      </w:pPr>
      <w:r>
        <w:rPr>
          <w:rFonts w:hint="eastAsia"/>
          <w:color w:val="auto"/>
        </w:rPr>
        <w:t>《自动化仪表选型设计规范》                     HG/T20507-2014</w:t>
      </w:r>
    </w:p>
    <w:p w14:paraId="62F628AA">
      <w:pPr>
        <w:bidi w:val="0"/>
        <w:rPr>
          <w:rFonts w:hint="default"/>
          <w:color w:val="auto"/>
          <w:lang w:val="en-US" w:eastAsia="zh-CN"/>
        </w:rPr>
      </w:pPr>
      <w:r>
        <w:rPr>
          <w:rFonts w:hint="eastAsia"/>
          <w:color w:val="auto"/>
        </w:rPr>
        <w:t>《水泥生产企业防尘防毒技术规范》                 WS/T733-2015</w:t>
      </w:r>
    </w:p>
    <w:p w14:paraId="07C816CA">
      <w:pPr>
        <w:bidi w:val="0"/>
        <w:rPr>
          <w:rFonts w:hint="eastAsia"/>
          <w:color w:val="auto"/>
        </w:rPr>
      </w:pPr>
      <w:r>
        <w:rPr>
          <w:rFonts w:hint="eastAsia"/>
          <w:color w:val="auto"/>
        </w:rPr>
        <w:t>《劳动防护用品配备规范》                       DB36/T843-2015</w:t>
      </w:r>
    </w:p>
    <w:p w14:paraId="75302A78">
      <w:pPr>
        <w:bidi w:val="0"/>
        <w:rPr>
          <w:rFonts w:hint="eastAsia"/>
          <w:color w:val="auto"/>
          <w:lang w:val="en-US" w:eastAsia="zh-CN"/>
        </w:rPr>
      </w:pPr>
      <w:r>
        <w:rPr>
          <w:rFonts w:hint="eastAsia"/>
          <w:color w:val="auto"/>
          <w:lang w:eastAsia="zh-CN"/>
        </w:rPr>
        <w:t>《石灰石-石膏湿法烟气脱硫装置性能验收试验规范》</w:t>
      </w:r>
      <w:r>
        <w:rPr>
          <w:rFonts w:hint="eastAsia"/>
          <w:color w:val="auto"/>
          <w:lang w:val="en-US" w:eastAsia="zh-CN"/>
        </w:rPr>
        <w:t xml:space="preserve">   DL/T998-2016</w:t>
      </w:r>
    </w:p>
    <w:p w14:paraId="3C4E6935">
      <w:pPr>
        <w:bidi w:val="0"/>
        <w:rPr>
          <w:rFonts w:hint="eastAsia"/>
          <w:color w:val="auto"/>
        </w:rPr>
      </w:pPr>
      <w:r>
        <w:rPr>
          <w:rFonts w:hint="eastAsia"/>
          <w:color w:val="auto"/>
        </w:rPr>
        <w:t>《特种设备使用管理规则》                         TSG08—2017</w:t>
      </w:r>
    </w:p>
    <w:p w14:paraId="4D2CD977">
      <w:pPr>
        <w:bidi w:val="0"/>
        <w:rPr>
          <w:rFonts w:hint="default"/>
          <w:color w:val="auto"/>
          <w:lang w:val="en-US" w:eastAsia="zh-CN"/>
        </w:rPr>
      </w:pPr>
      <w:r>
        <w:rPr>
          <w:rFonts w:hint="eastAsia"/>
          <w:color w:val="auto"/>
          <w:lang w:val="en-US" w:eastAsia="zh-CN"/>
        </w:rPr>
        <w:t xml:space="preserve">《火电厂石灰石/石灰-石膏湿法烟气脱硫系统运行导则》           </w:t>
      </w:r>
    </w:p>
    <w:p w14:paraId="1A1C411C">
      <w:pPr>
        <w:bidi w:val="0"/>
        <w:rPr>
          <w:rFonts w:hint="eastAsia"/>
          <w:color w:val="auto"/>
          <w:lang w:val="en-US" w:eastAsia="zh-CN"/>
        </w:rPr>
      </w:pPr>
      <w:r>
        <w:rPr>
          <w:rFonts w:hint="eastAsia"/>
          <w:color w:val="auto"/>
          <w:lang w:val="en-US" w:eastAsia="zh-CN"/>
        </w:rPr>
        <w:t xml:space="preserve">                                               DL/T1149-2019</w:t>
      </w:r>
    </w:p>
    <w:p w14:paraId="37E5647A">
      <w:pPr>
        <w:bidi w:val="0"/>
        <w:rPr>
          <w:rFonts w:hint="eastAsia"/>
          <w:color w:val="auto"/>
        </w:rPr>
      </w:pPr>
      <w:r>
        <w:rPr>
          <w:rFonts w:hint="eastAsia"/>
          <w:color w:val="auto"/>
        </w:rPr>
        <w:t>《固定式压力容器安全技术监察规程》        TSG21-2016/XG1-2020</w:t>
      </w:r>
    </w:p>
    <w:p w14:paraId="51A0A992">
      <w:pPr>
        <w:bidi w:val="0"/>
        <w:rPr>
          <w:rFonts w:hint="eastAsia"/>
          <w:color w:val="auto"/>
        </w:rPr>
      </w:pPr>
      <w:r>
        <w:rPr>
          <w:rFonts w:hint="eastAsia"/>
          <w:color w:val="auto"/>
        </w:rPr>
        <w:t>《特种设备作业人员考核规则》                  TSGZ6001－2019</w:t>
      </w:r>
    </w:p>
    <w:p w14:paraId="27A6EA5B">
      <w:pPr>
        <w:bidi w:val="0"/>
        <w:rPr>
          <w:rFonts w:hint="default"/>
          <w:color w:val="auto"/>
          <w:lang w:val="en-US" w:eastAsia="zh-CN"/>
        </w:rPr>
      </w:pPr>
      <w:r>
        <w:rPr>
          <w:rFonts w:hint="eastAsia"/>
          <w:color w:val="auto"/>
        </w:rPr>
        <w:t>《燃煤烟气脱硫设备第1部分：燃煤烟气湿法脱硫设备》</w:t>
      </w:r>
      <w:r>
        <w:rPr>
          <w:rFonts w:hint="eastAsia"/>
          <w:color w:val="auto"/>
          <w:lang w:val="en-US" w:eastAsia="zh-CN"/>
        </w:rPr>
        <w:t xml:space="preserve">           </w:t>
      </w:r>
    </w:p>
    <w:p w14:paraId="6161E522">
      <w:pPr>
        <w:bidi w:val="0"/>
        <w:rPr>
          <w:rFonts w:hint="eastAsia"/>
          <w:color w:val="auto"/>
        </w:rPr>
      </w:pPr>
      <w:r>
        <w:rPr>
          <w:rFonts w:hint="eastAsia"/>
          <w:color w:val="auto"/>
          <w:lang w:val="en-US" w:eastAsia="zh-CN"/>
        </w:rPr>
        <w:t xml:space="preserve">                                             </w:t>
      </w:r>
      <w:r>
        <w:rPr>
          <w:rFonts w:hint="eastAsia"/>
          <w:color w:val="auto"/>
        </w:rPr>
        <w:t>GB/T19229.1-2008</w:t>
      </w:r>
    </w:p>
    <w:p w14:paraId="74F5B850">
      <w:pPr>
        <w:bidi w:val="0"/>
        <w:rPr>
          <w:rFonts w:hint="eastAsia"/>
          <w:color w:val="auto"/>
        </w:rPr>
      </w:pPr>
      <w:r>
        <w:rPr>
          <w:rFonts w:hint="eastAsia"/>
          <w:color w:val="auto"/>
          <w:lang w:val="en-US" w:eastAsia="zh-CN"/>
        </w:rPr>
        <w:t>其他</w:t>
      </w:r>
      <w:r>
        <w:rPr>
          <w:rFonts w:hint="eastAsia"/>
          <w:color w:val="auto"/>
        </w:rPr>
        <w:t>相关的专业性国家标准、行业标准和地方标准及规定。</w:t>
      </w:r>
    </w:p>
    <w:p w14:paraId="426434DF">
      <w:pPr>
        <w:pStyle w:val="4"/>
        <w:bidi w:val="0"/>
        <w:rPr>
          <w:rFonts w:hint="eastAsia"/>
          <w:color w:val="auto"/>
          <w:lang w:val="en-US" w:eastAsia="zh-CN"/>
        </w:rPr>
      </w:pPr>
      <w:bookmarkStart w:id="12" w:name="_Toc26667"/>
      <w:r>
        <w:rPr>
          <w:rFonts w:hint="eastAsia"/>
          <w:color w:val="auto"/>
          <w:lang w:val="en-US" w:eastAsia="zh-CN"/>
        </w:rPr>
        <w:t>1.2.7其他依据和主要参考资料</w:t>
      </w:r>
      <w:bookmarkEnd w:id="12"/>
    </w:p>
    <w:p w14:paraId="2A7951CD">
      <w:pPr>
        <w:bidi w:val="0"/>
        <w:rPr>
          <w:color w:val="auto"/>
        </w:rPr>
      </w:pPr>
      <w:r>
        <w:rPr>
          <w:color w:val="auto"/>
          <w:lang w:val="en-US" w:eastAsia="zh-CN"/>
        </w:rPr>
        <w:t>1</w:t>
      </w:r>
      <w:r>
        <w:rPr>
          <w:rFonts w:hint="eastAsia"/>
          <w:color w:val="auto"/>
          <w:lang w:val="en-US" w:eastAsia="zh-CN"/>
        </w:rPr>
        <w:t>.</w:t>
      </w:r>
      <w:r>
        <w:rPr>
          <w:rFonts w:hint="eastAsia"/>
          <w:color w:val="auto"/>
          <w:lang w:val="zh-CN"/>
        </w:rPr>
        <w:t>北京达飞安评管理顾问有限公司</w:t>
      </w:r>
      <w:r>
        <w:rPr>
          <w:rFonts w:hint="eastAsia"/>
          <w:color w:val="auto"/>
        </w:rPr>
        <w:t>编制</w:t>
      </w:r>
      <w:r>
        <w:rPr>
          <w:rFonts w:hint="eastAsia"/>
          <w:color w:val="auto"/>
          <w:lang w:val="zh-CN"/>
        </w:rPr>
        <w:t>的</w:t>
      </w:r>
      <w:r>
        <w:rPr>
          <w:rFonts w:hint="eastAsia"/>
          <w:color w:val="auto"/>
        </w:rPr>
        <w:t>《江西亚东水泥有限公司降低二氧化硫排放项目（2*6000t/d与4*4200t/d）安全预评价报告》（证书编号：APJ-（国）-074）</w:t>
      </w:r>
    </w:p>
    <w:p w14:paraId="6DFCD80D">
      <w:pPr>
        <w:bidi w:val="0"/>
        <w:rPr>
          <w:rFonts w:hint="eastAsia"/>
          <w:color w:val="auto"/>
          <w:lang w:eastAsia="zh-CN"/>
        </w:rPr>
      </w:pPr>
      <w:r>
        <w:rPr>
          <w:color w:val="auto"/>
          <w:lang w:val="en-US" w:eastAsia="zh-CN"/>
        </w:rPr>
        <w:t>2</w:t>
      </w:r>
      <w:r>
        <w:rPr>
          <w:rFonts w:hint="eastAsia"/>
          <w:color w:val="auto"/>
          <w:lang w:val="en-US" w:eastAsia="zh-CN"/>
        </w:rPr>
        <w:t>.</w:t>
      </w:r>
      <w:r>
        <w:rPr>
          <w:rFonts w:hint="eastAsia"/>
          <w:color w:val="auto"/>
        </w:rPr>
        <w:t>《江西省企业投资项目备案通知书》</w:t>
      </w:r>
      <w:r>
        <w:rPr>
          <w:rFonts w:hint="eastAsia"/>
          <w:color w:val="auto"/>
          <w:lang w:eastAsia="zh-CN"/>
        </w:rPr>
        <w:t>（</w:t>
      </w:r>
      <w:r>
        <w:rPr>
          <w:rFonts w:hint="eastAsia"/>
          <w:color w:val="auto"/>
          <w:lang w:val="en-US" w:eastAsia="zh-CN"/>
        </w:rPr>
        <w:t>瑞昌市发展和改革委员会，</w:t>
      </w:r>
      <w:r>
        <w:rPr>
          <w:rFonts w:hint="eastAsia"/>
          <w:color w:val="auto"/>
        </w:rPr>
        <w:t>项目统一代码为：2018-360481-77-03-028649</w:t>
      </w:r>
      <w:r>
        <w:rPr>
          <w:rFonts w:hint="eastAsia"/>
          <w:color w:val="auto"/>
          <w:lang w:eastAsia="zh-CN"/>
        </w:rPr>
        <w:t>）</w:t>
      </w:r>
    </w:p>
    <w:p w14:paraId="177F5084">
      <w:pPr>
        <w:bidi w:val="0"/>
        <w:rPr>
          <w:color w:val="auto"/>
        </w:rPr>
      </w:pPr>
      <w:r>
        <w:rPr>
          <w:color w:val="auto"/>
          <w:lang w:val="en-US" w:eastAsia="zh-CN"/>
        </w:rPr>
        <w:t>3</w:t>
      </w:r>
      <w:r>
        <w:rPr>
          <w:rFonts w:hint="eastAsia"/>
          <w:color w:val="auto"/>
          <w:lang w:val="en-US" w:eastAsia="zh-CN"/>
        </w:rPr>
        <w:t>.</w:t>
      </w:r>
      <w:r>
        <w:rPr>
          <w:rFonts w:hint="eastAsia"/>
          <w:color w:val="auto"/>
        </w:rPr>
        <w:t>瑞昌市环境保护局文件《关于江西亚东水泥有限公司降低二氧化硫排放项目环境影响报告表的批复》</w:t>
      </w:r>
      <w:r>
        <w:rPr>
          <w:rFonts w:hint="eastAsia"/>
          <w:color w:val="auto"/>
          <w:lang w:eastAsia="zh-CN"/>
        </w:rPr>
        <w:t>（</w:t>
      </w:r>
      <w:r>
        <w:rPr>
          <w:rFonts w:hint="eastAsia"/>
          <w:color w:val="auto"/>
        </w:rPr>
        <w:t>瑞环评字〔2019〕30号</w:t>
      </w:r>
      <w:r>
        <w:rPr>
          <w:rFonts w:hint="eastAsia"/>
          <w:color w:val="auto"/>
          <w:lang w:eastAsia="zh-CN"/>
        </w:rPr>
        <w:t>）</w:t>
      </w:r>
    </w:p>
    <w:p w14:paraId="7CF71576">
      <w:pPr>
        <w:bidi w:val="0"/>
        <w:rPr>
          <w:rFonts w:hint="eastAsia"/>
          <w:color w:val="auto"/>
          <w:lang w:eastAsia="zh-CN"/>
        </w:rPr>
      </w:pPr>
      <w:r>
        <w:rPr>
          <w:color w:val="auto"/>
          <w:lang w:val="en-US" w:eastAsia="zh-CN"/>
        </w:rPr>
        <w:t>4</w:t>
      </w:r>
      <w:r>
        <w:rPr>
          <w:rFonts w:hint="eastAsia"/>
          <w:color w:val="auto"/>
          <w:lang w:val="en-US" w:eastAsia="zh-CN"/>
        </w:rPr>
        <w:t>.</w:t>
      </w:r>
      <w:r>
        <w:rPr>
          <w:rFonts w:hint="eastAsia"/>
          <w:color w:val="auto"/>
        </w:rPr>
        <w:t>《江西亚东水泥有限公司降低二氧化硫排放项目（一期、二期3~6#线脱硫工程）竣工环境保护验收监测报告表》</w:t>
      </w:r>
      <w:r>
        <w:rPr>
          <w:rFonts w:hint="eastAsia"/>
          <w:color w:val="auto"/>
          <w:lang w:eastAsia="zh-CN"/>
        </w:rPr>
        <w:t>（</w:t>
      </w:r>
      <w:r>
        <w:rPr>
          <w:rFonts w:hint="eastAsia"/>
          <w:color w:val="auto"/>
        </w:rPr>
        <w:t>赣粤环科（建）字（2020）第【YHK20200509(6603)01-2】号</w:t>
      </w:r>
      <w:r>
        <w:rPr>
          <w:rFonts w:hint="eastAsia"/>
          <w:color w:val="auto"/>
          <w:lang w:eastAsia="zh-CN"/>
        </w:rPr>
        <w:t>）</w:t>
      </w:r>
    </w:p>
    <w:p w14:paraId="583342B2">
      <w:pPr>
        <w:bidi w:val="0"/>
        <w:rPr>
          <w:rFonts w:hint="eastAsia"/>
          <w:color w:val="auto"/>
          <w:lang w:val="en-US" w:eastAsia="zh-CN"/>
        </w:rPr>
      </w:pPr>
      <w:r>
        <w:rPr>
          <w:rFonts w:hint="eastAsia"/>
          <w:color w:val="auto"/>
          <w:lang w:val="en-US" w:eastAsia="zh-CN"/>
        </w:rPr>
        <w:t>5.《瑞昌制造二厂降低二氧化硫排放项目安全设施设计》（</w:t>
      </w:r>
      <w:r>
        <w:rPr>
          <w:rFonts w:hint="default"/>
          <w:color w:val="auto"/>
        </w:rPr>
        <w:t>美华建筑设计有限公司</w:t>
      </w:r>
      <w:r>
        <w:rPr>
          <w:rFonts w:hint="eastAsia"/>
          <w:color w:val="auto"/>
          <w:lang w:val="en-US" w:eastAsia="zh-CN"/>
        </w:rPr>
        <w:t>）</w:t>
      </w:r>
    </w:p>
    <w:p w14:paraId="0FF7BCA7">
      <w:pPr>
        <w:bidi w:val="0"/>
        <w:rPr>
          <w:rFonts w:hint="eastAsia"/>
          <w:color w:val="auto"/>
          <w:lang w:val="en-US" w:eastAsia="zh-CN"/>
        </w:rPr>
      </w:pPr>
      <w:r>
        <w:rPr>
          <w:rFonts w:hint="eastAsia"/>
          <w:color w:val="auto"/>
          <w:lang w:val="en-US" w:eastAsia="zh-CN"/>
        </w:rPr>
        <w:t>6.《江西亚东水泥有限公司五六号窑脱硫系统连续运行72小时性能测试总结》（合肥水泥研究设计院）</w:t>
      </w:r>
    </w:p>
    <w:p w14:paraId="0C28BC2A">
      <w:pPr>
        <w:bidi w:val="0"/>
        <w:rPr>
          <w:rFonts w:hint="eastAsia"/>
          <w:color w:val="auto"/>
          <w:lang w:val="en-US" w:eastAsia="zh-CN"/>
        </w:rPr>
      </w:pPr>
      <w:r>
        <w:rPr>
          <w:rFonts w:hint="eastAsia"/>
          <w:color w:val="auto"/>
          <w:lang w:val="en-US" w:eastAsia="zh-CN"/>
        </w:rPr>
        <w:t>7.《关于环保违法违规建设项目清理整顿备案管理的会议纪要》（瑞府办纪要(2016)31号）</w:t>
      </w:r>
    </w:p>
    <w:p w14:paraId="20410903">
      <w:pPr>
        <w:bidi w:val="0"/>
        <w:rPr>
          <w:rFonts w:hint="eastAsia"/>
          <w:color w:val="auto"/>
          <w:lang w:val="en-US" w:eastAsia="zh-CN"/>
        </w:rPr>
      </w:pPr>
      <w:r>
        <w:rPr>
          <w:rFonts w:hint="eastAsia"/>
          <w:color w:val="auto"/>
          <w:lang w:val="en-US" w:eastAsia="zh-CN"/>
        </w:rPr>
        <w:t>8.《施工现场安全生产文明施工措施费用投入统计表》（合肥水泥研究设计院有限公司）</w:t>
      </w:r>
    </w:p>
    <w:p w14:paraId="265B03B5">
      <w:pPr>
        <w:bidi w:val="0"/>
        <w:rPr>
          <w:rFonts w:hint="default"/>
          <w:color w:val="auto"/>
          <w:lang w:val="en-US" w:eastAsia="zh-CN"/>
        </w:rPr>
      </w:pPr>
      <w:r>
        <w:rPr>
          <w:rFonts w:hint="eastAsia"/>
          <w:color w:val="auto"/>
          <w:lang w:val="en-US" w:eastAsia="zh-CN"/>
        </w:rPr>
        <w:t>9.《江西省雷电防护装置检测报告》（九江市蓝天科技有限公司，报告编号：1152017003雷检字[2024]102061）</w:t>
      </w:r>
    </w:p>
    <w:p w14:paraId="7E6FED89">
      <w:pPr>
        <w:bidi w:val="0"/>
        <w:rPr>
          <w:rFonts w:hint="eastAsia"/>
          <w:color w:val="auto"/>
        </w:rPr>
      </w:pPr>
      <w:r>
        <w:rPr>
          <w:rFonts w:hint="eastAsia"/>
          <w:color w:val="auto"/>
          <w:lang w:val="en-US" w:eastAsia="zh-CN"/>
        </w:rPr>
        <w:t>10.</w:t>
      </w:r>
      <w:r>
        <w:rPr>
          <w:rFonts w:hint="eastAsia"/>
          <w:color w:val="auto"/>
        </w:rPr>
        <w:t>项目其他相关文件</w:t>
      </w:r>
    </w:p>
    <w:p w14:paraId="57F0FE6D">
      <w:pPr>
        <w:pStyle w:val="3"/>
        <w:bidi w:val="0"/>
        <w:rPr>
          <w:rFonts w:hint="eastAsia"/>
          <w:color w:val="auto"/>
          <w:lang w:val="en-US" w:eastAsia="zh-CN"/>
        </w:rPr>
      </w:pPr>
      <w:bookmarkStart w:id="13" w:name="_Toc14070"/>
      <w:r>
        <w:rPr>
          <w:rFonts w:hint="eastAsia"/>
          <w:color w:val="auto"/>
          <w:lang w:val="en-US" w:eastAsia="zh-CN"/>
        </w:rPr>
        <w:t>1.3评价对象、范围</w:t>
      </w:r>
      <w:bookmarkEnd w:id="13"/>
    </w:p>
    <w:p w14:paraId="311DEEB3">
      <w:pPr>
        <w:bidi w:val="0"/>
        <w:rPr>
          <w:rFonts w:hint="eastAsia"/>
          <w:color w:val="auto"/>
          <w:lang w:val="en-US" w:eastAsia="zh-CN"/>
        </w:rPr>
      </w:pPr>
      <w:r>
        <w:rPr>
          <w:rFonts w:hint="eastAsia"/>
          <w:color w:val="auto"/>
          <w:lang w:val="en-US" w:eastAsia="zh-CN"/>
        </w:rPr>
        <w:t>评价对象：江西亚东水泥有限公司瑞昌制造二厂降低二氧化硫排放项目5#（6000t/d）、6#（6000t/d）的安全设施。</w:t>
      </w:r>
    </w:p>
    <w:p w14:paraId="743FEEB1">
      <w:pPr>
        <w:bidi w:val="0"/>
        <w:rPr>
          <w:rFonts w:hint="eastAsia"/>
          <w:color w:val="auto"/>
        </w:rPr>
      </w:pPr>
      <w:r>
        <w:rPr>
          <w:rFonts w:hint="eastAsia"/>
          <w:color w:val="auto"/>
          <w:lang w:val="en-US" w:eastAsia="zh-CN"/>
        </w:rPr>
        <w:t>本次评价范围为</w:t>
      </w:r>
      <w:r>
        <w:rPr>
          <w:rFonts w:hint="eastAsia"/>
          <w:color w:val="auto"/>
        </w:rPr>
        <w:t>江西亚东水泥有限公司瑞昌制造二厂降低二氧化硫排放项目5#（6000t/d）、6#（6000t/d）</w:t>
      </w:r>
      <w:r>
        <w:rPr>
          <w:rFonts w:hint="eastAsia"/>
          <w:color w:val="auto"/>
          <w:lang w:val="en-US" w:eastAsia="zh-CN"/>
        </w:rPr>
        <w:t>的主体工程、辅助工程与公用工程</w:t>
      </w:r>
      <w:r>
        <w:rPr>
          <w:rFonts w:hint="eastAsia"/>
          <w:color w:val="auto"/>
        </w:rPr>
        <w:t>。</w:t>
      </w:r>
    </w:p>
    <w:p w14:paraId="7DB41675">
      <w:pPr>
        <w:pStyle w:val="3"/>
        <w:bidi w:val="0"/>
        <w:rPr>
          <w:rFonts w:hint="eastAsia" w:ascii="Times New Roman" w:hAnsi="Times New Roman" w:eastAsia="黑体" w:cs="Times New Roman"/>
          <w:b/>
          <w:color w:val="auto"/>
          <w:kern w:val="2"/>
          <w:szCs w:val="24"/>
          <w:lang w:val="en-US" w:eastAsia="zh-CN" w:bidi="ar-SA"/>
        </w:rPr>
      </w:pPr>
      <w:bookmarkStart w:id="14" w:name="_Toc25604"/>
      <w:r>
        <w:rPr>
          <w:rFonts w:hint="eastAsia"/>
          <w:color w:val="auto"/>
          <w:lang w:val="en-US" w:eastAsia="zh-CN"/>
        </w:rPr>
        <w:t>1.4评价程序</w:t>
      </w:r>
      <w:bookmarkEnd w:id="14"/>
    </w:p>
    <w:p w14:paraId="3362354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lang w:val="en-US" w:eastAsia="zh-CN"/>
        </w:rPr>
      </w:pPr>
      <w:r>
        <w:rPr>
          <w:rFonts w:hint="eastAsia"/>
          <w:color w:val="auto"/>
          <w:lang w:val="en-US" w:eastAsia="zh-CN"/>
        </w:rPr>
        <w:t>安全验收评价程序具体过程如图1.4-1。</w:t>
      </w:r>
    </w:p>
    <w:p w14:paraId="544214E8">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ascii="Times New Roman" w:hAnsi="Times New Roman" w:eastAsia="宋体" w:cs="Times New Roman"/>
          <w:color w:val="auto"/>
          <w:sz w:val="21"/>
        </w:rPr>
      </w:pPr>
      <w:r>
        <w:rPr>
          <w:rFonts w:ascii="Times New Roman" w:hAnsi="Times New Roman" w:eastAsia="宋体" w:cs="Times New Roman"/>
          <w:color w:val="auto"/>
          <w:sz w:val="21"/>
        </w:rPr>
        <mc:AlternateContent>
          <mc:Choice Requires="wpc">
            <w:drawing>
              <wp:inline distT="0" distB="0" distL="114300" distR="114300">
                <wp:extent cx="5499100" cy="3648075"/>
                <wp:effectExtent l="0" t="0" r="0" b="9525"/>
                <wp:docPr id="19" name="画布 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1"/>
                        <wps:cNvSpPr txBox="1"/>
                        <wps:spPr>
                          <a:xfrm>
                            <a:off x="1985410" y="58401"/>
                            <a:ext cx="1788629" cy="2880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86C65C">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wps:txbx>
                        <wps:bodyPr upright="1"/>
                      </wps:wsp>
                      <wps:wsp>
                        <wps:cNvPr id="2" name="直接箭头连接符 2"/>
                        <wps:cNvCnPr/>
                        <wps:spPr>
                          <a:xfrm flipH="1">
                            <a:off x="2866390" y="365760"/>
                            <a:ext cx="13335" cy="163195"/>
                          </a:xfrm>
                          <a:prstGeom prst="straightConnector1">
                            <a:avLst/>
                          </a:prstGeom>
                          <a:ln w="9525" cap="flat" cmpd="sng">
                            <a:solidFill>
                              <a:srgbClr val="000000"/>
                            </a:solidFill>
                            <a:prstDash val="solid"/>
                            <a:headEnd type="none" w="med" len="med"/>
                            <a:tailEnd type="triangle" w="med" len="med"/>
                          </a:ln>
                        </wps:spPr>
                        <wps:bodyPr/>
                      </wps:wsp>
                      <wps:wsp>
                        <wps:cNvPr id="3" name="文本框 3"/>
                        <wps:cNvSpPr txBox="1"/>
                        <wps:spPr>
                          <a:xfrm>
                            <a:off x="1989455" y="528955"/>
                            <a:ext cx="1781175"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04B5AF">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辨识与分析危险、有害因素</w:t>
                              </w:r>
                            </w:p>
                          </w:txbxContent>
                        </wps:txbx>
                        <wps:bodyPr upright="1"/>
                      </wps:wsp>
                      <wps:wsp>
                        <wps:cNvPr id="4" name="文本框 4"/>
                        <wps:cNvSpPr txBox="1"/>
                        <wps:spPr>
                          <a:xfrm>
                            <a:off x="1979930" y="984250"/>
                            <a:ext cx="1780540" cy="2882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998261">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划分评价单元</w:t>
                              </w:r>
                            </w:p>
                          </w:txbxContent>
                        </wps:txbx>
                        <wps:bodyPr upright="1"/>
                      </wps:wsp>
                      <wps:wsp>
                        <wps:cNvPr id="5" name="直接箭头连接符 5"/>
                        <wps:cNvCnPr/>
                        <wps:spPr>
                          <a:xfrm flipH="1">
                            <a:off x="2856865" y="807085"/>
                            <a:ext cx="635" cy="169545"/>
                          </a:xfrm>
                          <a:prstGeom prst="straightConnector1">
                            <a:avLst/>
                          </a:prstGeom>
                          <a:ln w="9525" cap="flat" cmpd="sng">
                            <a:solidFill>
                              <a:srgbClr val="000000"/>
                            </a:solidFill>
                            <a:prstDash val="solid"/>
                            <a:headEnd type="none" w="med" len="med"/>
                            <a:tailEnd type="triangle" w="med" len="med"/>
                          </a:ln>
                        </wps:spPr>
                        <wps:bodyPr/>
                      </wps:wsp>
                      <wps:wsp>
                        <wps:cNvPr id="6" name="文本框 6"/>
                        <wps:cNvSpPr txBox="1"/>
                        <wps:spPr>
                          <a:xfrm>
                            <a:off x="1989455" y="1427480"/>
                            <a:ext cx="1780540" cy="2863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5CE5A5">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选择评价方法</w:t>
                              </w:r>
                            </w:p>
                          </w:txbxContent>
                        </wps:txbx>
                        <wps:bodyPr upright="1"/>
                      </wps:wsp>
                      <wps:wsp>
                        <wps:cNvPr id="7" name="直接箭头连接符 7"/>
                        <wps:cNvCnPr/>
                        <wps:spPr>
                          <a:xfrm flipH="1">
                            <a:off x="2866390" y="1277620"/>
                            <a:ext cx="635" cy="156210"/>
                          </a:xfrm>
                          <a:prstGeom prst="straightConnector1">
                            <a:avLst/>
                          </a:prstGeom>
                          <a:ln w="9525" cap="flat" cmpd="sng">
                            <a:solidFill>
                              <a:srgbClr val="000000"/>
                            </a:solidFill>
                            <a:prstDash val="solid"/>
                            <a:headEnd type="none" w="med" len="med"/>
                            <a:tailEnd type="triangle" w="med" len="med"/>
                          </a:ln>
                        </wps:spPr>
                        <wps:bodyPr/>
                      </wps:wsp>
                      <wps:wsp>
                        <wps:cNvPr id="8" name="文本框 8"/>
                        <wps:cNvSpPr txBox="1"/>
                        <wps:spPr>
                          <a:xfrm>
                            <a:off x="1979930" y="1921510"/>
                            <a:ext cx="1780540" cy="2863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17D9803">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定性、定量评价</w:t>
                              </w:r>
                            </w:p>
                          </w:txbxContent>
                        </wps:txbx>
                        <wps:bodyPr upright="1"/>
                      </wps:wsp>
                      <wps:wsp>
                        <wps:cNvPr id="9" name="直接箭头连接符 9"/>
                        <wps:cNvCnPr/>
                        <wps:spPr>
                          <a:xfrm>
                            <a:off x="2855595" y="1685925"/>
                            <a:ext cx="635" cy="240030"/>
                          </a:xfrm>
                          <a:prstGeom prst="straightConnector1">
                            <a:avLst/>
                          </a:prstGeom>
                          <a:ln w="9525" cap="flat" cmpd="sng">
                            <a:solidFill>
                              <a:srgbClr val="000000"/>
                            </a:solidFill>
                            <a:prstDash val="solid"/>
                            <a:headEnd type="none" w="med" len="med"/>
                            <a:tailEnd type="triangle" w="med" len="med"/>
                          </a:ln>
                        </wps:spPr>
                        <wps:bodyPr/>
                      </wps:wsp>
                      <wps:wsp>
                        <wps:cNvPr id="10" name="文本框 10"/>
                        <wps:cNvSpPr txBox="1"/>
                        <wps:spPr>
                          <a:xfrm>
                            <a:off x="1970405" y="2438400"/>
                            <a:ext cx="1780540" cy="2870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B243D3">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wps:txbx>
                        <wps:bodyPr upright="1"/>
                      </wps:wsp>
                      <wps:wsp>
                        <wps:cNvPr id="11" name="直接箭头连接符 11"/>
                        <wps:cNvCnPr/>
                        <wps:spPr>
                          <a:xfrm>
                            <a:off x="2874645" y="2194560"/>
                            <a:ext cx="635" cy="240030"/>
                          </a:xfrm>
                          <a:prstGeom prst="straightConnector1">
                            <a:avLst/>
                          </a:prstGeom>
                          <a:ln w="9525" cap="flat" cmpd="sng">
                            <a:solidFill>
                              <a:srgbClr val="000000"/>
                            </a:solidFill>
                            <a:prstDash val="solid"/>
                            <a:headEnd type="none" w="med" len="med"/>
                            <a:tailEnd type="triangle" w="med" len="med"/>
                          </a:ln>
                        </wps:spPr>
                        <wps:bodyPr/>
                      </wps:wsp>
                      <wps:wsp>
                        <wps:cNvPr id="12" name="文本框 12"/>
                        <wps:cNvSpPr txBox="1"/>
                        <wps:spPr>
                          <a:xfrm>
                            <a:off x="1989455" y="2900680"/>
                            <a:ext cx="1779905"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5108EEA">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作出评价结论</w:t>
                              </w:r>
                            </w:p>
                          </w:txbxContent>
                        </wps:txbx>
                        <wps:bodyPr upright="1"/>
                      </wps:wsp>
                      <wps:wsp>
                        <wps:cNvPr id="13" name="直接箭头连接符 13"/>
                        <wps:cNvCnPr/>
                        <wps:spPr>
                          <a:xfrm>
                            <a:off x="2885440" y="2741295"/>
                            <a:ext cx="9525" cy="149860"/>
                          </a:xfrm>
                          <a:prstGeom prst="straightConnector1">
                            <a:avLst/>
                          </a:prstGeom>
                          <a:ln w="9525" cap="flat" cmpd="sng">
                            <a:solidFill>
                              <a:srgbClr val="000000"/>
                            </a:solidFill>
                            <a:prstDash val="solid"/>
                            <a:headEnd type="none" w="med" len="med"/>
                            <a:tailEnd type="triangle" w="med" len="med"/>
                          </a:ln>
                        </wps:spPr>
                        <wps:bodyPr/>
                      </wps:wsp>
                      <wps:wsp>
                        <wps:cNvPr id="14" name="文本框 14"/>
                        <wps:cNvSpPr txBox="1"/>
                        <wps:spPr>
                          <a:xfrm>
                            <a:off x="2028190" y="3362325"/>
                            <a:ext cx="1779905" cy="2851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F6957E8">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编制安全验收评价报告</w:t>
                              </w:r>
                            </w:p>
                          </w:txbxContent>
                        </wps:txbx>
                        <wps:bodyPr upright="1"/>
                      </wps:wsp>
                      <wps:wsp>
                        <wps:cNvPr id="15" name="直接箭头连接符 15"/>
                        <wps:cNvCnPr/>
                        <wps:spPr>
                          <a:xfrm>
                            <a:off x="2903220" y="3174365"/>
                            <a:ext cx="1270" cy="173990"/>
                          </a:xfrm>
                          <a:prstGeom prst="straightConnector1">
                            <a:avLst/>
                          </a:prstGeom>
                          <a:ln w="9525" cap="flat" cmpd="sng">
                            <a:solidFill>
                              <a:srgbClr val="000000"/>
                            </a:solidFill>
                            <a:prstDash val="solid"/>
                            <a:headEnd type="none" w="med" len="med"/>
                            <a:tailEnd type="triangle" w="med" len="med"/>
                          </a:ln>
                        </wps:spPr>
                        <wps:bodyPr/>
                      </wps:wsp>
                    </wpc:wpc>
                  </a:graphicData>
                </a:graphic>
              </wp:inline>
            </w:drawing>
          </mc:Choice>
          <mc:Fallback>
            <w:pict>
              <v:group id="_x0000_s1026" o:spid="_x0000_s1026" o:spt="203" style="height:287.25pt;width:433pt;" coordsize="5499100,3648075" editas="canvas" o:gfxdata="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DHEcYk1wAAAAUBAAAPAAAAAAAAAAEA&#10;IAAAACIAAABkcnMvZG93bnJldi54bWxQSwECFAAUAAAACACHTuJAq9yt1y4FAAAyJQAADgAAAAAA&#10;AAABACAAAAAmAQAAZHJzL2Uyb0RvYy54bWxQSwUGAAAAAAYABgBZAQAAxggAAAAA&#10;">
                <o:lock v:ext="edit" aspectratio="f"/>
                <v:shape id="_x0000_s1026" o:spid="_x0000_s1026" style="position:absolute;left:0;top:0;height:3648075;width:5499100;" filled="f" stroked="f" coordsize="21600,21600" o:gfxdata="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&#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">
                  <v:fill on="f" focussize="0,0"/>
                  <v:stroke on="f"/>
                  <v:imagedata o:title=""/>
                  <o:lock v:ext="edit" aspectratio="t"/>
                </v:shape>
                <v:shape id="_x0000_s1026" o:spid="_x0000_s1026" o:spt="202" type="#_x0000_t202" style="position:absolute;left:1985410;top:58401;height:288004;width:1788629;"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P3jW9UAAAAFAQAADwAAAAAAAAAB&#10;ACAAAAAiAAAAZHJzL2Rvd25yZXYueG1sUEsBAhQAFAAAAAgAh07iQCzBfBATAgAAQAQAAA4AAAAA&#10;AAAAAQAgAAAAJAEAAGRycy9lMm9Eb2MueG1sUEsFBgAAAAAGAAYAWQEAAKkFAAAAAA==&#10;">
                  <v:fill on="t" focussize="0,0"/>
                  <v:stroke color="#000000" joinstyle="miter"/>
                  <v:imagedata o:title=""/>
                  <o:lock v:ext="edit" aspectratio="f"/>
                  <v:textbox>
                    <w:txbxContent>
                      <w:p w14:paraId="7B86C65C">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v:textbox>
                </v:shape>
                <v:shape id="_x0000_s1026" o:spid="_x0000_s1026" o:spt="32" type="#_x0000_t32" style="position:absolute;left:2866390;top:365760;flip:x;height:163195;width:13335;" filled="f" stroked="t" coordsize="21600,21600" o:gfxdata="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kQk/1gAAAAUBAAAP&#10;AAAAAAAAAAEAIAAAACIAAABkcnMvZG93bnJldi54bWxQSwECFAAUAAAACACHTuJAkgn4JxoCAAAI&#10;BAAADgAAAAAAAAABACAAAAAlAQAAZHJzL2Uyb0RvYy54bWxQSwUGAAAAAAYABgBZAQAAsQUAAAAA&#10;">
                  <v:fill on="f" focussize="0,0"/>
                  <v:stroke color="#000000" joinstyle="round" endarrow="block"/>
                  <v:imagedata o:title=""/>
                  <o:lock v:ext="edit" aspectratio="f"/>
                </v:shape>
                <v:shape id="_x0000_s1026" o:spid="_x0000_s1026" o:spt="202" type="#_x0000_t202" style="position:absolute;left:1989455;top:528955;height:287655;width:1781175;"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j941vVAAAABQEAAA8AAAAAAAAA&#10;AQAgAAAAIgAAAGRycy9kb3ducmV2LnhtbFBLAQIUABQAAAAIAIdO4kAIIPb+FAIAAEEEAAAOAAAA&#10;AAAAAAEAIAAAACQBAABkcnMvZTJvRG9jLnhtbFBLBQYAAAAABgAGAFkBAACqBQAAAAA=&#10;">
                  <v:fill on="t" focussize="0,0"/>
                  <v:stroke color="#000000" joinstyle="miter"/>
                  <v:imagedata o:title=""/>
                  <o:lock v:ext="edit" aspectratio="f"/>
                  <v:textbox>
                    <w:txbxContent>
                      <w:p w14:paraId="3C04B5AF">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辨识与分析危险、有害因素</w:t>
                        </w:r>
                      </w:p>
                    </w:txbxContent>
                  </v:textbox>
                </v:shape>
                <v:shape id="_x0000_s1026" o:spid="_x0000_s1026" o:spt="202" type="#_x0000_t202" style="position:absolute;left:1979930;top:984250;height:288290;width:1780540;"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Y/eNb1QAAAAUBAAAPAAAAAAAA&#10;AAEAIAAAACIAAABkcnMvZG93bnJldi54bWxQSwECFAAUAAAACACHTuJAPc0v3xUCAABBBAAADgAA&#10;AAAAAAABACAAAAAkAQAAZHJzL2Uyb0RvYy54bWxQSwUGAAAAAAYABgBZAQAAqwUAAAAA&#10;">
                  <v:fill on="t" focussize="0,0"/>
                  <v:stroke color="#000000" joinstyle="miter"/>
                  <v:imagedata o:title=""/>
                  <o:lock v:ext="edit" aspectratio="f"/>
                  <v:textbox>
                    <w:txbxContent>
                      <w:p w14:paraId="17998261">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划分评价单元</w:t>
                        </w:r>
                      </w:p>
                    </w:txbxContent>
                  </v:textbox>
                </v:shape>
                <v:shape id="_x0000_s1026" o:spid="_x0000_s1026" o:spt="32" type="#_x0000_t32" style="position:absolute;left:2856865;top:807085;flip:x;height:169545;width:635;" filled="f" stroked="t" coordsize="21600,21600" o:gfxdata="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kQk/1gAAAAUBAAAP&#10;AAAAAAAAAAEAIAAAACIAAABkcnMvZG93bnJldi54bWxQSwECFAAUAAAACACHTuJA7/GAEBoCAAAG&#10;BAAADgAAAAAAAAABACAAAAAlAQAAZHJzL2Uyb0RvYy54bWxQSwUGAAAAAAYABgBZAQAAsQUAAAAA&#10;">
                  <v:fill on="f" focussize="0,0"/>
                  <v:stroke color="#000000" joinstyle="round" endarrow="block"/>
                  <v:imagedata o:title=""/>
                  <o:lock v:ext="edit" aspectratio="f"/>
                </v:shape>
                <v:shape id="_x0000_s1026" o:spid="_x0000_s1026" o:spt="202" type="#_x0000_t202" style="position:absolute;left:1989455;top:1427480;height:286385;width:1780540;"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j941vVAAAABQEAAA8AAAAAAAAA&#10;AQAgAAAAIgAAAGRycy9kb3ducmV2LnhtbFBLAQIUABQAAAAIAIdO4kBH4UtmFAIAAEIEAAAOAAAA&#10;AAAAAAEAIAAAACQBAABkcnMvZTJvRG9jLnhtbFBLBQYAAAAABgAGAFkBAACqBQAAAAA=&#10;">
                  <v:fill on="t" focussize="0,0"/>
                  <v:stroke color="#000000" joinstyle="miter"/>
                  <v:imagedata o:title=""/>
                  <o:lock v:ext="edit" aspectratio="f"/>
                  <v:textbox>
                    <w:txbxContent>
                      <w:p w14:paraId="245CE5A5">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选择评价方法</w:t>
                        </w:r>
                      </w:p>
                    </w:txbxContent>
                  </v:textbox>
                </v:shape>
                <v:shape id="_x0000_s1026" o:spid="_x0000_s1026" o:spt="32" type="#_x0000_t32" style="position:absolute;left:2866390;top:1277620;flip:x;height:156210;width:635;" filled="f" stroked="t" coordsize="21600,21600" o:gfxdata="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kQk/1gAAAAUBAAAP&#10;AAAAAAAAAAEAIAAAACIAAABkcnMvZG93bnJldi54bWxQSwECFAAUAAAACACHTuJAqldgjxoCAAAH&#10;BAAADgAAAAAAAAABACAAAAAlAQAAZHJzL2Uyb0RvYy54bWxQSwUGAAAAAAYABgBZAQAAsQUAAAAA&#10;">
                  <v:fill on="f" focussize="0,0"/>
                  <v:stroke color="#000000" joinstyle="round" endarrow="block"/>
                  <v:imagedata o:title=""/>
                  <o:lock v:ext="edit" aspectratio="f"/>
                </v:shape>
                <v:shape id="_x0000_s1026" o:spid="_x0000_s1026" o:spt="202" type="#_x0000_t202" style="position:absolute;left:1979930;top:1921510;height:286385;width:1780540;"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P3jW9UAAAAFAQAADwAAAAAAAAAB&#10;ACAAAAAiAAAAZHJzL2Rvd25yZXYueG1sUEsBAhQAFAAAAAgAh07iQO4016ITAgAAQgQAAA4AAAAA&#10;AAAAAQAgAAAAJAEAAGRycy9lMm9Eb2MueG1sUEsFBgAAAAAGAAYAWQEAAKkFAAAAAA==&#10;">
                  <v:fill on="t" focussize="0,0"/>
                  <v:stroke color="#000000" joinstyle="miter"/>
                  <v:imagedata o:title=""/>
                  <o:lock v:ext="edit" aspectratio="f"/>
                  <v:textbox>
                    <w:txbxContent>
                      <w:p w14:paraId="317D9803">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定性、定量评价</w:t>
                        </w:r>
                      </w:p>
                    </w:txbxContent>
                  </v:textbox>
                </v:shape>
                <v:shape id="_x0000_s1026" o:spid="_x0000_s1026" o:spt="32" type="#_x0000_t32" style="position:absolute;left:2855595;top:1685925;height:240030;width:635;" filled="f" stroked="t" coordsize="21600,21600" o:gfxdata="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wDSFB1gAAAAUBAAAPAAAAAAAA&#10;AAEAIAAAACIAAABkcnMvZG93bnJldi54bWxQSwECFAAUAAAACACHTuJAEJG1xBQCAAD9AwAADgAA&#10;AAAAAAABACAAAAAlAQAAZHJzL2Uyb0RvYy54bWxQSwUGAAAAAAYABgBZAQAAqwUAAAAA&#10;">
                  <v:fill on="f" focussize="0,0"/>
                  <v:stroke color="#000000" joinstyle="round" endarrow="block"/>
                  <v:imagedata o:title=""/>
                  <o:lock v:ext="edit" aspectratio="f"/>
                </v:shape>
                <v:shape id="_x0000_s1026" o:spid="_x0000_s1026" o:spt="202" type="#_x0000_t202" style="position:absolute;left:1970405;top:2438400;height:287020;width:1780540;"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P3jW9UAAAAFAQAADwAAAAAA&#10;AAABACAAAAAiAAAAZHJzL2Rvd25yZXYueG1sUEsBAhQAFAAAAAgAh07iQMwbXU8WAgAARAQAAA4A&#10;AAAAAAAAAQAgAAAAJAEAAGRycy9lMm9Eb2MueG1sUEsFBgAAAAAGAAYAWQEAAKwFAAAAAA==&#10;">
                  <v:fill on="t" focussize="0,0"/>
                  <v:stroke color="#000000" joinstyle="miter"/>
                  <v:imagedata o:title=""/>
                  <o:lock v:ext="edit" aspectratio="f"/>
                  <v:textbox>
                    <w:txbxContent>
                      <w:p w14:paraId="77B243D3">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v:textbox>
                </v:shape>
                <v:shape id="_x0000_s1026" o:spid="_x0000_s1026" o:spt="32" type="#_x0000_t32" style="position:absolute;left:2874645;top:2194560;height:240030;width:635;" filled="f" stroked="t" coordsize="21600,21600" o:gfxdata="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ANIUHWAAAABQEAAA8AAAAAAAAA&#10;AQAgAAAAIgAAAGRycy9kb3ducmV2LnhtbFBLAQIUABQAAAAIAIdO4kCxSl78EwIAAP8DAAAOAAAA&#10;AAAAAAEAIAAAACUBAABkcnMvZTJvRG9jLnhtbFBLBQYAAAAABgAGAFkBAACqBQAAAAA=&#10;">
                  <v:fill on="f" focussize="0,0"/>
                  <v:stroke color="#000000" joinstyle="round" endarrow="block"/>
                  <v:imagedata o:title=""/>
                  <o:lock v:ext="edit" aspectratio="f"/>
                </v:shape>
                <v:shape id="_x0000_s1026" o:spid="_x0000_s1026" o:spt="202" type="#_x0000_t202" style="position:absolute;left:1989455;top:2900680;height:285750;width:1779905;"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j941vVAAAABQEAAA8AAAAAAAAA&#10;AQAgAAAAIgAAAGRycy9kb3ducmV2LnhtbFBLAQIUABQAAAAIAIdO4kCeGjqVFAIAAEQEAAAOAAAA&#10;AAAAAAEAIAAAACQBAABkcnMvZTJvRG9jLnhtbFBLBQYAAAAABgAGAFkBAACqBQAAAAA=&#10;">
                  <v:fill on="t" focussize="0,0"/>
                  <v:stroke color="#000000" joinstyle="miter"/>
                  <v:imagedata o:title=""/>
                  <o:lock v:ext="edit" aspectratio="f"/>
                  <v:textbox>
                    <w:txbxContent>
                      <w:p w14:paraId="15108EEA">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作出评价结论</w:t>
                        </w:r>
                      </w:p>
                    </w:txbxContent>
                  </v:textbox>
                </v:shape>
                <v:shape id="_x0000_s1026" o:spid="_x0000_s1026" o:spt="32" type="#_x0000_t32" style="position:absolute;left:2885440;top:2741295;height:149860;width:9525;" filled="f" stroked="t" coordsize="21600,21600" o:gfxdata="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ANIUHWAAAABQEAAA8AAAAAAAAA&#10;AQAgAAAAIgAAAGRycy9kb3ducmV2LnhtbFBLAQIUABQAAAAIAIdO4kArCpn9EwIAAAAEAAAOAAAA&#10;AAAAAAEAIAAAACUBAABkcnMvZTJvRG9jLnhtbFBLBQYAAAAABgAGAFkBAACqBQAAAAA=&#10;">
                  <v:fill on="f" focussize="0,0"/>
                  <v:stroke color="#000000" joinstyle="round" endarrow="block"/>
                  <v:imagedata o:title=""/>
                  <o:lock v:ext="edit" aspectratio="f"/>
                </v:shape>
                <v:shape id="_x0000_s1026" o:spid="_x0000_s1026" o:spt="202" type="#_x0000_t202" style="position:absolute;left:2028190;top:3362325;height:285115;width:1779905;" fillcolor="#FFFFFF" filled="t" stroked="t" coordsize="21600,21600" o:gfxdata="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Y/eNb1QAAAAUBAAAPAAAA&#10;AAAAAAEAIAAAACIAAABkcnMvZG93bnJldi54bWxQSwECFAAUAAAACACHTuJAXNRnzxgCAABEBAAA&#10;DgAAAAAAAAABACAAAAAkAQAAZHJzL2Uyb0RvYy54bWxQSwUGAAAAAAYABgBZAQAArgUAAAAA&#10;">
                  <v:fill on="t" focussize="0,0"/>
                  <v:stroke color="#000000" joinstyle="miter"/>
                  <v:imagedata o:title=""/>
                  <o:lock v:ext="edit" aspectratio="f"/>
                  <v:textbox>
                    <w:txbxContent>
                      <w:p w14:paraId="5F6957E8">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编制安全验收评价报告</w:t>
                        </w:r>
                      </w:p>
                    </w:txbxContent>
                  </v:textbox>
                </v:shape>
                <v:shape id="_x0000_s1026" o:spid="_x0000_s1026" o:spt="32" type="#_x0000_t32" style="position:absolute;left:2903220;top:3174365;height:173990;width:1270;" filled="f" stroked="t" coordsize="21600,21600" o:gfxdata="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A0hQdYAAAAFAQAADwAA&#10;AAAAAAABACAAAAAiAAAAZHJzL2Rvd25yZXYueG1sUEsBAhQAFAAAAAgAh07iQI3P+EsYAgAAAAQA&#10;AA4AAAAAAAAAAQAgAAAAJQEAAGRycy9lMm9Eb2MueG1sUEsFBgAAAAAGAAYAWQEAAK8FAAAAAA==&#10;">
                  <v:fill on="f" focussize="0,0"/>
                  <v:stroke color="#000000" joinstyle="round" endarrow="block"/>
                  <v:imagedata o:title=""/>
                  <o:lock v:ext="edit" aspectratio="f"/>
                </v:shape>
                <w10:wrap type="none"/>
                <w10:anchorlock/>
              </v:group>
            </w:pict>
          </mc:Fallback>
        </mc:AlternateContent>
      </w:r>
    </w:p>
    <w:p w14:paraId="36E4E73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color w:val="auto"/>
          <w:lang w:val="en-US" w:eastAsia="zh-CN"/>
        </w:rPr>
        <w:t>图1.4-1安全验收评价程序框图</w:t>
      </w:r>
    </w:p>
    <w:p w14:paraId="5FD3749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color w:val="auto"/>
          <w:lang w:val="en-US" w:eastAsia="zh-CN"/>
        </w:rPr>
        <w:br w:type="page"/>
      </w:r>
    </w:p>
    <w:p w14:paraId="262E9889">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Style w:val="19"/>
          <w:rFonts w:hint="eastAsia"/>
          <w:color w:val="auto"/>
          <w:lang w:val="en-US" w:eastAsia="zh-CN"/>
        </w:rPr>
      </w:pPr>
      <w:bookmarkStart w:id="15" w:name="_Toc6585"/>
      <w:r>
        <w:rPr>
          <w:rStyle w:val="19"/>
          <w:rFonts w:hint="eastAsia"/>
          <w:color w:val="auto"/>
          <w:lang w:val="en-US" w:eastAsia="zh-CN"/>
        </w:rPr>
        <w:t>2.建设项目概况</w:t>
      </w:r>
      <w:bookmarkEnd w:id="15"/>
    </w:p>
    <w:p w14:paraId="582EF7B5">
      <w:pPr>
        <w:pStyle w:val="3"/>
        <w:bidi w:val="0"/>
        <w:rPr>
          <w:rFonts w:hint="eastAsia" w:ascii="Times New Roman" w:hAnsi="Times New Roman"/>
          <w:color w:val="auto"/>
          <w:lang w:val="en-US" w:eastAsia="zh-CN"/>
        </w:rPr>
      </w:pPr>
      <w:bookmarkStart w:id="16" w:name="_Toc26221"/>
      <w:r>
        <w:rPr>
          <w:rFonts w:hint="eastAsia" w:ascii="Times New Roman" w:hAnsi="Times New Roman"/>
          <w:color w:val="auto"/>
          <w:lang w:val="en-US" w:eastAsia="zh-CN"/>
        </w:rPr>
        <w:t>2.1企业简介及项目由来</w:t>
      </w:r>
      <w:bookmarkEnd w:id="16"/>
    </w:p>
    <w:p w14:paraId="1C99BE27">
      <w:pPr>
        <w:pStyle w:val="4"/>
        <w:bidi w:val="0"/>
        <w:rPr>
          <w:rFonts w:hint="default"/>
          <w:color w:val="auto"/>
          <w:lang w:val="en-US" w:eastAsia="zh-CN"/>
        </w:rPr>
      </w:pPr>
      <w:bookmarkStart w:id="17" w:name="_Toc2435"/>
      <w:r>
        <w:rPr>
          <w:rFonts w:hint="eastAsia"/>
          <w:color w:val="auto"/>
          <w:lang w:val="en-US" w:eastAsia="zh-CN"/>
        </w:rPr>
        <w:t>2.1.1企业简介</w:t>
      </w:r>
      <w:bookmarkEnd w:id="17"/>
    </w:p>
    <w:p w14:paraId="7FD0C903">
      <w:pPr>
        <w:bidi w:val="0"/>
        <w:rPr>
          <w:rFonts w:hint="eastAsia"/>
          <w:color w:val="auto"/>
          <w:lang w:val="en-US" w:eastAsia="zh-CN"/>
        </w:rPr>
      </w:pPr>
      <w:r>
        <w:rPr>
          <w:rFonts w:hint="eastAsia"/>
          <w:color w:val="auto"/>
          <w:lang w:val="en-US" w:eastAsia="zh-CN"/>
        </w:rPr>
        <w:t>江西亚东水泥有限公司（以下简称“本公司”）是由台湾远东集团亚洲水泥股份有限司投资江西省成立的合资企业，目前也是江西省最大的中外合资企业之一，总投资额约66亿元人民币。</w:t>
      </w:r>
    </w:p>
    <w:p w14:paraId="4C5EEF08">
      <w:pPr>
        <w:bidi w:val="0"/>
        <w:rPr>
          <w:rFonts w:hint="eastAsia"/>
          <w:color w:val="auto"/>
          <w:lang w:val="en-US" w:eastAsia="zh-CN"/>
        </w:rPr>
      </w:pPr>
      <w:r>
        <w:rPr>
          <w:rFonts w:hint="eastAsia"/>
          <w:color w:val="auto"/>
          <w:lang w:val="en-US" w:eastAsia="zh-CN"/>
        </w:rPr>
        <w:t>江西亚东水泥有限公司位于江西省瑞昌市码头镇亚东大道6号，占地面积449504m</w:t>
      </w:r>
      <w:r>
        <w:rPr>
          <w:rFonts w:hint="eastAsia"/>
          <w:color w:val="auto"/>
          <w:vertAlign w:val="superscript"/>
          <w:lang w:val="en-US" w:eastAsia="zh-CN"/>
        </w:rPr>
        <w:t>2</w:t>
      </w:r>
      <w:r>
        <w:rPr>
          <w:rFonts w:hint="eastAsia"/>
          <w:color w:val="auto"/>
          <w:lang w:val="en-US" w:eastAsia="zh-CN"/>
        </w:rPr>
        <w:t>，法定代表人张振昆，其余粘土矿区及港口占地1619亩，石灰石储量3.35亿吨，品质优良。公司于1997年10月09日成立，注册资本35610.4433万美元，企业营业执照统一社会信用代码为913604006124415445，营业期限1997年10月9日至2047年10月8日。</w:t>
      </w:r>
    </w:p>
    <w:p w14:paraId="12522690">
      <w:pPr>
        <w:bidi w:val="0"/>
        <w:rPr>
          <w:rFonts w:hint="eastAsia"/>
          <w:color w:val="auto"/>
          <w:lang w:val="en-US" w:eastAsia="zh-CN"/>
        </w:rPr>
      </w:pPr>
      <w:r>
        <w:rPr>
          <w:rFonts w:hint="eastAsia"/>
          <w:color w:val="auto"/>
          <w:lang w:val="en-US" w:eastAsia="zh-CN"/>
        </w:rPr>
        <w:t>江西亚东水泥有限公司坐落在江西省瑞昌市码头镇长江边，西北距江西亚东水泥有限公司瑞昌制造一厂1#~4#熟料水泥生产线厂区约2km，西距新屋田石灰石矿山1km，南靠黄婆岩石灰石矿山，东面距九江市码头工业城约1.5km，东临福银高速公路，濒临长江，交通便利。</w:t>
      </w:r>
    </w:p>
    <w:p w14:paraId="2D799C27">
      <w:pPr>
        <w:bidi w:val="0"/>
        <w:rPr>
          <w:rFonts w:hint="eastAsia"/>
          <w:color w:val="auto"/>
          <w:lang w:val="en-US" w:eastAsia="zh-CN"/>
        </w:rPr>
      </w:pPr>
      <w:r>
        <w:rPr>
          <w:rFonts w:hint="eastAsia"/>
          <w:color w:val="auto"/>
          <w:lang w:val="en-US" w:eastAsia="zh-CN"/>
        </w:rPr>
        <w:t>江西亚东水泥有限公司现有瑞昌制造一厂和瑞昌制造二厂。根据国家和江西省对水泥工业实施“控制总量、调整结构”的产业政策，江西亚东水泥有限公司为实现可持续发展，提高竞争能力，在瑞昌市码头镇黄婆岩石灰岩矿区北面、曹家村以东约900亩场地内，设置了瑞昌制造二厂，建成了第五、六条水泥熟料生产线。</w:t>
      </w:r>
    </w:p>
    <w:p w14:paraId="76A958C8">
      <w:pPr>
        <w:pStyle w:val="4"/>
        <w:bidi w:val="0"/>
        <w:rPr>
          <w:rFonts w:hint="eastAsia"/>
          <w:color w:val="auto"/>
          <w:lang w:val="en-US" w:eastAsia="zh-CN"/>
        </w:rPr>
      </w:pPr>
      <w:bookmarkStart w:id="18" w:name="_Toc19614"/>
      <w:r>
        <w:rPr>
          <w:rFonts w:hint="eastAsia"/>
          <w:color w:val="auto"/>
          <w:lang w:val="en-US" w:eastAsia="zh-CN"/>
        </w:rPr>
        <w:t>2.1.2项目由来</w:t>
      </w:r>
      <w:bookmarkEnd w:id="18"/>
    </w:p>
    <w:p w14:paraId="2C1888AC">
      <w:pPr>
        <w:bidi w:val="0"/>
        <w:rPr>
          <w:rFonts w:hint="default" w:ascii="Times New Roman" w:hAnsi="Times New Roman" w:eastAsia="宋体" w:cs="Times New Roman"/>
          <w:color w:val="auto"/>
          <w:lang w:val="en-US" w:eastAsia="zh-CN"/>
        </w:rPr>
      </w:pPr>
      <w:r>
        <w:rPr>
          <w:rFonts w:hint="eastAsia"/>
          <w:color w:val="auto"/>
          <w:lang w:val="en-US" w:eastAsia="zh-CN"/>
        </w:rPr>
        <w:t>2016年10月16日，瑞昌市室人民政府办公室印发了《关于环保违法违规建设项目清理整顿备案管理的会议纪要》（瑞府办纪要[2016]31号）。会议同意对江西亚东水泥瑞昌制造厂第五条和第六条水泥生产线及余热发电扩建项目予以环境保护备案管理。为了响应政府相关政策，</w:t>
      </w:r>
      <w:r>
        <w:rPr>
          <w:rFonts w:hint="eastAsia" w:ascii="Times New Roman" w:hAnsi="Times New Roman" w:eastAsia="宋体" w:cs="Times New Roman"/>
          <w:color w:val="auto"/>
          <w:lang w:val="en-US" w:eastAsia="zh-CN"/>
        </w:rPr>
        <w:t>增强企业的产品竞争能力及企业社会责任，江西亚东水泥有限公司瑞昌制造厂对现有的六条水泥熟料生产线实施降低二氧化硫项目建设，削减SO</w:t>
      </w:r>
      <w:r>
        <w:rPr>
          <w:rFonts w:hint="eastAsia" w:ascii="Times New Roman" w:hAnsi="Times New Roman" w:eastAsia="宋体" w:cs="Times New Roman"/>
          <w:color w:val="auto"/>
          <w:vertAlign w:val="subscript"/>
          <w:lang w:val="en-US" w:eastAsia="zh-CN"/>
        </w:rPr>
        <w:t>2</w:t>
      </w:r>
      <w:r>
        <w:rPr>
          <w:rFonts w:hint="eastAsia" w:ascii="Times New Roman" w:hAnsi="Times New Roman" w:eastAsia="宋体" w:cs="Times New Roman"/>
          <w:color w:val="auto"/>
          <w:lang w:val="en-US" w:eastAsia="zh-CN"/>
        </w:rPr>
        <w:t>排放量。降低二氧化硫项目</w:t>
      </w:r>
      <w:r>
        <w:rPr>
          <w:rFonts w:hint="eastAsia"/>
          <w:color w:val="auto"/>
        </w:rPr>
        <w:t>分为两期，一期工程建设内容为：江西亚东水泥有限公司瑞昌制造二厂5#（6000t/d）、6#（6000t/d）新增石灰石-石膏湿法烟气脱硫系统，主要包括水泥熟料生产线窑尾烟气脱硫系统及配套的烟气改造、吸收剂制备与供应输送系统、石膏脱水系统、事故液系统等</w:t>
      </w:r>
      <w:r>
        <w:rPr>
          <w:rFonts w:hint="eastAsia"/>
          <w:color w:val="auto"/>
          <w:lang w:eastAsia="zh-CN"/>
        </w:rPr>
        <w:t>；</w:t>
      </w:r>
      <w:r>
        <w:rPr>
          <w:rFonts w:hint="eastAsia"/>
          <w:color w:val="auto"/>
        </w:rPr>
        <w:t>二期工程建设内容为：江西亚东水泥有限公司1#（4200t/d）、2#（4200t/d）、3#（4200t/d）、4#（4200t/d）更换新的复合脱硫系统。</w:t>
      </w:r>
      <w:r>
        <w:rPr>
          <w:rFonts w:hint="eastAsia"/>
          <w:color w:val="auto"/>
          <w:lang w:val="en-US" w:eastAsia="zh-CN"/>
        </w:rPr>
        <w:t>本报告仅涉及一期工程建设。</w:t>
      </w:r>
    </w:p>
    <w:p w14:paraId="600A23EA">
      <w:pPr>
        <w:pStyle w:val="4"/>
        <w:bidi w:val="0"/>
        <w:rPr>
          <w:rFonts w:hint="eastAsia"/>
          <w:color w:val="auto"/>
          <w:lang w:val="en-US" w:eastAsia="zh-CN"/>
        </w:rPr>
      </w:pPr>
      <w:bookmarkStart w:id="19" w:name="_Toc26217"/>
      <w:r>
        <w:rPr>
          <w:rFonts w:hint="eastAsia"/>
          <w:color w:val="auto"/>
          <w:lang w:val="en-US" w:eastAsia="zh-CN"/>
        </w:rPr>
        <w:t>2.1.3项目产业政策及相关法规符合性</w:t>
      </w:r>
      <w:bookmarkEnd w:id="19"/>
    </w:p>
    <w:p w14:paraId="353C61A2">
      <w:pPr>
        <w:adjustRightInd w:val="0"/>
        <w:snapToGrid w:val="0"/>
        <w:spacing w:line="360" w:lineRule="auto"/>
        <w:ind w:firstLine="560" w:firstLineChars="200"/>
        <w:rPr>
          <w:rFonts w:hint="eastAsia"/>
          <w:color w:val="auto"/>
        </w:rPr>
      </w:pPr>
      <w:r>
        <w:rPr>
          <w:rFonts w:hint="eastAsia"/>
          <w:color w:val="auto"/>
        </w:rPr>
        <w:t>根据《产业结构调整指导目录（2024年本）》，本项目属于鼓励类第四十二类“环境保护与资源节约综合利用”，项目符合国家现行的有关产业政策。</w:t>
      </w:r>
    </w:p>
    <w:p w14:paraId="0278C8E6">
      <w:pPr>
        <w:pStyle w:val="3"/>
        <w:bidi w:val="0"/>
        <w:rPr>
          <w:rFonts w:hint="eastAsia"/>
          <w:color w:val="auto"/>
          <w:lang w:val="en-US" w:eastAsia="zh-CN"/>
        </w:rPr>
      </w:pPr>
      <w:bookmarkStart w:id="20" w:name="_Toc30501"/>
      <w:r>
        <w:rPr>
          <w:rFonts w:hint="eastAsia"/>
          <w:color w:val="auto"/>
          <w:lang w:val="en-US" w:eastAsia="zh-CN"/>
        </w:rPr>
        <w:t>2.2项目基本概况</w:t>
      </w:r>
      <w:bookmarkEnd w:id="20"/>
    </w:p>
    <w:p w14:paraId="54604736">
      <w:pPr>
        <w:tabs>
          <w:tab w:val="left" w:pos="7920"/>
        </w:tabs>
        <w:spacing w:line="540" w:lineRule="exact"/>
        <w:ind w:firstLine="512" w:firstLineChars="200"/>
        <w:rPr>
          <w:rFonts w:hint="eastAsia" w:eastAsia="宋体"/>
          <w:color w:val="auto"/>
          <w:spacing w:val="-12"/>
          <w:sz w:val="28"/>
          <w:szCs w:val="28"/>
          <w:lang w:eastAsia="zh-CN"/>
        </w:rPr>
      </w:pPr>
      <w:r>
        <w:rPr>
          <w:color w:val="auto"/>
          <w:spacing w:val="-12"/>
          <w:sz w:val="28"/>
          <w:szCs w:val="28"/>
        </w:rPr>
        <w:t>项目名称：</w:t>
      </w:r>
      <w:r>
        <w:rPr>
          <w:rFonts w:hint="eastAsia"/>
          <w:color w:val="auto"/>
          <w:spacing w:val="-12"/>
          <w:sz w:val="28"/>
          <w:szCs w:val="28"/>
        </w:rPr>
        <w:t>江西亚东水泥有限公司瑞昌制造二厂降低二氧化硫排放项目</w:t>
      </w:r>
      <w:r>
        <w:rPr>
          <w:rFonts w:hint="eastAsia"/>
          <w:color w:val="auto"/>
          <w:spacing w:val="-12"/>
          <w:sz w:val="28"/>
          <w:szCs w:val="28"/>
          <w:lang w:eastAsia="zh-CN"/>
        </w:rPr>
        <w:t>（</w:t>
      </w:r>
      <w:r>
        <w:rPr>
          <w:rFonts w:hint="default"/>
          <w:color w:val="auto"/>
          <w:spacing w:val="-12"/>
          <w:sz w:val="28"/>
          <w:szCs w:val="28"/>
        </w:rPr>
        <w:t>2*6000t/d</w:t>
      </w:r>
      <w:r>
        <w:rPr>
          <w:rFonts w:hint="eastAsia"/>
          <w:color w:val="auto"/>
          <w:spacing w:val="-12"/>
          <w:sz w:val="28"/>
          <w:szCs w:val="28"/>
          <w:lang w:eastAsia="zh-CN"/>
        </w:rPr>
        <w:t>）</w:t>
      </w:r>
      <w:r>
        <w:rPr>
          <w:rFonts w:hint="eastAsia"/>
          <w:color w:val="auto"/>
          <w:spacing w:val="-8"/>
          <w:sz w:val="28"/>
          <w:szCs w:val="28"/>
          <w:lang w:eastAsia="zh-CN"/>
        </w:rPr>
        <w:t>。</w:t>
      </w:r>
    </w:p>
    <w:p w14:paraId="2CA67A24">
      <w:pPr>
        <w:tabs>
          <w:tab w:val="left" w:pos="7920"/>
        </w:tabs>
        <w:spacing w:line="540" w:lineRule="exact"/>
        <w:ind w:firstLine="560" w:firstLineChars="200"/>
        <w:rPr>
          <w:rFonts w:hint="eastAsia"/>
          <w:color w:val="auto"/>
          <w:sz w:val="28"/>
          <w:szCs w:val="28"/>
        </w:rPr>
      </w:pPr>
      <w:r>
        <w:rPr>
          <w:rFonts w:hint="eastAsia"/>
          <w:color w:val="auto"/>
          <w:sz w:val="28"/>
          <w:szCs w:val="28"/>
        </w:rPr>
        <w:t>项目</w:t>
      </w:r>
      <w:r>
        <w:rPr>
          <w:color w:val="auto"/>
          <w:sz w:val="28"/>
          <w:szCs w:val="28"/>
        </w:rPr>
        <w:t>规模：</w:t>
      </w:r>
      <w:r>
        <w:rPr>
          <w:rFonts w:hint="eastAsia"/>
          <w:color w:val="auto"/>
          <w:spacing w:val="-8"/>
          <w:sz w:val="28"/>
          <w:szCs w:val="28"/>
        </w:rPr>
        <w:t>江西亚东水泥有限公司瑞昌制造二厂5#（6000t/d）、6#（6000t/d）新增石灰石-石膏湿法烟气脱硫系统，主要包括水泥熟料生产线窑尾烟气脱硫系统及配套的烟气改造、吸收剂制备与供应输送系统、石膏脱水系统、事故液系统等</w:t>
      </w:r>
    </w:p>
    <w:p w14:paraId="6E0BA384">
      <w:pPr>
        <w:tabs>
          <w:tab w:val="left" w:pos="2670"/>
        </w:tabs>
        <w:spacing w:line="600" w:lineRule="exact"/>
        <w:ind w:firstLine="560" w:firstLineChars="200"/>
        <w:rPr>
          <w:rFonts w:hint="default" w:eastAsia="宋体"/>
          <w:color w:val="auto"/>
          <w:sz w:val="28"/>
          <w:szCs w:val="28"/>
          <w:lang w:val="en-US" w:eastAsia="zh-CN"/>
        </w:rPr>
      </w:pPr>
      <w:r>
        <w:rPr>
          <w:rFonts w:hint="eastAsia"/>
          <w:color w:val="auto"/>
          <w:sz w:val="28"/>
          <w:szCs w:val="28"/>
        </w:rPr>
        <w:t>项目</w:t>
      </w:r>
      <w:r>
        <w:rPr>
          <w:color w:val="auto"/>
          <w:sz w:val="28"/>
          <w:szCs w:val="28"/>
        </w:rPr>
        <w:t>地址：</w:t>
      </w:r>
      <w:r>
        <w:rPr>
          <w:rFonts w:hint="eastAsia"/>
          <w:color w:val="auto"/>
          <w:sz w:val="28"/>
          <w:szCs w:val="28"/>
        </w:rPr>
        <w:t>江西省</w:t>
      </w:r>
      <w:r>
        <w:rPr>
          <w:rFonts w:hint="eastAsia"/>
          <w:color w:val="auto"/>
          <w:sz w:val="28"/>
          <w:szCs w:val="28"/>
          <w:lang w:val="en-US" w:eastAsia="zh-CN"/>
        </w:rPr>
        <w:t>九江市瑞昌市码头镇亚东大道6号</w:t>
      </w:r>
    </w:p>
    <w:p w14:paraId="011CBFD3">
      <w:pPr>
        <w:spacing w:line="600" w:lineRule="exact"/>
        <w:ind w:firstLine="560" w:firstLineChars="200"/>
        <w:rPr>
          <w:rFonts w:hint="eastAsia"/>
          <w:color w:val="auto"/>
          <w:sz w:val="28"/>
          <w:szCs w:val="28"/>
        </w:rPr>
      </w:pPr>
      <w:r>
        <w:rPr>
          <w:rFonts w:hint="eastAsia"/>
          <w:color w:val="auto"/>
          <w:sz w:val="28"/>
          <w:szCs w:val="28"/>
        </w:rPr>
        <w:t>项目</w:t>
      </w:r>
      <w:r>
        <w:rPr>
          <w:color w:val="auto"/>
          <w:sz w:val="28"/>
          <w:szCs w:val="28"/>
        </w:rPr>
        <w:t>性质：</w:t>
      </w:r>
      <w:r>
        <w:rPr>
          <w:rFonts w:hint="eastAsia"/>
          <w:color w:val="auto"/>
          <w:sz w:val="28"/>
          <w:szCs w:val="28"/>
          <w:lang w:val="en-US" w:eastAsia="zh-CN"/>
        </w:rPr>
        <w:t>技改</w:t>
      </w:r>
      <w:r>
        <w:rPr>
          <w:color w:val="auto"/>
          <w:sz w:val="28"/>
          <w:szCs w:val="28"/>
        </w:rPr>
        <w:t>项目</w:t>
      </w:r>
    </w:p>
    <w:p w14:paraId="67E8A35A">
      <w:pPr>
        <w:spacing w:line="600" w:lineRule="exact"/>
        <w:ind w:firstLine="560" w:firstLineChars="200"/>
        <w:rPr>
          <w:rFonts w:hint="eastAsia"/>
          <w:color w:val="auto"/>
          <w:sz w:val="28"/>
          <w:szCs w:val="28"/>
        </w:rPr>
      </w:pPr>
      <w:r>
        <w:rPr>
          <w:rFonts w:hint="eastAsia"/>
          <w:color w:val="auto"/>
          <w:sz w:val="28"/>
          <w:szCs w:val="28"/>
        </w:rPr>
        <w:t>企业类型：有限责任公司</w:t>
      </w:r>
    </w:p>
    <w:p w14:paraId="71AF88B3">
      <w:pPr>
        <w:spacing w:line="600" w:lineRule="exact"/>
        <w:ind w:firstLine="560" w:firstLineChars="200"/>
        <w:rPr>
          <w:rFonts w:hint="eastAsia"/>
          <w:color w:val="auto"/>
          <w:sz w:val="28"/>
          <w:szCs w:val="28"/>
        </w:rPr>
      </w:pPr>
      <w:r>
        <w:rPr>
          <w:color w:val="auto"/>
          <w:sz w:val="28"/>
          <w:szCs w:val="28"/>
        </w:rPr>
        <w:t>投资主体：</w:t>
      </w:r>
      <w:r>
        <w:rPr>
          <w:rFonts w:hint="eastAsia"/>
          <w:color w:val="auto"/>
          <w:spacing w:val="-8"/>
          <w:sz w:val="28"/>
          <w:szCs w:val="28"/>
        </w:rPr>
        <w:t>江西亚东水泥有限公司</w:t>
      </w:r>
    </w:p>
    <w:p w14:paraId="5077D16D">
      <w:pPr>
        <w:spacing w:line="600" w:lineRule="exact"/>
        <w:ind w:firstLine="560" w:firstLineChars="200"/>
        <w:rPr>
          <w:rFonts w:hint="eastAsia"/>
          <w:color w:val="auto"/>
          <w:spacing w:val="-8"/>
          <w:sz w:val="28"/>
          <w:szCs w:val="28"/>
        </w:rPr>
      </w:pPr>
      <w:r>
        <w:rPr>
          <w:color w:val="auto"/>
          <w:sz w:val="28"/>
          <w:szCs w:val="28"/>
        </w:rPr>
        <w:t>建设单位：</w:t>
      </w:r>
      <w:r>
        <w:rPr>
          <w:rFonts w:hint="eastAsia"/>
          <w:color w:val="auto"/>
          <w:spacing w:val="-8"/>
          <w:sz w:val="28"/>
          <w:szCs w:val="28"/>
        </w:rPr>
        <w:t>江西亚东水泥有限公司</w:t>
      </w:r>
    </w:p>
    <w:p w14:paraId="454ACDBE">
      <w:pPr>
        <w:overflowPunct w:val="0"/>
        <w:spacing w:line="540" w:lineRule="exact"/>
        <w:ind w:firstLine="560" w:firstLineChars="200"/>
        <w:rPr>
          <w:rFonts w:hint="eastAsia"/>
          <w:bCs/>
          <w:color w:val="auto"/>
          <w:sz w:val="28"/>
          <w:szCs w:val="28"/>
        </w:rPr>
      </w:pPr>
      <w:r>
        <w:rPr>
          <w:rFonts w:hint="eastAsia"/>
          <w:bCs/>
          <w:color w:val="auto"/>
          <w:sz w:val="28"/>
          <w:szCs w:val="28"/>
        </w:rPr>
        <w:t>企业法定代表人：张振昆</w:t>
      </w:r>
    </w:p>
    <w:p w14:paraId="3B071767">
      <w:pPr>
        <w:spacing w:line="600" w:lineRule="exact"/>
        <w:ind w:firstLine="560" w:firstLineChars="200"/>
        <w:rPr>
          <w:rFonts w:hint="eastAsia"/>
          <w:color w:val="auto"/>
          <w:sz w:val="28"/>
        </w:rPr>
      </w:pPr>
      <w:r>
        <w:rPr>
          <w:color w:val="auto"/>
          <w:sz w:val="28"/>
        </w:rPr>
        <w:t>投资总额：</w:t>
      </w:r>
      <w:r>
        <w:rPr>
          <w:rFonts w:hint="eastAsia"/>
          <w:color w:val="auto"/>
          <w:sz w:val="28"/>
          <w:szCs w:val="28"/>
          <w:lang w:val="en-US" w:eastAsia="zh-CN"/>
        </w:rPr>
        <w:t>3600万元</w:t>
      </w:r>
    </w:p>
    <w:p w14:paraId="159EADF1">
      <w:pPr>
        <w:spacing w:line="600" w:lineRule="exact"/>
        <w:ind w:firstLine="560" w:firstLineChars="200"/>
        <w:rPr>
          <w:rFonts w:hint="eastAsia"/>
          <w:color w:val="auto"/>
          <w:sz w:val="28"/>
        </w:rPr>
      </w:pPr>
      <w:r>
        <w:rPr>
          <w:rFonts w:hint="eastAsia"/>
          <w:color w:val="auto"/>
          <w:sz w:val="28"/>
        </w:rPr>
        <w:t>项目占地面积：约</w:t>
      </w:r>
      <w:r>
        <w:rPr>
          <w:rFonts w:hint="eastAsia"/>
          <w:color w:val="auto"/>
          <w:sz w:val="28"/>
          <w:lang w:val="en-US" w:eastAsia="zh-CN"/>
        </w:rPr>
        <w:t>9000</w:t>
      </w:r>
      <w:r>
        <w:rPr>
          <w:rFonts w:hint="eastAsia"/>
          <w:color w:val="auto"/>
          <w:sz w:val="28"/>
        </w:rPr>
        <w:t>㎡</w:t>
      </w:r>
    </w:p>
    <w:p w14:paraId="5CBC80E1">
      <w:pPr>
        <w:spacing w:line="600" w:lineRule="exact"/>
        <w:ind w:firstLine="560" w:firstLineChars="200"/>
        <w:rPr>
          <w:rFonts w:hint="default" w:eastAsia="宋体"/>
          <w:color w:val="auto"/>
          <w:sz w:val="28"/>
          <w:lang w:val="en-US" w:eastAsia="zh-CN"/>
        </w:rPr>
      </w:pPr>
      <w:r>
        <w:rPr>
          <w:rFonts w:hint="eastAsia"/>
          <w:color w:val="auto"/>
          <w:sz w:val="28"/>
          <w:lang w:val="en-US" w:eastAsia="zh-CN"/>
        </w:rPr>
        <w:t>处理能力：130万m</w:t>
      </w:r>
      <w:r>
        <w:rPr>
          <w:rFonts w:hint="eastAsia"/>
          <w:color w:val="auto"/>
          <w:sz w:val="28"/>
          <w:vertAlign w:val="superscript"/>
          <w:lang w:val="en-US" w:eastAsia="zh-CN"/>
        </w:rPr>
        <w:t>3</w:t>
      </w:r>
      <w:r>
        <w:rPr>
          <w:rFonts w:hint="eastAsia"/>
          <w:color w:val="auto"/>
          <w:sz w:val="28"/>
          <w:lang w:val="en-US" w:eastAsia="zh-CN"/>
        </w:rPr>
        <w:t>/h</w:t>
      </w:r>
    </w:p>
    <w:p w14:paraId="26760086">
      <w:pPr>
        <w:spacing w:line="600" w:lineRule="exact"/>
        <w:ind w:firstLine="560" w:firstLineChars="200"/>
        <w:rPr>
          <w:color w:val="auto"/>
          <w:sz w:val="28"/>
        </w:rPr>
      </w:pPr>
      <w:r>
        <w:rPr>
          <w:rFonts w:hint="eastAsia"/>
          <w:color w:val="auto"/>
          <w:sz w:val="28"/>
        </w:rPr>
        <w:t>安全投入：</w:t>
      </w:r>
      <w:r>
        <w:rPr>
          <w:rFonts w:hint="eastAsia"/>
          <w:color w:val="auto"/>
          <w:sz w:val="28"/>
          <w:lang w:val="en-US" w:eastAsia="zh-CN"/>
        </w:rPr>
        <w:t>125</w:t>
      </w:r>
      <w:r>
        <w:rPr>
          <w:rFonts w:hint="eastAsia"/>
          <w:color w:val="auto"/>
          <w:sz w:val="28"/>
        </w:rPr>
        <w:t>万元</w:t>
      </w:r>
    </w:p>
    <w:p w14:paraId="48CAD3A0">
      <w:pPr>
        <w:spacing w:line="600" w:lineRule="exact"/>
        <w:ind w:firstLine="560" w:firstLineChars="200"/>
        <w:rPr>
          <w:rFonts w:hint="eastAsia"/>
          <w:color w:val="auto"/>
          <w:sz w:val="28"/>
        </w:rPr>
      </w:pPr>
      <w:r>
        <w:rPr>
          <w:rFonts w:hint="eastAsia"/>
          <w:color w:val="auto"/>
          <w:sz w:val="28"/>
        </w:rPr>
        <w:t>安全预评价单位：北京达飞安评管理顾问有限公司（证书编号：APJ-（国）-074）</w:t>
      </w:r>
    </w:p>
    <w:p w14:paraId="7CB10BB4">
      <w:pPr>
        <w:spacing w:line="600" w:lineRule="exact"/>
        <w:ind w:firstLine="560" w:firstLineChars="200"/>
        <w:rPr>
          <w:rFonts w:hint="eastAsia"/>
          <w:color w:val="auto"/>
          <w:sz w:val="28"/>
          <w:szCs w:val="28"/>
        </w:rPr>
      </w:pPr>
      <w:r>
        <w:rPr>
          <w:rFonts w:hint="eastAsia"/>
          <w:color w:val="auto"/>
          <w:sz w:val="28"/>
        </w:rPr>
        <w:t>安全设施设计单位：</w:t>
      </w:r>
      <w:r>
        <w:rPr>
          <w:rFonts w:hint="eastAsia"/>
          <w:color w:val="auto"/>
          <w:spacing w:val="-8"/>
          <w:sz w:val="28"/>
          <w:szCs w:val="28"/>
        </w:rPr>
        <w:t>美华建筑设计有限公司（环保</w:t>
      </w:r>
      <w:r>
        <w:rPr>
          <w:rFonts w:hint="eastAsia"/>
          <w:color w:val="auto"/>
          <w:spacing w:val="-8"/>
          <w:sz w:val="28"/>
          <w:szCs w:val="28"/>
          <w:lang w:val="en-US" w:eastAsia="zh-CN"/>
        </w:rPr>
        <w:t>设计环境工程专项乙级</w:t>
      </w:r>
      <w:r>
        <w:rPr>
          <w:rFonts w:hint="eastAsia"/>
          <w:color w:val="auto"/>
          <w:spacing w:val="-8"/>
          <w:sz w:val="28"/>
          <w:szCs w:val="28"/>
        </w:rPr>
        <w:t>）</w:t>
      </w:r>
    </w:p>
    <w:p w14:paraId="112471B0">
      <w:pPr>
        <w:spacing w:line="600" w:lineRule="exact"/>
        <w:ind w:firstLine="560" w:firstLineChars="200"/>
        <w:rPr>
          <w:rFonts w:hint="eastAsia"/>
          <w:color w:val="auto"/>
          <w:sz w:val="28"/>
        </w:rPr>
      </w:pPr>
      <w:r>
        <w:rPr>
          <w:rFonts w:hint="eastAsia"/>
          <w:color w:val="auto"/>
          <w:sz w:val="28"/>
        </w:rPr>
        <w:t>施工单位：</w:t>
      </w:r>
      <w:r>
        <w:rPr>
          <w:rFonts w:hint="eastAsia"/>
          <w:color w:val="auto"/>
          <w:sz w:val="28"/>
          <w:lang w:val="en-US" w:eastAsia="zh-CN"/>
        </w:rPr>
        <w:t>合肥水泥研究设计院有限公司</w:t>
      </w:r>
      <w:r>
        <w:rPr>
          <w:rFonts w:hint="eastAsia"/>
          <w:color w:val="auto"/>
          <w:sz w:val="28"/>
        </w:rPr>
        <w:t>（证书编号：D23</w:t>
      </w:r>
      <w:r>
        <w:rPr>
          <w:rFonts w:hint="eastAsia"/>
          <w:color w:val="auto"/>
          <w:sz w:val="28"/>
          <w:lang w:val="en-US" w:eastAsia="zh-CN"/>
        </w:rPr>
        <w:t>4043893</w:t>
      </w:r>
      <w:r>
        <w:rPr>
          <w:rFonts w:hint="eastAsia"/>
          <w:color w:val="auto"/>
          <w:sz w:val="28"/>
        </w:rPr>
        <w:t>，</w:t>
      </w:r>
      <w:r>
        <w:rPr>
          <w:rFonts w:hint="eastAsia"/>
          <w:color w:val="auto"/>
          <w:sz w:val="28"/>
          <w:lang w:val="en-US" w:eastAsia="zh-CN"/>
        </w:rPr>
        <w:t>环保</w:t>
      </w:r>
      <w:r>
        <w:rPr>
          <w:rFonts w:hint="eastAsia"/>
          <w:color w:val="auto"/>
          <w:sz w:val="28"/>
        </w:rPr>
        <w:t>工程专业承包壹级）</w:t>
      </w:r>
    </w:p>
    <w:p w14:paraId="0462366F">
      <w:pPr>
        <w:spacing w:line="600" w:lineRule="exact"/>
        <w:ind w:firstLine="560" w:firstLineChars="200"/>
        <w:rPr>
          <w:rFonts w:hint="eastAsia"/>
          <w:color w:val="auto"/>
          <w:sz w:val="28"/>
        </w:rPr>
      </w:pPr>
      <w:r>
        <w:rPr>
          <w:rFonts w:hint="eastAsia"/>
          <w:color w:val="auto"/>
          <w:sz w:val="28"/>
        </w:rPr>
        <w:t>监理单位：</w:t>
      </w:r>
      <w:r>
        <w:rPr>
          <w:rFonts w:hint="eastAsia"/>
          <w:color w:val="auto"/>
          <w:sz w:val="28"/>
          <w:lang w:val="en-US" w:eastAsia="zh-CN"/>
        </w:rPr>
        <w:t>江西省建设监理有限公司（工程监理房屋建筑工程专业甲级）</w:t>
      </w:r>
    </w:p>
    <w:p w14:paraId="6117260C">
      <w:pPr>
        <w:pStyle w:val="3"/>
        <w:bidi w:val="0"/>
        <w:rPr>
          <w:rFonts w:hint="eastAsia"/>
          <w:color w:val="auto"/>
          <w:lang w:val="en-US" w:eastAsia="zh-CN"/>
        </w:rPr>
      </w:pPr>
      <w:bookmarkStart w:id="21" w:name="_Toc21574"/>
      <w:r>
        <w:rPr>
          <w:rFonts w:hint="eastAsia"/>
          <w:color w:val="auto"/>
          <w:lang w:val="en-US" w:eastAsia="zh-CN"/>
        </w:rPr>
        <w:t>2.3项目建设内容</w:t>
      </w:r>
      <w:bookmarkEnd w:id="21"/>
    </w:p>
    <w:p w14:paraId="152C626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auto"/>
        </w:rPr>
      </w:pPr>
      <w:r>
        <w:rPr>
          <w:rFonts w:hint="eastAsia"/>
          <w:color w:val="auto"/>
          <w:lang w:val="en-US" w:eastAsia="zh-CN"/>
        </w:rPr>
        <w:t>表2.3-1项目建设内容</w:t>
      </w:r>
    </w:p>
    <w:tbl>
      <w:tblPr>
        <w:tblStyle w:val="18"/>
        <w:tblW w:w="503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550"/>
        <w:gridCol w:w="511"/>
        <w:gridCol w:w="656"/>
        <w:gridCol w:w="1370"/>
        <w:gridCol w:w="4932"/>
        <w:gridCol w:w="1138"/>
      </w:tblGrid>
      <w:tr w14:paraId="659D7C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tblHeader/>
          <w:jc w:val="center"/>
        </w:trPr>
        <w:tc>
          <w:tcPr>
            <w:tcW w:w="300" w:type="pct"/>
            <w:tcBorders>
              <w:tl2br w:val="nil"/>
              <w:tr2bl w:val="nil"/>
            </w:tcBorders>
            <w:textDirection w:val="tbRlV"/>
            <w:vAlign w:val="center"/>
          </w:tcPr>
          <w:p w14:paraId="56FE42A7">
            <w:pPr>
              <w:pStyle w:val="21"/>
              <w:bidi w:val="0"/>
              <w:rPr>
                <w:color w:val="auto"/>
              </w:rPr>
            </w:pPr>
            <w:r>
              <w:rPr>
                <w:color w:val="auto"/>
              </w:rPr>
              <w:t>序 号</w:t>
            </w:r>
          </w:p>
        </w:tc>
        <w:tc>
          <w:tcPr>
            <w:tcW w:w="1385" w:type="pct"/>
            <w:gridSpan w:val="3"/>
            <w:tcBorders>
              <w:tl2br w:val="nil"/>
              <w:tr2bl w:val="nil"/>
            </w:tcBorders>
            <w:vAlign w:val="center"/>
          </w:tcPr>
          <w:p w14:paraId="3569A5F2">
            <w:pPr>
              <w:pStyle w:val="21"/>
              <w:bidi w:val="0"/>
              <w:rPr>
                <w:color w:val="auto"/>
              </w:rPr>
            </w:pPr>
            <w:r>
              <w:rPr>
                <w:color w:val="auto"/>
              </w:rPr>
              <w:t>项目组成</w:t>
            </w:r>
          </w:p>
        </w:tc>
        <w:tc>
          <w:tcPr>
            <w:tcW w:w="2692" w:type="pct"/>
            <w:tcBorders>
              <w:tl2br w:val="nil"/>
              <w:tr2bl w:val="nil"/>
            </w:tcBorders>
            <w:vAlign w:val="center"/>
          </w:tcPr>
          <w:p w14:paraId="33CCE265">
            <w:pPr>
              <w:pStyle w:val="21"/>
              <w:bidi w:val="0"/>
              <w:rPr>
                <w:color w:val="auto"/>
              </w:rPr>
            </w:pPr>
            <w:r>
              <w:rPr>
                <w:color w:val="auto"/>
              </w:rPr>
              <w:t>主要建设内容</w:t>
            </w:r>
          </w:p>
        </w:tc>
        <w:tc>
          <w:tcPr>
            <w:tcW w:w="621" w:type="pct"/>
            <w:tcBorders>
              <w:tl2br w:val="nil"/>
              <w:tr2bl w:val="nil"/>
            </w:tcBorders>
            <w:vAlign w:val="center"/>
          </w:tcPr>
          <w:p w14:paraId="02585936">
            <w:pPr>
              <w:pStyle w:val="21"/>
              <w:bidi w:val="0"/>
              <w:rPr>
                <w:color w:val="auto"/>
              </w:rPr>
            </w:pPr>
            <w:r>
              <w:rPr>
                <w:color w:val="auto"/>
              </w:rPr>
              <w:t>与现有工程</w:t>
            </w:r>
          </w:p>
          <w:p w14:paraId="481FD137">
            <w:pPr>
              <w:pStyle w:val="21"/>
              <w:bidi w:val="0"/>
              <w:rPr>
                <w:color w:val="auto"/>
              </w:rPr>
            </w:pPr>
            <w:r>
              <w:rPr>
                <w:color w:val="auto"/>
              </w:rPr>
              <w:t>依托关系</w:t>
            </w:r>
          </w:p>
        </w:tc>
      </w:tr>
      <w:tr w14:paraId="395353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50" w:hRule="atLeast"/>
          <w:jc w:val="center"/>
        </w:trPr>
        <w:tc>
          <w:tcPr>
            <w:tcW w:w="300" w:type="pct"/>
            <w:vMerge w:val="restart"/>
            <w:tcBorders>
              <w:tl2br w:val="nil"/>
              <w:tr2bl w:val="nil"/>
            </w:tcBorders>
            <w:vAlign w:val="center"/>
          </w:tcPr>
          <w:p w14:paraId="1990236B">
            <w:pPr>
              <w:pStyle w:val="20"/>
              <w:bidi w:val="0"/>
              <w:rPr>
                <w:color w:val="auto"/>
              </w:rPr>
            </w:pPr>
            <w:r>
              <w:rPr>
                <w:color w:val="auto"/>
              </w:rPr>
              <w:t>1</w:t>
            </w:r>
          </w:p>
        </w:tc>
        <w:tc>
          <w:tcPr>
            <w:tcW w:w="279" w:type="pct"/>
            <w:vMerge w:val="restart"/>
            <w:tcBorders>
              <w:tl2br w:val="nil"/>
              <w:tr2bl w:val="nil"/>
            </w:tcBorders>
            <w:textDirection w:val="tbRlV"/>
            <w:vAlign w:val="center"/>
          </w:tcPr>
          <w:p w14:paraId="78FB1B8F">
            <w:pPr>
              <w:pStyle w:val="20"/>
              <w:bidi w:val="0"/>
              <w:rPr>
                <w:color w:val="auto"/>
              </w:rPr>
            </w:pPr>
            <w:r>
              <w:rPr>
                <w:color w:val="auto"/>
              </w:rPr>
              <w:t>主 体 工 程</w:t>
            </w:r>
          </w:p>
        </w:tc>
        <w:tc>
          <w:tcPr>
            <w:tcW w:w="358" w:type="pct"/>
            <w:vMerge w:val="restart"/>
            <w:tcBorders>
              <w:tl2br w:val="nil"/>
              <w:tr2bl w:val="nil"/>
            </w:tcBorders>
            <w:vAlign w:val="center"/>
          </w:tcPr>
          <w:p w14:paraId="719399FC">
            <w:pPr>
              <w:pStyle w:val="20"/>
              <w:bidi w:val="0"/>
              <w:rPr>
                <w:color w:val="auto"/>
              </w:rPr>
            </w:pPr>
            <w:r>
              <w:rPr>
                <w:color w:val="auto"/>
              </w:rPr>
              <w:t>SO</w:t>
            </w:r>
            <w:r>
              <w:rPr>
                <w:color w:val="auto"/>
                <w:vertAlign w:val="subscript"/>
              </w:rPr>
              <w:t>2</w:t>
            </w:r>
            <w:r>
              <w:rPr>
                <w:color w:val="auto"/>
              </w:rPr>
              <w:t xml:space="preserve">  吸收 系统</w:t>
            </w:r>
          </w:p>
        </w:tc>
        <w:tc>
          <w:tcPr>
            <w:tcW w:w="747" w:type="pct"/>
            <w:tcBorders>
              <w:tl2br w:val="nil"/>
              <w:tr2bl w:val="nil"/>
            </w:tcBorders>
            <w:vAlign w:val="center"/>
          </w:tcPr>
          <w:p w14:paraId="2FA305BF">
            <w:pPr>
              <w:pStyle w:val="20"/>
              <w:bidi w:val="0"/>
              <w:rPr>
                <w:color w:val="auto"/>
              </w:rPr>
            </w:pPr>
            <w:r>
              <w:rPr>
                <w:color w:val="auto"/>
              </w:rPr>
              <w:t>吸收塔</w:t>
            </w:r>
          </w:p>
        </w:tc>
        <w:tc>
          <w:tcPr>
            <w:tcW w:w="2692" w:type="pct"/>
            <w:tcBorders>
              <w:tl2br w:val="nil"/>
              <w:tr2bl w:val="nil"/>
            </w:tcBorders>
            <w:vAlign w:val="center"/>
          </w:tcPr>
          <w:p w14:paraId="1DC1166B">
            <w:pPr>
              <w:pStyle w:val="20"/>
              <w:bidi w:val="0"/>
              <w:rPr>
                <w:rFonts w:hint="eastAsia"/>
                <w:color w:val="auto"/>
                <w:lang w:eastAsia="zh-CN"/>
              </w:rPr>
            </w:pPr>
            <w:r>
              <w:rPr>
                <w:color w:val="auto"/>
              </w:rPr>
              <w:t>采用喷淋塔，设计为喷淋、吸收和氧化为一体的单塔。 其中包括吸收塔壳体、喷嘴及所有内部构件、吸收塔搅拌器、除雾器、塔体防腐及外部钢结构框架、平台扶梯等</w:t>
            </w:r>
            <w:r>
              <w:rPr>
                <w:rFonts w:hint="eastAsia"/>
                <w:color w:val="auto"/>
                <w:lang w:eastAsia="zh-CN"/>
              </w:rPr>
              <w:t>。</w:t>
            </w:r>
          </w:p>
        </w:tc>
        <w:tc>
          <w:tcPr>
            <w:tcW w:w="621" w:type="pct"/>
            <w:vMerge w:val="restart"/>
            <w:tcBorders>
              <w:tl2br w:val="nil"/>
              <w:tr2bl w:val="nil"/>
            </w:tcBorders>
            <w:vAlign w:val="center"/>
          </w:tcPr>
          <w:p w14:paraId="42999FCD">
            <w:pPr>
              <w:pStyle w:val="20"/>
              <w:bidi w:val="0"/>
              <w:rPr>
                <w:color w:val="auto"/>
              </w:rPr>
            </w:pPr>
            <w:r>
              <w:rPr>
                <w:color w:val="auto"/>
              </w:rPr>
              <w:t>新建</w:t>
            </w:r>
          </w:p>
        </w:tc>
      </w:tr>
      <w:tr w14:paraId="12FE14F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300" w:type="pct"/>
            <w:vMerge w:val="continue"/>
            <w:tcBorders>
              <w:tl2br w:val="nil"/>
              <w:tr2bl w:val="nil"/>
            </w:tcBorders>
            <w:vAlign w:val="center"/>
          </w:tcPr>
          <w:p w14:paraId="03B7AB39">
            <w:pPr>
              <w:pStyle w:val="20"/>
              <w:bidi w:val="0"/>
              <w:rPr>
                <w:color w:val="auto"/>
              </w:rPr>
            </w:pPr>
          </w:p>
        </w:tc>
        <w:tc>
          <w:tcPr>
            <w:tcW w:w="279" w:type="pct"/>
            <w:vMerge w:val="continue"/>
            <w:tcBorders>
              <w:tl2br w:val="nil"/>
              <w:tr2bl w:val="nil"/>
            </w:tcBorders>
            <w:textDirection w:val="tbRlV"/>
            <w:vAlign w:val="center"/>
          </w:tcPr>
          <w:p w14:paraId="1C91CC26">
            <w:pPr>
              <w:pStyle w:val="20"/>
              <w:bidi w:val="0"/>
              <w:rPr>
                <w:color w:val="auto"/>
              </w:rPr>
            </w:pPr>
          </w:p>
        </w:tc>
        <w:tc>
          <w:tcPr>
            <w:tcW w:w="358" w:type="pct"/>
            <w:vMerge w:val="continue"/>
            <w:tcBorders>
              <w:tl2br w:val="nil"/>
              <w:tr2bl w:val="nil"/>
            </w:tcBorders>
            <w:vAlign w:val="center"/>
          </w:tcPr>
          <w:p w14:paraId="22C57568">
            <w:pPr>
              <w:pStyle w:val="20"/>
              <w:bidi w:val="0"/>
              <w:rPr>
                <w:color w:val="auto"/>
              </w:rPr>
            </w:pPr>
          </w:p>
        </w:tc>
        <w:tc>
          <w:tcPr>
            <w:tcW w:w="747" w:type="pct"/>
            <w:tcBorders>
              <w:tl2br w:val="nil"/>
              <w:tr2bl w:val="nil"/>
            </w:tcBorders>
            <w:vAlign w:val="center"/>
          </w:tcPr>
          <w:p w14:paraId="25507E9E">
            <w:pPr>
              <w:pStyle w:val="20"/>
              <w:bidi w:val="0"/>
              <w:rPr>
                <w:color w:val="auto"/>
              </w:rPr>
            </w:pPr>
            <w:r>
              <w:rPr>
                <w:color w:val="auto"/>
              </w:rPr>
              <w:t>吸收塔浆液循环系统</w:t>
            </w:r>
          </w:p>
        </w:tc>
        <w:tc>
          <w:tcPr>
            <w:tcW w:w="2692" w:type="pct"/>
            <w:tcBorders>
              <w:tl2br w:val="nil"/>
              <w:tr2bl w:val="nil"/>
            </w:tcBorders>
            <w:vAlign w:val="center"/>
          </w:tcPr>
          <w:p w14:paraId="381A29C3">
            <w:pPr>
              <w:pStyle w:val="20"/>
              <w:bidi w:val="0"/>
              <w:rPr>
                <w:rFonts w:hint="eastAsia"/>
                <w:color w:val="auto"/>
                <w:lang w:eastAsia="zh-CN"/>
              </w:rPr>
            </w:pPr>
            <w:r>
              <w:rPr>
                <w:color w:val="auto"/>
              </w:rPr>
              <w:t>包括循环泵、管道系统、喷淋组件及喷嘴</w:t>
            </w:r>
            <w:r>
              <w:rPr>
                <w:rFonts w:hint="eastAsia"/>
                <w:color w:val="auto"/>
                <w:lang w:eastAsia="zh-CN"/>
              </w:rPr>
              <w:t>。</w:t>
            </w:r>
          </w:p>
        </w:tc>
        <w:tc>
          <w:tcPr>
            <w:tcW w:w="621" w:type="pct"/>
            <w:vMerge w:val="continue"/>
            <w:tcBorders>
              <w:tl2br w:val="nil"/>
              <w:tr2bl w:val="nil"/>
            </w:tcBorders>
            <w:vAlign w:val="center"/>
          </w:tcPr>
          <w:p w14:paraId="2495290A">
            <w:pPr>
              <w:pStyle w:val="20"/>
              <w:bidi w:val="0"/>
              <w:rPr>
                <w:color w:val="auto"/>
              </w:rPr>
            </w:pPr>
          </w:p>
        </w:tc>
      </w:tr>
      <w:tr w14:paraId="000056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300" w:type="pct"/>
            <w:vMerge w:val="continue"/>
            <w:tcBorders>
              <w:tl2br w:val="nil"/>
              <w:tr2bl w:val="nil"/>
            </w:tcBorders>
            <w:vAlign w:val="center"/>
          </w:tcPr>
          <w:p w14:paraId="628C7D90">
            <w:pPr>
              <w:pStyle w:val="20"/>
              <w:bidi w:val="0"/>
              <w:rPr>
                <w:color w:val="auto"/>
              </w:rPr>
            </w:pPr>
          </w:p>
        </w:tc>
        <w:tc>
          <w:tcPr>
            <w:tcW w:w="279" w:type="pct"/>
            <w:vMerge w:val="continue"/>
            <w:tcBorders>
              <w:tl2br w:val="nil"/>
              <w:tr2bl w:val="nil"/>
            </w:tcBorders>
            <w:textDirection w:val="tbRlV"/>
            <w:vAlign w:val="center"/>
          </w:tcPr>
          <w:p w14:paraId="0E717BD0">
            <w:pPr>
              <w:pStyle w:val="20"/>
              <w:bidi w:val="0"/>
              <w:rPr>
                <w:color w:val="auto"/>
              </w:rPr>
            </w:pPr>
          </w:p>
        </w:tc>
        <w:tc>
          <w:tcPr>
            <w:tcW w:w="358" w:type="pct"/>
            <w:vMerge w:val="continue"/>
            <w:tcBorders>
              <w:tl2br w:val="nil"/>
              <w:tr2bl w:val="nil"/>
            </w:tcBorders>
            <w:vAlign w:val="center"/>
          </w:tcPr>
          <w:p w14:paraId="2E3DAC39">
            <w:pPr>
              <w:pStyle w:val="20"/>
              <w:bidi w:val="0"/>
              <w:rPr>
                <w:color w:val="auto"/>
              </w:rPr>
            </w:pPr>
          </w:p>
        </w:tc>
        <w:tc>
          <w:tcPr>
            <w:tcW w:w="747" w:type="pct"/>
            <w:tcBorders>
              <w:tl2br w:val="nil"/>
              <w:tr2bl w:val="nil"/>
            </w:tcBorders>
            <w:vAlign w:val="center"/>
          </w:tcPr>
          <w:p w14:paraId="2BA44B3A">
            <w:pPr>
              <w:pStyle w:val="20"/>
              <w:bidi w:val="0"/>
              <w:rPr>
                <w:color w:val="auto"/>
              </w:rPr>
            </w:pPr>
            <w:r>
              <w:rPr>
                <w:color w:val="auto"/>
              </w:rPr>
              <w:t>除雾器</w:t>
            </w:r>
          </w:p>
        </w:tc>
        <w:tc>
          <w:tcPr>
            <w:tcW w:w="2692" w:type="pct"/>
            <w:tcBorders>
              <w:tl2br w:val="nil"/>
              <w:tr2bl w:val="nil"/>
            </w:tcBorders>
            <w:vAlign w:val="center"/>
          </w:tcPr>
          <w:p w14:paraId="11AB4AB3">
            <w:pPr>
              <w:pStyle w:val="20"/>
              <w:bidi w:val="0"/>
              <w:rPr>
                <w:color w:val="auto"/>
              </w:rPr>
            </w:pPr>
            <w:r>
              <w:rPr>
                <w:color w:val="auto"/>
              </w:rPr>
              <w:t>除雾器</w:t>
            </w:r>
            <w:r>
              <w:rPr>
                <w:rFonts w:hint="eastAsia"/>
                <w:color w:val="auto"/>
                <w:lang w:eastAsia="zh-CN"/>
              </w:rPr>
              <w:t>（三层屋脊式</w:t>
            </w:r>
            <w:r>
              <w:rPr>
                <w:rFonts w:hint="eastAsia"/>
                <w:color w:val="auto"/>
                <w:lang w:val="en-US" w:eastAsia="zh-CN"/>
              </w:rPr>
              <w:t>+</w:t>
            </w:r>
            <w:r>
              <w:rPr>
                <w:rFonts w:hint="eastAsia"/>
                <w:color w:val="auto"/>
                <w:lang w:eastAsia="zh-CN"/>
              </w:rPr>
              <w:t>一层管式）</w:t>
            </w:r>
            <w:r>
              <w:rPr>
                <w:color w:val="auto"/>
              </w:rPr>
              <w:t>及除雾器清洗系统</w:t>
            </w:r>
            <w:r>
              <w:rPr>
                <w:rFonts w:hint="eastAsia"/>
                <w:color w:val="auto"/>
                <w:lang w:eastAsia="zh-CN"/>
              </w:rPr>
              <w:t>。</w:t>
            </w:r>
            <w:r>
              <w:rPr>
                <w:color w:val="auto"/>
              </w:rPr>
              <w:t>清洗系统包括管道、自动控制阀门和喷嘴等</w:t>
            </w:r>
          </w:p>
        </w:tc>
        <w:tc>
          <w:tcPr>
            <w:tcW w:w="621" w:type="pct"/>
            <w:vMerge w:val="continue"/>
            <w:tcBorders>
              <w:tl2br w:val="nil"/>
              <w:tr2bl w:val="nil"/>
            </w:tcBorders>
            <w:vAlign w:val="center"/>
          </w:tcPr>
          <w:p w14:paraId="38E351E1">
            <w:pPr>
              <w:pStyle w:val="20"/>
              <w:bidi w:val="0"/>
              <w:rPr>
                <w:color w:val="auto"/>
              </w:rPr>
            </w:pPr>
          </w:p>
        </w:tc>
      </w:tr>
      <w:tr w14:paraId="09E19D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300" w:type="pct"/>
            <w:vMerge w:val="continue"/>
            <w:tcBorders>
              <w:tl2br w:val="nil"/>
              <w:tr2bl w:val="nil"/>
            </w:tcBorders>
            <w:vAlign w:val="center"/>
          </w:tcPr>
          <w:p w14:paraId="65F71ED4">
            <w:pPr>
              <w:pStyle w:val="20"/>
              <w:bidi w:val="0"/>
              <w:rPr>
                <w:color w:val="auto"/>
              </w:rPr>
            </w:pPr>
          </w:p>
        </w:tc>
        <w:tc>
          <w:tcPr>
            <w:tcW w:w="279" w:type="pct"/>
            <w:vMerge w:val="continue"/>
            <w:tcBorders>
              <w:tl2br w:val="nil"/>
              <w:tr2bl w:val="nil"/>
            </w:tcBorders>
            <w:textDirection w:val="tbRlV"/>
            <w:vAlign w:val="center"/>
          </w:tcPr>
          <w:p w14:paraId="7BFF1A35">
            <w:pPr>
              <w:pStyle w:val="20"/>
              <w:bidi w:val="0"/>
              <w:rPr>
                <w:color w:val="auto"/>
              </w:rPr>
            </w:pPr>
          </w:p>
        </w:tc>
        <w:tc>
          <w:tcPr>
            <w:tcW w:w="358" w:type="pct"/>
            <w:vMerge w:val="continue"/>
            <w:tcBorders>
              <w:tl2br w:val="nil"/>
              <w:tr2bl w:val="nil"/>
            </w:tcBorders>
            <w:vAlign w:val="center"/>
          </w:tcPr>
          <w:p w14:paraId="6207D9A2">
            <w:pPr>
              <w:pStyle w:val="20"/>
              <w:bidi w:val="0"/>
              <w:rPr>
                <w:color w:val="auto"/>
              </w:rPr>
            </w:pPr>
          </w:p>
        </w:tc>
        <w:tc>
          <w:tcPr>
            <w:tcW w:w="747" w:type="pct"/>
            <w:tcBorders>
              <w:tl2br w:val="nil"/>
              <w:tr2bl w:val="nil"/>
            </w:tcBorders>
            <w:vAlign w:val="center"/>
          </w:tcPr>
          <w:p w14:paraId="10DDFCAA">
            <w:pPr>
              <w:pStyle w:val="20"/>
              <w:bidi w:val="0"/>
              <w:rPr>
                <w:color w:val="auto"/>
              </w:rPr>
            </w:pPr>
            <w:r>
              <w:rPr>
                <w:color w:val="auto"/>
              </w:rPr>
              <w:t>氧化系统</w:t>
            </w:r>
          </w:p>
        </w:tc>
        <w:tc>
          <w:tcPr>
            <w:tcW w:w="2692" w:type="pct"/>
            <w:tcBorders>
              <w:tl2br w:val="nil"/>
              <w:tr2bl w:val="nil"/>
            </w:tcBorders>
            <w:vAlign w:val="center"/>
          </w:tcPr>
          <w:p w14:paraId="10CCCF6F">
            <w:pPr>
              <w:pStyle w:val="20"/>
              <w:bidi w:val="0"/>
              <w:rPr>
                <w:rFonts w:hint="eastAsia"/>
                <w:color w:val="auto"/>
                <w:lang w:eastAsia="zh-CN"/>
              </w:rPr>
            </w:pPr>
            <w:r>
              <w:rPr>
                <w:color w:val="auto"/>
              </w:rPr>
              <w:t>由氧化风机、氧化管网、管路等组成</w:t>
            </w:r>
            <w:r>
              <w:rPr>
                <w:rFonts w:hint="eastAsia"/>
                <w:color w:val="auto"/>
                <w:lang w:eastAsia="zh-CN"/>
              </w:rPr>
              <w:t>。</w:t>
            </w:r>
          </w:p>
        </w:tc>
        <w:tc>
          <w:tcPr>
            <w:tcW w:w="621" w:type="pct"/>
            <w:vMerge w:val="continue"/>
            <w:tcBorders>
              <w:tl2br w:val="nil"/>
              <w:tr2bl w:val="nil"/>
            </w:tcBorders>
            <w:vAlign w:val="center"/>
          </w:tcPr>
          <w:p w14:paraId="22E8FF70">
            <w:pPr>
              <w:pStyle w:val="20"/>
              <w:bidi w:val="0"/>
              <w:rPr>
                <w:color w:val="auto"/>
              </w:rPr>
            </w:pPr>
          </w:p>
        </w:tc>
      </w:tr>
      <w:tr w14:paraId="4AF9C8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6" w:hRule="atLeast"/>
          <w:jc w:val="center"/>
        </w:trPr>
        <w:tc>
          <w:tcPr>
            <w:tcW w:w="300" w:type="pct"/>
            <w:vMerge w:val="continue"/>
            <w:tcBorders>
              <w:tl2br w:val="nil"/>
              <w:tr2bl w:val="nil"/>
            </w:tcBorders>
            <w:vAlign w:val="center"/>
          </w:tcPr>
          <w:p w14:paraId="6FC781D4">
            <w:pPr>
              <w:pStyle w:val="20"/>
              <w:bidi w:val="0"/>
              <w:rPr>
                <w:color w:val="auto"/>
              </w:rPr>
            </w:pPr>
          </w:p>
        </w:tc>
        <w:tc>
          <w:tcPr>
            <w:tcW w:w="279" w:type="pct"/>
            <w:vMerge w:val="continue"/>
            <w:tcBorders>
              <w:tl2br w:val="nil"/>
              <w:tr2bl w:val="nil"/>
            </w:tcBorders>
            <w:textDirection w:val="tbRlV"/>
            <w:vAlign w:val="center"/>
          </w:tcPr>
          <w:p w14:paraId="0252D1DC">
            <w:pPr>
              <w:pStyle w:val="20"/>
              <w:bidi w:val="0"/>
              <w:rPr>
                <w:color w:val="auto"/>
              </w:rPr>
            </w:pPr>
          </w:p>
        </w:tc>
        <w:tc>
          <w:tcPr>
            <w:tcW w:w="358" w:type="pct"/>
            <w:vMerge w:val="continue"/>
            <w:tcBorders>
              <w:tl2br w:val="nil"/>
              <w:tr2bl w:val="nil"/>
            </w:tcBorders>
            <w:vAlign w:val="center"/>
          </w:tcPr>
          <w:p w14:paraId="22E2B38D">
            <w:pPr>
              <w:pStyle w:val="20"/>
              <w:bidi w:val="0"/>
              <w:rPr>
                <w:color w:val="auto"/>
              </w:rPr>
            </w:pPr>
          </w:p>
        </w:tc>
        <w:tc>
          <w:tcPr>
            <w:tcW w:w="747" w:type="pct"/>
            <w:tcBorders>
              <w:tl2br w:val="nil"/>
              <w:tr2bl w:val="nil"/>
            </w:tcBorders>
            <w:vAlign w:val="center"/>
          </w:tcPr>
          <w:p w14:paraId="7E085A03">
            <w:pPr>
              <w:pStyle w:val="20"/>
              <w:bidi w:val="0"/>
              <w:rPr>
                <w:color w:val="auto"/>
              </w:rPr>
            </w:pPr>
            <w:r>
              <w:rPr>
                <w:color w:val="auto"/>
              </w:rPr>
              <w:t>石膏排出系 统</w:t>
            </w:r>
          </w:p>
        </w:tc>
        <w:tc>
          <w:tcPr>
            <w:tcW w:w="2692" w:type="pct"/>
            <w:tcBorders>
              <w:tl2br w:val="nil"/>
              <w:tr2bl w:val="nil"/>
            </w:tcBorders>
            <w:vAlign w:val="center"/>
          </w:tcPr>
          <w:p w14:paraId="1DDBAE10">
            <w:pPr>
              <w:pStyle w:val="20"/>
              <w:bidi w:val="0"/>
              <w:rPr>
                <w:rFonts w:hint="eastAsia"/>
                <w:color w:val="auto"/>
                <w:lang w:eastAsia="zh-CN"/>
              </w:rPr>
            </w:pPr>
            <w:r>
              <w:rPr>
                <w:color w:val="auto"/>
              </w:rPr>
              <w:t>通过管道将石膏浆液从吸收塔输送到石膏旋流器。每个吸收塔设置石膏排出泵</w:t>
            </w:r>
            <w:r>
              <w:rPr>
                <w:rFonts w:hint="eastAsia"/>
                <w:color w:val="auto"/>
              </w:rPr>
              <w:t>2</w:t>
            </w:r>
            <w:r>
              <w:rPr>
                <w:color w:val="auto"/>
              </w:rPr>
              <w:t>台，互为备用。排出泵吸入面安装有滤网，用来拦截固体颗粒物（如石膏中的团块）</w:t>
            </w:r>
            <w:r>
              <w:rPr>
                <w:rFonts w:hint="eastAsia"/>
                <w:color w:val="auto"/>
                <w:lang w:eastAsia="zh-CN"/>
              </w:rPr>
              <w:t>。</w:t>
            </w:r>
          </w:p>
        </w:tc>
        <w:tc>
          <w:tcPr>
            <w:tcW w:w="621" w:type="pct"/>
            <w:vMerge w:val="continue"/>
            <w:tcBorders>
              <w:tl2br w:val="nil"/>
              <w:tr2bl w:val="nil"/>
            </w:tcBorders>
            <w:vAlign w:val="center"/>
          </w:tcPr>
          <w:p w14:paraId="470F4833">
            <w:pPr>
              <w:pStyle w:val="20"/>
              <w:bidi w:val="0"/>
              <w:rPr>
                <w:color w:val="auto"/>
              </w:rPr>
            </w:pPr>
          </w:p>
        </w:tc>
      </w:tr>
      <w:tr w14:paraId="64C055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300" w:type="pct"/>
            <w:vMerge w:val="restart"/>
            <w:tcBorders>
              <w:tl2br w:val="nil"/>
              <w:tr2bl w:val="nil"/>
            </w:tcBorders>
            <w:vAlign w:val="center"/>
          </w:tcPr>
          <w:p w14:paraId="28FCCF48">
            <w:pPr>
              <w:pStyle w:val="20"/>
              <w:bidi w:val="0"/>
              <w:rPr>
                <w:rFonts w:hint="eastAsia" w:eastAsia="宋体"/>
                <w:color w:val="auto"/>
                <w:lang w:val="en-US" w:eastAsia="zh-CN"/>
              </w:rPr>
            </w:pPr>
            <w:r>
              <w:rPr>
                <w:rFonts w:hint="eastAsia"/>
                <w:color w:val="auto"/>
                <w:lang w:val="en-US" w:eastAsia="zh-CN"/>
              </w:rPr>
              <w:t>2</w:t>
            </w:r>
          </w:p>
        </w:tc>
        <w:tc>
          <w:tcPr>
            <w:tcW w:w="279" w:type="pct"/>
            <w:vMerge w:val="restart"/>
            <w:tcBorders>
              <w:tl2br w:val="nil"/>
              <w:tr2bl w:val="nil"/>
            </w:tcBorders>
            <w:textDirection w:val="tbRlV"/>
            <w:vAlign w:val="center"/>
          </w:tcPr>
          <w:p w14:paraId="054FC9F5">
            <w:pPr>
              <w:pStyle w:val="20"/>
              <w:bidi w:val="0"/>
              <w:jc w:val="center"/>
              <w:rPr>
                <w:color w:val="auto"/>
              </w:rPr>
            </w:pPr>
            <w:r>
              <w:rPr>
                <w:color w:val="auto"/>
              </w:rPr>
              <w:t>辅 助 工 程</w:t>
            </w:r>
          </w:p>
        </w:tc>
        <w:tc>
          <w:tcPr>
            <w:tcW w:w="358" w:type="pct"/>
            <w:vMerge w:val="restart"/>
            <w:tcBorders>
              <w:tl2br w:val="nil"/>
              <w:tr2bl w:val="nil"/>
            </w:tcBorders>
            <w:vAlign w:val="center"/>
          </w:tcPr>
          <w:p w14:paraId="300FAECB">
            <w:pPr>
              <w:pStyle w:val="20"/>
              <w:bidi w:val="0"/>
              <w:rPr>
                <w:color w:val="auto"/>
              </w:rPr>
            </w:pPr>
            <w:r>
              <w:rPr>
                <w:color w:val="auto"/>
              </w:rPr>
              <w:t>烟气 系统</w:t>
            </w:r>
          </w:p>
        </w:tc>
        <w:tc>
          <w:tcPr>
            <w:tcW w:w="747" w:type="pct"/>
            <w:tcBorders>
              <w:tl2br w:val="nil"/>
              <w:tr2bl w:val="nil"/>
            </w:tcBorders>
            <w:vAlign w:val="center"/>
          </w:tcPr>
          <w:p w14:paraId="4D216C0F">
            <w:pPr>
              <w:pStyle w:val="20"/>
              <w:bidi w:val="0"/>
              <w:rPr>
                <w:color w:val="auto"/>
              </w:rPr>
            </w:pPr>
            <w:r>
              <w:rPr>
                <w:color w:val="auto"/>
              </w:rPr>
              <w:t>烟道</w:t>
            </w:r>
          </w:p>
        </w:tc>
        <w:tc>
          <w:tcPr>
            <w:tcW w:w="2692" w:type="pct"/>
            <w:tcBorders>
              <w:tl2br w:val="nil"/>
              <w:tr2bl w:val="nil"/>
            </w:tcBorders>
            <w:vAlign w:val="center"/>
          </w:tcPr>
          <w:p w14:paraId="4B8F23D5">
            <w:pPr>
              <w:pStyle w:val="20"/>
              <w:bidi w:val="0"/>
              <w:rPr>
                <w:rFonts w:hint="eastAsia"/>
                <w:color w:val="auto"/>
                <w:lang w:eastAsia="zh-CN"/>
              </w:rPr>
            </w:pPr>
            <w:r>
              <w:rPr>
                <w:color w:val="auto"/>
              </w:rPr>
              <w:t>从窑尾排风机来的原烟气烟道用碳钢制作，吸收塔入 口烟道采用碳钢贴衬耐高温耐腐蚀的材料制作</w:t>
            </w:r>
            <w:r>
              <w:rPr>
                <w:rFonts w:hint="eastAsia"/>
                <w:color w:val="auto"/>
                <w:lang w:eastAsia="zh-CN"/>
              </w:rPr>
              <w:t>。</w:t>
            </w:r>
          </w:p>
        </w:tc>
        <w:tc>
          <w:tcPr>
            <w:tcW w:w="621" w:type="pct"/>
            <w:tcBorders>
              <w:tl2br w:val="nil"/>
              <w:tr2bl w:val="nil"/>
            </w:tcBorders>
            <w:vAlign w:val="center"/>
          </w:tcPr>
          <w:p w14:paraId="5079E843">
            <w:pPr>
              <w:pStyle w:val="20"/>
              <w:bidi w:val="0"/>
              <w:rPr>
                <w:color w:val="auto"/>
              </w:rPr>
            </w:pPr>
            <w:r>
              <w:rPr>
                <w:color w:val="auto"/>
              </w:rPr>
              <w:t>新建</w:t>
            </w:r>
          </w:p>
        </w:tc>
      </w:tr>
      <w:tr w14:paraId="1E692C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300" w:type="pct"/>
            <w:vMerge w:val="continue"/>
            <w:tcBorders>
              <w:tl2br w:val="nil"/>
              <w:tr2bl w:val="nil"/>
            </w:tcBorders>
            <w:vAlign w:val="center"/>
          </w:tcPr>
          <w:p w14:paraId="45BBD6D8">
            <w:pPr>
              <w:pStyle w:val="20"/>
              <w:bidi w:val="0"/>
              <w:rPr>
                <w:color w:val="auto"/>
              </w:rPr>
            </w:pPr>
          </w:p>
        </w:tc>
        <w:tc>
          <w:tcPr>
            <w:tcW w:w="279" w:type="pct"/>
            <w:vMerge w:val="continue"/>
            <w:tcBorders>
              <w:tl2br w:val="nil"/>
              <w:tr2bl w:val="nil"/>
            </w:tcBorders>
            <w:textDirection w:val="tbRlV"/>
            <w:vAlign w:val="center"/>
          </w:tcPr>
          <w:p w14:paraId="20B36530">
            <w:pPr>
              <w:pStyle w:val="20"/>
              <w:bidi w:val="0"/>
              <w:rPr>
                <w:color w:val="auto"/>
              </w:rPr>
            </w:pPr>
          </w:p>
        </w:tc>
        <w:tc>
          <w:tcPr>
            <w:tcW w:w="358" w:type="pct"/>
            <w:vMerge w:val="continue"/>
            <w:tcBorders>
              <w:tl2br w:val="nil"/>
              <w:tr2bl w:val="nil"/>
            </w:tcBorders>
            <w:vAlign w:val="center"/>
          </w:tcPr>
          <w:p w14:paraId="6503E958">
            <w:pPr>
              <w:pStyle w:val="20"/>
              <w:bidi w:val="0"/>
              <w:rPr>
                <w:color w:val="auto"/>
              </w:rPr>
            </w:pPr>
          </w:p>
        </w:tc>
        <w:tc>
          <w:tcPr>
            <w:tcW w:w="747" w:type="pct"/>
            <w:tcBorders>
              <w:tl2br w:val="nil"/>
              <w:tr2bl w:val="nil"/>
            </w:tcBorders>
            <w:vAlign w:val="center"/>
          </w:tcPr>
          <w:p w14:paraId="05E2E941">
            <w:pPr>
              <w:pStyle w:val="20"/>
              <w:bidi w:val="0"/>
              <w:rPr>
                <w:color w:val="auto"/>
              </w:rPr>
            </w:pPr>
            <w:r>
              <w:rPr>
                <w:color w:val="auto"/>
              </w:rPr>
              <w:t>烟气挡板</w:t>
            </w:r>
          </w:p>
        </w:tc>
        <w:tc>
          <w:tcPr>
            <w:tcW w:w="2692" w:type="pct"/>
            <w:tcBorders>
              <w:tl2br w:val="nil"/>
              <w:tr2bl w:val="nil"/>
            </w:tcBorders>
            <w:vAlign w:val="center"/>
          </w:tcPr>
          <w:p w14:paraId="6045D8DD">
            <w:pPr>
              <w:pStyle w:val="20"/>
              <w:bidi w:val="0"/>
              <w:rPr>
                <w:color w:val="auto"/>
              </w:rPr>
            </w:pPr>
            <w:r>
              <w:rPr>
                <w:color w:val="auto"/>
              </w:rPr>
              <w:t>在烟气系统中共设置</w:t>
            </w:r>
            <w:r>
              <w:rPr>
                <w:rFonts w:hint="eastAsia"/>
                <w:color w:val="auto"/>
              </w:rPr>
              <w:t>2</w:t>
            </w:r>
            <w:r>
              <w:rPr>
                <w:color w:val="auto"/>
              </w:rPr>
              <w:t>个带电动执行机构的烟气挡板 门．其中</w:t>
            </w:r>
            <w:r>
              <w:rPr>
                <w:rFonts w:hint="eastAsia"/>
                <w:color w:val="auto"/>
              </w:rPr>
              <w:t>1</w:t>
            </w:r>
            <w:r>
              <w:rPr>
                <w:color w:val="auto"/>
              </w:rPr>
              <w:t>个原烟气挡板，1个旁路挡板。</w:t>
            </w:r>
          </w:p>
        </w:tc>
        <w:tc>
          <w:tcPr>
            <w:tcW w:w="621" w:type="pct"/>
            <w:tcBorders>
              <w:tl2br w:val="nil"/>
              <w:tr2bl w:val="nil"/>
            </w:tcBorders>
            <w:vAlign w:val="center"/>
          </w:tcPr>
          <w:p w14:paraId="5DB8C795">
            <w:pPr>
              <w:pStyle w:val="20"/>
              <w:bidi w:val="0"/>
              <w:rPr>
                <w:color w:val="auto"/>
              </w:rPr>
            </w:pPr>
            <w:r>
              <w:rPr>
                <w:color w:val="auto"/>
              </w:rPr>
              <w:t>新建</w:t>
            </w:r>
          </w:p>
        </w:tc>
      </w:tr>
      <w:tr w14:paraId="73C19F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300" w:type="pct"/>
            <w:vMerge w:val="continue"/>
            <w:tcBorders>
              <w:tl2br w:val="nil"/>
              <w:tr2bl w:val="nil"/>
            </w:tcBorders>
            <w:vAlign w:val="center"/>
          </w:tcPr>
          <w:p w14:paraId="540A0757">
            <w:pPr>
              <w:pStyle w:val="20"/>
              <w:bidi w:val="0"/>
              <w:rPr>
                <w:color w:val="auto"/>
              </w:rPr>
            </w:pPr>
          </w:p>
        </w:tc>
        <w:tc>
          <w:tcPr>
            <w:tcW w:w="279" w:type="pct"/>
            <w:vMerge w:val="continue"/>
            <w:tcBorders>
              <w:tl2br w:val="nil"/>
              <w:tr2bl w:val="nil"/>
            </w:tcBorders>
            <w:textDirection w:val="tbRlV"/>
            <w:vAlign w:val="center"/>
          </w:tcPr>
          <w:p w14:paraId="356EA570">
            <w:pPr>
              <w:pStyle w:val="20"/>
              <w:bidi w:val="0"/>
              <w:rPr>
                <w:color w:val="auto"/>
              </w:rPr>
            </w:pPr>
          </w:p>
        </w:tc>
        <w:tc>
          <w:tcPr>
            <w:tcW w:w="358" w:type="pct"/>
            <w:vMerge w:val="continue"/>
            <w:tcBorders>
              <w:tl2br w:val="nil"/>
              <w:tr2bl w:val="nil"/>
            </w:tcBorders>
            <w:vAlign w:val="center"/>
          </w:tcPr>
          <w:p w14:paraId="5019E481">
            <w:pPr>
              <w:pStyle w:val="20"/>
              <w:bidi w:val="0"/>
              <w:rPr>
                <w:color w:val="auto"/>
              </w:rPr>
            </w:pPr>
          </w:p>
        </w:tc>
        <w:tc>
          <w:tcPr>
            <w:tcW w:w="747" w:type="pct"/>
            <w:tcBorders>
              <w:tl2br w:val="nil"/>
              <w:tr2bl w:val="nil"/>
            </w:tcBorders>
            <w:vAlign w:val="center"/>
          </w:tcPr>
          <w:p w14:paraId="33D1EBB7">
            <w:pPr>
              <w:pStyle w:val="20"/>
              <w:bidi w:val="0"/>
              <w:rPr>
                <w:color w:val="auto"/>
              </w:rPr>
            </w:pPr>
            <w:r>
              <w:rPr>
                <w:color w:val="auto"/>
              </w:rPr>
              <w:t>膨胀节</w:t>
            </w:r>
          </w:p>
        </w:tc>
        <w:tc>
          <w:tcPr>
            <w:tcW w:w="2692" w:type="pct"/>
            <w:tcBorders>
              <w:tl2br w:val="nil"/>
              <w:tr2bl w:val="nil"/>
            </w:tcBorders>
            <w:vAlign w:val="center"/>
          </w:tcPr>
          <w:p w14:paraId="2FB9717A">
            <w:pPr>
              <w:pStyle w:val="20"/>
              <w:bidi w:val="0"/>
              <w:rPr>
                <w:rFonts w:hint="eastAsia"/>
                <w:color w:val="auto"/>
                <w:lang w:eastAsia="zh-CN"/>
              </w:rPr>
            </w:pPr>
            <w:r>
              <w:rPr>
                <w:color w:val="auto"/>
              </w:rPr>
              <w:t>在烟气挡板前、风机前后、脱硫塔出入口设置膨胀节， 用于补偿烟道热膨胀引起的位移</w:t>
            </w:r>
            <w:r>
              <w:rPr>
                <w:rFonts w:hint="eastAsia"/>
                <w:color w:val="auto"/>
                <w:lang w:eastAsia="zh-CN"/>
              </w:rPr>
              <w:t>。</w:t>
            </w:r>
          </w:p>
        </w:tc>
        <w:tc>
          <w:tcPr>
            <w:tcW w:w="621" w:type="pct"/>
            <w:tcBorders>
              <w:tl2br w:val="nil"/>
              <w:tr2bl w:val="nil"/>
            </w:tcBorders>
            <w:vAlign w:val="center"/>
          </w:tcPr>
          <w:p w14:paraId="231921B4">
            <w:pPr>
              <w:pStyle w:val="20"/>
              <w:bidi w:val="0"/>
              <w:rPr>
                <w:color w:val="auto"/>
              </w:rPr>
            </w:pPr>
            <w:r>
              <w:rPr>
                <w:color w:val="auto"/>
              </w:rPr>
              <w:t>新建</w:t>
            </w:r>
          </w:p>
        </w:tc>
      </w:tr>
      <w:tr w14:paraId="7FC19A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300" w:type="pct"/>
            <w:vMerge w:val="continue"/>
            <w:tcBorders>
              <w:tl2br w:val="nil"/>
              <w:tr2bl w:val="nil"/>
            </w:tcBorders>
            <w:vAlign w:val="center"/>
          </w:tcPr>
          <w:p w14:paraId="5C646742">
            <w:pPr>
              <w:pStyle w:val="20"/>
              <w:bidi w:val="0"/>
              <w:rPr>
                <w:color w:val="auto"/>
              </w:rPr>
            </w:pPr>
          </w:p>
        </w:tc>
        <w:tc>
          <w:tcPr>
            <w:tcW w:w="279" w:type="pct"/>
            <w:vMerge w:val="continue"/>
            <w:tcBorders>
              <w:tl2br w:val="nil"/>
              <w:tr2bl w:val="nil"/>
            </w:tcBorders>
            <w:textDirection w:val="tbRlV"/>
            <w:vAlign w:val="center"/>
          </w:tcPr>
          <w:p w14:paraId="6E12A334">
            <w:pPr>
              <w:pStyle w:val="20"/>
              <w:bidi w:val="0"/>
              <w:rPr>
                <w:color w:val="auto"/>
              </w:rPr>
            </w:pPr>
          </w:p>
        </w:tc>
        <w:tc>
          <w:tcPr>
            <w:tcW w:w="358" w:type="pct"/>
            <w:vMerge w:val="continue"/>
            <w:tcBorders>
              <w:tl2br w:val="nil"/>
              <w:tr2bl w:val="nil"/>
            </w:tcBorders>
            <w:vAlign w:val="center"/>
          </w:tcPr>
          <w:p w14:paraId="53C2B3BC">
            <w:pPr>
              <w:pStyle w:val="20"/>
              <w:bidi w:val="0"/>
              <w:rPr>
                <w:color w:val="auto"/>
              </w:rPr>
            </w:pPr>
          </w:p>
        </w:tc>
        <w:tc>
          <w:tcPr>
            <w:tcW w:w="747" w:type="pct"/>
            <w:tcBorders>
              <w:tl2br w:val="nil"/>
              <w:tr2bl w:val="nil"/>
            </w:tcBorders>
            <w:vAlign w:val="center"/>
          </w:tcPr>
          <w:p w14:paraId="054BD825">
            <w:pPr>
              <w:pStyle w:val="20"/>
              <w:bidi w:val="0"/>
              <w:rPr>
                <w:color w:val="auto"/>
              </w:rPr>
            </w:pPr>
            <w:r>
              <w:rPr>
                <w:color w:val="auto"/>
              </w:rPr>
              <w:t>出烟管及烟 囱防腐</w:t>
            </w:r>
          </w:p>
        </w:tc>
        <w:tc>
          <w:tcPr>
            <w:tcW w:w="2692" w:type="pct"/>
            <w:tcBorders>
              <w:tl2br w:val="nil"/>
              <w:tr2bl w:val="nil"/>
            </w:tcBorders>
            <w:vAlign w:val="center"/>
          </w:tcPr>
          <w:p w14:paraId="26A4D06A">
            <w:pPr>
              <w:pStyle w:val="20"/>
              <w:bidi w:val="0"/>
              <w:rPr>
                <w:rFonts w:hint="eastAsia"/>
                <w:color w:val="auto"/>
                <w:lang w:eastAsia="zh-CN"/>
              </w:rPr>
            </w:pPr>
            <w:r>
              <w:rPr>
                <w:color w:val="auto"/>
              </w:rPr>
              <w:t>烟管采用极耐腐蚀的玻璃</w:t>
            </w:r>
            <w:r>
              <w:rPr>
                <w:rFonts w:hint="eastAsia"/>
                <w:color w:val="auto"/>
                <w:lang w:eastAsia="zh-CN"/>
              </w:rPr>
              <w:t>鳞片</w:t>
            </w:r>
            <w:r>
              <w:rPr>
                <w:color w:val="auto"/>
              </w:rPr>
              <w:t>做防腐处理</w:t>
            </w:r>
            <w:r>
              <w:rPr>
                <w:rFonts w:hint="eastAsia"/>
                <w:color w:val="auto"/>
              </w:rPr>
              <w:t>，</w:t>
            </w:r>
            <w:r>
              <w:rPr>
                <w:color w:val="auto"/>
              </w:rPr>
              <w:t>烟囱采用</w:t>
            </w:r>
            <w:r>
              <w:rPr>
                <w:rFonts w:hint="eastAsia"/>
                <w:color w:val="auto"/>
              </w:rPr>
              <w:t>玻化砖</w:t>
            </w:r>
            <w:r>
              <w:rPr>
                <w:color w:val="auto"/>
              </w:rPr>
              <w:t>做防腐处理</w:t>
            </w:r>
            <w:r>
              <w:rPr>
                <w:rFonts w:hint="eastAsia"/>
                <w:color w:val="auto"/>
                <w:lang w:eastAsia="zh-CN"/>
              </w:rPr>
              <w:t>。</w:t>
            </w:r>
          </w:p>
        </w:tc>
        <w:tc>
          <w:tcPr>
            <w:tcW w:w="621" w:type="pct"/>
            <w:tcBorders>
              <w:tl2br w:val="nil"/>
              <w:tr2bl w:val="nil"/>
            </w:tcBorders>
            <w:vAlign w:val="center"/>
          </w:tcPr>
          <w:p w14:paraId="361B382A">
            <w:pPr>
              <w:pStyle w:val="20"/>
              <w:bidi w:val="0"/>
              <w:rPr>
                <w:color w:val="auto"/>
              </w:rPr>
            </w:pPr>
            <w:r>
              <w:rPr>
                <w:color w:val="auto"/>
              </w:rPr>
              <w:t>新建</w:t>
            </w:r>
          </w:p>
        </w:tc>
      </w:tr>
      <w:tr w14:paraId="155D52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87" w:hRule="atLeast"/>
          <w:jc w:val="center"/>
        </w:trPr>
        <w:tc>
          <w:tcPr>
            <w:tcW w:w="300" w:type="pct"/>
            <w:vMerge w:val="continue"/>
            <w:tcBorders>
              <w:tl2br w:val="nil"/>
              <w:tr2bl w:val="nil"/>
            </w:tcBorders>
            <w:vAlign w:val="center"/>
          </w:tcPr>
          <w:p w14:paraId="01382040">
            <w:pPr>
              <w:pStyle w:val="20"/>
              <w:bidi w:val="0"/>
              <w:rPr>
                <w:color w:val="auto"/>
              </w:rPr>
            </w:pPr>
          </w:p>
        </w:tc>
        <w:tc>
          <w:tcPr>
            <w:tcW w:w="279" w:type="pct"/>
            <w:vMerge w:val="continue"/>
            <w:tcBorders>
              <w:tl2br w:val="nil"/>
              <w:tr2bl w:val="nil"/>
            </w:tcBorders>
            <w:textDirection w:val="tbRlV"/>
            <w:vAlign w:val="center"/>
          </w:tcPr>
          <w:p w14:paraId="43DA918E">
            <w:pPr>
              <w:pStyle w:val="20"/>
              <w:bidi w:val="0"/>
              <w:rPr>
                <w:color w:val="auto"/>
              </w:rPr>
            </w:pPr>
          </w:p>
        </w:tc>
        <w:tc>
          <w:tcPr>
            <w:tcW w:w="1106" w:type="pct"/>
            <w:gridSpan w:val="2"/>
            <w:tcBorders>
              <w:tl2br w:val="nil"/>
              <w:tr2bl w:val="nil"/>
            </w:tcBorders>
            <w:vAlign w:val="center"/>
          </w:tcPr>
          <w:p w14:paraId="43A863FC">
            <w:pPr>
              <w:pStyle w:val="20"/>
              <w:bidi w:val="0"/>
              <w:rPr>
                <w:color w:val="auto"/>
              </w:rPr>
            </w:pPr>
            <w:r>
              <w:rPr>
                <w:color w:val="auto"/>
              </w:rPr>
              <w:t>石灰石粉输送、储存 及石灰石浆液制备系统</w:t>
            </w:r>
          </w:p>
        </w:tc>
        <w:tc>
          <w:tcPr>
            <w:tcW w:w="2692" w:type="pct"/>
            <w:tcBorders>
              <w:tl2br w:val="nil"/>
              <w:tr2bl w:val="nil"/>
            </w:tcBorders>
            <w:vAlign w:val="center"/>
          </w:tcPr>
          <w:p w14:paraId="763EB7C4">
            <w:pPr>
              <w:pStyle w:val="20"/>
              <w:bidi w:val="0"/>
              <w:rPr>
                <w:color w:val="auto"/>
              </w:rPr>
            </w:pPr>
            <w:r>
              <w:rPr>
                <w:color w:val="auto"/>
              </w:rPr>
              <w:t>石灰石浆液制备系统，包括石灰石粉仓、给料机、石灰石供浆系统、管道系统等。5#、6#生产线</w:t>
            </w:r>
            <w:r>
              <w:rPr>
                <w:rFonts w:hint="eastAsia"/>
                <w:color w:val="auto"/>
              </w:rPr>
              <w:t>各有</w:t>
            </w:r>
            <w:r>
              <w:rPr>
                <w:color w:val="auto"/>
              </w:rPr>
              <w:t>一套石灰石浆液制备系统</w:t>
            </w:r>
            <w:r>
              <w:rPr>
                <w:rFonts w:hint="eastAsia"/>
                <w:color w:val="auto"/>
              </w:rPr>
              <w:t>。</w:t>
            </w:r>
          </w:p>
        </w:tc>
        <w:tc>
          <w:tcPr>
            <w:tcW w:w="621" w:type="pct"/>
            <w:tcBorders>
              <w:tl2br w:val="nil"/>
              <w:tr2bl w:val="nil"/>
            </w:tcBorders>
            <w:vAlign w:val="center"/>
          </w:tcPr>
          <w:p w14:paraId="020398E4">
            <w:pPr>
              <w:pStyle w:val="20"/>
              <w:bidi w:val="0"/>
              <w:rPr>
                <w:color w:val="auto"/>
              </w:rPr>
            </w:pPr>
            <w:r>
              <w:rPr>
                <w:color w:val="auto"/>
              </w:rPr>
              <w:t>新建</w:t>
            </w:r>
          </w:p>
        </w:tc>
      </w:tr>
      <w:tr w14:paraId="325D59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300" w:type="pct"/>
            <w:vMerge w:val="continue"/>
            <w:tcBorders>
              <w:tl2br w:val="nil"/>
              <w:tr2bl w:val="nil"/>
            </w:tcBorders>
            <w:vAlign w:val="center"/>
          </w:tcPr>
          <w:p w14:paraId="1AD3BA25">
            <w:pPr>
              <w:pStyle w:val="20"/>
              <w:bidi w:val="0"/>
              <w:rPr>
                <w:color w:val="auto"/>
              </w:rPr>
            </w:pPr>
          </w:p>
        </w:tc>
        <w:tc>
          <w:tcPr>
            <w:tcW w:w="279" w:type="pct"/>
            <w:vMerge w:val="continue"/>
            <w:tcBorders>
              <w:tl2br w:val="nil"/>
              <w:tr2bl w:val="nil"/>
            </w:tcBorders>
            <w:textDirection w:val="tbRlV"/>
            <w:vAlign w:val="center"/>
          </w:tcPr>
          <w:p w14:paraId="7F6E3D6E">
            <w:pPr>
              <w:pStyle w:val="20"/>
              <w:bidi w:val="0"/>
              <w:rPr>
                <w:color w:val="auto"/>
              </w:rPr>
            </w:pPr>
          </w:p>
        </w:tc>
        <w:tc>
          <w:tcPr>
            <w:tcW w:w="1106" w:type="pct"/>
            <w:gridSpan w:val="2"/>
            <w:tcBorders>
              <w:tl2br w:val="nil"/>
              <w:tr2bl w:val="nil"/>
            </w:tcBorders>
            <w:vAlign w:val="center"/>
          </w:tcPr>
          <w:p w14:paraId="1DC57F8F">
            <w:pPr>
              <w:pStyle w:val="20"/>
              <w:bidi w:val="0"/>
              <w:rPr>
                <w:color w:val="auto"/>
              </w:rPr>
            </w:pPr>
            <w:r>
              <w:rPr>
                <w:color w:val="auto"/>
              </w:rPr>
              <w:t>石膏脱水系统</w:t>
            </w:r>
          </w:p>
        </w:tc>
        <w:tc>
          <w:tcPr>
            <w:tcW w:w="2692" w:type="pct"/>
            <w:tcBorders>
              <w:tl2br w:val="nil"/>
              <w:tr2bl w:val="nil"/>
            </w:tcBorders>
            <w:vAlign w:val="center"/>
          </w:tcPr>
          <w:p w14:paraId="1F4B6B17">
            <w:pPr>
              <w:pStyle w:val="20"/>
              <w:bidi w:val="0"/>
              <w:rPr>
                <w:rFonts w:hint="eastAsia"/>
                <w:color w:val="auto"/>
                <w:lang w:eastAsia="zh-CN"/>
              </w:rPr>
            </w:pPr>
            <w:r>
              <w:rPr>
                <w:rFonts w:hint="eastAsia"/>
                <w:color w:val="auto"/>
              </w:rPr>
              <w:t>1</w:t>
            </w:r>
            <w:r>
              <w:rPr>
                <w:color w:val="auto"/>
              </w:rPr>
              <w:t>级FGD石膏脱水系统（石膏水力旋流器），2级FGD 石膏脱水系统（真空皮带机）</w:t>
            </w:r>
            <w:r>
              <w:rPr>
                <w:rFonts w:hint="eastAsia"/>
                <w:color w:val="auto"/>
                <w:lang w:eastAsia="zh-CN"/>
              </w:rPr>
              <w:t>。</w:t>
            </w:r>
          </w:p>
        </w:tc>
        <w:tc>
          <w:tcPr>
            <w:tcW w:w="621" w:type="pct"/>
            <w:tcBorders>
              <w:tl2br w:val="nil"/>
              <w:tr2bl w:val="nil"/>
            </w:tcBorders>
            <w:vAlign w:val="center"/>
          </w:tcPr>
          <w:p w14:paraId="506D33DD">
            <w:pPr>
              <w:pStyle w:val="20"/>
              <w:bidi w:val="0"/>
              <w:rPr>
                <w:color w:val="auto"/>
              </w:rPr>
            </w:pPr>
            <w:r>
              <w:rPr>
                <w:color w:val="auto"/>
              </w:rPr>
              <w:t>新建</w:t>
            </w:r>
          </w:p>
        </w:tc>
      </w:tr>
      <w:tr w14:paraId="37D2C1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42" w:hRule="atLeast"/>
          <w:jc w:val="center"/>
        </w:trPr>
        <w:tc>
          <w:tcPr>
            <w:tcW w:w="300" w:type="pct"/>
            <w:vMerge w:val="continue"/>
            <w:tcBorders>
              <w:tl2br w:val="nil"/>
              <w:tr2bl w:val="nil"/>
            </w:tcBorders>
            <w:vAlign w:val="center"/>
          </w:tcPr>
          <w:p w14:paraId="116653A6">
            <w:pPr>
              <w:pStyle w:val="20"/>
              <w:bidi w:val="0"/>
              <w:rPr>
                <w:color w:val="auto"/>
              </w:rPr>
            </w:pPr>
          </w:p>
        </w:tc>
        <w:tc>
          <w:tcPr>
            <w:tcW w:w="279" w:type="pct"/>
            <w:vMerge w:val="continue"/>
            <w:tcBorders>
              <w:tl2br w:val="nil"/>
              <w:tr2bl w:val="nil"/>
            </w:tcBorders>
            <w:textDirection w:val="tbRlV"/>
            <w:vAlign w:val="center"/>
          </w:tcPr>
          <w:p w14:paraId="3438144A">
            <w:pPr>
              <w:pStyle w:val="20"/>
              <w:bidi w:val="0"/>
              <w:rPr>
                <w:color w:val="auto"/>
              </w:rPr>
            </w:pPr>
          </w:p>
        </w:tc>
        <w:tc>
          <w:tcPr>
            <w:tcW w:w="1106" w:type="pct"/>
            <w:gridSpan w:val="2"/>
            <w:tcBorders>
              <w:tl2br w:val="nil"/>
              <w:tr2bl w:val="nil"/>
            </w:tcBorders>
            <w:vAlign w:val="center"/>
          </w:tcPr>
          <w:p w14:paraId="0317CFE4">
            <w:pPr>
              <w:pStyle w:val="20"/>
              <w:bidi w:val="0"/>
              <w:rPr>
                <w:color w:val="auto"/>
              </w:rPr>
            </w:pPr>
            <w:r>
              <w:rPr>
                <w:color w:val="auto"/>
              </w:rPr>
              <w:t>浆液排空系统</w:t>
            </w:r>
          </w:p>
        </w:tc>
        <w:tc>
          <w:tcPr>
            <w:tcW w:w="2692" w:type="pct"/>
            <w:tcBorders>
              <w:tl2br w:val="nil"/>
              <w:tr2bl w:val="nil"/>
            </w:tcBorders>
            <w:vAlign w:val="center"/>
          </w:tcPr>
          <w:p w14:paraId="00C20608">
            <w:pPr>
              <w:pStyle w:val="20"/>
              <w:bidi w:val="0"/>
              <w:rPr>
                <w:color w:val="auto"/>
              </w:rPr>
            </w:pPr>
            <w:r>
              <w:rPr>
                <w:color w:val="auto"/>
              </w:rPr>
              <w:t>排放系统配备事故浆液箱、事故浆液返回泵和排水坑，脱硫系统所有废水经排水坑收集后，定期返回吸收塔/石灰石浆液箱中循环使用，不外排。</w:t>
            </w:r>
          </w:p>
        </w:tc>
        <w:tc>
          <w:tcPr>
            <w:tcW w:w="621" w:type="pct"/>
            <w:tcBorders>
              <w:tl2br w:val="nil"/>
              <w:tr2bl w:val="nil"/>
            </w:tcBorders>
            <w:vAlign w:val="center"/>
          </w:tcPr>
          <w:p w14:paraId="7527E7DA">
            <w:pPr>
              <w:pStyle w:val="20"/>
              <w:bidi w:val="0"/>
              <w:rPr>
                <w:color w:val="auto"/>
              </w:rPr>
            </w:pPr>
          </w:p>
          <w:p w14:paraId="61CB549F">
            <w:pPr>
              <w:pStyle w:val="20"/>
              <w:bidi w:val="0"/>
              <w:rPr>
                <w:color w:val="auto"/>
              </w:rPr>
            </w:pPr>
            <w:r>
              <w:rPr>
                <w:color w:val="auto"/>
              </w:rPr>
              <w:t>新建</w:t>
            </w:r>
          </w:p>
        </w:tc>
      </w:tr>
      <w:tr w14:paraId="5F8A1B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83" w:hRule="atLeast"/>
          <w:jc w:val="center"/>
        </w:trPr>
        <w:tc>
          <w:tcPr>
            <w:tcW w:w="300" w:type="pct"/>
            <w:vMerge w:val="restart"/>
            <w:tcBorders>
              <w:tl2br w:val="nil"/>
              <w:tr2bl w:val="nil"/>
            </w:tcBorders>
            <w:vAlign w:val="center"/>
          </w:tcPr>
          <w:p w14:paraId="38063906">
            <w:pPr>
              <w:pStyle w:val="20"/>
              <w:bidi w:val="0"/>
              <w:rPr>
                <w:rFonts w:hint="eastAsia" w:eastAsia="宋体"/>
                <w:color w:val="auto"/>
                <w:lang w:eastAsia="zh-CN"/>
              </w:rPr>
            </w:pPr>
            <w:r>
              <w:rPr>
                <w:rFonts w:hint="eastAsia"/>
                <w:color w:val="auto"/>
                <w:lang w:val="en-US" w:eastAsia="zh-CN"/>
              </w:rPr>
              <w:t>3</w:t>
            </w:r>
          </w:p>
        </w:tc>
        <w:tc>
          <w:tcPr>
            <w:tcW w:w="279" w:type="pct"/>
            <w:vMerge w:val="restart"/>
            <w:tcBorders>
              <w:tl2br w:val="nil"/>
              <w:tr2bl w:val="nil"/>
            </w:tcBorders>
            <w:textDirection w:val="tbRlV"/>
            <w:vAlign w:val="center"/>
          </w:tcPr>
          <w:p w14:paraId="57C8EA39">
            <w:pPr>
              <w:pStyle w:val="20"/>
              <w:bidi w:val="0"/>
              <w:rPr>
                <w:color w:val="auto"/>
              </w:rPr>
            </w:pPr>
            <w:r>
              <w:rPr>
                <w:color w:val="auto"/>
              </w:rPr>
              <w:t>公 用 工 程</w:t>
            </w:r>
          </w:p>
        </w:tc>
        <w:tc>
          <w:tcPr>
            <w:tcW w:w="1106" w:type="pct"/>
            <w:gridSpan w:val="2"/>
            <w:tcBorders>
              <w:tl2br w:val="nil"/>
              <w:tr2bl w:val="nil"/>
            </w:tcBorders>
            <w:vAlign w:val="center"/>
          </w:tcPr>
          <w:p w14:paraId="6EBE90E7">
            <w:pPr>
              <w:pStyle w:val="20"/>
              <w:bidi w:val="0"/>
              <w:rPr>
                <w:color w:val="auto"/>
              </w:rPr>
            </w:pPr>
            <w:r>
              <w:rPr>
                <w:color w:val="auto"/>
              </w:rPr>
              <w:t>供电</w:t>
            </w:r>
          </w:p>
        </w:tc>
        <w:tc>
          <w:tcPr>
            <w:tcW w:w="2692" w:type="pct"/>
            <w:tcBorders>
              <w:tl2br w:val="nil"/>
              <w:tr2bl w:val="nil"/>
            </w:tcBorders>
            <w:vAlign w:val="center"/>
          </w:tcPr>
          <w:p w14:paraId="7B5D76C6">
            <w:pPr>
              <w:pStyle w:val="20"/>
              <w:bidi w:val="0"/>
              <w:rPr>
                <w:rFonts w:hint="eastAsia"/>
                <w:color w:val="auto"/>
                <w:lang w:eastAsia="zh-CN"/>
              </w:rPr>
            </w:pPr>
            <w:r>
              <w:rPr>
                <w:color w:val="auto"/>
              </w:rPr>
              <w:t>脱硫装置单设</w:t>
            </w:r>
            <w:r>
              <w:rPr>
                <w:rFonts w:hint="eastAsia"/>
                <w:color w:val="auto"/>
              </w:rPr>
              <w:t>6</w:t>
            </w:r>
            <w:r>
              <w:rPr>
                <w:color w:val="auto"/>
              </w:rPr>
              <w:t>kV/380V脱硫变压器，脱硫区设高压开关柜，利用现有供电系统</w:t>
            </w:r>
            <w:r>
              <w:rPr>
                <w:rFonts w:hint="eastAsia"/>
                <w:color w:val="auto"/>
                <w:lang w:eastAsia="zh-CN"/>
              </w:rPr>
              <w:t>。</w:t>
            </w:r>
          </w:p>
        </w:tc>
        <w:tc>
          <w:tcPr>
            <w:tcW w:w="621" w:type="pct"/>
            <w:tcBorders>
              <w:tl2br w:val="nil"/>
              <w:tr2bl w:val="nil"/>
            </w:tcBorders>
            <w:vAlign w:val="center"/>
          </w:tcPr>
          <w:p w14:paraId="05D46A9B">
            <w:pPr>
              <w:pStyle w:val="20"/>
              <w:bidi w:val="0"/>
              <w:rPr>
                <w:color w:val="auto"/>
              </w:rPr>
            </w:pPr>
            <w:r>
              <w:rPr>
                <w:color w:val="auto"/>
              </w:rPr>
              <w:t>新增</w:t>
            </w:r>
          </w:p>
        </w:tc>
      </w:tr>
      <w:tr w14:paraId="1F3620B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300" w:type="pct"/>
            <w:vMerge w:val="continue"/>
            <w:tcBorders>
              <w:tl2br w:val="nil"/>
              <w:tr2bl w:val="nil"/>
            </w:tcBorders>
            <w:vAlign w:val="center"/>
          </w:tcPr>
          <w:p w14:paraId="78B7A367">
            <w:pPr>
              <w:pStyle w:val="20"/>
              <w:bidi w:val="0"/>
              <w:rPr>
                <w:color w:val="auto"/>
              </w:rPr>
            </w:pPr>
          </w:p>
        </w:tc>
        <w:tc>
          <w:tcPr>
            <w:tcW w:w="279" w:type="pct"/>
            <w:vMerge w:val="continue"/>
            <w:tcBorders>
              <w:tl2br w:val="nil"/>
              <w:tr2bl w:val="nil"/>
            </w:tcBorders>
            <w:textDirection w:val="tbRlV"/>
            <w:vAlign w:val="center"/>
          </w:tcPr>
          <w:p w14:paraId="6E5000E4">
            <w:pPr>
              <w:pStyle w:val="20"/>
              <w:bidi w:val="0"/>
              <w:rPr>
                <w:color w:val="auto"/>
              </w:rPr>
            </w:pPr>
          </w:p>
        </w:tc>
        <w:tc>
          <w:tcPr>
            <w:tcW w:w="1106" w:type="pct"/>
            <w:gridSpan w:val="2"/>
            <w:tcBorders>
              <w:tl2br w:val="nil"/>
              <w:tr2bl w:val="nil"/>
            </w:tcBorders>
            <w:vAlign w:val="center"/>
          </w:tcPr>
          <w:p w14:paraId="230FD3C2">
            <w:pPr>
              <w:pStyle w:val="20"/>
              <w:bidi w:val="0"/>
              <w:rPr>
                <w:color w:val="auto"/>
              </w:rPr>
            </w:pPr>
            <w:r>
              <w:rPr>
                <w:color w:val="auto"/>
              </w:rPr>
              <w:t>给、排水</w:t>
            </w:r>
          </w:p>
        </w:tc>
        <w:tc>
          <w:tcPr>
            <w:tcW w:w="2692" w:type="pct"/>
            <w:tcBorders>
              <w:tl2br w:val="nil"/>
              <w:tr2bl w:val="nil"/>
            </w:tcBorders>
            <w:vAlign w:val="center"/>
          </w:tcPr>
          <w:p w14:paraId="52FC13C6">
            <w:pPr>
              <w:pStyle w:val="20"/>
              <w:bidi w:val="0"/>
              <w:rPr>
                <w:rFonts w:hint="eastAsia" w:eastAsia="宋体"/>
                <w:color w:val="auto"/>
                <w:lang w:eastAsia="zh-CN"/>
              </w:rPr>
            </w:pPr>
            <w:r>
              <w:rPr>
                <w:rFonts w:hint="eastAsia"/>
                <w:color w:val="auto"/>
              </w:rPr>
              <w:t>新增相应管线</w:t>
            </w:r>
            <w:r>
              <w:rPr>
                <w:rFonts w:hint="eastAsia"/>
                <w:color w:val="auto"/>
                <w:lang w:eastAsia="zh-CN"/>
              </w:rPr>
              <w:t>。</w:t>
            </w:r>
          </w:p>
        </w:tc>
        <w:tc>
          <w:tcPr>
            <w:tcW w:w="621" w:type="pct"/>
            <w:tcBorders>
              <w:tl2br w:val="nil"/>
              <w:tr2bl w:val="nil"/>
            </w:tcBorders>
            <w:vAlign w:val="center"/>
          </w:tcPr>
          <w:p w14:paraId="0B607798">
            <w:pPr>
              <w:pStyle w:val="20"/>
              <w:bidi w:val="0"/>
              <w:rPr>
                <w:rFonts w:hint="eastAsia" w:eastAsia="宋体"/>
                <w:color w:val="auto"/>
                <w:lang w:eastAsia="zh-CN"/>
              </w:rPr>
            </w:pPr>
            <w:r>
              <w:rPr>
                <w:rFonts w:hint="eastAsia"/>
                <w:color w:val="auto"/>
                <w:lang w:val="en-US" w:eastAsia="zh-CN"/>
              </w:rPr>
              <w:t>依托原有</w:t>
            </w:r>
          </w:p>
        </w:tc>
      </w:tr>
      <w:tr w14:paraId="5AB991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300" w:type="pct"/>
            <w:vMerge w:val="continue"/>
            <w:tcBorders>
              <w:tl2br w:val="nil"/>
              <w:tr2bl w:val="nil"/>
            </w:tcBorders>
            <w:vAlign w:val="center"/>
          </w:tcPr>
          <w:p w14:paraId="7B3DDFD8">
            <w:pPr>
              <w:pStyle w:val="20"/>
              <w:bidi w:val="0"/>
              <w:rPr>
                <w:color w:val="auto"/>
              </w:rPr>
            </w:pPr>
          </w:p>
        </w:tc>
        <w:tc>
          <w:tcPr>
            <w:tcW w:w="279" w:type="pct"/>
            <w:vMerge w:val="continue"/>
            <w:tcBorders>
              <w:tl2br w:val="nil"/>
              <w:tr2bl w:val="nil"/>
            </w:tcBorders>
            <w:textDirection w:val="tbRlV"/>
            <w:vAlign w:val="center"/>
          </w:tcPr>
          <w:p w14:paraId="5C497745">
            <w:pPr>
              <w:pStyle w:val="20"/>
              <w:bidi w:val="0"/>
              <w:rPr>
                <w:color w:val="auto"/>
              </w:rPr>
            </w:pPr>
          </w:p>
        </w:tc>
        <w:tc>
          <w:tcPr>
            <w:tcW w:w="1106" w:type="pct"/>
            <w:gridSpan w:val="2"/>
            <w:tcBorders>
              <w:tl2br w:val="nil"/>
              <w:tr2bl w:val="nil"/>
            </w:tcBorders>
            <w:vAlign w:val="center"/>
          </w:tcPr>
          <w:p w14:paraId="6C73DBF8">
            <w:pPr>
              <w:pStyle w:val="20"/>
              <w:bidi w:val="0"/>
              <w:rPr>
                <w:color w:val="auto"/>
              </w:rPr>
            </w:pPr>
            <w:r>
              <w:rPr>
                <w:color w:val="auto"/>
              </w:rPr>
              <w:t>压缩空气</w:t>
            </w:r>
          </w:p>
        </w:tc>
        <w:tc>
          <w:tcPr>
            <w:tcW w:w="2692" w:type="pct"/>
            <w:tcBorders>
              <w:tl2br w:val="nil"/>
              <w:tr2bl w:val="nil"/>
            </w:tcBorders>
            <w:vAlign w:val="center"/>
          </w:tcPr>
          <w:p w14:paraId="3D23C987">
            <w:pPr>
              <w:pStyle w:val="20"/>
              <w:bidi w:val="0"/>
              <w:rPr>
                <w:rFonts w:hint="eastAsia" w:eastAsia="宋体"/>
                <w:color w:val="auto"/>
                <w:lang w:eastAsia="zh-CN"/>
              </w:rPr>
            </w:pPr>
            <w:r>
              <w:rPr>
                <w:color w:val="auto"/>
              </w:rPr>
              <w:t>新增用气管路</w:t>
            </w:r>
            <w:r>
              <w:rPr>
                <w:rFonts w:hint="eastAsia"/>
                <w:color w:val="auto"/>
                <w:lang w:eastAsia="zh-CN"/>
              </w:rPr>
              <w:t>。</w:t>
            </w:r>
          </w:p>
        </w:tc>
        <w:tc>
          <w:tcPr>
            <w:tcW w:w="621" w:type="pct"/>
            <w:tcBorders>
              <w:tl2br w:val="nil"/>
              <w:tr2bl w:val="nil"/>
            </w:tcBorders>
            <w:vAlign w:val="center"/>
          </w:tcPr>
          <w:p w14:paraId="0DA2F00F">
            <w:pPr>
              <w:pStyle w:val="20"/>
              <w:bidi w:val="0"/>
              <w:rPr>
                <w:rFonts w:hint="eastAsia" w:eastAsia="宋体"/>
                <w:color w:val="auto"/>
                <w:lang w:val="en-US" w:eastAsia="zh-CN"/>
              </w:rPr>
            </w:pPr>
            <w:r>
              <w:rPr>
                <w:rFonts w:hint="eastAsia"/>
                <w:color w:val="auto"/>
                <w:lang w:val="en-US" w:eastAsia="zh-CN"/>
              </w:rPr>
              <w:t>依托原有</w:t>
            </w:r>
          </w:p>
        </w:tc>
      </w:tr>
    </w:tbl>
    <w:p w14:paraId="2127A2F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eastAsia="zh-CN"/>
        </w:rPr>
      </w:pPr>
    </w:p>
    <w:p w14:paraId="2C205377">
      <w:pPr>
        <w:pStyle w:val="3"/>
        <w:bidi w:val="0"/>
        <w:rPr>
          <w:rFonts w:hint="eastAsia" w:ascii="Times New Roman" w:hAnsi="Times New Roman"/>
          <w:color w:val="auto"/>
          <w:lang w:val="en-US" w:eastAsia="zh-CN"/>
        </w:rPr>
      </w:pPr>
      <w:bookmarkStart w:id="22" w:name="_Toc20949"/>
      <w:r>
        <w:rPr>
          <w:rFonts w:ascii="Times New Roman" w:hAnsi="Times New Roman"/>
          <w:color w:val="auto"/>
          <w:lang w:val="en-US" w:eastAsia="zh-CN"/>
        </w:rPr>
        <w:t>2.</w:t>
      </w:r>
      <w:r>
        <w:rPr>
          <w:rFonts w:hint="eastAsia"/>
          <w:color w:val="auto"/>
          <w:lang w:val="en-US" w:eastAsia="zh-CN"/>
        </w:rPr>
        <w:t>4厂址、</w:t>
      </w:r>
      <w:r>
        <w:rPr>
          <w:rFonts w:hint="eastAsia" w:ascii="Times New Roman" w:hAnsi="Times New Roman"/>
          <w:color w:val="auto"/>
          <w:lang w:val="en-US" w:eastAsia="zh-CN"/>
        </w:rPr>
        <w:t>地理位置和周边环境</w:t>
      </w:r>
      <w:bookmarkEnd w:id="22"/>
    </w:p>
    <w:p w14:paraId="08139CB2">
      <w:pPr>
        <w:pStyle w:val="4"/>
        <w:bidi w:val="0"/>
        <w:rPr>
          <w:rFonts w:hint="default"/>
          <w:color w:val="auto"/>
          <w:lang w:val="en-US" w:eastAsia="zh-CN"/>
        </w:rPr>
      </w:pPr>
      <w:bookmarkStart w:id="23" w:name="_Toc4477"/>
      <w:r>
        <w:rPr>
          <w:rFonts w:hint="eastAsia"/>
          <w:color w:val="auto"/>
          <w:lang w:val="en-US" w:eastAsia="zh-CN"/>
        </w:rPr>
        <w:t>2.4.1厂址、地理位置</w:t>
      </w:r>
      <w:bookmarkEnd w:id="23"/>
    </w:p>
    <w:p w14:paraId="7EEAAD81">
      <w:pPr>
        <w:spacing w:line="360" w:lineRule="auto"/>
        <w:ind w:firstLine="560" w:firstLineChars="200"/>
        <w:jc w:val="left"/>
        <w:rPr>
          <w:rFonts w:hint="default" w:eastAsia="宋体"/>
          <w:color w:val="auto"/>
          <w:lang w:val="en-US" w:eastAsia="zh-CN"/>
        </w:rPr>
      </w:pPr>
      <w:r>
        <w:rPr>
          <w:rFonts w:hint="eastAsia"/>
          <w:color w:val="auto"/>
          <w:lang w:val="en-US" w:eastAsia="zh-CN"/>
        </w:rPr>
        <w:t>江西亚东水泥有限公司瑞昌制造二厂</w:t>
      </w:r>
      <w:r>
        <w:rPr>
          <w:rFonts w:hint="eastAsia"/>
          <w:color w:val="auto"/>
        </w:rPr>
        <w:t>位于江西省瑞昌市码头镇南侧约1.0km处的流庄乡，地理坐标为：E115°35′4.38″，N2</w:t>
      </w:r>
      <w:r>
        <w:rPr>
          <w:rFonts w:hint="eastAsia"/>
          <w:color w:val="auto"/>
          <w:lang w:val="en-US" w:eastAsia="zh-CN"/>
        </w:rPr>
        <w:t>9</w:t>
      </w:r>
      <w:r>
        <w:rPr>
          <w:rFonts w:hint="eastAsia"/>
          <w:color w:val="auto"/>
        </w:rPr>
        <w:t>°48′29.88″。东面距九江市码头工业城约1.5km；南靠黄婆岩石灰石矿山；西距新屋田石灰石矿山1km；西北距江西亚东水泥有限公司1#-4#生产线厂区约2km，与庐泥石灰石矿区厂界最小距离200m，且其间有山体相隔；北距码头镇约1.0km。</w:t>
      </w:r>
      <w:r>
        <w:rPr>
          <w:rFonts w:hint="eastAsia"/>
          <w:color w:val="auto"/>
          <w:lang w:val="en-US" w:eastAsia="zh-CN"/>
        </w:rPr>
        <w:t>厂区出口靠近公路，交通便利。</w:t>
      </w:r>
    </w:p>
    <w:p w14:paraId="21B67236">
      <w:pPr>
        <w:spacing w:line="360" w:lineRule="auto"/>
        <w:ind w:firstLine="560" w:firstLineChars="200"/>
        <w:jc w:val="left"/>
        <w:rPr>
          <w:rFonts w:eastAsiaTheme="minorEastAsia"/>
          <w:color w:val="auto"/>
          <w:spacing w:val="-6"/>
          <w:kern w:val="0"/>
        </w:rPr>
      </w:pPr>
      <w:r>
        <w:rPr>
          <w:rFonts w:hint="eastAsia"/>
          <w:color w:val="auto"/>
        </w:rPr>
        <w:t>江西亚东水泥有限公司</w:t>
      </w:r>
      <w:r>
        <w:rPr>
          <w:rFonts w:hint="eastAsia"/>
          <w:color w:val="auto"/>
          <w:lang w:val="en-US" w:eastAsia="zh-CN"/>
        </w:rPr>
        <w:t>瑞昌制造二厂</w:t>
      </w:r>
      <w:r>
        <w:rPr>
          <w:rFonts w:eastAsiaTheme="minorEastAsia"/>
          <w:color w:val="auto"/>
          <w:spacing w:val="-6"/>
          <w:kern w:val="0"/>
        </w:rPr>
        <w:t>具体地理位置情况，见下图：</w:t>
      </w:r>
    </w:p>
    <w:p w14:paraId="3C6FBF9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eastAsia" w:eastAsiaTheme="minorEastAsia"/>
          <w:color w:val="auto"/>
          <w:spacing w:val="-6"/>
          <w:kern w:val="0"/>
          <w:lang w:eastAsia="zh-CN"/>
        </w:rPr>
      </w:pPr>
      <w:r>
        <w:rPr>
          <w:rFonts w:hint="eastAsia" w:eastAsiaTheme="minorEastAsia"/>
          <w:color w:val="auto"/>
          <w:spacing w:val="-6"/>
          <w:kern w:val="0"/>
          <w:lang w:eastAsia="zh-CN"/>
        </w:rPr>
        <w:drawing>
          <wp:inline distT="0" distB="0" distL="114300" distR="114300">
            <wp:extent cx="5750560" cy="3920490"/>
            <wp:effectExtent l="0" t="0" r="2540" b="3810"/>
            <wp:docPr id="35" name="图片 35" descr="66ab4678f2b7a8d5aec813480c34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66ab4678f2b7a8d5aec813480c34939"/>
                    <pic:cNvPicPr>
                      <a:picLocks noChangeAspect="1"/>
                    </pic:cNvPicPr>
                  </pic:nvPicPr>
                  <pic:blipFill>
                    <a:blip r:embed="rId10"/>
                    <a:stretch>
                      <a:fillRect/>
                    </a:stretch>
                  </pic:blipFill>
                  <pic:spPr>
                    <a:xfrm>
                      <a:off x="0" y="0"/>
                      <a:ext cx="5750560" cy="3920490"/>
                    </a:xfrm>
                    <a:prstGeom prst="rect">
                      <a:avLst/>
                    </a:prstGeom>
                  </pic:spPr>
                </pic:pic>
              </a:graphicData>
            </a:graphic>
          </wp:inline>
        </w:drawing>
      </w:r>
    </w:p>
    <w:p w14:paraId="324F9A5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en-US" w:eastAsia="zh-CN"/>
        </w:rPr>
      </w:pPr>
      <w:r>
        <w:rPr>
          <w:rFonts w:hint="eastAsia"/>
          <w:color w:val="auto"/>
          <w:lang w:val="en-US" w:eastAsia="zh-CN"/>
        </w:rPr>
        <w:t>图2.3.1-1江西亚东水泥有限公司瑞昌制造二厂地理位置图</w:t>
      </w:r>
    </w:p>
    <w:p w14:paraId="741A4312">
      <w:pPr>
        <w:pStyle w:val="4"/>
        <w:bidi w:val="0"/>
        <w:rPr>
          <w:rFonts w:hint="default"/>
          <w:color w:val="auto"/>
          <w:lang w:val="en-US" w:eastAsia="zh-CN"/>
        </w:rPr>
      </w:pPr>
      <w:bookmarkStart w:id="24" w:name="_Toc1020"/>
      <w:r>
        <w:rPr>
          <w:rFonts w:hint="eastAsia"/>
          <w:color w:val="auto"/>
          <w:lang w:val="en-US" w:eastAsia="zh-CN"/>
        </w:rPr>
        <w:t>2.4.2周边环境</w:t>
      </w:r>
      <w:bookmarkEnd w:id="24"/>
    </w:p>
    <w:p w14:paraId="0D2CABF3">
      <w:pPr>
        <w:spacing w:line="360" w:lineRule="auto"/>
        <w:ind w:firstLine="560" w:firstLineChars="200"/>
        <w:jc w:val="left"/>
        <w:rPr>
          <w:rFonts w:hint="eastAsia"/>
          <w:color w:val="auto"/>
        </w:rPr>
      </w:pPr>
      <w:r>
        <w:rPr>
          <w:rFonts w:hint="eastAsia" w:cs="Times New Roman"/>
          <w:color w:val="auto"/>
          <w:kern w:val="2"/>
          <w:sz w:val="28"/>
          <w:szCs w:val="28"/>
          <w:lang w:val="en-US" w:eastAsia="zh-CN" w:bidi="ar-SA"/>
        </w:rPr>
        <w:t>厂区</w:t>
      </w:r>
      <w:r>
        <w:rPr>
          <w:rFonts w:hint="eastAsia" w:ascii="Times New Roman" w:hAnsi="Times New Roman" w:eastAsia="宋体" w:cs="Times New Roman"/>
          <w:color w:val="auto"/>
          <w:kern w:val="2"/>
          <w:sz w:val="28"/>
          <w:szCs w:val="28"/>
          <w:lang w:val="en-US" w:eastAsia="zh-CN" w:bidi="ar-SA"/>
        </w:rPr>
        <w:t>周边100m范围内无风景名胜区、自然保护区、文物古迹和珍稀动植物等重点保护对象，</w:t>
      </w:r>
      <w:r>
        <w:rPr>
          <w:rFonts w:hint="eastAsia"/>
          <w:color w:val="auto"/>
        </w:rPr>
        <w:t>主要</w:t>
      </w:r>
      <w:r>
        <w:rPr>
          <w:rFonts w:hint="eastAsia"/>
          <w:color w:val="auto"/>
          <w:lang w:val="en-US" w:eastAsia="zh-CN"/>
        </w:rPr>
        <w:t>为</w:t>
      </w:r>
      <w:r>
        <w:rPr>
          <w:rFonts w:hint="eastAsia"/>
          <w:color w:val="auto"/>
        </w:rPr>
        <w:t>山地，对周边环境影响较小。</w:t>
      </w:r>
    </w:p>
    <w:p w14:paraId="60F88B24">
      <w:pPr>
        <w:spacing w:line="360" w:lineRule="auto"/>
        <w:ind w:firstLine="560"/>
        <w:rPr>
          <w:rFonts w:hint="eastAsia"/>
          <w:color w:val="auto"/>
          <w:lang w:val="en-US" w:eastAsia="zh-CN"/>
        </w:rPr>
      </w:pPr>
      <w:r>
        <w:rPr>
          <w:rFonts w:hint="eastAsia"/>
          <w:color w:val="auto"/>
          <w:lang w:val="en-US" w:eastAsia="zh-CN"/>
        </w:rPr>
        <w:t>厂区周边环境见下表。</w:t>
      </w:r>
    </w:p>
    <w:p w14:paraId="394E2A8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auto"/>
          <w:lang w:val="en-US" w:eastAsia="zh-CN"/>
        </w:rPr>
      </w:pPr>
      <w:r>
        <w:rPr>
          <w:rFonts w:hint="eastAsia"/>
          <w:color w:val="auto"/>
          <w:lang w:val="en-US" w:eastAsia="zh-CN"/>
        </w:rPr>
        <w:t>表2.4.2-1厂区周边环境一览表</w:t>
      </w:r>
    </w:p>
    <w:tbl>
      <w:tblPr>
        <w:tblStyle w:val="18"/>
        <w:tblW w:w="5047"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3503"/>
        <w:gridCol w:w="2577"/>
        <w:gridCol w:w="3108"/>
      </w:tblGrid>
      <w:tr w14:paraId="7F8BFA9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906" w:type="pct"/>
            <w:tcBorders>
              <w:tl2br w:val="nil"/>
              <w:tr2bl w:val="nil"/>
            </w:tcBorders>
            <w:vAlign w:val="center"/>
          </w:tcPr>
          <w:p w14:paraId="6494F100">
            <w:pPr>
              <w:pStyle w:val="21"/>
              <w:bidi w:val="0"/>
              <w:rPr>
                <w:color w:val="auto"/>
              </w:rPr>
            </w:pPr>
            <w:r>
              <w:rPr>
                <w:rFonts w:hint="eastAsia"/>
                <w:color w:val="auto"/>
                <w:lang w:val="en-US" w:eastAsia="zh-CN"/>
              </w:rPr>
              <w:t>厂区</w:t>
            </w:r>
            <w:r>
              <w:rPr>
                <w:rFonts w:hint="eastAsia"/>
                <w:color w:val="auto"/>
              </w:rPr>
              <w:t>名称</w:t>
            </w:r>
          </w:p>
        </w:tc>
        <w:tc>
          <w:tcPr>
            <w:tcW w:w="1402" w:type="pct"/>
            <w:tcBorders>
              <w:tl2br w:val="nil"/>
              <w:tr2bl w:val="nil"/>
            </w:tcBorders>
            <w:vAlign w:val="center"/>
          </w:tcPr>
          <w:p w14:paraId="67FE6200">
            <w:pPr>
              <w:pStyle w:val="21"/>
              <w:bidi w:val="0"/>
              <w:rPr>
                <w:color w:val="auto"/>
              </w:rPr>
            </w:pPr>
            <w:r>
              <w:rPr>
                <w:rFonts w:hint="eastAsia"/>
                <w:color w:val="auto"/>
              </w:rPr>
              <w:t>相对位置</w:t>
            </w:r>
          </w:p>
        </w:tc>
        <w:tc>
          <w:tcPr>
            <w:tcW w:w="1691" w:type="pct"/>
            <w:tcBorders>
              <w:tl2br w:val="nil"/>
              <w:tr2bl w:val="nil"/>
            </w:tcBorders>
            <w:vAlign w:val="center"/>
          </w:tcPr>
          <w:p w14:paraId="753B0855">
            <w:pPr>
              <w:pStyle w:val="21"/>
              <w:bidi w:val="0"/>
              <w:rPr>
                <w:rFonts w:hint="eastAsia"/>
                <w:color w:val="auto"/>
                <w:lang w:eastAsia="zh-CN"/>
              </w:rPr>
            </w:pPr>
            <w:r>
              <w:rPr>
                <w:rFonts w:hint="eastAsia"/>
                <w:color w:val="auto"/>
              </w:rPr>
              <w:t>周边</w:t>
            </w:r>
            <w:r>
              <w:rPr>
                <w:rFonts w:hint="eastAsia"/>
                <w:color w:val="auto"/>
                <w:lang w:val="en-US" w:eastAsia="zh-CN"/>
              </w:rPr>
              <w:t>环境</w:t>
            </w:r>
          </w:p>
        </w:tc>
      </w:tr>
      <w:tr w14:paraId="08DA40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906" w:type="pct"/>
            <w:vMerge w:val="restart"/>
            <w:tcBorders>
              <w:tl2br w:val="nil"/>
              <w:tr2bl w:val="nil"/>
            </w:tcBorders>
            <w:vAlign w:val="center"/>
          </w:tcPr>
          <w:p w14:paraId="601520E7">
            <w:pPr>
              <w:pStyle w:val="20"/>
              <w:bidi w:val="0"/>
              <w:rPr>
                <w:rFonts w:hint="default"/>
                <w:color w:val="auto"/>
                <w:lang w:val="en-US" w:eastAsia="zh-CN"/>
              </w:rPr>
            </w:pPr>
            <w:r>
              <w:rPr>
                <w:rFonts w:hint="eastAsia"/>
                <w:color w:val="auto"/>
                <w:lang w:val="en-US" w:eastAsia="zh-CN"/>
              </w:rPr>
              <w:t>江西亚东水泥有限公司瑞昌制造二厂</w:t>
            </w:r>
          </w:p>
        </w:tc>
        <w:tc>
          <w:tcPr>
            <w:tcW w:w="1402" w:type="pct"/>
            <w:tcBorders>
              <w:tl2br w:val="nil"/>
              <w:tr2bl w:val="nil"/>
            </w:tcBorders>
            <w:vAlign w:val="center"/>
          </w:tcPr>
          <w:p w14:paraId="1A6CE52F">
            <w:pPr>
              <w:pStyle w:val="20"/>
              <w:bidi w:val="0"/>
              <w:rPr>
                <w:color w:val="auto"/>
              </w:rPr>
            </w:pPr>
            <w:r>
              <w:rPr>
                <w:color w:val="auto"/>
              </w:rPr>
              <w:t>西</w:t>
            </w:r>
            <w:r>
              <w:rPr>
                <w:rFonts w:hint="eastAsia"/>
                <w:color w:val="auto"/>
              </w:rPr>
              <w:t>北</w:t>
            </w:r>
            <w:r>
              <w:rPr>
                <w:color w:val="auto"/>
              </w:rPr>
              <w:t>侧</w:t>
            </w:r>
          </w:p>
        </w:tc>
        <w:tc>
          <w:tcPr>
            <w:tcW w:w="1691" w:type="pct"/>
            <w:tcBorders>
              <w:tl2br w:val="nil"/>
              <w:tr2bl w:val="nil"/>
            </w:tcBorders>
            <w:vAlign w:val="center"/>
          </w:tcPr>
          <w:p w14:paraId="102867B1">
            <w:pPr>
              <w:pStyle w:val="20"/>
              <w:bidi w:val="0"/>
              <w:rPr>
                <w:rFonts w:hint="eastAsia"/>
                <w:color w:val="auto"/>
                <w:lang w:eastAsia="zh-CN"/>
              </w:rPr>
            </w:pPr>
            <w:r>
              <w:rPr>
                <w:rFonts w:hint="eastAsia"/>
                <w:color w:val="auto"/>
                <w:lang w:val="en-US" w:eastAsia="zh-CN"/>
              </w:rPr>
              <w:t>山坡</w:t>
            </w:r>
          </w:p>
        </w:tc>
      </w:tr>
      <w:tr w14:paraId="0E8C78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1906" w:type="pct"/>
            <w:vMerge w:val="continue"/>
            <w:tcBorders>
              <w:tl2br w:val="nil"/>
              <w:tr2bl w:val="nil"/>
            </w:tcBorders>
            <w:vAlign w:val="center"/>
          </w:tcPr>
          <w:p w14:paraId="0A4D734F">
            <w:pPr>
              <w:pStyle w:val="20"/>
              <w:bidi w:val="0"/>
              <w:rPr>
                <w:color w:val="auto"/>
              </w:rPr>
            </w:pPr>
          </w:p>
        </w:tc>
        <w:tc>
          <w:tcPr>
            <w:tcW w:w="1402" w:type="pct"/>
            <w:tcBorders>
              <w:tl2br w:val="nil"/>
              <w:tr2bl w:val="nil"/>
            </w:tcBorders>
            <w:vAlign w:val="center"/>
          </w:tcPr>
          <w:p w14:paraId="02CD1B23">
            <w:pPr>
              <w:pStyle w:val="20"/>
              <w:bidi w:val="0"/>
              <w:rPr>
                <w:color w:val="auto"/>
              </w:rPr>
            </w:pPr>
            <w:r>
              <w:rPr>
                <w:color w:val="auto"/>
              </w:rPr>
              <w:t>西南侧</w:t>
            </w:r>
          </w:p>
        </w:tc>
        <w:tc>
          <w:tcPr>
            <w:tcW w:w="1691" w:type="pct"/>
            <w:tcBorders>
              <w:tl2br w:val="nil"/>
              <w:tr2bl w:val="nil"/>
            </w:tcBorders>
            <w:vAlign w:val="center"/>
          </w:tcPr>
          <w:p w14:paraId="65CFA935">
            <w:pPr>
              <w:pStyle w:val="20"/>
              <w:bidi w:val="0"/>
              <w:rPr>
                <w:rFonts w:hint="eastAsia"/>
                <w:color w:val="auto"/>
                <w:lang w:eastAsia="zh-CN"/>
              </w:rPr>
            </w:pPr>
            <w:r>
              <w:rPr>
                <w:rFonts w:hint="eastAsia"/>
                <w:color w:val="auto"/>
                <w:lang w:val="en-US" w:eastAsia="zh-CN"/>
              </w:rPr>
              <w:t>山体</w:t>
            </w:r>
          </w:p>
        </w:tc>
      </w:tr>
      <w:tr w14:paraId="24EB208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1906" w:type="pct"/>
            <w:vMerge w:val="continue"/>
            <w:tcBorders>
              <w:tl2br w:val="nil"/>
              <w:tr2bl w:val="nil"/>
            </w:tcBorders>
            <w:vAlign w:val="center"/>
          </w:tcPr>
          <w:p w14:paraId="64699FD6">
            <w:pPr>
              <w:pStyle w:val="20"/>
              <w:bidi w:val="0"/>
              <w:rPr>
                <w:color w:val="auto"/>
              </w:rPr>
            </w:pPr>
          </w:p>
        </w:tc>
        <w:tc>
          <w:tcPr>
            <w:tcW w:w="1402" w:type="pct"/>
            <w:tcBorders>
              <w:tl2br w:val="nil"/>
              <w:tr2bl w:val="nil"/>
            </w:tcBorders>
            <w:vAlign w:val="center"/>
          </w:tcPr>
          <w:p w14:paraId="073367C3">
            <w:pPr>
              <w:pStyle w:val="20"/>
              <w:bidi w:val="0"/>
              <w:rPr>
                <w:rFonts w:hint="eastAsia"/>
                <w:color w:val="auto"/>
                <w:lang w:val="en-US" w:eastAsia="zh-CN"/>
              </w:rPr>
            </w:pPr>
            <w:r>
              <w:rPr>
                <w:rFonts w:hint="eastAsia"/>
                <w:color w:val="auto"/>
                <w:lang w:val="en-US" w:eastAsia="zh-CN"/>
              </w:rPr>
              <w:t>东南侧</w:t>
            </w:r>
          </w:p>
        </w:tc>
        <w:tc>
          <w:tcPr>
            <w:tcW w:w="1691" w:type="pct"/>
            <w:tcBorders>
              <w:tl2br w:val="nil"/>
              <w:tr2bl w:val="nil"/>
            </w:tcBorders>
            <w:vAlign w:val="center"/>
          </w:tcPr>
          <w:p w14:paraId="616AF34F">
            <w:pPr>
              <w:pStyle w:val="20"/>
              <w:bidi w:val="0"/>
              <w:rPr>
                <w:rFonts w:hint="default"/>
                <w:color w:val="auto"/>
                <w:lang w:val="en-US" w:eastAsia="zh-CN"/>
              </w:rPr>
            </w:pPr>
            <w:r>
              <w:rPr>
                <w:rFonts w:hint="eastAsia"/>
                <w:color w:val="auto"/>
                <w:lang w:val="en-US" w:eastAsia="zh-CN"/>
              </w:rPr>
              <w:t>牯牛山</w:t>
            </w:r>
          </w:p>
        </w:tc>
      </w:tr>
      <w:tr w14:paraId="6AAF59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1906" w:type="pct"/>
            <w:vMerge w:val="continue"/>
            <w:tcBorders>
              <w:tl2br w:val="nil"/>
              <w:tr2bl w:val="nil"/>
            </w:tcBorders>
            <w:vAlign w:val="center"/>
          </w:tcPr>
          <w:p w14:paraId="3AF7D722">
            <w:pPr>
              <w:pStyle w:val="20"/>
              <w:bidi w:val="0"/>
              <w:rPr>
                <w:color w:val="auto"/>
              </w:rPr>
            </w:pPr>
          </w:p>
        </w:tc>
        <w:tc>
          <w:tcPr>
            <w:tcW w:w="1402" w:type="pct"/>
            <w:tcBorders>
              <w:tl2br w:val="nil"/>
              <w:tr2bl w:val="nil"/>
            </w:tcBorders>
            <w:vAlign w:val="center"/>
          </w:tcPr>
          <w:p w14:paraId="202BC3ED">
            <w:pPr>
              <w:pStyle w:val="20"/>
              <w:bidi w:val="0"/>
              <w:rPr>
                <w:rFonts w:hint="default"/>
                <w:color w:val="auto"/>
                <w:lang w:val="en-US" w:eastAsia="zh-CN"/>
              </w:rPr>
            </w:pPr>
            <w:r>
              <w:rPr>
                <w:rFonts w:hint="eastAsia"/>
                <w:color w:val="auto"/>
                <w:lang w:val="en-US" w:eastAsia="zh-CN"/>
              </w:rPr>
              <w:t>东北侧</w:t>
            </w:r>
          </w:p>
        </w:tc>
        <w:tc>
          <w:tcPr>
            <w:tcW w:w="1691" w:type="pct"/>
            <w:tcBorders>
              <w:tl2br w:val="nil"/>
              <w:tr2bl w:val="nil"/>
            </w:tcBorders>
            <w:vAlign w:val="center"/>
          </w:tcPr>
          <w:p w14:paraId="29654EF5">
            <w:pPr>
              <w:pStyle w:val="20"/>
              <w:bidi w:val="0"/>
              <w:rPr>
                <w:rFonts w:hint="default"/>
                <w:color w:val="auto"/>
                <w:lang w:val="en-US" w:eastAsia="zh-CN"/>
              </w:rPr>
            </w:pPr>
            <w:r>
              <w:rPr>
                <w:rFonts w:hint="eastAsia"/>
                <w:color w:val="auto"/>
                <w:lang w:val="en-US" w:eastAsia="zh-CN"/>
              </w:rPr>
              <w:t>码头镇居民区</w:t>
            </w:r>
          </w:p>
        </w:tc>
      </w:tr>
    </w:tbl>
    <w:p w14:paraId="57F473A0">
      <w:pPr>
        <w:pStyle w:val="3"/>
        <w:bidi w:val="0"/>
        <w:rPr>
          <w:rFonts w:hint="eastAsia"/>
          <w:color w:val="auto"/>
          <w:lang w:val="en-US" w:eastAsia="zh-CN"/>
        </w:rPr>
      </w:pPr>
      <w:bookmarkStart w:id="25" w:name="_Toc18641"/>
      <w:r>
        <w:rPr>
          <w:rFonts w:ascii="Times New Roman" w:hAnsi="Times New Roman"/>
          <w:color w:val="auto"/>
          <w:lang w:val="en-US" w:eastAsia="zh-CN"/>
        </w:rPr>
        <w:t>2.</w:t>
      </w:r>
      <w:r>
        <w:rPr>
          <w:rFonts w:hint="eastAsia"/>
          <w:color w:val="auto"/>
          <w:lang w:val="en-US" w:eastAsia="zh-CN"/>
        </w:rPr>
        <w:t>5利旧情况</w:t>
      </w:r>
      <w:bookmarkEnd w:id="25"/>
    </w:p>
    <w:p w14:paraId="0CF0E61A">
      <w:pPr>
        <w:snapToGrid w:val="0"/>
        <w:spacing w:line="360" w:lineRule="auto"/>
        <w:ind w:firstLine="560" w:firstLineChars="200"/>
        <w:rPr>
          <w:rFonts w:hint="eastAsia"/>
          <w:color w:val="auto"/>
          <w:lang w:val="en-US" w:eastAsia="zh-CN"/>
        </w:rPr>
      </w:pPr>
      <w:r>
        <w:rPr>
          <w:rFonts w:hint="eastAsia"/>
          <w:color w:val="auto"/>
          <w:lang w:val="en-US" w:eastAsia="zh-CN"/>
        </w:rPr>
        <w:t>本项目在厂区窑尾西南侧空地新增5#～6#生产线脱硫装置和配电室，控制系统、供水、供电、消防等均依托原有厂区。</w:t>
      </w:r>
    </w:p>
    <w:p w14:paraId="681B6F9F">
      <w:pPr>
        <w:snapToGrid w:val="0"/>
        <w:spacing w:line="360" w:lineRule="auto"/>
        <w:ind w:firstLine="560" w:firstLineChars="200"/>
        <w:rPr>
          <w:rFonts w:hint="eastAsia"/>
          <w:color w:val="auto"/>
          <w:lang w:val="en-US" w:eastAsia="zh-CN"/>
        </w:rPr>
      </w:pPr>
      <w:r>
        <w:rPr>
          <w:rFonts w:hint="eastAsia"/>
          <w:color w:val="auto"/>
          <w:lang w:val="en-US" w:eastAsia="zh-CN"/>
        </w:rPr>
        <w:t>1.本项目于配电室旁布置一间DCS室，由厂区原有中控室进行总控制。</w:t>
      </w:r>
    </w:p>
    <w:p w14:paraId="67CA1FEC">
      <w:pPr>
        <w:snapToGrid w:val="0"/>
        <w:spacing w:line="360" w:lineRule="auto"/>
        <w:ind w:firstLine="560" w:firstLineChars="200"/>
        <w:rPr>
          <w:rFonts w:hint="default"/>
          <w:color w:val="auto"/>
          <w:lang w:val="en-US" w:eastAsia="zh-CN"/>
        </w:rPr>
      </w:pPr>
      <w:r>
        <w:rPr>
          <w:rFonts w:hint="eastAsia"/>
          <w:color w:val="auto"/>
          <w:lang w:val="en-US" w:eastAsia="zh-CN"/>
        </w:rPr>
        <w:t>2.</w:t>
      </w:r>
      <w:r>
        <w:rPr>
          <w:rFonts w:hint="default"/>
          <w:color w:val="auto"/>
          <w:lang w:val="en-US" w:eastAsia="zh-CN"/>
        </w:rPr>
        <w:t>本项目生产及消防用水</w:t>
      </w:r>
      <w:r>
        <w:rPr>
          <w:rFonts w:hint="eastAsia"/>
          <w:color w:val="auto"/>
          <w:lang w:val="en-US" w:eastAsia="zh-CN"/>
        </w:rPr>
        <w:t>由厂区原有</w:t>
      </w:r>
      <w:r>
        <w:rPr>
          <w:rFonts w:hint="default"/>
          <w:color w:val="auto"/>
          <w:lang w:val="en-US" w:eastAsia="zh-CN"/>
        </w:rPr>
        <w:t>生产、消防用水环形管网</w:t>
      </w:r>
      <w:r>
        <w:rPr>
          <w:rFonts w:hint="eastAsia"/>
          <w:color w:val="auto"/>
          <w:lang w:val="en-US" w:eastAsia="zh-CN"/>
        </w:rPr>
        <w:t>进行供给</w:t>
      </w:r>
      <w:r>
        <w:rPr>
          <w:rFonts w:hint="default"/>
          <w:color w:val="auto"/>
          <w:lang w:val="en-US" w:eastAsia="zh-CN"/>
        </w:rPr>
        <w:t>。</w:t>
      </w:r>
    </w:p>
    <w:p w14:paraId="3B038908">
      <w:pPr>
        <w:snapToGrid w:val="0"/>
        <w:spacing w:line="360" w:lineRule="auto"/>
        <w:ind w:firstLine="560" w:firstLineChars="200"/>
        <w:rPr>
          <w:rFonts w:hint="eastAsia"/>
          <w:color w:val="auto"/>
          <w:lang w:eastAsia="zh-CN"/>
        </w:rPr>
      </w:pPr>
      <w:r>
        <w:rPr>
          <w:rFonts w:hint="eastAsia"/>
          <w:color w:val="auto"/>
          <w:lang w:val="en-US" w:eastAsia="zh-CN"/>
        </w:rPr>
        <w:t>3.厂区电源有三路，两路来自瑞昌市码头变电站220kV双回路独立电源（主供电源），第三路来自瑞昌市裕丰变电站110kV单回路独立电源（保安电源）。本项目</w:t>
      </w:r>
      <w:r>
        <w:rPr>
          <w:rFonts w:hint="eastAsia"/>
          <w:color w:val="auto"/>
        </w:rPr>
        <w:t>用电</w:t>
      </w:r>
      <w:r>
        <w:rPr>
          <w:rFonts w:hint="eastAsia"/>
          <w:color w:val="auto"/>
          <w:lang w:val="en-US" w:eastAsia="zh-CN"/>
        </w:rPr>
        <w:t>通过</w:t>
      </w:r>
      <w:r>
        <w:rPr>
          <w:rFonts w:hint="eastAsia"/>
          <w:color w:val="auto"/>
        </w:rPr>
        <w:t>在现有厂用电中协调解决</w:t>
      </w:r>
      <w:r>
        <w:rPr>
          <w:rFonts w:hint="eastAsia"/>
          <w:color w:val="auto"/>
          <w:lang w:eastAsia="zh-CN"/>
        </w:rPr>
        <w:t>。</w:t>
      </w:r>
    </w:p>
    <w:p w14:paraId="1AC55288">
      <w:pPr>
        <w:snapToGrid w:val="0"/>
        <w:spacing w:line="360" w:lineRule="auto"/>
        <w:ind w:firstLine="560" w:firstLineChars="200"/>
        <w:rPr>
          <w:rFonts w:hint="eastAsia"/>
          <w:color w:val="auto"/>
          <w:lang w:val="en-US" w:eastAsia="zh-CN"/>
        </w:rPr>
      </w:pPr>
      <w:r>
        <w:rPr>
          <w:rFonts w:hint="eastAsia"/>
          <w:color w:val="auto"/>
          <w:lang w:val="en-US" w:eastAsia="zh-CN"/>
        </w:rPr>
        <w:t>4.本项目室外消火栓系统利用厂区原有的室外消火栓系统，自动报警系统由厂区原有中控室进行控制。</w:t>
      </w:r>
    </w:p>
    <w:p w14:paraId="619AAEE0">
      <w:pPr>
        <w:pStyle w:val="3"/>
        <w:bidi w:val="0"/>
        <w:rPr>
          <w:rFonts w:hint="eastAsia"/>
          <w:color w:val="auto"/>
          <w:lang w:val="en-US" w:eastAsia="zh-CN"/>
        </w:rPr>
      </w:pPr>
      <w:bookmarkStart w:id="26" w:name="_Toc21321"/>
      <w:r>
        <w:rPr>
          <w:rFonts w:hint="eastAsia"/>
          <w:color w:val="auto"/>
          <w:lang w:val="en-US" w:eastAsia="zh-CN"/>
        </w:rPr>
        <w:t>2.6项目所在地自然条件</w:t>
      </w:r>
      <w:bookmarkEnd w:id="26"/>
    </w:p>
    <w:p w14:paraId="4D23870F">
      <w:pPr>
        <w:pStyle w:val="4"/>
        <w:bidi w:val="0"/>
        <w:rPr>
          <w:rFonts w:hint="eastAsia"/>
          <w:color w:val="auto"/>
          <w:lang w:val="en-US" w:eastAsia="zh-CN"/>
        </w:rPr>
      </w:pPr>
      <w:bookmarkStart w:id="27" w:name="_Toc24362"/>
      <w:r>
        <w:rPr>
          <w:rFonts w:hint="eastAsia"/>
          <w:color w:val="auto"/>
          <w:lang w:val="en-US" w:eastAsia="zh-CN"/>
        </w:rPr>
        <w:t>2.6.1气象条件</w:t>
      </w:r>
      <w:bookmarkEnd w:id="27"/>
    </w:p>
    <w:p w14:paraId="7BB7ED25">
      <w:pPr>
        <w:rPr>
          <w:rFonts w:hint="eastAsia"/>
          <w:color w:val="auto"/>
          <w:lang w:val="en-US" w:eastAsia="zh-CN"/>
        </w:rPr>
      </w:pPr>
      <w:r>
        <w:rPr>
          <w:rFonts w:hint="eastAsia"/>
          <w:color w:val="auto"/>
          <w:lang w:val="en-US" w:eastAsia="zh-CN"/>
        </w:rPr>
        <w:t>本项目地处亚热带季风气候区，冬季受西伯利亚（或蒙古）高压影响，盛行偏北风，寒冷少雨；夏季为副热带高压控制，盛行偏南风，天气晴热干燥；春夏之交冷暖气团交汇于境内，阴雨连绵，夏秋之季在单一气团笼罩之时，晴热少雨。该区具有气温温和、雨量充沛、热量丰富、光照充足以及夏冬季长、春秋季短、春寒夏热、秋冬干阴和无霜期长等特点。</w:t>
      </w:r>
    </w:p>
    <w:p w14:paraId="5C8547A7">
      <w:pPr>
        <w:rPr>
          <w:rFonts w:hint="eastAsia"/>
          <w:color w:val="auto"/>
          <w:lang w:val="en-US" w:eastAsia="zh-CN"/>
        </w:rPr>
      </w:pPr>
      <w:r>
        <w:rPr>
          <w:rFonts w:hint="eastAsia"/>
          <w:color w:val="auto"/>
          <w:lang w:val="en-US" w:eastAsia="zh-CN"/>
        </w:rPr>
        <w:t>1.气温</w:t>
      </w:r>
    </w:p>
    <w:p w14:paraId="08DF622D">
      <w:pPr>
        <w:rPr>
          <w:rFonts w:hint="eastAsia"/>
          <w:color w:val="auto"/>
          <w:lang w:val="en-US" w:eastAsia="zh-CN"/>
        </w:rPr>
      </w:pPr>
      <w:r>
        <w:rPr>
          <w:rFonts w:hint="eastAsia"/>
          <w:color w:val="auto"/>
          <w:lang w:val="en-US" w:eastAsia="zh-CN"/>
        </w:rPr>
        <w:t>该地区气候温和，年平均气温为16.75℃,冬季平均温度为3.6℃,夏季平均温度29℃,极端最高气温为41.2℃(1966年8月10日)，极端最低气温为-13.4℃(1969年2月5日)，无霜期255天。</w:t>
      </w:r>
    </w:p>
    <w:p w14:paraId="7F58A4A9">
      <w:pPr>
        <w:rPr>
          <w:rFonts w:hint="eastAsia"/>
          <w:color w:val="auto"/>
          <w:lang w:val="en-US" w:eastAsia="zh-CN"/>
        </w:rPr>
      </w:pPr>
      <w:r>
        <w:rPr>
          <w:rFonts w:hint="eastAsia"/>
          <w:color w:val="auto"/>
          <w:lang w:val="en-US" w:eastAsia="zh-CN"/>
        </w:rPr>
        <w:t>2.降水</w:t>
      </w:r>
    </w:p>
    <w:p w14:paraId="3D74B91D">
      <w:pPr>
        <w:rPr>
          <w:rFonts w:hint="eastAsia"/>
          <w:color w:val="auto"/>
          <w:lang w:val="en-US" w:eastAsia="zh-CN"/>
        </w:rPr>
      </w:pPr>
      <w:r>
        <w:rPr>
          <w:rFonts w:hint="eastAsia"/>
          <w:color w:val="auto"/>
          <w:lang w:val="en-US" w:eastAsia="zh-CN"/>
        </w:rPr>
        <w:t>该地区降水年内分配不均，主要集中在4月～6月，该时期降水量约占全年降水量的48%，易产生地区性洪涝灾害；降水量最少的时期是10月～次年1月，4个月的降水量仅占年降水量的16%左右。</w:t>
      </w:r>
    </w:p>
    <w:p w14:paraId="2FA3F088">
      <w:pPr>
        <w:rPr>
          <w:rFonts w:hint="eastAsia"/>
          <w:color w:val="auto"/>
          <w:lang w:val="en-US" w:eastAsia="zh-CN"/>
        </w:rPr>
      </w:pPr>
      <w:r>
        <w:rPr>
          <w:rFonts w:hint="eastAsia"/>
          <w:color w:val="auto"/>
          <w:lang w:val="en-US" w:eastAsia="zh-CN"/>
        </w:rPr>
        <w:t>年平均降雨量1514.3mm；年最大降水量2040.1mm(1977年)；年最小降雨量988.5mm（1978年）。历年日最大降水量167.6mm(1969年6月24日)，历年各月最长持续降水天数16天（1960年2月25日至1960年3月11日），年平均雨天155天。</w:t>
      </w:r>
    </w:p>
    <w:p w14:paraId="063078B3">
      <w:pPr>
        <w:rPr>
          <w:rFonts w:hint="eastAsia"/>
          <w:color w:val="auto"/>
          <w:lang w:val="en-US" w:eastAsia="zh-CN"/>
        </w:rPr>
      </w:pPr>
      <w:r>
        <w:rPr>
          <w:rFonts w:hint="eastAsia"/>
          <w:color w:val="auto"/>
          <w:lang w:val="en-US" w:eastAsia="zh-CN"/>
        </w:rPr>
        <w:t>3.风况</w:t>
      </w:r>
    </w:p>
    <w:p w14:paraId="26710254">
      <w:pPr>
        <w:rPr>
          <w:rFonts w:hint="eastAsia"/>
          <w:color w:val="auto"/>
          <w:lang w:val="en-US" w:eastAsia="zh-CN"/>
        </w:rPr>
      </w:pPr>
      <w:r>
        <w:rPr>
          <w:rFonts w:hint="eastAsia"/>
          <w:color w:val="auto"/>
          <w:lang w:val="en-US" w:eastAsia="zh-CN"/>
        </w:rPr>
        <w:t>常年主导风向为东北风，夏季主导风向为南风。年平均风速1.8m/s,最大风速17.7m/s(1979年3月29日)，超过8级的大风天数6天，极端风速曾达28m/s。</w:t>
      </w:r>
    </w:p>
    <w:p w14:paraId="49B7D95A">
      <w:pPr>
        <w:rPr>
          <w:rFonts w:hint="eastAsia"/>
          <w:color w:val="auto"/>
          <w:lang w:val="en-US" w:eastAsia="zh-CN"/>
        </w:rPr>
      </w:pPr>
      <w:r>
        <w:rPr>
          <w:rFonts w:hint="eastAsia"/>
          <w:color w:val="auto"/>
          <w:lang w:val="en-US" w:eastAsia="zh-CN"/>
        </w:rPr>
        <w:t>4.雾况</w:t>
      </w:r>
    </w:p>
    <w:p w14:paraId="63674431">
      <w:pPr>
        <w:rPr>
          <w:rFonts w:hint="eastAsia"/>
          <w:color w:val="auto"/>
          <w:lang w:val="en-US" w:eastAsia="zh-CN"/>
        </w:rPr>
      </w:pPr>
      <w:r>
        <w:rPr>
          <w:rFonts w:hint="eastAsia"/>
          <w:color w:val="auto"/>
          <w:lang w:val="en-US" w:eastAsia="zh-CN"/>
        </w:rPr>
        <w:t>多年平均雾日：8d。年最多雾日：15d。年最少雾日：2d。</w:t>
      </w:r>
    </w:p>
    <w:p w14:paraId="7E1AF63C">
      <w:pPr>
        <w:rPr>
          <w:rFonts w:hint="eastAsia"/>
          <w:color w:val="auto"/>
          <w:lang w:val="en-US" w:eastAsia="zh-CN"/>
        </w:rPr>
      </w:pPr>
      <w:r>
        <w:rPr>
          <w:rFonts w:hint="eastAsia"/>
          <w:color w:val="auto"/>
          <w:lang w:val="en-US" w:eastAsia="zh-CN"/>
        </w:rPr>
        <w:t>5.湿度</w:t>
      </w:r>
    </w:p>
    <w:p w14:paraId="5344F653">
      <w:pPr>
        <w:rPr>
          <w:rFonts w:hint="eastAsia"/>
          <w:color w:val="auto"/>
          <w:lang w:val="en-US" w:eastAsia="zh-CN"/>
        </w:rPr>
      </w:pPr>
      <w:r>
        <w:rPr>
          <w:rFonts w:hint="eastAsia"/>
          <w:color w:val="auto"/>
          <w:lang w:val="en-US" w:eastAsia="zh-CN"/>
        </w:rPr>
        <w:t>年平均相对湿度：77%～80%。</w:t>
      </w:r>
    </w:p>
    <w:p w14:paraId="1F43F923">
      <w:pPr>
        <w:numPr>
          <w:ilvl w:val="0"/>
          <w:numId w:val="0"/>
        </w:numPr>
        <w:ind w:firstLine="560" w:firstLineChars="200"/>
        <w:rPr>
          <w:rFonts w:hint="eastAsia"/>
          <w:color w:val="auto"/>
          <w:lang w:val="en-US" w:eastAsia="zh-CN"/>
        </w:rPr>
      </w:pPr>
      <w:r>
        <w:rPr>
          <w:rFonts w:hint="eastAsia"/>
          <w:color w:val="auto"/>
          <w:lang w:val="en-US" w:eastAsia="zh-CN"/>
        </w:rPr>
        <w:t>6.雷暴日</w:t>
      </w:r>
    </w:p>
    <w:p w14:paraId="5199925E">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olor w:val="auto"/>
          <w:lang w:val="en-US" w:eastAsia="zh-CN"/>
        </w:rPr>
      </w:pPr>
      <w:r>
        <w:rPr>
          <w:rFonts w:hint="eastAsia"/>
          <w:color w:val="auto"/>
          <w:lang w:val="en-US" w:eastAsia="zh-CN"/>
        </w:rPr>
        <w:t>年平均雷暴日天数：45.7天。</w:t>
      </w:r>
    </w:p>
    <w:p w14:paraId="3CCEFBDC">
      <w:pPr>
        <w:pStyle w:val="4"/>
        <w:bidi w:val="0"/>
        <w:rPr>
          <w:rFonts w:hint="eastAsia"/>
          <w:color w:val="auto"/>
          <w:lang w:val="en-US" w:eastAsia="zh-CN"/>
        </w:rPr>
      </w:pPr>
      <w:bookmarkStart w:id="28" w:name="_Toc22299"/>
      <w:r>
        <w:rPr>
          <w:rFonts w:hint="eastAsia"/>
          <w:color w:val="auto"/>
          <w:lang w:val="en-US" w:eastAsia="zh-CN"/>
        </w:rPr>
        <w:t>2.6.2水文条件</w:t>
      </w:r>
      <w:bookmarkEnd w:id="28"/>
    </w:p>
    <w:p w14:paraId="531FFD1D">
      <w:pPr>
        <w:rPr>
          <w:rFonts w:hint="eastAsia"/>
          <w:color w:val="auto"/>
          <w:lang w:val="en-US" w:eastAsia="zh-CN"/>
        </w:rPr>
      </w:pPr>
      <w:r>
        <w:rPr>
          <w:rFonts w:hint="eastAsia"/>
          <w:color w:val="auto"/>
          <w:lang w:val="en-US" w:eastAsia="zh-CN"/>
        </w:rPr>
        <w:t>长江瑞昌段年平均水位为14.56m，最高水位23.14m(1954年)，最低水位线为7.9m（1957年）。</w:t>
      </w:r>
    </w:p>
    <w:p w14:paraId="4E617907">
      <w:pPr>
        <w:rPr>
          <w:rFonts w:hint="eastAsia"/>
          <w:color w:val="auto"/>
          <w:lang w:val="en-US" w:eastAsia="zh-CN"/>
        </w:rPr>
      </w:pPr>
      <w:r>
        <w:rPr>
          <w:rFonts w:hint="eastAsia"/>
          <w:color w:val="auto"/>
          <w:lang w:val="en-US" w:eastAsia="zh-CN"/>
        </w:rPr>
        <w:t>考虑到港区和工业区的重要性，该区域防洪标准为：北面长江防洪堤设置高程为22.12m，按百年一遇洪水标准设防，东南面赤湖防洪堤设置高程为19m，按50年一遇洪水标准设防。</w:t>
      </w:r>
    </w:p>
    <w:p w14:paraId="2530383F">
      <w:pPr>
        <w:pStyle w:val="4"/>
        <w:bidi w:val="0"/>
        <w:rPr>
          <w:rFonts w:hint="eastAsia"/>
          <w:color w:val="auto"/>
          <w:lang w:val="en-US" w:eastAsia="zh-CN"/>
        </w:rPr>
      </w:pPr>
      <w:bookmarkStart w:id="29" w:name="_Toc1078"/>
      <w:r>
        <w:rPr>
          <w:rFonts w:hint="eastAsia"/>
          <w:color w:val="auto"/>
          <w:lang w:val="en-US" w:eastAsia="zh-CN"/>
        </w:rPr>
        <w:t>2.6.3地形地质</w:t>
      </w:r>
      <w:bookmarkEnd w:id="29"/>
    </w:p>
    <w:p w14:paraId="46F18677">
      <w:pPr>
        <w:rPr>
          <w:rFonts w:hint="eastAsia"/>
          <w:color w:val="auto"/>
          <w:lang w:val="en-US" w:eastAsia="zh-CN"/>
        </w:rPr>
      </w:pPr>
      <w:r>
        <w:rPr>
          <w:rFonts w:hint="eastAsia"/>
          <w:color w:val="auto"/>
          <w:lang w:val="en-US" w:eastAsia="zh-CN"/>
        </w:rPr>
        <w:t>九江属江湖平原与丘陵相混交连地区，地势西南高而东北低。东南和西南为低山高丘，庐山向南延伸境内，大步尖峰海拔664m，为最高点，西南岷山、长山、株岭山皆为幕阜余脉；中部多残丘岗地；北和东北系江湖冲积平原，海拔10m的新洲三角洲为最低处。</w:t>
      </w:r>
    </w:p>
    <w:p w14:paraId="43E875E8">
      <w:pPr>
        <w:rPr>
          <w:rFonts w:hint="eastAsia"/>
          <w:color w:val="auto"/>
          <w:lang w:val="en-US" w:eastAsia="zh-CN"/>
        </w:rPr>
      </w:pPr>
      <w:r>
        <w:rPr>
          <w:rFonts w:hint="eastAsia"/>
          <w:color w:val="auto"/>
          <w:lang w:val="en-US" w:eastAsia="zh-CN"/>
        </w:rPr>
        <w:t>码头镇地势西高东低，属丘陵滨江（湖）平原综合性地区。地质情况较简单，自北面江底至南陆上分布底层为志留系、上泥盆系、石炭系及二迭系，主要在镇西出露。镇下伏主要为二迭系地层，走向近东西，倾向南，倾角30°~40°。断裂带不甚发育，镇西南有一较大断裂。</w:t>
      </w:r>
    </w:p>
    <w:p w14:paraId="10605A9F">
      <w:pPr>
        <w:rPr>
          <w:rFonts w:hint="eastAsia"/>
          <w:color w:val="auto"/>
          <w:lang w:val="en-US" w:eastAsia="zh-CN"/>
        </w:rPr>
      </w:pPr>
      <w:r>
        <w:rPr>
          <w:rFonts w:hint="eastAsia"/>
          <w:color w:val="auto"/>
          <w:lang w:val="en-US" w:eastAsia="zh-CN"/>
        </w:rPr>
        <w:t>码头镇区一带，岸边丘陵，丘陵高程（黄海高程，下同）50～67.8m,凤凰山以西露基岩志留系砂页岩，码头镇、东狮子山基岩为石炭系、二迭系灰岩。岸边其他地段一般为高程18m左右的高漫滩阶地，地形平坦，第四系堆积物一般厚度约15～20m，上部主要为轻亚粘土、亚粘土，容许承载力为120kPa左右，局部可能存在承载力低（容许承载力60～80kPa）、压缩性高的淤泥质亚粘土。</w:t>
      </w:r>
    </w:p>
    <w:p w14:paraId="77B6387E">
      <w:pPr>
        <w:rPr>
          <w:rFonts w:hint="eastAsia"/>
          <w:color w:val="auto"/>
          <w:lang w:val="en-US" w:eastAsia="zh-CN"/>
        </w:rPr>
      </w:pPr>
      <w:r>
        <w:rPr>
          <w:rFonts w:hint="eastAsia"/>
          <w:color w:val="auto"/>
          <w:lang w:val="en-US" w:eastAsia="zh-CN"/>
        </w:rPr>
        <w:t>工程区域通过实地踏勘未发现崩岸、塌陷等不良地质灾害现象。</w:t>
      </w:r>
    </w:p>
    <w:p w14:paraId="4158D82B">
      <w:pPr>
        <w:pStyle w:val="4"/>
        <w:bidi w:val="0"/>
        <w:rPr>
          <w:rFonts w:hint="eastAsia"/>
          <w:color w:val="auto"/>
          <w:lang w:val="en-US" w:eastAsia="zh-CN"/>
        </w:rPr>
      </w:pPr>
      <w:bookmarkStart w:id="30" w:name="_Toc18190"/>
      <w:r>
        <w:rPr>
          <w:rFonts w:hint="eastAsia"/>
          <w:color w:val="auto"/>
          <w:lang w:val="en-US" w:eastAsia="zh-CN"/>
        </w:rPr>
        <w:t>2.6.4地震</w:t>
      </w:r>
      <w:bookmarkEnd w:id="30"/>
    </w:p>
    <w:p w14:paraId="79CE70BC">
      <w:pPr>
        <w:rPr>
          <w:rFonts w:hint="eastAsia"/>
          <w:color w:val="auto"/>
          <w:lang w:val="en-US" w:eastAsia="zh-CN"/>
        </w:rPr>
      </w:pPr>
      <w:r>
        <w:rPr>
          <w:rFonts w:hint="eastAsia"/>
          <w:color w:val="auto"/>
          <w:lang w:val="en-US" w:eastAsia="zh-CN"/>
        </w:rPr>
        <w:t>根据《中国地震动参数区划图》（GB18306-2015），九江瑞昌码头镇地震动峰值加速度为0.05g，地震动反应谱特征周期为0.35s，地震基本烈度为Ⅵ度。</w:t>
      </w:r>
    </w:p>
    <w:p w14:paraId="527358A1">
      <w:pPr>
        <w:rPr>
          <w:rFonts w:hint="eastAsia" w:ascii="Times New Roman" w:hAnsi="Times New Roman" w:eastAsia="宋体" w:cs="Times New Roman"/>
          <w:color w:val="auto"/>
          <w:lang w:val="en-US" w:eastAsia="zh-CN"/>
        </w:rPr>
      </w:pPr>
      <w:r>
        <w:rPr>
          <w:rFonts w:hint="eastAsia"/>
          <w:color w:val="auto"/>
          <w:lang w:val="en-US" w:eastAsia="zh-CN"/>
        </w:rPr>
        <w:t>本项目位于工程地震条件相对稳定地段，适宜工程建</w:t>
      </w:r>
      <w:r>
        <w:rPr>
          <w:rFonts w:hint="eastAsia" w:ascii="Times New Roman" w:hAnsi="Times New Roman" w:eastAsia="宋体" w:cs="Times New Roman"/>
          <w:color w:val="auto"/>
          <w:lang w:val="en-US" w:eastAsia="zh-CN"/>
        </w:rPr>
        <w:t>设，配电室按照本地6级抗震设防烈度设计和施工</w:t>
      </w:r>
      <w:r>
        <w:rPr>
          <w:rFonts w:hint="eastAsia" w:cs="Times New Roman"/>
          <w:color w:val="auto"/>
          <w:lang w:val="en-US" w:eastAsia="zh-CN"/>
        </w:rPr>
        <w:t>。</w:t>
      </w:r>
    </w:p>
    <w:p w14:paraId="6BBD7773">
      <w:pPr>
        <w:pStyle w:val="3"/>
        <w:bidi w:val="0"/>
        <w:rPr>
          <w:rFonts w:hint="default" w:ascii="Times New Roman" w:hAnsi="Times New Roman"/>
          <w:color w:val="auto"/>
          <w:lang w:val="en-US" w:eastAsia="zh-CN"/>
        </w:rPr>
      </w:pPr>
      <w:bookmarkStart w:id="31" w:name="_Toc17727"/>
      <w:r>
        <w:rPr>
          <w:rFonts w:hint="eastAsia" w:ascii="Times New Roman" w:hAnsi="Times New Roman"/>
          <w:color w:val="auto"/>
          <w:lang w:val="en-US" w:eastAsia="zh-CN"/>
        </w:rPr>
        <w:t>2.</w:t>
      </w:r>
      <w:r>
        <w:rPr>
          <w:rFonts w:hint="eastAsia"/>
          <w:color w:val="auto"/>
          <w:lang w:val="en-US" w:eastAsia="zh-CN"/>
        </w:rPr>
        <w:t>7</w:t>
      </w:r>
      <w:r>
        <w:rPr>
          <w:rFonts w:hint="eastAsia" w:ascii="Times New Roman" w:hAnsi="Times New Roman"/>
          <w:color w:val="auto"/>
          <w:lang w:val="en-US" w:eastAsia="zh-CN"/>
        </w:rPr>
        <w:t>总平面布</w:t>
      </w:r>
      <w:r>
        <w:rPr>
          <w:rFonts w:hint="eastAsia"/>
          <w:color w:val="auto"/>
          <w:lang w:val="en-US" w:eastAsia="zh-CN"/>
        </w:rPr>
        <w:t>置</w:t>
      </w:r>
      <w:r>
        <w:rPr>
          <w:rFonts w:hint="eastAsia" w:ascii="Times New Roman" w:hAnsi="Times New Roman"/>
          <w:color w:val="auto"/>
          <w:lang w:val="en-US" w:eastAsia="zh-CN"/>
        </w:rPr>
        <w:t>、主要建（构）物</w:t>
      </w:r>
      <w:bookmarkEnd w:id="31"/>
    </w:p>
    <w:p w14:paraId="2414F293">
      <w:pPr>
        <w:pStyle w:val="4"/>
        <w:bidi w:val="0"/>
        <w:rPr>
          <w:rFonts w:hint="eastAsia" w:ascii="Times New Roman" w:hAnsi="Times New Roman"/>
          <w:color w:val="auto"/>
          <w:lang w:val="en-US" w:eastAsia="zh-CN"/>
        </w:rPr>
      </w:pPr>
      <w:bookmarkStart w:id="32" w:name="_Toc18161"/>
      <w:r>
        <w:rPr>
          <w:rFonts w:hint="eastAsia" w:ascii="Times New Roman" w:hAnsi="Times New Roman"/>
          <w:color w:val="auto"/>
          <w:lang w:val="en-US" w:eastAsia="zh-CN"/>
        </w:rPr>
        <w:t>2.</w:t>
      </w:r>
      <w:r>
        <w:rPr>
          <w:rFonts w:hint="eastAsia"/>
          <w:color w:val="auto"/>
          <w:lang w:val="en-US" w:eastAsia="zh-CN"/>
        </w:rPr>
        <w:t>7</w:t>
      </w:r>
      <w:r>
        <w:rPr>
          <w:rFonts w:hint="eastAsia" w:ascii="Times New Roman" w:hAnsi="Times New Roman"/>
          <w:color w:val="auto"/>
          <w:lang w:val="en-US" w:eastAsia="zh-CN"/>
        </w:rPr>
        <w:t>.1总平面布置</w:t>
      </w:r>
      <w:bookmarkEnd w:id="32"/>
    </w:p>
    <w:p w14:paraId="083482CC">
      <w:pPr>
        <w:spacing w:line="360" w:lineRule="auto"/>
        <w:ind w:firstLine="560" w:firstLineChars="200"/>
        <w:rPr>
          <w:rFonts w:hint="eastAsia"/>
          <w:color w:val="auto"/>
          <w:lang w:val="en-US" w:eastAsia="zh-CN"/>
        </w:rPr>
      </w:pPr>
      <w:r>
        <w:rPr>
          <w:rFonts w:hint="eastAsia"/>
          <w:color w:val="auto"/>
          <w:lang w:val="en-US" w:eastAsia="zh-CN"/>
        </w:rPr>
        <w:t>本项目5#～6#脱硫装置整体位于厂内</w:t>
      </w:r>
      <w:r>
        <w:rPr>
          <w:rFonts w:hint="eastAsia"/>
          <w:color w:val="auto"/>
        </w:rPr>
        <w:t>西南侧</w:t>
      </w:r>
      <w:r>
        <w:rPr>
          <w:rFonts w:hint="eastAsia"/>
          <w:color w:val="auto"/>
          <w:lang w:eastAsia="zh-CN"/>
        </w:rPr>
        <w:t>，</w:t>
      </w:r>
      <w:r>
        <w:rPr>
          <w:rFonts w:hint="eastAsia"/>
          <w:color w:val="auto"/>
        </w:rPr>
        <w:t>6</w:t>
      </w:r>
      <w:r>
        <w:rPr>
          <w:rFonts w:hint="eastAsia"/>
          <w:color w:val="auto"/>
          <w:lang w:val="en-US" w:eastAsia="zh-CN"/>
        </w:rPr>
        <w:t>#</w:t>
      </w:r>
      <w:r>
        <w:rPr>
          <w:rFonts w:hint="eastAsia"/>
          <w:color w:val="auto"/>
        </w:rPr>
        <w:t>脱硫</w:t>
      </w:r>
      <w:r>
        <w:rPr>
          <w:rFonts w:hint="eastAsia"/>
          <w:color w:val="auto"/>
          <w:lang w:val="en-US" w:eastAsia="zh-CN"/>
        </w:rPr>
        <w:t>装置位于5#脱硫装置东南侧，分别布置于5#、6#生料磨旁。</w:t>
      </w:r>
    </w:p>
    <w:p w14:paraId="1A947E53">
      <w:pPr>
        <w:spacing w:line="360" w:lineRule="auto"/>
        <w:ind w:firstLine="560" w:firstLineChars="200"/>
        <w:rPr>
          <w:rFonts w:hint="default"/>
          <w:color w:val="auto"/>
          <w:lang w:val="en-US" w:eastAsia="zh-CN"/>
        </w:rPr>
      </w:pPr>
      <w:r>
        <w:rPr>
          <w:rFonts w:hint="eastAsia"/>
          <w:color w:val="auto"/>
          <w:lang w:val="en-US" w:eastAsia="zh-CN"/>
        </w:rPr>
        <w:t>石膏脱水系统及浆液排空系统位于5#～6#脱硫装置之间，临近5#脱硫装置。</w:t>
      </w:r>
    </w:p>
    <w:p w14:paraId="1A2E9386">
      <w:pPr>
        <w:spacing w:line="360" w:lineRule="auto"/>
        <w:ind w:firstLine="560" w:firstLineChars="200"/>
        <w:rPr>
          <w:rFonts w:hint="default" w:eastAsia="宋体"/>
          <w:color w:val="auto"/>
          <w:lang w:val="en-US" w:eastAsia="zh-CN"/>
        </w:rPr>
      </w:pPr>
      <w:r>
        <w:rPr>
          <w:rFonts w:hint="eastAsia"/>
          <w:color w:val="auto"/>
        </w:rPr>
        <w:t>配电室位于5</w:t>
      </w:r>
      <w:r>
        <w:rPr>
          <w:rFonts w:hint="eastAsia"/>
          <w:color w:val="auto"/>
          <w:lang w:val="en-US" w:eastAsia="zh-CN"/>
        </w:rPr>
        <w:t>#</w:t>
      </w:r>
      <w:r>
        <w:rPr>
          <w:rFonts w:hint="eastAsia"/>
          <w:color w:val="auto"/>
        </w:rPr>
        <w:t>脱硫装置西</w:t>
      </w:r>
      <w:r>
        <w:rPr>
          <w:rFonts w:hint="eastAsia"/>
          <w:color w:val="auto"/>
          <w:lang w:val="en-US" w:eastAsia="zh-CN"/>
        </w:rPr>
        <w:t>南</w:t>
      </w:r>
      <w:r>
        <w:rPr>
          <w:rFonts w:hint="eastAsia"/>
          <w:color w:val="auto"/>
        </w:rPr>
        <w:t>侧</w:t>
      </w:r>
      <w:r>
        <w:rPr>
          <w:rFonts w:hint="eastAsia"/>
          <w:color w:val="auto"/>
          <w:lang w:eastAsia="zh-CN"/>
        </w:rPr>
        <w:t>，</w:t>
      </w:r>
      <w:r>
        <w:rPr>
          <w:rFonts w:hint="eastAsia"/>
          <w:color w:val="auto"/>
          <w:lang w:val="en-US" w:eastAsia="zh-CN"/>
        </w:rPr>
        <w:t>旁边并排布置有两间变压器室和一间DCS室。</w:t>
      </w:r>
    </w:p>
    <w:p w14:paraId="488028DB">
      <w:pPr>
        <w:spacing w:line="360" w:lineRule="auto"/>
        <w:ind w:firstLine="560" w:firstLineChars="200"/>
        <w:rPr>
          <w:rFonts w:hint="eastAsia"/>
          <w:color w:val="auto"/>
        </w:rPr>
      </w:pPr>
      <w:r>
        <w:rPr>
          <w:rFonts w:hint="eastAsia"/>
          <w:color w:val="auto"/>
        </w:rPr>
        <w:t>厂区共设置有五个大门，设2个物流门、1个行政人流大门、2个应急门。第一物流门设在厂区东北侧的东南端，第二物流门设在厂区西北端，行政人流大门</w:t>
      </w:r>
      <w:r>
        <w:rPr>
          <w:rFonts w:hint="eastAsia"/>
          <w:color w:val="auto"/>
          <w:lang w:eastAsia="zh-CN"/>
        </w:rPr>
        <w:t>设在</w:t>
      </w:r>
      <w:r>
        <w:rPr>
          <w:rFonts w:hint="eastAsia"/>
          <w:color w:val="auto"/>
        </w:rPr>
        <w:t>厂区东侧，2个应急门分别设在厂区的北侧、西南端。</w:t>
      </w:r>
    </w:p>
    <w:p w14:paraId="2776B503">
      <w:pPr>
        <w:pStyle w:val="4"/>
        <w:bidi w:val="0"/>
        <w:rPr>
          <w:rFonts w:hint="default"/>
          <w:color w:val="auto"/>
          <w:lang w:val="en-US" w:eastAsia="zh-CN"/>
        </w:rPr>
      </w:pPr>
      <w:bookmarkStart w:id="33" w:name="_Toc7102"/>
      <w:r>
        <w:rPr>
          <w:rFonts w:hint="eastAsia"/>
          <w:color w:val="auto"/>
          <w:lang w:val="en-US" w:eastAsia="zh-CN"/>
        </w:rPr>
        <w:t>2.7.2竖向布置与绿化</w:t>
      </w:r>
      <w:bookmarkEnd w:id="33"/>
    </w:p>
    <w:p w14:paraId="6221060B">
      <w:pPr>
        <w:adjustRightInd w:val="0"/>
        <w:snapToGrid w:val="0"/>
        <w:spacing w:line="360" w:lineRule="auto"/>
        <w:ind w:firstLine="560" w:firstLineChars="200"/>
        <w:rPr>
          <w:rFonts w:hint="eastAsia" w:ascii="宋体" w:hAnsi="宋体" w:eastAsia="宋体" w:cs="宋体"/>
          <w:bCs/>
          <w:color w:val="auto"/>
        </w:rPr>
      </w:pPr>
      <w:r>
        <w:rPr>
          <w:rFonts w:hint="eastAsia" w:ascii="宋体" w:hAnsi="宋体" w:eastAsia="宋体" w:cs="宋体"/>
          <w:bCs/>
          <w:color w:val="auto"/>
        </w:rPr>
        <w:t>本项目竖向布置方式采用平坡式，具体标高与规划标高保持一致。</w:t>
      </w:r>
    </w:p>
    <w:p w14:paraId="3715D272">
      <w:pPr>
        <w:adjustRightInd w:val="0"/>
        <w:snapToGrid w:val="0"/>
        <w:spacing w:line="360" w:lineRule="auto"/>
        <w:ind w:firstLine="560" w:firstLineChars="200"/>
        <w:rPr>
          <w:rFonts w:hint="default" w:ascii="宋体" w:hAnsi="宋体" w:eastAsia="宋体" w:cs="宋体"/>
          <w:bCs/>
          <w:color w:val="auto"/>
          <w:lang w:val="en-US" w:eastAsia="zh-CN"/>
        </w:rPr>
      </w:pPr>
      <w:r>
        <w:rPr>
          <w:rFonts w:hint="eastAsia" w:ascii="宋体" w:hAnsi="宋体" w:cs="宋体"/>
          <w:bCs/>
          <w:color w:val="auto"/>
          <w:lang w:val="en-US" w:eastAsia="zh-CN"/>
        </w:rPr>
        <w:t>本项目排水</w:t>
      </w:r>
      <w:r>
        <w:rPr>
          <w:rFonts w:hint="eastAsia" w:ascii="宋体" w:hAnsi="宋体" w:eastAsia="宋体" w:cs="宋体"/>
          <w:bCs/>
          <w:color w:val="auto"/>
          <w:lang w:val="en-US" w:eastAsia="zh-CN"/>
        </w:rPr>
        <w:t>利用厂区原有排水系统，有排水沟。</w:t>
      </w:r>
    </w:p>
    <w:p w14:paraId="6A865FCE">
      <w:pPr>
        <w:pStyle w:val="4"/>
        <w:bidi w:val="0"/>
        <w:rPr>
          <w:rFonts w:hint="default"/>
          <w:color w:val="auto"/>
          <w:lang w:val="en-US" w:eastAsia="zh-CN"/>
        </w:rPr>
      </w:pPr>
      <w:bookmarkStart w:id="34" w:name="_Toc25498"/>
      <w:r>
        <w:rPr>
          <w:rFonts w:hint="eastAsia"/>
          <w:color w:val="auto"/>
          <w:lang w:val="en-US" w:eastAsia="zh-CN"/>
        </w:rPr>
        <w:t>2.7.3道路及运输</w:t>
      </w:r>
      <w:bookmarkEnd w:id="34"/>
    </w:p>
    <w:p w14:paraId="71770E16">
      <w:pPr>
        <w:rPr>
          <w:rFonts w:hint="eastAsia"/>
          <w:color w:val="auto"/>
          <w:lang w:val="en-US" w:eastAsia="zh-CN"/>
        </w:rPr>
      </w:pPr>
      <w:r>
        <w:rPr>
          <w:rFonts w:hint="eastAsia"/>
          <w:color w:val="auto"/>
          <w:lang w:val="en-US" w:eastAsia="zh-CN"/>
        </w:rPr>
        <w:t>本项目道路利用厂区原有道路。</w:t>
      </w:r>
      <w:r>
        <w:rPr>
          <w:rFonts w:hint="eastAsia"/>
          <w:color w:val="auto"/>
        </w:rPr>
        <w:t>厂区主道路宽度为8～12</w:t>
      </w:r>
      <w:r>
        <w:rPr>
          <w:rFonts w:hint="eastAsia"/>
          <w:color w:val="auto"/>
          <w:lang w:val="en-US" w:eastAsia="zh-CN"/>
        </w:rPr>
        <w:t>m</w:t>
      </w:r>
      <w:r>
        <w:rPr>
          <w:rFonts w:hint="eastAsia"/>
          <w:color w:val="auto"/>
        </w:rPr>
        <w:t>，消防道路结合厂区道路布置，宽度不小于4</w:t>
      </w:r>
      <w:r>
        <w:rPr>
          <w:rFonts w:hint="eastAsia"/>
          <w:color w:val="auto"/>
          <w:lang w:val="en-US" w:eastAsia="zh-CN"/>
        </w:rPr>
        <w:t>m</w:t>
      </w:r>
      <w:r>
        <w:rPr>
          <w:rFonts w:hint="eastAsia"/>
          <w:color w:val="auto"/>
          <w:lang w:eastAsia="zh-CN"/>
        </w:rPr>
        <w:t>，</w:t>
      </w:r>
      <w:r>
        <w:rPr>
          <w:rFonts w:hint="eastAsia"/>
          <w:color w:val="auto"/>
          <w:lang w:val="en-US" w:eastAsia="zh-CN"/>
        </w:rPr>
        <w:t>均为环形道路，转弯半径9m，满足消防及其他规范要求</w:t>
      </w:r>
      <w:r>
        <w:rPr>
          <w:rFonts w:hint="eastAsia"/>
          <w:color w:val="auto"/>
        </w:rPr>
        <w:t>。</w:t>
      </w:r>
    </w:p>
    <w:p w14:paraId="4D715C8C">
      <w:pPr>
        <w:rPr>
          <w:rFonts w:hint="eastAsia"/>
          <w:color w:val="auto"/>
          <w:lang w:val="en-US" w:eastAsia="zh-CN"/>
        </w:rPr>
      </w:pPr>
      <w:r>
        <w:rPr>
          <w:rFonts w:hint="eastAsia"/>
          <w:color w:val="auto"/>
          <w:lang w:val="en-US" w:eastAsia="zh-CN"/>
        </w:rPr>
        <w:t>5#脱硫装置西南侧道宽4m，东南侧道宽6m，西北侧道宽10m。</w:t>
      </w:r>
    </w:p>
    <w:p w14:paraId="367C9BC4">
      <w:pPr>
        <w:bidi w:val="0"/>
        <w:rPr>
          <w:rFonts w:hint="eastAsia"/>
          <w:color w:val="auto"/>
          <w:lang w:val="en-US" w:eastAsia="zh-CN"/>
        </w:rPr>
      </w:pPr>
      <w:r>
        <w:rPr>
          <w:rFonts w:hint="eastAsia"/>
          <w:color w:val="auto"/>
          <w:lang w:val="en-US" w:eastAsia="zh-CN"/>
        </w:rPr>
        <w:t>6#脱硫装置周边环形道路道宽均为8m。</w:t>
      </w:r>
    </w:p>
    <w:p w14:paraId="025E3C85">
      <w:pPr>
        <w:bidi w:val="0"/>
        <w:rPr>
          <w:rFonts w:hint="eastAsia"/>
          <w:color w:val="auto"/>
          <w:lang w:val="en-US" w:eastAsia="zh-CN"/>
        </w:rPr>
      </w:pPr>
      <w:r>
        <w:rPr>
          <w:rFonts w:hint="eastAsia"/>
          <w:color w:val="auto"/>
          <w:lang w:val="en-US" w:eastAsia="zh-CN"/>
        </w:rPr>
        <w:t>厂内道路与两侧建（构）筑物和露天装置之间满足安全、防火、通风、采光及卫生等的要求。厂内道路满足地上、地下管线，各种运输线路、人行道、绿化带等的布置要求。</w:t>
      </w:r>
    </w:p>
    <w:p w14:paraId="7D602D28">
      <w:pPr>
        <w:bidi w:val="0"/>
        <w:rPr>
          <w:rFonts w:hint="eastAsia"/>
          <w:color w:val="auto"/>
          <w:lang w:val="en-US" w:eastAsia="zh-CN"/>
        </w:rPr>
      </w:pPr>
      <w:r>
        <w:rPr>
          <w:rFonts w:hint="eastAsia"/>
          <w:color w:val="auto"/>
          <w:lang w:val="en-US" w:eastAsia="zh-CN"/>
        </w:rPr>
        <w:t>本项目厂区内主要道路环行布置，均可满足消防车通行，消防车均可达到每栋建筑物前。</w:t>
      </w:r>
    </w:p>
    <w:p w14:paraId="5FD88A61">
      <w:pPr>
        <w:bidi w:val="0"/>
        <w:rPr>
          <w:rFonts w:hint="eastAsia"/>
          <w:color w:val="auto"/>
          <w:lang w:val="en-US" w:eastAsia="zh-CN"/>
        </w:rPr>
      </w:pPr>
      <w:r>
        <w:rPr>
          <w:rFonts w:hint="eastAsia"/>
          <w:color w:val="auto"/>
          <w:lang w:val="en-US" w:eastAsia="zh-CN"/>
        </w:rPr>
        <w:t>当本项目的石膏料仓储存至三分之二时，使用车辆定期将石膏</w:t>
      </w:r>
      <w:r>
        <w:rPr>
          <w:rFonts w:hint="eastAsia"/>
          <w:bCs/>
          <w:color w:val="auto"/>
          <w:kern w:val="0"/>
          <w:lang w:val="zh-CN"/>
        </w:rPr>
        <w:t>运送至现有厂区水泥石膏堆场</w:t>
      </w:r>
      <w:r>
        <w:rPr>
          <w:rFonts w:hint="eastAsia"/>
          <w:color w:val="auto"/>
        </w:rPr>
        <w:t>。</w:t>
      </w:r>
    </w:p>
    <w:p w14:paraId="58E0A602">
      <w:pPr>
        <w:pStyle w:val="4"/>
        <w:bidi w:val="0"/>
        <w:rPr>
          <w:rFonts w:hint="eastAsia"/>
          <w:color w:val="auto"/>
          <w:lang w:val="en-US" w:eastAsia="zh-CN"/>
        </w:rPr>
      </w:pPr>
      <w:bookmarkStart w:id="35" w:name="_Toc32109"/>
      <w:r>
        <w:rPr>
          <w:rFonts w:hint="eastAsia"/>
          <w:color w:val="auto"/>
          <w:lang w:val="en-US" w:eastAsia="zh-CN"/>
        </w:rPr>
        <w:t>2.7.4建（构）筑物</w:t>
      </w:r>
      <w:bookmarkEnd w:id="35"/>
    </w:p>
    <w:p w14:paraId="4F045A5F">
      <w:pPr>
        <w:bidi w:val="0"/>
        <w:rPr>
          <w:color w:val="auto"/>
        </w:rPr>
      </w:pPr>
      <w:r>
        <w:rPr>
          <w:rFonts w:hint="eastAsia"/>
          <w:color w:val="auto"/>
          <w:lang w:val="en-US" w:eastAsia="zh-CN"/>
        </w:rPr>
        <w:t>本项目建（构）筑物为5#脱硫装置西南侧的配电室，火灾危险性为丙类，耐火等级二级，划分为3个防火分区：防火分区一为配电室及DCS室（178.35m</w:t>
      </w:r>
      <w:r>
        <w:rPr>
          <w:rFonts w:hint="eastAsia"/>
          <w:color w:val="auto"/>
          <w:vertAlign w:val="superscript"/>
          <w:lang w:val="en-US" w:eastAsia="zh-CN"/>
        </w:rPr>
        <w:t>2</w:t>
      </w:r>
      <w:r>
        <w:rPr>
          <w:rFonts w:hint="eastAsia"/>
          <w:color w:val="auto"/>
          <w:lang w:val="en-US" w:eastAsia="zh-CN"/>
        </w:rPr>
        <w:t>）、防火分区二、三分别为两间变压器室（均为14.04m</w:t>
      </w:r>
      <w:r>
        <w:rPr>
          <w:rFonts w:hint="eastAsia"/>
          <w:color w:val="auto"/>
          <w:vertAlign w:val="superscript"/>
          <w:lang w:val="en-US" w:eastAsia="zh-CN"/>
        </w:rPr>
        <w:t>2</w:t>
      </w:r>
      <w:r>
        <w:rPr>
          <w:rFonts w:hint="eastAsia"/>
          <w:color w:val="auto"/>
          <w:lang w:val="en-US" w:eastAsia="zh-CN"/>
        </w:rPr>
        <w:t>）。</w:t>
      </w:r>
    </w:p>
    <w:p w14:paraId="5D1CB9DA">
      <w:pPr>
        <w:rPr>
          <w:rFonts w:hint="eastAsia"/>
          <w:color w:val="auto"/>
          <w:lang w:val="en-US" w:eastAsia="zh-CN"/>
        </w:rPr>
      </w:pPr>
      <w:r>
        <w:rPr>
          <w:rFonts w:hint="eastAsia"/>
          <w:color w:val="auto"/>
          <w:lang w:val="en-US" w:eastAsia="zh-CN"/>
        </w:rPr>
        <w:t>相关情况见下表。</w:t>
      </w:r>
    </w:p>
    <w:p w14:paraId="23093C2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eastAsia="zh-CN"/>
        </w:rPr>
      </w:pPr>
      <w:r>
        <w:rPr>
          <w:rFonts w:hint="eastAsia"/>
          <w:color w:val="auto"/>
          <w:lang w:val="en-US" w:eastAsia="zh-CN"/>
        </w:rPr>
        <w:t>表2.7.4-1建（构）筑物一览表</w:t>
      </w:r>
    </w:p>
    <w:tbl>
      <w:tblPr>
        <w:tblStyle w:val="14"/>
        <w:tblW w:w="91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331"/>
        <w:gridCol w:w="703"/>
        <w:gridCol w:w="722"/>
        <w:gridCol w:w="1096"/>
        <w:gridCol w:w="675"/>
        <w:gridCol w:w="694"/>
        <w:gridCol w:w="891"/>
        <w:gridCol w:w="900"/>
        <w:gridCol w:w="1631"/>
      </w:tblGrid>
      <w:tr w14:paraId="5666A7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9" w:hRule="atLeast"/>
          <w:tblHeader/>
          <w:jc w:val="center"/>
        </w:trPr>
        <w:tc>
          <w:tcPr>
            <w:tcW w:w="545" w:type="dxa"/>
            <w:vAlign w:val="center"/>
          </w:tcPr>
          <w:p w14:paraId="7CF3FB0C">
            <w:pPr>
              <w:pStyle w:val="21"/>
              <w:bidi w:val="0"/>
              <w:rPr>
                <w:color w:val="auto"/>
              </w:rPr>
            </w:pPr>
            <w:r>
              <w:rPr>
                <w:color w:val="auto"/>
              </w:rPr>
              <w:t>序号</w:t>
            </w:r>
          </w:p>
        </w:tc>
        <w:tc>
          <w:tcPr>
            <w:tcW w:w="1331" w:type="dxa"/>
            <w:vAlign w:val="center"/>
          </w:tcPr>
          <w:p w14:paraId="71F4D309">
            <w:pPr>
              <w:pStyle w:val="21"/>
              <w:bidi w:val="0"/>
              <w:rPr>
                <w:color w:val="auto"/>
              </w:rPr>
            </w:pPr>
            <w:r>
              <w:rPr>
                <w:color w:val="auto"/>
              </w:rPr>
              <w:t>建筑物</w:t>
            </w:r>
          </w:p>
        </w:tc>
        <w:tc>
          <w:tcPr>
            <w:tcW w:w="703" w:type="dxa"/>
            <w:vAlign w:val="center"/>
          </w:tcPr>
          <w:p w14:paraId="7843CAD8">
            <w:pPr>
              <w:pStyle w:val="21"/>
              <w:bidi w:val="0"/>
              <w:rPr>
                <w:color w:val="auto"/>
              </w:rPr>
            </w:pPr>
            <w:r>
              <w:rPr>
                <w:color w:val="auto"/>
              </w:rPr>
              <w:t>层数</w:t>
            </w:r>
          </w:p>
        </w:tc>
        <w:tc>
          <w:tcPr>
            <w:tcW w:w="722" w:type="dxa"/>
            <w:vAlign w:val="center"/>
          </w:tcPr>
          <w:p w14:paraId="1A1B7809">
            <w:pPr>
              <w:pStyle w:val="21"/>
              <w:bidi w:val="0"/>
              <w:rPr>
                <w:color w:val="auto"/>
              </w:rPr>
            </w:pPr>
            <w:r>
              <w:rPr>
                <w:color w:val="auto"/>
              </w:rPr>
              <w:t>高度</w:t>
            </w:r>
          </w:p>
          <w:p w14:paraId="40910CCC">
            <w:pPr>
              <w:pStyle w:val="21"/>
              <w:bidi w:val="0"/>
              <w:rPr>
                <w:color w:val="auto"/>
              </w:rPr>
            </w:pPr>
            <w:r>
              <w:rPr>
                <w:color w:val="auto"/>
              </w:rPr>
              <w:t>m</w:t>
            </w:r>
          </w:p>
        </w:tc>
        <w:tc>
          <w:tcPr>
            <w:tcW w:w="1096" w:type="dxa"/>
            <w:vAlign w:val="center"/>
          </w:tcPr>
          <w:p w14:paraId="02E24E77">
            <w:pPr>
              <w:pStyle w:val="21"/>
              <w:bidi w:val="0"/>
              <w:rPr>
                <w:color w:val="auto"/>
              </w:rPr>
            </w:pPr>
            <w:r>
              <w:rPr>
                <w:color w:val="auto"/>
              </w:rPr>
              <w:t>结构</w:t>
            </w:r>
          </w:p>
        </w:tc>
        <w:tc>
          <w:tcPr>
            <w:tcW w:w="675" w:type="dxa"/>
            <w:vAlign w:val="center"/>
          </w:tcPr>
          <w:p w14:paraId="5499E309">
            <w:pPr>
              <w:pStyle w:val="21"/>
              <w:bidi w:val="0"/>
              <w:rPr>
                <w:color w:val="auto"/>
              </w:rPr>
            </w:pPr>
            <w:r>
              <w:rPr>
                <w:color w:val="auto"/>
              </w:rPr>
              <w:t>火灾类别</w:t>
            </w:r>
          </w:p>
        </w:tc>
        <w:tc>
          <w:tcPr>
            <w:tcW w:w="694" w:type="dxa"/>
            <w:vAlign w:val="center"/>
          </w:tcPr>
          <w:p w14:paraId="6D7B4C73">
            <w:pPr>
              <w:pStyle w:val="21"/>
              <w:bidi w:val="0"/>
              <w:rPr>
                <w:color w:val="auto"/>
              </w:rPr>
            </w:pPr>
            <w:r>
              <w:rPr>
                <w:color w:val="auto"/>
              </w:rPr>
              <w:t>耐火</w:t>
            </w:r>
          </w:p>
          <w:p w14:paraId="3103C413">
            <w:pPr>
              <w:pStyle w:val="21"/>
              <w:bidi w:val="0"/>
              <w:rPr>
                <w:color w:val="auto"/>
              </w:rPr>
            </w:pPr>
            <w:r>
              <w:rPr>
                <w:color w:val="auto"/>
              </w:rPr>
              <w:t>等级</w:t>
            </w:r>
          </w:p>
        </w:tc>
        <w:tc>
          <w:tcPr>
            <w:tcW w:w="891" w:type="dxa"/>
            <w:vAlign w:val="center"/>
          </w:tcPr>
          <w:p w14:paraId="0BA32576">
            <w:pPr>
              <w:pStyle w:val="21"/>
              <w:bidi w:val="0"/>
              <w:rPr>
                <w:color w:val="auto"/>
              </w:rPr>
            </w:pPr>
            <w:r>
              <w:rPr>
                <w:color w:val="auto"/>
              </w:rPr>
              <w:t>占地面积m</w:t>
            </w:r>
            <w:r>
              <w:rPr>
                <w:color w:val="auto"/>
                <w:vertAlign w:val="superscript"/>
              </w:rPr>
              <w:t>2</w:t>
            </w:r>
          </w:p>
        </w:tc>
        <w:tc>
          <w:tcPr>
            <w:tcW w:w="900" w:type="dxa"/>
            <w:vAlign w:val="center"/>
          </w:tcPr>
          <w:p w14:paraId="209C6F56">
            <w:pPr>
              <w:pStyle w:val="21"/>
              <w:bidi w:val="0"/>
              <w:rPr>
                <w:color w:val="auto"/>
              </w:rPr>
            </w:pPr>
            <w:r>
              <w:rPr>
                <w:color w:val="auto"/>
              </w:rPr>
              <w:t>建筑面积m</w:t>
            </w:r>
            <w:r>
              <w:rPr>
                <w:color w:val="auto"/>
                <w:vertAlign w:val="superscript"/>
              </w:rPr>
              <w:t>2</w:t>
            </w:r>
          </w:p>
        </w:tc>
        <w:tc>
          <w:tcPr>
            <w:tcW w:w="1631" w:type="dxa"/>
            <w:vAlign w:val="center"/>
          </w:tcPr>
          <w:p w14:paraId="45C86D8C">
            <w:pPr>
              <w:pStyle w:val="21"/>
              <w:bidi w:val="0"/>
              <w:rPr>
                <w:color w:val="auto"/>
              </w:rPr>
            </w:pPr>
            <w:r>
              <w:rPr>
                <w:color w:val="auto"/>
              </w:rPr>
              <w:t>备 注</w:t>
            </w:r>
          </w:p>
        </w:tc>
      </w:tr>
      <w:tr w14:paraId="31CD0E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545" w:type="dxa"/>
            <w:vAlign w:val="center"/>
          </w:tcPr>
          <w:p w14:paraId="5D6317CF">
            <w:pPr>
              <w:pStyle w:val="20"/>
              <w:bidi w:val="0"/>
              <w:rPr>
                <w:color w:val="auto"/>
              </w:rPr>
            </w:pPr>
            <w:r>
              <w:rPr>
                <w:color w:val="auto"/>
              </w:rPr>
              <w:t>1</w:t>
            </w:r>
          </w:p>
        </w:tc>
        <w:tc>
          <w:tcPr>
            <w:tcW w:w="1331" w:type="dxa"/>
            <w:vAlign w:val="center"/>
          </w:tcPr>
          <w:p w14:paraId="0B10FE3E">
            <w:pPr>
              <w:pStyle w:val="20"/>
              <w:bidi w:val="0"/>
              <w:rPr>
                <w:color w:val="auto"/>
              </w:rPr>
            </w:pPr>
            <w:r>
              <w:rPr>
                <w:rFonts w:hint="eastAsia"/>
                <w:color w:val="auto"/>
              </w:rPr>
              <w:t>配电室</w:t>
            </w:r>
          </w:p>
        </w:tc>
        <w:tc>
          <w:tcPr>
            <w:tcW w:w="703" w:type="dxa"/>
            <w:vAlign w:val="center"/>
          </w:tcPr>
          <w:p w14:paraId="684AE445">
            <w:pPr>
              <w:pStyle w:val="20"/>
              <w:bidi w:val="0"/>
              <w:rPr>
                <w:color w:val="auto"/>
              </w:rPr>
            </w:pPr>
            <w:r>
              <w:rPr>
                <w:rFonts w:hint="eastAsia"/>
                <w:color w:val="auto"/>
              </w:rPr>
              <w:t>1</w:t>
            </w:r>
          </w:p>
        </w:tc>
        <w:tc>
          <w:tcPr>
            <w:tcW w:w="722" w:type="dxa"/>
            <w:vAlign w:val="center"/>
          </w:tcPr>
          <w:p w14:paraId="444041CE">
            <w:pPr>
              <w:pStyle w:val="20"/>
              <w:bidi w:val="0"/>
              <w:rPr>
                <w:color w:val="auto"/>
              </w:rPr>
            </w:pPr>
            <w:r>
              <w:rPr>
                <w:rFonts w:hint="eastAsia"/>
                <w:color w:val="auto"/>
              </w:rPr>
              <w:t>5</w:t>
            </w:r>
          </w:p>
        </w:tc>
        <w:tc>
          <w:tcPr>
            <w:tcW w:w="1096" w:type="dxa"/>
            <w:vAlign w:val="center"/>
          </w:tcPr>
          <w:p w14:paraId="5BA0E565">
            <w:pPr>
              <w:pStyle w:val="20"/>
              <w:bidi w:val="0"/>
              <w:rPr>
                <w:color w:val="auto"/>
              </w:rPr>
            </w:pPr>
            <w:r>
              <w:rPr>
                <w:rFonts w:hint="eastAsia"/>
                <w:color w:val="auto"/>
              </w:rPr>
              <w:t>砖混结构</w:t>
            </w:r>
          </w:p>
        </w:tc>
        <w:tc>
          <w:tcPr>
            <w:tcW w:w="675" w:type="dxa"/>
            <w:vAlign w:val="center"/>
          </w:tcPr>
          <w:p w14:paraId="57E9689F">
            <w:pPr>
              <w:pStyle w:val="20"/>
              <w:bidi w:val="0"/>
              <w:rPr>
                <w:color w:val="auto"/>
              </w:rPr>
            </w:pPr>
            <w:r>
              <w:rPr>
                <w:rFonts w:hint="eastAsia"/>
                <w:color w:val="auto"/>
              </w:rPr>
              <w:t>丙类</w:t>
            </w:r>
          </w:p>
        </w:tc>
        <w:tc>
          <w:tcPr>
            <w:tcW w:w="694" w:type="dxa"/>
            <w:vAlign w:val="center"/>
          </w:tcPr>
          <w:p w14:paraId="552396C5">
            <w:pPr>
              <w:pStyle w:val="20"/>
              <w:bidi w:val="0"/>
              <w:rPr>
                <w:color w:val="auto"/>
              </w:rPr>
            </w:pPr>
            <w:r>
              <w:rPr>
                <w:rFonts w:hint="eastAsia"/>
                <w:color w:val="auto"/>
                <w:lang w:eastAsia="en-US"/>
              </w:rPr>
              <w:t>二级</w:t>
            </w:r>
          </w:p>
        </w:tc>
        <w:tc>
          <w:tcPr>
            <w:tcW w:w="891" w:type="dxa"/>
            <w:vAlign w:val="center"/>
          </w:tcPr>
          <w:p w14:paraId="0EA8A491">
            <w:pPr>
              <w:pStyle w:val="20"/>
              <w:bidi w:val="0"/>
              <w:rPr>
                <w:color w:val="auto"/>
              </w:rPr>
            </w:pPr>
            <w:r>
              <w:rPr>
                <w:rFonts w:hint="eastAsia"/>
                <w:color w:val="auto"/>
              </w:rPr>
              <w:t>206</w:t>
            </w:r>
          </w:p>
        </w:tc>
        <w:tc>
          <w:tcPr>
            <w:tcW w:w="900" w:type="dxa"/>
            <w:vAlign w:val="center"/>
          </w:tcPr>
          <w:p w14:paraId="359C21DC">
            <w:pPr>
              <w:pStyle w:val="20"/>
              <w:bidi w:val="0"/>
              <w:rPr>
                <w:color w:val="auto"/>
              </w:rPr>
            </w:pPr>
            <w:r>
              <w:rPr>
                <w:rFonts w:hint="eastAsia"/>
                <w:color w:val="auto"/>
              </w:rPr>
              <w:t>206</w:t>
            </w:r>
          </w:p>
        </w:tc>
        <w:tc>
          <w:tcPr>
            <w:tcW w:w="1631" w:type="dxa"/>
            <w:vAlign w:val="center"/>
          </w:tcPr>
          <w:p w14:paraId="3A49F454">
            <w:pPr>
              <w:pStyle w:val="20"/>
              <w:bidi w:val="0"/>
              <w:rPr>
                <w:color w:val="auto"/>
              </w:rPr>
            </w:pPr>
            <w:r>
              <w:rPr>
                <w:rFonts w:hint="eastAsia"/>
                <w:color w:val="auto"/>
              </w:rPr>
              <w:t>仅供本项目脱硫设备使用</w:t>
            </w:r>
          </w:p>
        </w:tc>
      </w:tr>
    </w:tbl>
    <w:p w14:paraId="0390C154">
      <w:pPr>
        <w:rPr>
          <w:rFonts w:hint="eastAsia"/>
          <w:color w:val="auto"/>
          <w:lang w:val="en-US" w:eastAsia="zh-CN"/>
        </w:rPr>
      </w:pPr>
      <w:r>
        <w:rPr>
          <w:rFonts w:hint="eastAsia"/>
          <w:color w:val="auto"/>
          <w:lang w:val="en-US" w:eastAsia="zh-CN"/>
        </w:rPr>
        <w:t>与周边建筑的防火间距情况见下表。</w:t>
      </w:r>
    </w:p>
    <w:p w14:paraId="17F7854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eastAsia="zh-CN"/>
        </w:rPr>
      </w:pPr>
      <w:r>
        <w:rPr>
          <w:rFonts w:hint="eastAsia"/>
          <w:color w:val="auto"/>
          <w:lang w:val="en-US" w:eastAsia="zh-CN"/>
        </w:rPr>
        <w:t>表2.7.4-2建构筑物之间防火间距一览表</w:t>
      </w:r>
    </w:p>
    <w:tbl>
      <w:tblPr>
        <w:tblStyle w:val="18"/>
        <w:tblW w:w="499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2696"/>
        <w:gridCol w:w="1984"/>
        <w:gridCol w:w="2393"/>
        <w:gridCol w:w="2027"/>
      </w:tblGrid>
      <w:tr w14:paraId="443955C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51" w:hRule="atLeast"/>
          <w:jc w:val="center"/>
        </w:trPr>
        <w:tc>
          <w:tcPr>
            <w:tcW w:w="1481" w:type="pct"/>
            <w:tcBorders>
              <w:tl2br w:val="nil"/>
              <w:tr2bl w:val="nil"/>
            </w:tcBorders>
            <w:vAlign w:val="center"/>
          </w:tcPr>
          <w:p w14:paraId="48F9AADE">
            <w:pPr>
              <w:pStyle w:val="21"/>
              <w:bidi w:val="0"/>
              <w:rPr>
                <w:color w:val="auto"/>
              </w:rPr>
            </w:pPr>
            <w:r>
              <w:rPr>
                <w:rFonts w:hint="eastAsia"/>
                <w:color w:val="auto"/>
              </w:rPr>
              <w:t>建（构）筑物</w:t>
            </w:r>
          </w:p>
          <w:p w14:paraId="10F1D149">
            <w:pPr>
              <w:pStyle w:val="21"/>
              <w:bidi w:val="0"/>
              <w:rPr>
                <w:color w:val="auto"/>
              </w:rPr>
            </w:pPr>
            <w:r>
              <w:rPr>
                <w:rFonts w:hint="eastAsia"/>
                <w:color w:val="auto"/>
              </w:rPr>
              <w:t>工艺装置名称</w:t>
            </w:r>
          </w:p>
        </w:tc>
        <w:tc>
          <w:tcPr>
            <w:tcW w:w="1090" w:type="pct"/>
            <w:tcBorders>
              <w:tl2br w:val="nil"/>
              <w:tr2bl w:val="nil"/>
            </w:tcBorders>
            <w:vAlign w:val="center"/>
          </w:tcPr>
          <w:p w14:paraId="54329578">
            <w:pPr>
              <w:pStyle w:val="21"/>
              <w:bidi w:val="0"/>
              <w:rPr>
                <w:color w:val="auto"/>
              </w:rPr>
            </w:pPr>
            <w:r>
              <w:rPr>
                <w:rFonts w:hint="eastAsia"/>
                <w:color w:val="auto"/>
              </w:rPr>
              <w:t>相对位置</w:t>
            </w:r>
          </w:p>
        </w:tc>
        <w:tc>
          <w:tcPr>
            <w:tcW w:w="1314" w:type="pct"/>
            <w:tcBorders>
              <w:tl2br w:val="nil"/>
              <w:tr2bl w:val="nil"/>
            </w:tcBorders>
            <w:vAlign w:val="center"/>
          </w:tcPr>
          <w:p w14:paraId="5DB6B5F8">
            <w:pPr>
              <w:pStyle w:val="21"/>
              <w:bidi w:val="0"/>
              <w:rPr>
                <w:color w:val="auto"/>
              </w:rPr>
            </w:pPr>
            <w:r>
              <w:rPr>
                <w:rFonts w:hint="eastAsia"/>
                <w:color w:val="auto"/>
              </w:rPr>
              <w:t>周边建筑</w:t>
            </w:r>
          </w:p>
        </w:tc>
        <w:tc>
          <w:tcPr>
            <w:tcW w:w="1113" w:type="pct"/>
            <w:tcBorders>
              <w:tl2br w:val="nil"/>
              <w:tr2bl w:val="nil"/>
            </w:tcBorders>
            <w:vAlign w:val="center"/>
          </w:tcPr>
          <w:p w14:paraId="08FE8B0F">
            <w:pPr>
              <w:pStyle w:val="21"/>
              <w:bidi w:val="0"/>
              <w:rPr>
                <w:color w:val="auto"/>
              </w:rPr>
            </w:pPr>
            <w:r>
              <w:rPr>
                <w:rFonts w:hint="eastAsia"/>
                <w:color w:val="auto"/>
              </w:rPr>
              <w:t>实测间距m</w:t>
            </w:r>
          </w:p>
        </w:tc>
      </w:tr>
      <w:tr w14:paraId="640309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481" w:type="pct"/>
            <w:vMerge w:val="restart"/>
            <w:tcBorders>
              <w:tl2br w:val="nil"/>
              <w:tr2bl w:val="nil"/>
            </w:tcBorders>
            <w:vAlign w:val="center"/>
          </w:tcPr>
          <w:p w14:paraId="48FE9B65">
            <w:pPr>
              <w:pStyle w:val="20"/>
              <w:bidi w:val="0"/>
              <w:rPr>
                <w:color w:val="auto"/>
              </w:rPr>
            </w:pPr>
            <w:r>
              <w:rPr>
                <w:rFonts w:hint="eastAsia"/>
                <w:color w:val="auto"/>
              </w:rPr>
              <w:t>配电室</w:t>
            </w:r>
          </w:p>
        </w:tc>
        <w:tc>
          <w:tcPr>
            <w:tcW w:w="1090" w:type="pct"/>
            <w:tcBorders>
              <w:tl2br w:val="nil"/>
              <w:tr2bl w:val="nil"/>
            </w:tcBorders>
            <w:vAlign w:val="center"/>
          </w:tcPr>
          <w:p w14:paraId="496A566B">
            <w:pPr>
              <w:pStyle w:val="20"/>
              <w:bidi w:val="0"/>
              <w:rPr>
                <w:color w:val="auto"/>
              </w:rPr>
            </w:pPr>
            <w:r>
              <w:rPr>
                <w:color w:val="auto"/>
              </w:rPr>
              <w:t>西</w:t>
            </w:r>
            <w:r>
              <w:rPr>
                <w:rFonts w:hint="eastAsia"/>
                <w:color w:val="auto"/>
              </w:rPr>
              <w:t>北</w:t>
            </w:r>
            <w:r>
              <w:rPr>
                <w:color w:val="auto"/>
              </w:rPr>
              <w:t>侧</w:t>
            </w:r>
          </w:p>
        </w:tc>
        <w:tc>
          <w:tcPr>
            <w:tcW w:w="1314" w:type="pct"/>
            <w:tcBorders>
              <w:tl2br w:val="nil"/>
              <w:tr2bl w:val="nil"/>
            </w:tcBorders>
            <w:vAlign w:val="center"/>
          </w:tcPr>
          <w:p w14:paraId="7F85940D">
            <w:pPr>
              <w:pStyle w:val="20"/>
              <w:bidi w:val="0"/>
              <w:rPr>
                <w:color w:val="auto"/>
              </w:rPr>
            </w:pPr>
            <w:r>
              <w:rPr>
                <w:rFonts w:hint="eastAsia"/>
                <w:color w:val="auto"/>
              </w:rPr>
              <w:t>厕所</w:t>
            </w:r>
          </w:p>
        </w:tc>
        <w:tc>
          <w:tcPr>
            <w:tcW w:w="1113" w:type="pct"/>
            <w:tcBorders>
              <w:tl2br w:val="nil"/>
              <w:tr2bl w:val="nil"/>
            </w:tcBorders>
            <w:vAlign w:val="center"/>
          </w:tcPr>
          <w:p w14:paraId="1F40F157">
            <w:pPr>
              <w:pStyle w:val="20"/>
              <w:bidi w:val="0"/>
              <w:rPr>
                <w:color w:val="auto"/>
              </w:rPr>
            </w:pPr>
            <w:r>
              <w:rPr>
                <w:color w:val="auto"/>
              </w:rPr>
              <w:t>6</w:t>
            </w:r>
            <w:r>
              <w:rPr>
                <w:rFonts w:hint="eastAsia"/>
                <w:color w:val="auto"/>
              </w:rPr>
              <w:t>.92</w:t>
            </w:r>
          </w:p>
        </w:tc>
      </w:tr>
      <w:tr w14:paraId="299631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1481" w:type="pct"/>
            <w:vMerge w:val="continue"/>
            <w:tcBorders>
              <w:tl2br w:val="nil"/>
              <w:tr2bl w:val="nil"/>
            </w:tcBorders>
            <w:vAlign w:val="center"/>
          </w:tcPr>
          <w:p w14:paraId="7622CFB3">
            <w:pPr>
              <w:pStyle w:val="20"/>
              <w:bidi w:val="0"/>
              <w:rPr>
                <w:color w:val="auto"/>
              </w:rPr>
            </w:pPr>
          </w:p>
        </w:tc>
        <w:tc>
          <w:tcPr>
            <w:tcW w:w="1090" w:type="pct"/>
            <w:vMerge w:val="restart"/>
            <w:tcBorders>
              <w:tl2br w:val="nil"/>
              <w:tr2bl w:val="nil"/>
            </w:tcBorders>
            <w:vAlign w:val="center"/>
          </w:tcPr>
          <w:p w14:paraId="180BFE7D">
            <w:pPr>
              <w:pStyle w:val="20"/>
              <w:bidi w:val="0"/>
              <w:rPr>
                <w:color w:val="auto"/>
              </w:rPr>
            </w:pPr>
            <w:r>
              <w:rPr>
                <w:color w:val="auto"/>
              </w:rPr>
              <w:t>西南侧</w:t>
            </w:r>
          </w:p>
        </w:tc>
        <w:tc>
          <w:tcPr>
            <w:tcW w:w="1314" w:type="pct"/>
            <w:tcBorders>
              <w:tl2br w:val="nil"/>
              <w:tr2bl w:val="nil"/>
            </w:tcBorders>
            <w:vAlign w:val="center"/>
          </w:tcPr>
          <w:p w14:paraId="0D73019B">
            <w:pPr>
              <w:pStyle w:val="20"/>
              <w:bidi w:val="0"/>
              <w:rPr>
                <w:color w:val="auto"/>
              </w:rPr>
            </w:pPr>
            <w:r>
              <w:rPr>
                <w:rFonts w:hint="eastAsia"/>
                <w:color w:val="auto"/>
              </w:rPr>
              <w:t>道路路边</w:t>
            </w:r>
          </w:p>
        </w:tc>
        <w:tc>
          <w:tcPr>
            <w:tcW w:w="1113" w:type="pct"/>
            <w:tcBorders>
              <w:tl2br w:val="nil"/>
              <w:tr2bl w:val="nil"/>
            </w:tcBorders>
            <w:vAlign w:val="center"/>
          </w:tcPr>
          <w:p w14:paraId="07792D95">
            <w:pPr>
              <w:pStyle w:val="20"/>
              <w:bidi w:val="0"/>
              <w:rPr>
                <w:color w:val="auto"/>
              </w:rPr>
            </w:pPr>
            <w:r>
              <w:rPr>
                <w:rFonts w:hint="eastAsia"/>
                <w:color w:val="auto"/>
              </w:rPr>
              <w:t>6.28</w:t>
            </w:r>
          </w:p>
        </w:tc>
      </w:tr>
      <w:tr w14:paraId="155E7E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81" w:type="pct"/>
            <w:vMerge w:val="continue"/>
            <w:tcBorders>
              <w:tl2br w:val="nil"/>
              <w:tr2bl w:val="nil"/>
            </w:tcBorders>
            <w:vAlign w:val="center"/>
          </w:tcPr>
          <w:p w14:paraId="7C8D5A94">
            <w:pPr>
              <w:pStyle w:val="20"/>
              <w:bidi w:val="0"/>
              <w:rPr>
                <w:color w:val="auto"/>
              </w:rPr>
            </w:pPr>
          </w:p>
        </w:tc>
        <w:tc>
          <w:tcPr>
            <w:tcW w:w="1090" w:type="pct"/>
            <w:vMerge w:val="continue"/>
            <w:tcBorders>
              <w:tl2br w:val="nil"/>
              <w:tr2bl w:val="nil"/>
            </w:tcBorders>
            <w:vAlign w:val="center"/>
          </w:tcPr>
          <w:p w14:paraId="6B3DAFA1">
            <w:pPr>
              <w:pStyle w:val="20"/>
              <w:bidi w:val="0"/>
              <w:rPr>
                <w:color w:val="auto"/>
              </w:rPr>
            </w:pPr>
          </w:p>
        </w:tc>
        <w:tc>
          <w:tcPr>
            <w:tcW w:w="1314" w:type="pct"/>
            <w:tcBorders>
              <w:tl2br w:val="nil"/>
              <w:tr2bl w:val="nil"/>
            </w:tcBorders>
            <w:vAlign w:val="center"/>
          </w:tcPr>
          <w:p w14:paraId="7EA37086">
            <w:pPr>
              <w:pStyle w:val="20"/>
              <w:bidi w:val="0"/>
              <w:rPr>
                <w:color w:val="auto"/>
              </w:rPr>
            </w:pPr>
            <w:r>
              <w:rPr>
                <w:rFonts w:hint="eastAsia"/>
                <w:color w:val="auto"/>
              </w:rPr>
              <w:t>配料站</w:t>
            </w:r>
          </w:p>
        </w:tc>
        <w:tc>
          <w:tcPr>
            <w:tcW w:w="1113" w:type="pct"/>
            <w:tcBorders>
              <w:tl2br w:val="nil"/>
              <w:tr2bl w:val="nil"/>
            </w:tcBorders>
            <w:vAlign w:val="center"/>
          </w:tcPr>
          <w:p w14:paraId="40720B8A">
            <w:pPr>
              <w:pStyle w:val="20"/>
              <w:bidi w:val="0"/>
              <w:rPr>
                <w:color w:val="auto"/>
              </w:rPr>
            </w:pPr>
            <w:r>
              <w:rPr>
                <w:rFonts w:hint="eastAsia"/>
                <w:color w:val="auto"/>
              </w:rPr>
              <w:t>17.56</w:t>
            </w:r>
          </w:p>
        </w:tc>
      </w:tr>
    </w:tbl>
    <w:p w14:paraId="621B1C4A">
      <w:pPr>
        <w:keepNext/>
        <w:spacing w:line="360" w:lineRule="auto"/>
        <w:jc w:val="center"/>
        <w:rPr>
          <w:color w:val="auto"/>
          <w:highlight w:val="yellow"/>
        </w:rPr>
      </w:pPr>
    </w:p>
    <w:p w14:paraId="00EAACF5">
      <w:pPr>
        <w:rPr>
          <w:rFonts w:hint="eastAsia"/>
          <w:bCs/>
          <w:color w:val="auto"/>
          <w:lang w:eastAsia="zh-CN"/>
        </w:rPr>
      </w:pPr>
      <w:r>
        <w:rPr>
          <w:rFonts w:hint="eastAsia" w:ascii="Times New Roman" w:hAnsi="Times New Roman"/>
          <w:bCs/>
          <w:color w:val="auto"/>
          <w:sz w:val="28"/>
        </w:rPr>
        <w:t>配电室</w:t>
      </w:r>
      <w:r>
        <w:rPr>
          <w:rFonts w:ascii="Times New Roman" w:hAnsi="Times New Roman"/>
          <w:bCs/>
          <w:color w:val="auto"/>
          <w:sz w:val="28"/>
        </w:rPr>
        <w:t>的安全出口分散布置。</w:t>
      </w:r>
      <w:r>
        <w:rPr>
          <w:rFonts w:hint="eastAsia" w:ascii="Times New Roman" w:hAnsi="Times New Roman"/>
          <w:bCs/>
          <w:color w:val="auto"/>
          <w:sz w:val="28"/>
        </w:rPr>
        <w:t>在配电室西北侧和东南侧分别设置一个安全出口</w:t>
      </w:r>
      <w:r>
        <w:rPr>
          <w:rFonts w:hint="eastAsia" w:ascii="Times New Roman" w:hAnsi="Times New Roman"/>
          <w:bCs/>
          <w:color w:val="auto"/>
          <w:sz w:val="28"/>
          <w:lang w:eastAsia="zh-CN"/>
        </w:rPr>
        <w:t>，</w:t>
      </w:r>
      <w:r>
        <w:rPr>
          <w:rFonts w:hint="eastAsia" w:ascii="Times New Roman" w:hAnsi="Times New Roman"/>
          <w:bCs/>
          <w:color w:val="auto"/>
          <w:sz w:val="28"/>
          <w:lang w:val="en-US" w:eastAsia="zh-CN"/>
        </w:rPr>
        <w:t>两间变压器室分别设置一个独立的安全出口</w:t>
      </w:r>
      <w:r>
        <w:rPr>
          <w:rFonts w:hint="eastAsia"/>
          <w:bCs/>
          <w:color w:val="auto"/>
          <w:sz w:val="28"/>
          <w:lang w:val="en-US" w:eastAsia="zh-CN"/>
        </w:rPr>
        <w:t>，均为向外开启的乙级防火门，装弹簧锁</w:t>
      </w:r>
      <w:r>
        <w:rPr>
          <w:rFonts w:hint="eastAsia" w:ascii="Times New Roman" w:hAnsi="Times New Roman"/>
          <w:bCs/>
          <w:color w:val="auto"/>
          <w:sz w:val="28"/>
          <w:lang w:val="en-US" w:eastAsia="zh-CN"/>
        </w:rPr>
        <w:t>。</w:t>
      </w:r>
      <w:r>
        <w:rPr>
          <w:rFonts w:hint="eastAsia"/>
          <w:bCs/>
          <w:color w:val="auto"/>
          <w:highlight w:val="none"/>
        </w:rPr>
        <w:t>门口设挡鼠板、窗户上设纱网、封堵电缆进口等</w:t>
      </w:r>
      <w:r>
        <w:rPr>
          <w:rFonts w:hint="eastAsia"/>
          <w:bCs/>
          <w:color w:val="auto"/>
          <w:highlight w:val="none"/>
          <w:lang w:val="en-US" w:eastAsia="zh-CN"/>
        </w:rPr>
        <w:t>措施</w:t>
      </w:r>
      <w:r>
        <w:rPr>
          <w:rFonts w:hint="eastAsia"/>
          <w:bCs/>
          <w:color w:val="auto"/>
          <w:highlight w:val="none"/>
        </w:rPr>
        <w:t>防</w:t>
      </w:r>
      <w:r>
        <w:rPr>
          <w:rFonts w:hint="eastAsia"/>
          <w:bCs/>
          <w:color w:val="auto"/>
        </w:rPr>
        <w:t>止老鼠等动物进入</w:t>
      </w:r>
      <w:r>
        <w:rPr>
          <w:rFonts w:hint="eastAsia"/>
          <w:bCs/>
          <w:color w:val="auto"/>
          <w:lang w:eastAsia="zh-CN"/>
        </w:rPr>
        <w:t>。</w:t>
      </w:r>
    </w:p>
    <w:p w14:paraId="25129CAB">
      <w:pPr>
        <w:rPr>
          <w:rFonts w:hint="eastAsia"/>
          <w:bCs/>
          <w:color w:val="auto"/>
          <w:lang w:val="en-US" w:eastAsia="zh-CN"/>
        </w:rPr>
      </w:pPr>
      <w:r>
        <w:rPr>
          <w:rFonts w:hint="eastAsia"/>
          <w:bCs/>
          <w:color w:val="auto"/>
          <w:lang w:val="en-US" w:eastAsia="zh-CN"/>
        </w:rPr>
        <w:t>配电室的门上设有“高压危险”的警示牌，用电设备旁树“有电危险”的警示牌，低压配电室的门上有“有电危险”的警示牌，高压配电柜前铺设耐高压的橡胶绝缘垫；低压配电柜前铺设橡胶绝缘垫。全厂按有关规范要求，设计了工作接地，保护接地，防雷、防静电接地和火灾报警系统接地的联合接地系统。</w:t>
      </w:r>
    </w:p>
    <w:p w14:paraId="60ADC00C">
      <w:pPr>
        <w:rPr>
          <w:rFonts w:hint="eastAsia"/>
          <w:bCs/>
          <w:color w:val="auto"/>
          <w:lang w:val="en-US" w:eastAsia="zh-CN"/>
        </w:rPr>
      </w:pPr>
      <w:r>
        <w:rPr>
          <w:rFonts w:hint="eastAsia"/>
          <w:bCs/>
          <w:color w:val="auto"/>
          <w:lang w:val="en-US" w:eastAsia="zh-CN"/>
        </w:rPr>
        <w:t>油浸式变压器室设置贮油坑及公共集油池，并放置变压器鹅卵石用来防火以及卸油。</w:t>
      </w:r>
    </w:p>
    <w:p w14:paraId="5336B551">
      <w:pPr>
        <w:rPr>
          <w:rFonts w:hint="eastAsia"/>
          <w:bCs/>
          <w:color w:val="auto"/>
          <w:lang w:val="en-US" w:eastAsia="zh-CN"/>
        </w:rPr>
      </w:pPr>
      <w:r>
        <w:rPr>
          <w:rFonts w:hint="eastAsia"/>
          <w:bCs/>
          <w:color w:val="auto"/>
          <w:lang w:val="en-US" w:eastAsia="zh-CN"/>
        </w:rPr>
        <w:t>配电室的防火墙、房间隔墙选用240mm粘土多孔砖墙，耐火极限3.0h以上，柱采用C30混凝土浇筑，耐火极限2.5h；屋面采用钢筋混凝土现浇屋面板，耐火极限1.0h，梁采用C30混凝土浇筑，耐火极限1.5h。满足二级耐火等级建筑要求。</w:t>
      </w:r>
    </w:p>
    <w:p w14:paraId="00BE3850">
      <w:pPr>
        <w:pStyle w:val="3"/>
        <w:bidi w:val="0"/>
        <w:rPr>
          <w:rFonts w:hint="eastAsia"/>
          <w:color w:val="auto"/>
          <w:lang w:val="en-US" w:eastAsia="zh-CN"/>
        </w:rPr>
      </w:pPr>
      <w:bookmarkStart w:id="36" w:name="_Toc20272"/>
      <w:r>
        <w:rPr>
          <w:rFonts w:hint="eastAsia"/>
          <w:color w:val="auto"/>
          <w:lang w:val="en-US" w:eastAsia="zh-CN"/>
        </w:rPr>
        <w:t>2.8工艺流程</w:t>
      </w:r>
      <w:bookmarkEnd w:id="36"/>
    </w:p>
    <w:p w14:paraId="47965901">
      <w:pPr>
        <w:pStyle w:val="4"/>
        <w:bidi w:val="0"/>
        <w:rPr>
          <w:rFonts w:hint="eastAsia"/>
          <w:color w:val="auto"/>
          <w:lang w:val="en-US" w:eastAsia="zh-CN"/>
        </w:rPr>
      </w:pPr>
      <w:bookmarkStart w:id="37" w:name="_Toc25054"/>
      <w:r>
        <w:rPr>
          <w:rFonts w:hint="eastAsia"/>
          <w:color w:val="auto"/>
          <w:lang w:val="en-US" w:eastAsia="zh-CN"/>
        </w:rPr>
        <w:t>2.8.1</w:t>
      </w:r>
      <w:r>
        <w:rPr>
          <w:color w:val="auto"/>
        </w:rPr>
        <w:t>工艺流程</w:t>
      </w:r>
      <w:r>
        <w:rPr>
          <w:rFonts w:hint="eastAsia"/>
          <w:color w:val="auto"/>
          <w:lang w:val="en-US" w:eastAsia="zh-CN"/>
        </w:rPr>
        <w:t>简述</w:t>
      </w:r>
      <w:bookmarkEnd w:id="37"/>
    </w:p>
    <w:p w14:paraId="15ABF371">
      <w:pPr>
        <w:spacing w:line="360" w:lineRule="auto"/>
        <w:ind w:firstLine="560" w:firstLineChars="200"/>
        <w:rPr>
          <w:color w:val="auto"/>
          <w:lang w:val="zh-CN"/>
        </w:rPr>
      </w:pPr>
      <w:r>
        <w:rPr>
          <w:rFonts w:hint="eastAsia"/>
          <w:color w:val="auto"/>
          <w:lang w:val="zh-CN"/>
        </w:rPr>
        <w:t>石灰石-石膏湿法脱硫工艺化学原理如下：</w:t>
      </w:r>
    </w:p>
    <w:p w14:paraId="364BC6D0">
      <w:pPr>
        <w:spacing w:line="360" w:lineRule="auto"/>
        <w:ind w:firstLine="560" w:firstLineChars="200"/>
        <w:rPr>
          <w:color w:val="auto"/>
          <w:lang w:val="zh-CN"/>
        </w:rPr>
      </w:pPr>
      <w:r>
        <w:rPr>
          <w:rFonts w:hint="eastAsia"/>
          <w:color w:val="auto"/>
          <w:lang w:val="en-US" w:eastAsia="zh-CN"/>
        </w:rPr>
        <w:t>1.</w:t>
      </w:r>
      <w:r>
        <w:rPr>
          <w:rFonts w:hint="eastAsia"/>
          <w:color w:val="auto"/>
          <w:lang w:val="zh-CN"/>
        </w:rPr>
        <w:t>烟气中的二氧化硫溶解于水，生成亚硫酸并解离成氢离子和HSO</w:t>
      </w:r>
      <w:r>
        <w:rPr>
          <w:rFonts w:hint="eastAsia"/>
          <w:color w:val="auto"/>
          <w:vertAlign w:val="subscript"/>
          <w:lang w:val="zh-CN"/>
        </w:rPr>
        <w:t>3</w:t>
      </w:r>
      <w:r>
        <w:rPr>
          <w:rFonts w:hint="eastAsia"/>
          <w:color w:val="auto"/>
          <w:vertAlign w:val="superscript"/>
          <w:lang w:val="zh-CN"/>
        </w:rPr>
        <w:t>-</w:t>
      </w:r>
      <w:r>
        <w:rPr>
          <w:rFonts w:hint="eastAsia"/>
          <w:color w:val="auto"/>
          <w:lang w:val="zh-CN"/>
        </w:rPr>
        <w:t>离子；</w:t>
      </w:r>
    </w:p>
    <w:p w14:paraId="20985A04">
      <w:pPr>
        <w:spacing w:line="360" w:lineRule="auto"/>
        <w:ind w:firstLine="480" w:firstLineChars="200"/>
        <w:jc w:val="center"/>
        <w:rPr>
          <w:color w:val="auto"/>
          <w:sz w:val="24"/>
        </w:rPr>
      </w:pPr>
      <m:oMathPara>
        <m:oMath>
          <m:sSub>
            <m:sSubPr>
              <m:ctrlPr>
                <w:rPr>
                  <w:rFonts w:ascii="Cambria Math" w:hAnsi="Cambria Math"/>
                  <w:color w:val="auto"/>
                  <w:sz w:val="24"/>
                </w:rPr>
              </m:ctrlPr>
            </m:sSubPr>
            <m:e>
              <m:r>
                <m:rPr/>
                <w:rPr>
                  <w:rFonts w:ascii="Cambria Math" w:hAnsi="Cambria Math"/>
                  <w:color w:val="auto"/>
                  <w:sz w:val="24"/>
                </w:rPr>
                <m:t>SO</m:t>
              </m:r>
              <m:ctrlPr>
                <w:rPr>
                  <w:rFonts w:ascii="Cambria Math" w:hAnsi="Cambria Math"/>
                  <w:color w:val="auto"/>
                  <w:sz w:val="24"/>
                </w:rPr>
              </m:ctrlPr>
            </m:e>
            <m:sub>
              <m:r>
                <m:rPr/>
                <w:rPr>
                  <w:rFonts w:ascii="Cambria Math" w:hAnsi="Cambria Math"/>
                  <w:color w:val="auto"/>
                  <w:sz w:val="24"/>
                </w:rPr>
                <m:t>2</m:t>
              </m:r>
              <m:ctrlPr>
                <w:rPr>
                  <w:rFonts w:ascii="Cambria Math" w:hAnsi="Cambria Math"/>
                  <w:color w:val="auto"/>
                  <w:sz w:val="24"/>
                </w:rPr>
              </m:ctrlPr>
            </m:sub>
          </m:sSub>
          <m:r>
            <m:rPr>
              <m:sty m:val="p"/>
            </m:rPr>
            <w:rPr>
              <w:rFonts w:ascii="Cambria Math" w:hAnsi="Cambria Math"/>
              <w:color w:val="auto"/>
              <w:sz w:val="24"/>
            </w:rPr>
            <m:t>+</m:t>
          </m:r>
          <m:sSub>
            <m:sSubPr>
              <m:ctrlPr>
                <w:rPr>
                  <w:rFonts w:ascii="Cambria Math" w:hAnsi="Cambria Math"/>
                  <w:color w:val="auto"/>
                  <w:sz w:val="24"/>
                </w:rPr>
              </m:ctrlPr>
            </m:sSubPr>
            <m:e>
              <m:r>
                <m:rPr/>
                <w:rPr>
                  <w:rFonts w:ascii="Cambria Math" w:hAnsi="Cambria Math"/>
                  <w:color w:val="auto"/>
                  <w:sz w:val="24"/>
                </w:rPr>
                <m:t>H</m:t>
              </m:r>
              <m:ctrlPr>
                <w:rPr>
                  <w:rFonts w:ascii="Cambria Math" w:hAnsi="Cambria Math"/>
                  <w:color w:val="auto"/>
                  <w:sz w:val="24"/>
                </w:rPr>
              </m:ctrlPr>
            </m:e>
            <m:sub>
              <m:r>
                <m:rPr/>
                <w:rPr>
                  <w:rFonts w:ascii="Cambria Math" w:hAnsi="Cambria Math"/>
                  <w:color w:val="auto"/>
                  <w:sz w:val="24"/>
                </w:rPr>
                <m:t>2</m:t>
              </m:r>
              <m:ctrlPr>
                <w:rPr>
                  <w:rFonts w:ascii="Cambria Math" w:hAnsi="Cambria Math"/>
                  <w:color w:val="auto"/>
                  <w:sz w:val="24"/>
                </w:rPr>
              </m:ctrlPr>
            </m:sub>
          </m:sSub>
          <m:r>
            <m:rPr>
              <m:sty m:val="p"/>
            </m:rPr>
            <w:rPr>
              <w:rFonts w:ascii="Cambria Math" w:hAnsi="Cambria Math"/>
              <w:color w:val="auto"/>
              <w:sz w:val="24"/>
            </w:rPr>
            <m:t>O→</m:t>
          </m:r>
          <m:sSub>
            <m:sSubPr>
              <m:ctrlPr>
                <w:rPr>
                  <w:rFonts w:ascii="Cambria Math" w:hAnsi="Cambria Math"/>
                  <w:color w:val="auto"/>
                  <w:sz w:val="24"/>
                </w:rPr>
              </m:ctrlPr>
            </m:sSubPr>
            <m:e>
              <m:r>
                <m:rPr/>
                <w:rPr>
                  <w:rFonts w:ascii="Cambria Math" w:hAnsi="Cambria Math"/>
                  <w:color w:val="auto"/>
                  <w:sz w:val="24"/>
                </w:rPr>
                <m:t>H</m:t>
              </m:r>
              <m:ctrlPr>
                <w:rPr>
                  <w:rFonts w:ascii="Cambria Math" w:hAnsi="Cambria Math"/>
                  <w:color w:val="auto"/>
                  <w:sz w:val="24"/>
                </w:rPr>
              </m:ctrlPr>
            </m:e>
            <m:sub>
              <m:r>
                <m:rPr/>
                <w:rPr>
                  <w:rFonts w:ascii="Cambria Math" w:hAnsi="Cambria Math"/>
                  <w:color w:val="auto"/>
                  <w:sz w:val="24"/>
                </w:rPr>
                <m:t>2</m:t>
              </m:r>
              <m:ctrlPr>
                <w:rPr>
                  <w:rFonts w:ascii="Cambria Math" w:hAnsi="Cambria Math"/>
                  <w:color w:val="auto"/>
                  <w:sz w:val="24"/>
                </w:rPr>
              </m:ctrlPr>
            </m:sub>
          </m:sSub>
          <m:sSub>
            <m:sSubPr>
              <m:ctrlPr>
                <w:rPr>
                  <w:rFonts w:ascii="Cambria Math" w:hAnsi="Cambria Math"/>
                  <w:color w:val="auto"/>
                  <w:sz w:val="24"/>
                </w:rPr>
              </m:ctrlPr>
            </m:sSubPr>
            <m:e>
              <m:r>
                <m:rPr/>
                <w:rPr>
                  <w:rFonts w:ascii="Cambria Math" w:hAnsi="Cambria Math"/>
                  <w:color w:val="auto"/>
                  <w:sz w:val="24"/>
                </w:rPr>
                <m:t>SO</m:t>
              </m:r>
              <m:ctrlPr>
                <w:rPr>
                  <w:rFonts w:ascii="Cambria Math" w:hAnsi="Cambria Math"/>
                  <w:color w:val="auto"/>
                  <w:sz w:val="24"/>
                </w:rPr>
              </m:ctrlPr>
            </m:e>
            <m:sub>
              <m:r>
                <m:rPr/>
                <w:rPr>
                  <w:rFonts w:ascii="Cambria Math" w:hAnsi="Cambria Math"/>
                  <w:color w:val="auto"/>
                  <w:sz w:val="24"/>
                </w:rPr>
                <m:t>3</m:t>
              </m:r>
              <m:ctrlPr>
                <w:rPr>
                  <w:rFonts w:ascii="Cambria Math" w:hAnsi="Cambria Math"/>
                  <w:color w:val="auto"/>
                  <w:sz w:val="24"/>
                </w:rPr>
              </m:ctrlPr>
            </m:sub>
          </m:sSub>
          <m:r>
            <m:rPr>
              <m:sty m:val="p"/>
            </m:rPr>
            <w:rPr>
              <w:rFonts w:ascii="Cambria Math" w:hAnsi="Cambria Math"/>
              <w:color w:val="auto"/>
              <w:sz w:val="24"/>
            </w:rPr>
            <m:t>→</m:t>
          </m:r>
          <m:sSup>
            <m:sSupPr>
              <m:ctrlPr>
                <w:rPr>
                  <w:rFonts w:ascii="Cambria Math" w:hAnsi="Cambria Math"/>
                  <w:color w:val="auto"/>
                  <w:sz w:val="24"/>
                </w:rPr>
              </m:ctrlPr>
            </m:sSupPr>
            <m:e>
              <m:r>
                <m:rPr/>
                <w:rPr>
                  <w:rFonts w:ascii="Cambria Math" w:hAnsi="Cambria Math"/>
                  <w:color w:val="auto"/>
                  <w:sz w:val="24"/>
                </w:rPr>
                <m:t>H</m:t>
              </m:r>
              <m:ctrlPr>
                <w:rPr>
                  <w:rFonts w:ascii="Cambria Math" w:hAnsi="Cambria Math"/>
                  <w:color w:val="auto"/>
                  <w:sz w:val="24"/>
                </w:rPr>
              </m:ctrlPr>
            </m:e>
            <m:sup>
              <m:r>
                <m:rPr/>
                <w:rPr>
                  <w:rFonts w:ascii="Cambria Math" w:hAnsi="Cambria Math"/>
                  <w:color w:val="auto"/>
                  <w:sz w:val="24"/>
                </w:rPr>
                <m:t>+</m:t>
              </m:r>
              <m:ctrlPr>
                <w:rPr>
                  <w:rFonts w:ascii="Cambria Math" w:hAnsi="Cambria Math"/>
                  <w:color w:val="auto"/>
                  <w:sz w:val="24"/>
                </w:rPr>
              </m:ctrlPr>
            </m:sup>
          </m:sSup>
          <m:r>
            <m:rPr/>
            <w:rPr>
              <w:rFonts w:ascii="Cambria Math" w:hAnsi="Cambria Math"/>
              <w:color w:val="auto"/>
              <w:sz w:val="24"/>
            </w:rPr>
            <m:t>+</m:t>
          </m:r>
          <m:sSubSup>
            <m:sSubSupPr>
              <m:ctrlPr>
                <w:rPr>
                  <w:rFonts w:ascii="Cambria Math" w:hAnsi="Cambria Math"/>
                  <w:i/>
                  <w:color w:val="auto"/>
                  <w:sz w:val="24"/>
                </w:rPr>
              </m:ctrlPr>
            </m:sSubSupPr>
            <m:e>
              <m:r>
                <m:rPr/>
                <w:rPr>
                  <w:rFonts w:ascii="Cambria Math" w:hAnsi="Cambria Math"/>
                  <w:color w:val="auto"/>
                  <w:sz w:val="24"/>
                </w:rPr>
                <m:t>HSO</m:t>
              </m:r>
              <m:ctrlPr>
                <w:rPr>
                  <w:rFonts w:ascii="Cambria Math" w:hAnsi="Cambria Math"/>
                  <w:i/>
                  <w:color w:val="auto"/>
                  <w:sz w:val="24"/>
                </w:rPr>
              </m:ctrlPr>
            </m:e>
            <m:sub>
              <m:r>
                <m:rPr/>
                <w:rPr>
                  <w:rFonts w:ascii="Cambria Math" w:hAnsi="Cambria Math"/>
                  <w:color w:val="auto"/>
                  <w:sz w:val="24"/>
                </w:rPr>
                <m:t>3</m:t>
              </m:r>
              <m:ctrlPr>
                <w:rPr>
                  <w:rFonts w:ascii="Cambria Math" w:hAnsi="Cambria Math"/>
                  <w:i/>
                  <w:color w:val="auto"/>
                  <w:sz w:val="24"/>
                </w:rPr>
              </m:ctrlPr>
            </m:sub>
            <m:sup>
              <m:r>
                <m:rPr/>
                <w:rPr>
                  <w:rFonts w:ascii="Cambria Math" w:hAnsi="Cambria Math"/>
                  <w:color w:val="auto"/>
                  <w:sz w:val="24"/>
                </w:rPr>
                <m:t>−</m:t>
              </m:r>
              <m:ctrlPr>
                <w:rPr>
                  <w:rFonts w:ascii="Cambria Math" w:hAnsi="Cambria Math"/>
                  <w:i/>
                  <w:color w:val="auto"/>
                  <w:sz w:val="24"/>
                </w:rPr>
              </m:ctrlPr>
            </m:sup>
          </m:sSubSup>
        </m:oMath>
      </m:oMathPara>
    </w:p>
    <w:p w14:paraId="6DFC291E">
      <w:pPr>
        <w:spacing w:line="360" w:lineRule="auto"/>
        <w:ind w:firstLine="560" w:firstLineChars="200"/>
        <w:rPr>
          <w:color w:val="auto"/>
          <w:lang w:val="zh-CN"/>
        </w:rPr>
      </w:pPr>
      <w:r>
        <w:rPr>
          <w:rFonts w:hint="eastAsia"/>
          <w:color w:val="auto"/>
          <w:lang w:val="en-US" w:eastAsia="zh-CN"/>
        </w:rPr>
        <w:t>2.</w:t>
      </w:r>
      <w:r>
        <w:rPr>
          <w:rFonts w:hint="eastAsia"/>
          <w:color w:val="auto"/>
          <w:lang w:val="zh-CN"/>
        </w:rPr>
        <w:t>烟气中的氧和氧化风机送入的空气中的氧将溶液中的HSO</w:t>
      </w:r>
      <w:r>
        <w:rPr>
          <w:rFonts w:hint="eastAsia"/>
          <w:color w:val="auto"/>
          <w:vertAlign w:val="subscript"/>
          <w:lang w:val="zh-CN"/>
        </w:rPr>
        <w:t>3</w:t>
      </w:r>
      <w:r>
        <w:rPr>
          <w:rFonts w:hint="eastAsia"/>
          <w:color w:val="auto"/>
          <w:vertAlign w:val="superscript"/>
          <w:lang w:val="zh-CN"/>
        </w:rPr>
        <w:t>-</w:t>
      </w:r>
      <w:r>
        <w:rPr>
          <w:rFonts w:hint="eastAsia"/>
          <w:color w:val="auto"/>
          <w:lang w:val="zh-CN"/>
        </w:rPr>
        <w:t>氧化成SO</w:t>
      </w:r>
      <w:r>
        <w:rPr>
          <w:rFonts w:hint="eastAsia"/>
          <w:color w:val="auto"/>
          <w:vertAlign w:val="subscript"/>
          <w:lang w:val="zh-CN"/>
        </w:rPr>
        <w:t>4</w:t>
      </w:r>
      <w:r>
        <w:rPr>
          <w:rFonts w:hint="eastAsia"/>
          <w:color w:val="auto"/>
          <w:vertAlign w:val="superscript"/>
          <w:lang w:val="zh-CN"/>
        </w:rPr>
        <w:t>2-</w:t>
      </w:r>
      <w:r>
        <w:rPr>
          <w:rFonts w:hint="eastAsia"/>
          <w:color w:val="auto"/>
          <w:lang w:val="zh-CN"/>
        </w:rPr>
        <w:t>；</w:t>
      </w:r>
    </w:p>
    <w:p w14:paraId="2B58A2A3">
      <w:pPr>
        <w:spacing w:line="360" w:lineRule="auto"/>
        <w:ind w:firstLine="480" w:firstLineChars="200"/>
        <w:jc w:val="center"/>
        <w:rPr>
          <w:rFonts w:ascii="宋体" w:hAnsi="宋体"/>
          <w:color w:val="auto"/>
          <w:sz w:val="24"/>
        </w:rPr>
      </w:pPr>
      <m:oMathPara>
        <m:oMath>
          <m:sSup>
            <m:sSupPr>
              <m:ctrlPr>
                <w:rPr>
                  <w:rFonts w:ascii="Cambria Math" w:hAnsi="Cambria Math"/>
                  <w:color w:val="auto"/>
                  <w:sz w:val="24"/>
                  <w:vertAlign w:val="superscript"/>
                </w:rPr>
              </m:ctrlPr>
            </m:sSupPr>
            <m:e>
              <m:r>
                <m:rPr/>
                <w:rPr>
                  <w:rFonts w:ascii="Cambria Math" w:hAnsi="Cambria Math"/>
                  <w:color w:val="auto"/>
                  <w:sz w:val="24"/>
                  <w:vertAlign w:val="superscript"/>
                </w:rPr>
                <m:t>H</m:t>
              </m:r>
              <m:ctrlPr>
                <w:rPr>
                  <w:rFonts w:ascii="Cambria Math" w:hAnsi="Cambria Math"/>
                  <w:color w:val="auto"/>
                  <w:sz w:val="24"/>
                  <w:vertAlign w:val="superscript"/>
                </w:rPr>
              </m:ctrlPr>
            </m:e>
            <m:sup>
              <m:r>
                <m:rPr/>
                <w:rPr>
                  <w:rFonts w:ascii="Cambria Math" w:hAnsi="Cambria Math"/>
                  <w:color w:val="auto"/>
                  <w:sz w:val="24"/>
                  <w:vertAlign w:val="superscript"/>
                </w:rPr>
                <m:t>+</m:t>
              </m:r>
              <m:ctrlPr>
                <w:rPr>
                  <w:rFonts w:ascii="Cambria Math" w:hAnsi="Cambria Math"/>
                  <w:color w:val="auto"/>
                  <w:sz w:val="24"/>
                  <w:vertAlign w:val="superscript"/>
                </w:rPr>
              </m:ctrlPr>
            </m:sup>
          </m:sSup>
          <m:r>
            <m:rPr>
              <m:sty m:val="p"/>
            </m:rPr>
            <w:rPr>
              <w:rFonts w:ascii="Cambria Math" w:hAnsi="Cambria Math"/>
              <w:color w:val="auto"/>
              <w:sz w:val="24"/>
              <w:vertAlign w:val="superscript"/>
            </w:rPr>
            <m:t>+</m:t>
          </m:r>
          <m:sSubSup>
            <m:sSubSupPr>
              <m:ctrlPr>
                <w:rPr>
                  <w:rFonts w:ascii="Cambria Math" w:hAnsi="Cambria Math"/>
                  <w:color w:val="auto"/>
                  <w:sz w:val="24"/>
                  <w:vertAlign w:val="superscript"/>
                </w:rPr>
              </m:ctrlPr>
            </m:sSubSupPr>
            <m:e>
              <m:r>
                <m:rPr/>
                <w:rPr>
                  <w:rFonts w:ascii="Cambria Math" w:hAnsi="Cambria Math"/>
                  <w:color w:val="auto"/>
                  <w:sz w:val="24"/>
                  <w:vertAlign w:val="superscript"/>
                </w:rPr>
                <m:t>HSO</m:t>
              </m:r>
              <m:ctrlPr>
                <w:rPr>
                  <w:rFonts w:ascii="Cambria Math" w:hAnsi="Cambria Math"/>
                  <w:color w:val="auto"/>
                  <w:sz w:val="24"/>
                  <w:vertAlign w:val="superscript"/>
                </w:rPr>
              </m:ctrlPr>
            </m:e>
            <m:sub>
              <m:r>
                <m:rPr/>
                <w:rPr>
                  <w:rFonts w:ascii="Cambria Math" w:hAnsi="Cambria Math"/>
                  <w:color w:val="auto"/>
                  <w:sz w:val="24"/>
                  <w:vertAlign w:val="superscript"/>
                </w:rPr>
                <m:t>3</m:t>
              </m:r>
              <m:ctrlPr>
                <w:rPr>
                  <w:rFonts w:ascii="Cambria Math" w:hAnsi="Cambria Math"/>
                  <w:color w:val="auto"/>
                  <w:sz w:val="24"/>
                  <w:vertAlign w:val="superscript"/>
                </w:rPr>
              </m:ctrlPr>
            </m:sub>
            <m:sup>
              <m:r>
                <m:rPr/>
                <w:rPr>
                  <w:rFonts w:ascii="Cambria Math" w:hAnsi="Cambria Math"/>
                  <w:color w:val="auto"/>
                  <w:sz w:val="24"/>
                  <w:vertAlign w:val="superscript"/>
                </w:rPr>
                <m:t>−</m:t>
              </m:r>
              <m:ctrlPr>
                <w:rPr>
                  <w:rFonts w:ascii="Cambria Math" w:hAnsi="Cambria Math"/>
                  <w:color w:val="auto"/>
                  <w:sz w:val="24"/>
                  <w:vertAlign w:val="superscript"/>
                </w:rPr>
              </m:ctrlPr>
            </m:sup>
          </m:sSubSup>
          <m:r>
            <m:rPr/>
            <w:rPr>
              <w:rFonts w:ascii="Cambria Math" w:hAnsi="Cambria Math"/>
              <w:color w:val="auto"/>
              <w:sz w:val="24"/>
              <w:vertAlign w:val="superscript"/>
            </w:rPr>
            <m:t>+</m:t>
          </m:r>
          <m:sSub>
            <m:sSubPr>
              <m:ctrlPr>
                <w:rPr>
                  <w:rFonts w:ascii="Cambria Math" w:hAnsi="Cambria Math"/>
                  <w:i/>
                  <w:color w:val="auto"/>
                  <w:sz w:val="24"/>
                  <w:vertAlign w:val="superscript"/>
                </w:rPr>
              </m:ctrlPr>
            </m:sSubPr>
            <m:e>
              <m:r>
                <m:rPr/>
                <w:rPr>
                  <w:rFonts w:ascii="Cambria Math" w:hAnsi="Cambria Math"/>
                  <w:color w:val="auto"/>
                  <w:sz w:val="24"/>
                  <w:vertAlign w:val="superscript"/>
                </w:rPr>
                <m:t>1/2O</m:t>
              </m:r>
              <m:ctrlPr>
                <w:rPr>
                  <w:rFonts w:ascii="Cambria Math" w:hAnsi="Cambria Math"/>
                  <w:i/>
                  <w:color w:val="auto"/>
                  <w:sz w:val="24"/>
                  <w:vertAlign w:val="superscript"/>
                </w:rPr>
              </m:ctrlPr>
            </m:e>
            <m:sub>
              <m:r>
                <m:rPr/>
                <w:rPr>
                  <w:rFonts w:ascii="Cambria Math" w:hAnsi="Cambria Math"/>
                  <w:color w:val="auto"/>
                  <w:sz w:val="24"/>
                  <w:vertAlign w:val="superscript"/>
                </w:rPr>
                <m:t>2</m:t>
              </m:r>
              <m:ctrlPr>
                <w:rPr>
                  <w:rFonts w:ascii="Cambria Math" w:hAnsi="Cambria Math"/>
                  <w:i/>
                  <w:color w:val="auto"/>
                  <w:sz w:val="24"/>
                  <w:vertAlign w:val="superscript"/>
                </w:rPr>
              </m:ctrlPr>
            </m:sub>
          </m:sSub>
          <m:r>
            <m:rPr/>
            <w:rPr>
              <w:rFonts w:ascii="Cambria Math" w:hAnsi="Cambria Math"/>
              <w:color w:val="auto"/>
              <w:sz w:val="24"/>
              <w:vertAlign w:val="superscript"/>
            </w:rPr>
            <m:t>→</m:t>
          </m:r>
          <m:sSup>
            <m:sSupPr>
              <m:ctrlPr>
                <w:rPr>
                  <w:rFonts w:ascii="Cambria Math" w:hAnsi="Cambria Math"/>
                  <w:i/>
                  <w:color w:val="auto"/>
                  <w:sz w:val="24"/>
                  <w:vertAlign w:val="superscript"/>
                </w:rPr>
              </m:ctrlPr>
            </m:sSupPr>
            <m:e>
              <m:r>
                <m:rPr/>
                <w:rPr>
                  <w:rFonts w:ascii="Cambria Math" w:hAnsi="Cambria Math"/>
                  <w:color w:val="auto"/>
                  <w:sz w:val="24"/>
                  <w:vertAlign w:val="superscript"/>
                </w:rPr>
                <m:t>2H</m:t>
              </m:r>
              <m:ctrlPr>
                <w:rPr>
                  <w:rFonts w:ascii="Cambria Math" w:hAnsi="Cambria Math"/>
                  <w:i/>
                  <w:color w:val="auto"/>
                  <w:sz w:val="24"/>
                  <w:vertAlign w:val="superscript"/>
                </w:rPr>
              </m:ctrlPr>
            </m:e>
            <m:sup>
              <m:r>
                <m:rPr/>
                <w:rPr>
                  <w:rFonts w:ascii="Cambria Math" w:hAnsi="Cambria Math"/>
                  <w:color w:val="auto"/>
                  <w:sz w:val="24"/>
                  <w:vertAlign w:val="superscript"/>
                </w:rPr>
                <m:t>+</m:t>
              </m:r>
              <m:ctrlPr>
                <w:rPr>
                  <w:rFonts w:ascii="Cambria Math" w:hAnsi="Cambria Math"/>
                  <w:i/>
                  <w:color w:val="auto"/>
                  <w:sz w:val="24"/>
                  <w:vertAlign w:val="superscript"/>
                </w:rPr>
              </m:ctrlPr>
            </m:sup>
          </m:sSup>
          <m:r>
            <m:rPr/>
            <w:rPr>
              <w:rFonts w:ascii="Cambria Math" w:hAnsi="Cambria Math"/>
              <w:color w:val="auto"/>
              <w:sz w:val="24"/>
              <w:vertAlign w:val="superscript"/>
            </w:rPr>
            <m:t>+</m:t>
          </m:r>
          <m:sSubSup>
            <m:sSubSupPr>
              <m:ctrlPr>
                <w:rPr>
                  <w:rFonts w:ascii="Cambria Math" w:hAnsi="Cambria Math"/>
                  <w:i/>
                  <w:color w:val="auto"/>
                  <w:sz w:val="24"/>
                  <w:vertAlign w:val="superscript"/>
                </w:rPr>
              </m:ctrlPr>
            </m:sSubSupPr>
            <m:e>
              <m:r>
                <m:rPr/>
                <w:rPr>
                  <w:rFonts w:ascii="Cambria Math" w:hAnsi="Cambria Math"/>
                  <w:color w:val="auto"/>
                  <w:sz w:val="24"/>
                  <w:vertAlign w:val="superscript"/>
                </w:rPr>
                <m:t>SO</m:t>
              </m:r>
              <m:ctrlPr>
                <w:rPr>
                  <w:rFonts w:ascii="Cambria Math" w:hAnsi="Cambria Math"/>
                  <w:i/>
                  <w:color w:val="auto"/>
                  <w:sz w:val="24"/>
                  <w:vertAlign w:val="superscript"/>
                </w:rPr>
              </m:ctrlPr>
            </m:e>
            <m:sub>
              <m:r>
                <m:rPr/>
                <w:rPr>
                  <w:rFonts w:ascii="Cambria Math" w:hAnsi="Cambria Math"/>
                  <w:color w:val="auto"/>
                  <w:sz w:val="24"/>
                  <w:vertAlign w:val="superscript"/>
                </w:rPr>
                <m:t>4</m:t>
              </m:r>
              <m:ctrlPr>
                <w:rPr>
                  <w:rFonts w:ascii="Cambria Math" w:hAnsi="Cambria Math"/>
                  <w:i/>
                  <w:color w:val="auto"/>
                  <w:sz w:val="24"/>
                  <w:vertAlign w:val="superscript"/>
                </w:rPr>
              </m:ctrlPr>
            </m:sub>
            <m:sup>
              <m:r>
                <m:rPr/>
                <w:rPr>
                  <w:rFonts w:ascii="Cambria Math" w:hAnsi="Cambria Math"/>
                  <w:color w:val="auto"/>
                  <w:sz w:val="24"/>
                  <w:vertAlign w:val="superscript"/>
                </w:rPr>
                <m:t>2−</m:t>
              </m:r>
              <m:ctrlPr>
                <w:rPr>
                  <w:rFonts w:ascii="Cambria Math" w:hAnsi="Cambria Math"/>
                  <w:i/>
                  <w:color w:val="auto"/>
                  <w:sz w:val="24"/>
                  <w:vertAlign w:val="superscript"/>
                </w:rPr>
              </m:ctrlPr>
            </m:sup>
          </m:sSubSup>
        </m:oMath>
      </m:oMathPara>
    </w:p>
    <w:p w14:paraId="0696A3F5">
      <w:pPr>
        <w:spacing w:line="360" w:lineRule="auto"/>
        <w:ind w:firstLine="560" w:firstLineChars="200"/>
        <w:rPr>
          <w:color w:val="auto"/>
          <w:lang w:val="zh-CN"/>
        </w:rPr>
      </w:pPr>
      <w:r>
        <w:rPr>
          <w:rFonts w:hint="eastAsia"/>
          <w:color w:val="auto"/>
          <w:lang w:val="en-US" w:eastAsia="zh-CN"/>
        </w:rPr>
        <w:t>3.</w:t>
      </w:r>
      <w:r>
        <w:rPr>
          <w:rFonts w:hint="eastAsia"/>
          <w:color w:val="auto"/>
          <w:lang w:val="zh-CN"/>
        </w:rPr>
        <w:t>吸收剂中的碳酸钙在</w:t>
      </w:r>
      <w:r>
        <w:rPr>
          <w:rFonts w:hint="eastAsia"/>
          <w:color w:val="auto"/>
          <w:lang w:val="en-US" w:eastAsia="zh-CN"/>
        </w:rPr>
        <w:t>酸性</w:t>
      </w:r>
      <w:r>
        <w:rPr>
          <w:rFonts w:hint="eastAsia"/>
          <w:color w:val="auto"/>
          <w:lang w:val="zh-CN"/>
        </w:rPr>
        <w:t>条件下于溶液中解离出Ca</w:t>
      </w:r>
      <w:r>
        <w:rPr>
          <w:rFonts w:hint="eastAsia"/>
          <w:color w:val="auto"/>
          <w:vertAlign w:val="superscript"/>
          <w:lang w:val="zh-CN"/>
        </w:rPr>
        <w:t>2+</w:t>
      </w:r>
      <w:r>
        <w:rPr>
          <w:rFonts w:hint="eastAsia"/>
          <w:color w:val="auto"/>
          <w:lang w:val="zh-CN"/>
        </w:rPr>
        <w:t>；</w:t>
      </w:r>
    </w:p>
    <w:p w14:paraId="5EABD252">
      <w:pPr>
        <w:spacing w:line="360" w:lineRule="auto"/>
        <w:ind w:firstLine="480" w:firstLineChars="200"/>
        <w:jc w:val="center"/>
        <w:rPr>
          <w:rFonts w:ascii="宋体" w:hAnsi="宋体"/>
          <w:color w:val="auto"/>
          <w:sz w:val="24"/>
        </w:rPr>
      </w:pPr>
      <m:oMathPara>
        <m:oMath>
          <m:sSub>
            <m:sSubPr>
              <m:ctrlPr>
                <w:rPr>
                  <w:rFonts w:ascii="Cambria Math" w:hAnsi="Cambria Math"/>
                  <w:color w:val="auto"/>
                  <w:sz w:val="24"/>
                </w:rPr>
              </m:ctrlPr>
            </m:sSubPr>
            <m:e>
              <m:r>
                <m:rPr/>
                <w:rPr>
                  <w:rFonts w:ascii="Cambria Math" w:hAnsi="Cambria Math"/>
                  <w:color w:val="auto"/>
                  <w:sz w:val="24"/>
                </w:rPr>
                <m:t>Ca</m:t>
              </m:r>
              <m:r>
                <m:rPr>
                  <m:sty m:val="p"/>
                </m:rPr>
                <w:rPr>
                  <w:rFonts w:ascii="Cambria Math" w:hAnsi="Cambria Math"/>
                  <w:color w:val="auto"/>
                  <w:sz w:val="24"/>
                </w:rPr>
                <m:t>CO</m:t>
              </m:r>
              <m:ctrlPr>
                <w:rPr>
                  <w:rFonts w:ascii="Cambria Math" w:hAnsi="Cambria Math"/>
                  <w:color w:val="auto"/>
                  <w:sz w:val="24"/>
                </w:rPr>
              </m:ctrlPr>
            </m:e>
            <m:sub>
              <m:r>
                <m:rPr/>
                <w:rPr>
                  <w:rFonts w:ascii="Cambria Math" w:hAnsi="Cambria Math"/>
                  <w:color w:val="auto"/>
                  <w:sz w:val="24"/>
                </w:rPr>
                <m:t>3</m:t>
              </m:r>
              <m:ctrlPr>
                <w:rPr>
                  <w:rFonts w:ascii="Cambria Math" w:hAnsi="Cambria Math"/>
                  <w:color w:val="auto"/>
                  <w:sz w:val="24"/>
                </w:rPr>
              </m:ctrlPr>
            </m:sub>
          </m:sSub>
          <m:r>
            <m:rPr>
              <m:sty m:val="p"/>
            </m:rPr>
            <w:rPr>
              <w:rFonts w:ascii="Cambria Math" w:hAnsi="Cambria Math"/>
              <w:color w:val="auto"/>
              <w:sz w:val="24"/>
            </w:rPr>
            <m:t>+</m:t>
          </m:r>
          <m:sSup>
            <m:sSupPr>
              <m:ctrlPr>
                <w:rPr>
                  <w:rFonts w:ascii="Cambria Math" w:hAnsi="Cambria Math"/>
                  <w:color w:val="auto"/>
                  <w:sz w:val="24"/>
                </w:rPr>
              </m:ctrlPr>
            </m:sSupPr>
            <m:e>
              <m:r>
                <m:rPr/>
                <w:rPr>
                  <w:rFonts w:ascii="Cambria Math" w:hAnsi="Cambria Math"/>
                  <w:color w:val="auto"/>
                  <w:sz w:val="24"/>
                </w:rPr>
                <m:t>2H</m:t>
              </m:r>
              <m:ctrlPr>
                <w:rPr>
                  <w:rFonts w:ascii="Cambria Math" w:hAnsi="Cambria Math"/>
                  <w:color w:val="auto"/>
                  <w:sz w:val="24"/>
                </w:rPr>
              </m:ctrlPr>
            </m:e>
            <m:sup>
              <m:r>
                <m:rPr/>
                <w:rPr>
                  <w:rFonts w:ascii="Cambria Math" w:hAnsi="Cambria Math"/>
                  <w:color w:val="auto"/>
                  <w:sz w:val="24"/>
                </w:rPr>
                <m:t>+</m:t>
              </m:r>
              <m:ctrlPr>
                <w:rPr>
                  <w:rFonts w:ascii="Cambria Math" w:hAnsi="Cambria Math"/>
                  <w:color w:val="auto"/>
                  <w:sz w:val="24"/>
                </w:rPr>
              </m:ctrlPr>
            </m:sup>
          </m:sSup>
          <m:r>
            <m:rPr/>
            <w:rPr>
              <w:rFonts w:ascii="Cambria Math" w:hAnsi="Cambria Math"/>
              <w:color w:val="auto"/>
              <w:sz w:val="24"/>
            </w:rPr>
            <m:t>+</m:t>
          </m:r>
          <m:sSub>
            <m:sSubPr>
              <m:ctrlPr>
                <w:rPr>
                  <w:rFonts w:ascii="Cambria Math" w:hAnsi="Cambria Math"/>
                  <w:i/>
                  <w:color w:val="auto"/>
                  <w:sz w:val="24"/>
                </w:rPr>
              </m:ctrlPr>
            </m:sSubPr>
            <m:e>
              <m:r>
                <m:rPr/>
                <w:rPr>
                  <w:rFonts w:ascii="Cambria Math" w:hAnsi="Cambria Math"/>
                  <w:color w:val="auto"/>
                  <w:sz w:val="24"/>
                </w:rPr>
                <m:t>H</m:t>
              </m:r>
              <m:ctrlPr>
                <w:rPr>
                  <w:rFonts w:ascii="Cambria Math" w:hAnsi="Cambria Math"/>
                  <w:i/>
                  <w:color w:val="auto"/>
                  <w:sz w:val="24"/>
                </w:rPr>
              </m:ctrlPr>
            </m:e>
            <m:sub>
              <m:r>
                <m:rPr/>
                <w:rPr>
                  <w:rFonts w:ascii="Cambria Math" w:hAnsi="Cambria Math"/>
                  <w:color w:val="auto"/>
                  <w:sz w:val="24"/>
                </w:rPr>
                <m:t>2</m:t>
              </m:r>
              <m:ctrlPr>
                <w:rPr>
                  <w:rFonts w:ascii="Cambria Math" w:hAnsi="Cambria Math"/>
                  <w:i/>
                  <w:color w:val="auto"/>
                  <w:sz w:val="24"/>
                </w:rPr>
              </m:ctrlPr>
            </m:sub>
          </m:sSub>
          <m:r>
            <m:rPr/>
            <w:rPr>
              <w:rFonts w:ascii="Cambria Math" w:hAnsi="Cambria Math"/>
              <w:color w:val="auto"/>
              <w:sz w:val="24"/>
            </w:rPr>
            <m:t>O→</m:t>
          </m:r>
          <m:sSup>
            <m:sSupPr>
              <m:ctrlPr>
                <w:rPr>
                  <w:rFonts w:ascii="Cambria Math" w:hAnsi="Cambria Math"/>
                  <w:i/>
                  <w:color w:val="auto"/>
                  <w:sz w:val="24"/>
                </w:rPr>
              </m:ctrlPr>
            </m:sSupPr>
            <m:e>
              <m:r>
                <m:rPr/>
                <w:rPr>
                  <w:rFonts w:ascii="Cambria Math" w:hAnsi="Cambria Math"/>
                  <w:color w:val="auto"/>
                  <w:sz w:val="24"/>
                </w:rPr>
                <m:t>Ca</m:t>
              </m:r>
              <m:ctrlPr>
                <w:rPr>
                  <w:rFonts w:ascii="Cambria Math" w:hAnsi="Cambria Math"/>
                  <w:i/>
                  <w:color w:val="auto"/>
                  <w:sz w:val="24"/>
                </w:rPr>
              </m:ctrlPr>
            </m:e>
            <m:sup>
              <m:r>
                <m:rPr/>
                <w:rPr>
                  <w:rFonts w:ascii="Cambria Math" w:hAnsi="Cambria Math"/>
                  <w:color w:val="auto"/>
                  <w:sz w:val="24"/>
                </w:rPr>
                <m:t>2+</m:t>
              </m:r>
              <m:ctrlPr>
                <w:rPr>
                  <w:rFonts w:ascii="Cambria Math" w:hAnsi="Cambria Math"/>
                  <w:i/>
                  <w:color w:val="auto"/>
                  <w:sz w:val="24"/>
                </w:rPr>
              </m:ctrlPr>
            </m:sup>
          </m:sSup>
          <m:r>
            <m:rPr/>
            <w:rPr>
              <w:rFonts w:ascii="Cambria Math" w:hAnsi="Cambria Math"/>
              <w:color w:val="auto"/>
              <w:sz w:val="24"/>
            </w:rPr>
            <m:t>+</m:t>
          </m:r>
          <m:sSub>
            <m:sSubPr>
              <m:ctrlPr>
                <w:rPr>
                  <w:rFonts w:ascii="Cambria Math" w:hAnsi="Cambria Math"/>
                  <w:i/>
                  <w:color w:val="auto"/>
                  <w:sz w:val="24"/>
                </w:rPr>
              </m:ctrlPr>
            </m:sSubPr>
            <m:e>
              <m:r>
                <m:rPr/>
                <w:rPr>
                  <w:rFonts w:ascii="Cambria Math" w:hAnsi="Cambria Math"/>
                  <w:color w:val="auto"/>
                  <w:sz w:val="24"/>
                </w:rPr>
                <m:t>2H</m:t>
              </m:r>
              <m:ctrlPr>
                <w:rPr>
                  <w:rFonts w:ascii="Cambria Math" w:hAnsi="Cambria Math"/>
                  <w:i/>
                  <w:color w:val="auto"/>
                  <w:sz w:val="24"/>
                </w:rPr>
              </m:ctrlPr>
            </m:e>
            <m:sub>
              <m:r>
                <m:rPr/>
                <w:rPr>
                  <w:rFonts w:ascii="Cambria Math" w:hAnsi="Cambria Math"/>
                  <w:color w:val="auto"/>
                  <w:sz w:val="24"/>
                </w:rPr>
                <m:t>2</m:t>
              </m:r>
              <m:ctrlPr>
                <w:rPr>
                  <w:rFonts w:ascii="Cambria Math" w:hAnsi="Cambria Math"/>
                  <w:i/>
                  <w:color w:val="auto"/>
                  <w:sz w:val="24"/>
                </w:rPr>
              </m:ctrlPr>
            </m:sub>
          </m:sSub>
          <m:r>
            <m:rPr/>
            <w:rPr>
              <w:rFonts w:ascii="Cambria Math" w:hAnsi="Cambria Math"/>
              <w:color w:val="auto"/>
              <w:sz w:val="24"/>
            </w:rPr>
            <m:t>O+</m:t>
          </m:r>
          <m:sSub>
            <m:sSubPr>
              <m:ctrlPr>
                <w:rPr>
                  <w:rFonts w:ascii="Cambria Math" w:hAnsi="Cambria Math"/>
                  <w:i/>
                  <w:color w:val="auto"/>
                  <w:sz w:val="24"/>
                </w:rPr>
              </m:ctrlPr>
            </m:sSubPr>
            <m:e>
              <m:r>
                <m:rPr/>
                <w:rPr>
                  <w:rFonts w:ascii="Cambria Math" w:hAnsi="Cambria Math"/>
                  <w:color w:val="auto"/>
                  <w:sz w:val="24"/>
                </w:rPr>
                <m:t>CO</m:t>
              </m:r>
              <m:ctrlPr>
                <w:rPr>
                  <w:rFonts w:ascii="Cambria Math" w:hAnsi="Cambria Math"/>
                  <w:i/>
                  <w:color w:val="auto"/>
                  <w:sz w:val="24"/>
                </w:rPr>
              </m:ctrlPr>
            </m:e>
            <m:sub>
              <m:r>
                <m:rPr/>
                <w:rPr>
                  <w:rFonts w:ascii="Cambria Math" w:hAnsi="Cambria Math"/>
                  <w:color w:val="auto"/>
                  <w:sz w:val="24"/>
                </w:rPr>
                <m:t>2</m:t>
              </m:r>
              <m:ctrlPr>
                <w:rPr>
                  <w:rFonts w:ascii="Cambria Math" w:hAnsi="Cambria Math"/>
                  <w:i/>
                  <w:color w:val="auto"/>
                  <w:sz w:val="24"/>
                </w:rPr>
              </m:ctrlPr>
            </m:sub>
          </m:sSub>
          <m:r>
            <m:rPr/>
            <w:rPr>
              <w:rFonts w:ascii="Cambria Math" w:hAnsi="Cambria Math"/>
              <w:color w:val="auto"/>
              <w:sz w:val="24"/>
            </w:rPr>
            <m:t>↑</m:t>
          </m:r>
        </m:oMath>
      </m:oMathPara>
    </w:p>
    <w:p w14:paraId="4DAB0606">
      <w:pPr>
        <w:spacing w:line="360" w:lineRule="auto"/>
        <w:ind w:firstLine="560" w:firstLineChars="200"/>
        <w:rPr>
          <w:color w:val="auto"/>
          <w:lang w:val="zh-CN"/>
        </w:rPr>
      </w:pPr>
      <w:r>
        <w:rPr>
          <w:rFonts w:hint="eastAsia"/>
          <w:color w:val="auto"/>
          <w:lang w:val="en-US" w:eastAsia="zh-CN"/>
        </w:rPr>
        <w:t>4.</w:t>
      </w:r>
      <w:r>
        <w:rPr>
          <w:rFonts w:hint="eastAsia"/>
          <w:color w:val="auto"/>
          <w:lang w:val="zh-CN"/>
        </w:rPr>
        <w:t>在吸收塔内</w:t>
      </w:r>
      <w:r>
        <w:rPr>
          <w:rFonts w:hint="eastAsia"/>
          <w:color w:val="auto"/>
        </w:rPr>
        <w:t>，</w:t>
      </w:r>
      <w:r>
        <w:rPr>
          <w:rFonts w:hint="eastAsia"/>
          <w:color w:val="auto"/>
          <w:lang w:val="zh-CN"/>
        </w:rPr>
        <w:t>溶液中的</w:t>
      </w:r>
      <w:r>
        <w:rPr>
          <w:rFonts w:hint="eastAsia"/>
          <w:color w:val="auto"/>
        </w:rPr>
        <w:t>SO</w:t>
      </w:r>
      <w:r>
        <w:rPr>
          <w:rFonts w:hint="eastAsia"/>
          <w:color w:val="auto"/>
          <w:vertAlign w:val="subscript"/>
        </w:rPr>
        <w:t>4</w:t>
      </w:r>
      <w:r>
        <w:rPr>
          <w:rFonts w:hint="eastAsia"/>
          <w:color w:val="auto"/>
          <w:vertAlign w:val="superscript"/>
        </w:rPr>
        <w:t>2-</w:t>
      </w:r>
      <w:r>
        <w:rPr>
          <w:rFonts w:hint="eastAsia"/>
          <w:color w:val="auto"/>
          <w:lang w:val="zh-CN"/>
        </w:rPr>
        <w:t>、</w:t>
      </w:r>
      <w:r>
        <w:rPr>
          <w:rFonts w:hint="eastAsia"/>
          <w:color w:val="auto"/>
        </w:rPr>
        <w:t>Ca</w:t>
      </w:r>
      <w:r>
        <w:rPr>
          <w:rFonts w:hint="eastAsia"/>
          <w:color w:val="auto"/>
          <w:vertAlign w:val="superscript"/>
        </w:rPr>
        <w:t>2+</w:t>
      </w:r>
      <w:r>
        <w:rPr>
          <w:rFonts w:hint="eastAsia"/>
          <w:color w:val="auto"/>
          <w:vertAlign w:val="baseline"/>
          <w:lang w:val="en-US" w:eastAsia="zh-CN"/>
        </w:rPr>
        <w:t>与</w:t>
      </w:r>
      <w:r>
        <w:rPr>
          <w:rFonts w:hint="eastAsia"/>
          <w:color w:val="auto"/>
          <w:lang w:val="zh-CN"/>
        </w:rPr>
        <w:t>水反应生成石膏</w:t>
      </w:r>
      <w:r>
        <w:rPr>
          <w:rFonts w:hint="eastAsia"/>
          <w:color w:val="auto"/>
        </w:rPr>
        <w:t>（CaSO</w:t>
      </w:r>
      <w:r>
        <w:rPr>
          <w:rFonts w:hint="eastAsia"/>
          <w:color w:val="auto"/>
          <w:vertAlign w:val="subscript"/>
        </w:rPr>
        <w:t>4</w:t>
      </w:r>
      <w:r>
        <w:rPr>
          <w:rFonts w:hint="eastAsia"/>
          <w:color w:val="auto"/>
        </w:rPr>
        <w:t>·2H</w:t>
      </w:r>
      <w:r>
        <w:rPr>
          <w:rFonts w:hint="eastAsia"/>
          <w:color w:val="auto"/>
          <w:vertAlign w:val="subscript"/>
        </w:rPr>
        <w:t>2</w:t>
      </w:r>
      <w:r>
        <w:rPr>
          <w:rFonts w:hint="eastAsia"/>
          <w:color w:val="auto"/>
        </w:rPr>
        <w:t>O）</w:t>
      </w:r>
      <w:r>
        <w:rPr>
          <w:rFonts w:hint="eastAsia"/>
          <w:color w:val="auto"/>
          <w:lang w:val="zh-CN"/>
        </w:rPr>
        <w:t>。化学反应式如下：</w:t>
      </w:r>
    </w:p>
    <w:p w14:paraId="4C2E1371">
      <w:pPr>
        <w:spacing w:line="360" w:lineRule="auto"/>
        <w:ind w:firstLine="480" w:firstLineChars="200"/>
        <w:jc w:val="center"/>
        <w:rPr>
          <w:color w:val="auto"/>
          <w:sz w:val="24"/>
        </w:rPr>
      </w:pPr>
      <m:oMathPara>
        <m:oMath>
          <m:sSup>
            <m:sSupPr>
              <m:ctrlPr>
                <w:rPr>
                  <w:rFonts w:ascii="Cambria Math" w:hAnsi="Cambria Math"/>
                  <w:color w:val="auto"/>
                  <w:sz w:val="24"/>
                </w:rPr>
              </m:ctrlPr>
            </m:sSupPr>
            <m:e>
              <m:r>
                <m:rPr/>
                <w:rPr>
                  <w:rFonts w:ascii="Cambria Math" w:hAnsi="Cambria Math"/>
                  <w:color w:val="auto"/>
                  <w:sz w:val="24"/>
                </w:rPr>
                <m:t>Ca</m:t>
              </m:r>
              <m:ctrlPr>
                <w:rPr>
                  <w:rFonts w:ascii="Cambria Math" w:hAnsi="Cambria Math"/>
                  <w:color w:val="auto"/>
                  <w:sz w:val="24"/>
                </w:rPr>
              </m:ctrlPr>
            </m:e>
            <m:sup>
              <m:r>
                <m:rPr/>
                <w:rPr>
                  <w:rFonts w:ascii="Cambria Math" w:hAnsi="Cambria Math"/>
                  <w:color w:val="auto"/>
                  <w:sz w:val="24"/>
                </w:rPr>
                <m:t>2+</m:t>
              </m:r>
              <m:ctrlPr>
                <w:rPr>
                  <w:rFonts w:ascii="Cambria Math" w:hAnsi="Cambria Math"/>
                  <w:color w:val="auto"/>
                  <w:sz w:val="24"/>
                </w:rPr>
              </m:ctrlPr>
            </m:sup>
          </m:sSup>
          <m:r>
            <m:rPr>
              <m:sty m:val="p"/>
            </m:rPr>
            <w:rPr>
              <w:rFonts w:ascii="Cambria Math" w:hAnsi="Cambria Math"/>
              <w:color w:val="auto"/>
              <w:sz w:val="24"/>
            </w:rPr>
            <m:t>+</m:t>
          </m:r>
          <m:sSubSup>
            <m:sSubSupPr>
              <m:ctrlPr>
                <w:rPr>
                  <w:rFonts w:ascii="Cambria Math" w:hAnsi="Cambria Math"/>
                  <w:color w:val="auto"/>
                  <w:sz w:val="24"/>
                </w:rPr>
              </m:ctrlPr>
            </m:sSubSupPr>
            <m:e>
              <m:r>
                <m:rPr/>
                <w:rPr>
                  <w:rFonts w:ascii="Cambria Math" w:hAnsi="Cambria Math"/>
                  <w:color w:val="auto"/>
                  <w:sz w:val="24"/>
                </w:rPr>
                <m:t>SO</m:t>
              </m:r>
              <m:ctrlPr>
                <w:rPr>
                  <w:rFonts w:ascii="Cambria Math" w:hAnsi="Cambria Math"/>
                  <w:color w:val="auto"/>
                  <w:sz w:val="24"/>
                </w:rPr>
              </m:ctrlPr>
            </m:e>
            <m:sub>
              <m:r>
                <m:rPr/>
                <w:rPr>
                  <w:rFonts w:ascii="Cambria Math" w:hAnsi="Cambria Math"/>
                  <w:color w:val="auto"/>
                  <w:sz w:val="24"/>
                </w:rPr>
                <m:t>4</m:t>
              </m:r>
              <m:ctrlPr>
                <w:rPr>
                  <w:rFonts w:ascii="Cambria Math" w:hAnsi="Cambria Math"/>
                  <w:color w:val="auto"/>
                  <w:sz w:val="24"/>
                </w:rPr>
              </m:ctrlPr>
            </m:sub>
            <m:sup>
              <m:r>
                <m:rPr/>
                <w:rPr>
                  <w:rFonts w:ascii="Cambria Math" w:hAnsi="Cambria Math"/>
                  <w:color w:val="auto"/>
                  <w:sz w:val="24"/>
                </w:rPr>
                <m:t>2−</m:t>
              </m:r>
              <m:ctrlPr>
                <w:rPr>
                  <w:rFonts w:ascii="Cambria Math" w:hAnsi="Cambria Math"/>
                  <w:color w:val="auto"/>
                  <w:sz w:val="24"/>
                </w:rPr>
              </m:ctrlPr>
            </m:sup>
          </m:sSubSup>
          <m:r>
            <m:rPr/>
            <w:rPr>
              <w:rFonts w:ascii="Cambria Math" w:hAnsi="Cambria Math"/>
              <w:color w:val="auto"/>
              <w:sz w:val="24"/>
            </w:rPr>
            <m:t>+</m:t>
          </m:r>
          <m:sSub>
            <m:sSubPr>
              <m:ctrlPr>
                <w:rPr>
                  <w:rFonts w:ascii="Cambria Math" w:hAnsi="Cambria Math"/>
                  <w:i/>
                  <w:color w:val="auto"/>
                  <w:sz w:val="24"/>
                </w:rPr>
              </m:ctrlPr>
            </m:sSubPr>
            <m:e>
              <m:r>
                <m:rPr/>
                <w:rPr>
                  <w:rFonts w:ascii="Cambria Math" w:hAnsi="Cambria Math"/>
                  <w:color w:val="auto"/>
                  <w:sz w:val="24"/>
                </w:rPr>
                <m:t>2H</m:t>
              </m:r>
              <m:ctrlPr>
                <w:rPr>
                  <w:rFonts w:ascii="Cambria Math" w:hAnsi="Cambria Math"/>
                  <w:i/>
                  <w:color w:val="auto"/>
                  <w:sz w:val="24"/>
                </w:rPr>
              </m:ctrlPr>
            </m:e>
            <m:sub>
              <m:r>
                <m:rPr/>
                <w:rPr>
                  <w:rFonts w:ascii="Cambria Math" w:hAnsi="Cambria Math"/>
                  <w:color w:val="auto"/>
                  <w:sz w:val="24"/>
                </w:rPr>
                <m:t>2</m:t>
              </m:r>
              <m:ctrlPr>
                <w:rPr>
                  <w:rFonts w:ascii="Cambria Math" w:hAnsi="Cambria Math"/>
                  <w:i/>
                  <w:color w:val="auto"/>
                  <w:sz w:val="24"/>
                </w:rPr>
              </m:ctrlPr>
            </m:sub>
          </m:sSub>
          <m:r>
            <m:rPr/>
            <w:rPr>
              <w:rFonts w:ascii="Cambria Math" w:hAnsi="Cambria Math"/>
              <w:color w:val="auto"/>
              <w:sz w:val="24"/>
            </w:rPr>
            <m:t>O→</m:t>
          </m:r>
          <m:sSub>
            <m:sSubPr>
              <m:ctrlPr>
                <w:rPr>
                  <w:rFonts w:ascii="Cambria Math" w:hAnsi="Cambria Math"/>
                  <w:i/>
                  <w:color w:val="auto"/>
                  <w:sz w:val="24"/>
                </w:rPr>
              </m:ctrlPr>
            </m:sSubPr>
            <m:e>
              <m:r>
                <m:rPr/>
                <w:rPr>
                  <w:rFonts w:ascii="Cambria Math" w:hAnsi="Cambria Math"/>
                  <w:color w:val="auto"/>
                  <w:sz w:val="24"/>
                </w:rPr>
                <m:t>CaSO</m:t>
              </m:r>
              <m:ctrlPr>
                <w:rPr>
                  <w:rFonts w:ascii="Cambria Math" w:hAnsi="Cambria Math"/>
                  <w:i/>
                  <w:color w:val="auto"/>
                  <w:sz w:val="24"/>
                </w:rPr>
              </m:ctrlPr>
            </m:e>
            <m:sub>
              <m:r>
                <m:rPr/>
                <w:rPr>
                  <w:rFonts w:ascii="Cambria Math" w:hAnsi="Cambria Math"/>
                  <w:color w:val="auto"/>
                  <w:sz w:val="24"/>
                </w:rPr>
                <m:t>4</m:t>
              </m:r>
              <m:ctrlPr>
                <w:rPr>
                  <w:rFonts w:ascii="Cambria Math" w:hAnsi="Cambria Math"/>
                  <w:i/>
                  <w:color w:val="auto"/>
                  <w:sz w:val="24"/>
                </w:rPr>
              </m:ctrlPr>
            </m:sub>
          </m:sSub>
          <m:r>
            <m:rPr/>
            <w:rPr>
              <w:rFonts w:ascii="Cambria Math" w:hAnsi="Cambria Math"/>
              <w:color w:val="auto"/>
              <w:sz w:val="24"/>
            </w:rPr>
            <m:t>∙</m:t>
          </m:r>
          <m:sSub>
            <m:sSubPr>
              <m:ctrlPr>
                <w:rPr>
                  <w:rFonts w:ascii="Cambria Math" w:hAnsi="Cambria Math"/>
                  <w:i/>
                  <w:color w:val="auto"/>
                  <w:sz w:val="24"/>
                </w:rPr>
              </m:ctrlPr>
            </m:sSubPr>
            <m:e>
              <m:r>
                <m:rPr/>
                <w:rPr>
                  <w:rFonts w:ascii="Cambria Math" w:hAnsi="Cambria Math"/>
                  <w:color w:val="auto"/>
                  <w:sz w:val="24"/>
                </w:rPr>
                <m:t>2H</m:t>
              </m:r>
              <m:ctrlPr>
                <w:rPr>
                  <w:rFonts w:ascii="Cambria Math" w:hAnsi="Cambria Math"/>
                  <w:i/>
                  <w:color w:val="auto"/>
                  <w:sz w:val="24"/>
                </w:rPr>
              </m:ctrlPr>
            </m:e>
            <m:sub>
              <m:r>
                <m:rPr/>
                <w:rPr>
                  <w:rFonts w:ascii="Cambria Math" w:hAnsi="Cambria Math"/>
                  <w:color w:val="auto"/>
                  <w:sz w:val="24"/>
                </w:rPr>
                <m:t>2</m:t>
              </m:r>
              <m:ctrlPr>
                <w:rPr>
                  <w:rFonts w:ascii="Cambria Math" w:hAnsi="Cambria Math"/>
                  <w:i/>
                  <w:color w:val="auto"/>
                  <w:sz w:val="24"/>
                </w:rPr>
              </m:ctrlPr>
            </m:sub>
          </m:sSub>
          <m:r>
            <m:rPr/>
            <w:rPr>
              <w:rFonts w:ascii="Cambria Math" w:hAnsi="Cambria Math"/>
              <w:color w:val="auto"/>
              <w:sz w:val="24"/>
            </w:rPr>
            <m:t>O</m:t>
          </m:r>
        </m:oMath>
      </m:oMathPara>
    </w:p>
    <w:p w14:paraId="1F86C727">
      <w:pPr>
        <w:spacing w:line="360" w:lineRule="auto"/>
        <w:ind w:firstLine="560" w:firstLineChars="200"/>
        <w:rPr>
          <w:color w:val="auto"/>
          <w:lang w:val="zh-CN"/>
        </w:rPr>
      </w:pPr>
      <w:r>
        <w:rPr>
          <w:rFonts w:hint="eastAsia"/>
          <w:color w:val="auto"/>
          <w:lang w:val="zh-CN"/>
        </w:rPr>
        <w:t>由于吸收剂循环量大和氧化空气的送入，吸收塔下部浆池中HSO</w:t>
      </w:r>
      <w:r>
        <w:rPr>
          <w:rFonts w:hint="eastAsia"/>
          <w:color w:val="auto"/>
          <w:vertAlign w:val="superscript"/>
          <w:lang w:val="zh-CN"/>
        </w:rPr>
        <w:t>3-</w:t>
      </w:r>
      <w:r>
        <w:rPr>
          <w:rFonts w:hint="eastAsia"/>
          <w:color w:val="auto"/>
          <w:lang w:val="zh-CN"/>
        </w:rPr>
        <w:t>或亚硫酸盐几乎全部被氧化为硫酸根或硫酸盐，最后在CaSO</w:t>
      </w:r>
      <w:r>
        <w:rPr>
          <w:rFonts w:hint="eastAsia"/>
          <w:color w:val="auto"/>
          <w:vertAlign w:val="subscript"/>
          <w:lang w:val="zh-CN"/>
        </w:rPr>
        <w:t>4</w:t>
      </w:r>
      <w:r>
        <w:rPr>
          <w:rFonts w:hint="eastAsia"/>
          <w:color w:val="auto"/>
          <w:lang w:val="zh-CN"/>
        </w:rPr>
        <w:t>达到一定过饱和度后，结晶形成石膏CaSO</w:t>
      </w:r>
      <w:r>
        <w:rPr>
          <w:rFonts w:hint="eastAsia"/>
          <w:color w:val="auto"/>
          <w:vertAlign w:val="subscript"/>
          <w:lang w:val="zh-CN"/>
        </w:rPr>
        <w:t>4</w:t>
      </w:r>
      <w:r>
        <w:rPr>
          <w:rFonts w:hint="eastAsia"/>
          <w:color w:val="auto"/>
          <w:lang w:val="zh-CN"/>
        </w:rPr>
        <w:t>·2H</w:t>
      </w:r>
      <w:r>
        <w:rPr>
          <w:rFonts w:hint="eastAsia"/>
          <w:color w:val="auto"/>
          <w:vertAlign w:val="subscript"/>
          <w:lang w:val="zh-CN"/>
        </w:rPr>
        <w:t>2</w:t>
      </w:r>
      <w:r>
        <w:rPr>
          <w:rFonts w:hint="eastAsia"/>
          <w:color w:val="auto"/>
          <w:lang w:val="zh-CN"/>
        </w:rPr>
        <w:t>O。</w:t>
      </w:r>
    </w:p>
    <w:p w14:paraId="3BF0697C">
      <w:pPr>
        <w:spacing w:line="360" w:lineRule="auto"/>
        <w:ind w:firstLine="560" w:firstLineChars="200"/>
        <w:rPr>
          <w:color w:val="auto"/>
        </w:rPr>
      </w:pPr>
      <w:r>
        <w:rPr>
          <w:rFonts w:hint="eastAsia"/>
          <w:color w:val="auto"/>
        </w:rPr>
        <w:t>本</w:t>
      </w:r>
      <w:r>
        <w:rPr>
          <w:rFonts w:hint="eastAsia"/>
          <w:color w:val="auto"/>
          <w:lang w:eastAsia="zh-CN"/>
        </w:rPr>
        <w:t>项目</w:t>
      </w:r>
      <w:r>
        <w:rPr>
          <w:rFonts w:hint="eastAsia"/>
          <w:color w:val="auto"/>
        </w:rPr>
        <w:t>工艺流程图如下：</w:t>
      </w:r>
    </w:p>
    <w:p w14:paraId="69EB788E">
      <w:pPr>
        <w:jc w:val="center"/>
        <w:rPr>
          <w:rFonts w:hint="eastAsia" w:ascii="Times New Roman" w:hAnsi="Times New Roman" w:eastAsia="宋体" w:cs="Times New Roman"/>
          <w:color w:val="auto"/>
        </w:rPr>
      </w:pPr>
      <w:r>
        <w:rPr>
          <w:color w:val="auto"/>
          <w:sz w:val="24"/>
        </w:rPr>
        <w:object>
          <v:shape id="_x0000_i1025" o:spt="75" type="#_x0000_t75" style="height:309.2pt;width:460.85pt;" o:ole="t" filled="f" o:preferrelative="t" stroked="f" coordsize="21600,21600">
            <v:path/>
            <v:fill on="f" focussize="0,0"/>
            <v:stroke on="f"/>
            <v:imagedata r:id="rId12" o:title=""/>
            <o:lock v:ext="edit" aspectratio="t"/>
            <w10:wrap type="none"/>
            <w10:anchorlock/>
          </v:shape>
          <o:OLEObject Type="Embed" ProgID="Visio.Drawing.11" ShapeID="_x0000_i1025" DrawAspect="Content" ObjectID="_1468075725" r:id="rId11">
            <o:LockedField>false</o:LockedField>
          </o:OLEObject>
        </w:object>
      </w:r>
      <w:r>
        <w:rPr>
          <w:rFonts w:hint="eastAsia" w:ascii="Times New Roman" w:hAnsi="Times New Roman" w:eastAsia="宋体" w:cs="Times New Roman"/>
          <w:color w:val="auto"/>
        </w:rPr>
        <w:t>图2.</w:t>
      </w:r>
      <w:r>
        <w:rPr>
          <w:rFonts w:hint="eastAsia" w:cs="Times New Roman"/>
          <w:color w:val="auto"/>
          <w:lang w:val="en-US" w:eastAsia="zh-CN"/>
        </w:rPr>
        <w:t>8.1</w:t>
      </w:r>
      <w:r>
        <w:rPr>
          <w:rFonts w:hint="eastAsia" w:ascii="Times New Roman" w:hAnsi="Times New Roman" w:eastAsia="宋体" w:cs="Times New Roman"/>
          <w:color w:val="auto"/>
        </w:rPr>
        <w:t>-1项目工艺流程图</w:t>
      </w:r>
    </w:p>
    <w:p w14:paraId="30C63486">
      <w:pPr>
        <w:bidi w:val="0"/>
        <w:rPr>
          <w:color w:val="auto"/>
        </w:rPr>
      </w:pPr>
      <w:r>
        <w:rPr>
          <w:rFonts w:hint="eastAsia"/>
          <w:color w:val="auto"/>
        </w:rPr>
        <w:t>工艺流程简述：</w:t>
      </w:r>
    </w:p>
    <w:p w14:paraId="63908CDE">
      <w:pPr>
        <w:spacing w:line="360" w:lineRule="auto"/>
        <w:ind w:firstLine="560" w:firstLineChars="200"/>
        <w:rPr>
          <w:color w:val="auto"/>
        </w:rPr>
      </w:pPr>
      <w:r>
        <w:rPr>
          <w:rFonts w:hint="eastAsia"/>
          <w:color w:val="auto"/>
          <w:lang w:val="en-US" w:eastAsia="zh-CN"/>
        </w:rPr>
        <w:t>1.</w:t>
      </w:r>
      <w:r>
        <w:rPr>
          <w:rFonts w:hint="eastAsia"/>
          <w:color w:val="auto"/>
        </w:rPr>
        <w:t>项目水泥窑窑尾烟气通过引风机进入脱硫装置吸收塔。在吸收塔内烟气向上流动且被向下流动的循环浆液以逆流方式洗涤，循环浆液则通过喷浆层内设置的喷嘴喷射到吸收塔中，以便脱除SO</w:t>
      </w:r>
      <w:r>
        <w:rPr>
          <w:rFonts w:hint="eastAsia"/>
          <w:color w:val="auto"/>
          <w:vertAlign w:val="subscript"/>
          <w:lang w:val="zh-CN"/>
        </w:rPr>
        <w:t>2</w:t>
      </w:r>
      <w:r>
        <w:rPr>
          <w:rFonts w:hint="eastAsia"/>
          <w:color w:val="auto"/>
        </w:rPr>
        <w:t>、SO</w:t>
      </w:r>
      <w:r>
        <w:rPr>
          <w:rFonts w:hint="eastAsia"/>
          <w:color w:val="auto"/>
          <w:vertAlign w:val="subscript"/>
          <w:lang w:val="zh-CN"/>
        </w:rPr>
        <w:t>3</w:t>
      </w:r>
      <w:r>
        <w:rPr>
          <w:rFonts w:hint="eastAsia"/>
          <w:color w:val="auto"/>
          <w:lang w:val="en-US" w:eastAsia="zh-CN"/>
        </w:rPr>
        <w:t>等气体</w:t>
      </w:r>
      <w:r>
        <w:rPr>
          <w:rFonts w:hint="eastAsia"/>
          <w:color w:val="auto"/>
        </w:rPr>
        <w:t>，同时在“强氧化工艺”的处理下反应的副产物被导入的空气氧化为石膏（CaSO</w:t>
      </w:r>
      <w:r>
        <w:rPr>
          <w:rFonts w:hint="eastAsia"/>
          <w:color w:val="auto"/>
          <w:vertAlign w:val="subscript"/>
          <w:lang w:val="zh-CN"/>
        </w:rPr>
        <w:t>4</w:t>
      </w:r>
      <w:r>
        <w:rPr>
          <w:rFonts w:hint="eastAsia"/>
          <w:color w:val="auto"/>
        </w:rPr>
        <w:t>·2H</w:t>
      </w:r>
      <w:r>
        <w:rPr>
          <w:rFonts w:hint="eastAsia"/>
          <w:color w:val="auto"/>
          <w:vertAlign w:val="subscript"/>
          <w:lang w:val="zh-CN"/>
        </w:rPr>
        <w:t>2</w:t>
      </w:r>
      <w:r>
        <w:rPr>
          <w:rFonts w:hint="eastAsia"/>
          <w:color w:val="auto"/>
        </w:rPr>
        <w:t>O），并消耗作为吸收剂的窑灰。</w:t>
      </w:r>
    </w:p>
    <w:p w14:paraId="719CBEA3">
      <w:pPr>
        <w:spacing w:line="360" w:lineRule="auto"/>
        <w:ind w:firstLine="560" w:firstLineChars="200"/>
        <w:rPr>
          <w:color w:val="auto"/>
        </w:rPr>
      </w:pPr>
      <w:r>
        <w:rPr>
          <w:rFonts w:hint="eastAsia"/>
          <w:color w:val="auto"/>
          <w:lang w:val="en-US" w:eastAsia="zh-CN"/>
        </w:rPr>
        <w:t>2.窑灰由收尘器沉降室灰斗经螺旋称输送至浆液制备罐，加水制备成</w:t>
      </w:r>
      <w:r>
        <w:rPr>
          <w:rFonts w:hint="eastAsia"/>
          <w:color w:val="auto"/>
        </w:rPr>
        <w:t>循环浆液</w:t>
      </w:r>
      <w:r>
        <w:rPr>
          <w:rFonts w:hint="eastAsia"/>
          <w:color w:val="auto"/>
          <w:lang w:eastAsia="zh-CN"/>
        </w:rPr>
        <w:t>。</w:t>
      </w:r>
      <w:r>
        <w:rPr>
          <w:rFonts w:hint="eastAsia"/>
          <w:color w:val="auto"/>
        </w:rPr>
        <w:t>循环浆液通过浆液循环泵向上输送到喷淋层中，通过喷嘴进行雾化，可使气体和液体得以充分接触，每个泵通常与其各自的喷淋层相连接，即通常采用单元制。</w:t>
      </w:r>
    </w:p>
    <w:p w14:paraId="1369176A">
      <w:pPr>
        <w:spacing w:line="360" w:lineRule="auto"/>
        <w:ind w:firstLine="560" w:firstLineChars="200"/>
        <w:rPr>
          <w:rFonts w:hint="default" w:eastAsia="宋体"/>
          <w:color w:val="auto"/>
          <w:lang w:val="en-US" w:eastAsia="zh-CN"/>
        </w:rPr>
      </w:pPr>
      <w:r>
        <w:rPr>
          <w:rFonts w:hint="eastAsia"/>
          <w:color w:val="auto"/>
          <w:lang w:val="en-US" w:eastAsia="zh-CN"/>
        </w:rPr>
        <w:t>3.</w:t>
      </w:r>
      <w:r>
        <w:rPr>
          <w:rFonts w:hint="eastAsia"/>
          <w:color w:val="auto"/>
        </w:rPr>
        <w:t>在吸收塔中，石灰石与二氧化硫反应生成石膏，这部分石膏浆液通过石膏浆液泵排出，进入石膏脱水系统</w:t>
      </w:r>
      <w:r>
        <w:rPr>
          <w:rFonts w:hint="eastAsia"/>
          <w:color w:val="auto"/>
          <w:lang w:eastAsia="zh-CN"/>
        </w:rPr>
        <w:t>。</w:t>
      </w:r>
      <w:r>
        <w:rPr>
          <w:rFonts w:hint="eastAsia"/>
          <w:color w:val="auto"/>
        </w:rPr>
        <w:t>脱水系统主要包括石膏水力旋流器（作为一级脱水设备）、浆液分配器和真空皮带脱水机。</w:t>
      </w:r>
      <w:r>
        <w:rPr>
          <w:rFonts w:hint="eastAsia"/>
          <w:color w:val="auto"/>
          <w:lang w:val="en-US" w:eastAsia="zh-CN"/>
        </w:rPr>
        <w:t>石膏回用于水泥熟料生产。</w:t>
      </w:r>
    </w:p>
    <w:p w14:paraId="4C004150">
      <w:pPr>
        <w:spacing w:line="360" w:lineRule="auto"/>
        <w:ind w:firstLine="560" w:firstLineChars="200"/>
        <w:rPr>
          <w:color w:val="auto"/>
        </w:rPr>
      </w:pPr>
      <w:r>
        <w:rPr>
          <w:rFonts w:hint="eastAsia"/>
          <w:color w:val="auto"/>
          <w:lang w:val="en-US" w:eastAsia="zh-CN"/>
        </w:rPr>
        <w:t>4.</w:t>
      </w:r>
      <w:r>
        <w:rPr>
          <w:rFonts w:hint="eastAsia"/>
          <w:color w:val="auto"/>
        </w:rPr>
        <w:t>经过净化处理的烟气流经两级除雾器除雾，在此处将清洁烟气中所携带的浆液雾滴去除。同时按特定程序不时地用工艺水对除雾器进行冲洗，在吸收塔出口，洁净的烟气通过烟道进入原窑尾烟囱排向大气。</w:t>
      </w:r>
    </w:p>
    <w:p w14:paraId="0C69F6EF">
      <w:pPr>
        <w:pStyle w:val="4"/>
        <w:bidi w:val="0"/>
        <w:rPr>
          <w:rFonts w:hint="eastAsia"/>
          <w:color w:val="auto"/>
          <w:lang w:val="en-US" w:eastAsia="zh-CN"/>
        </w:rPr>
      </w:pPr>
      <w:bookmarkStart w:id="38" w:name="_Toc8417"/>
      <w:r>
        <w:rPr>
          <w:rFonts w:hint="eastAsia"/>
          <w:color w:val="auto"/>
          <w:lang w:val="en-US" w:eastAsia="zh-CN"/>
        </w:rPr>
        <w:t>2.8.2主要设备设施</w:t>
      </w:r>
      <w:bookmarkEnd w:id="38"/>
    </w:p>
    <w:p w14:paraId="5F54D406">
      <w:pPr>
        <w:spacing w:line="360" w:lineRule="auto"/>
        <w:ind w:firstLine="560" w:firstLineChars="200"/>
        <w:rPr>
          <w:color w:val="auto"/>
          <w:lang w:val="zh-CN"/>
        </w:rPr>
      </w:pPr>
      <w:r>
        <w:rPr>
          <w:rFonts w:hint="eastAsia"/>
          <w:color w:val="auto"/>
          <w:lang w:val="zh-CN"/>
        </w:rPr>
        <w:t>项目主要设备情况见表2.</w:t>
      </w:r>
      <w:r>
        <w:rPr>
          <w:rFonts w:hint="eastAsia"/>
          <w:color w:val="auto"/>
          <w:lang w:val="en-US" w:eastAsia="zh-CN"/>
        </w:rPr>
        <w:t>8.2-1</w:t>
      </w:r>
      <w:r>
        <w:rPr>
          <w:rFonts w:hint="eastAsia"/>
          <w:color w:val="auto"/>
          <w:lang w:val="zh-CN"/>
        </w:rPr>
        <w:t>、2.</w:t>
      </w:r>
      <w:r>
        <w:rPr>
          <w:rFonts w:hint="eastAsia"/>
          <w:color w:val="auto"/>
          <w:lang w:val="en-US" w:eastAsia="zh-CN"/>
        </w:rPr>
        <w:t>8.2-2</w:t>
      </w:r>
      <w:r>
        <w:rPr>
          <w:rFonts w:hint="eastAsia"/>
          <w:color w:val="auto"/>
          <w:lang w:val="zh-CN"/>
        </w:rPr>
        <w:t>。</w:t>
      </w:r>
    </w:p>
    <w:p w14:paraId="4A6FC11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zh-CN"/>
        </w:rPr>
      </w:pPr>
      <w:r>
        <w:rPr>
          <w:rFonts w:hint="eastAsia"/>
          <w:color w:val="auto"/>
          <w:lang w:val="zh-CN"/>
        </w:rPr>
        <w:t>表2.</w:t>
      </w:r>
      <w:r>
        <w:rPr>
          <w:rFonts w:hint="eastAsia"/>
          <w:color w:val="auto"/>
          <w:lang w:val="en-US" w:eastAsia="zh-CN"/>
        </w:rPr>
        <w:t>8.2-1</w:t>
      </w:r>
      <w:r>
        <w:rPr>
          <w:rFonts w:hint="eastAsia"/>
          <w:color w:val="auto"/>
          <w:lang w:val="zh-CN"/>
        </w:rPr>
        <w:t>主要生产设备一览表</w:t>
      </w:r>
    </w:p>
    <w:tbl>
      <w:tblPr>
        <w:tblStyle w:val="14"/>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Layout w:type="autofit"/>
        <w:tblCellMar>
          <w:top w:w="0" w:type="dxa"/>
          <w:left w:w="108" w:type="dxa"/>
          <w:bottom w:w="0" w:type="dxa"/>
          <w:right w:w="108" w:type="dxa"/>
        </w:tblCellMar>
      </w:tblPr>
      <w:tblGrid>
        <w:gridCol w:w="992"/>
        <w:gridCol w:w="2157"/>
        <w:gridCol w:w="4117"/>
        <w:gridCol w:w="1007"/>
        <w:gridCol w:w="1011"/>
      </w:tblGrid>
      <w:tr w14:paraId="047C3E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90" w:hRule="atLeast"/>
          <w:jc w:val="center"/>
        </w:trPr>
        <w:tc>
          <w:tcPr>
            <w:tcW w:w="534" w:type="pct"/>
            <w:tcBorders>
              <w:tl2br w:val="nil"/>
              <w:tr2bl w:val="nil"/>
            </w:tcBorders>
            <w:shd w:val="clear" w:color="auto" w:fill="FFFFFF" w:themeFill="background1"/>
            <w:vAlign w:val="center"/>
          </w:tcPr>
          <w:p w14:paraId="58C22A19">
            <w:pPr>
              <w:pStyle w:val="21"/>
              <w:bidi w:val="0"/>
              <w:spacing w:line="240" w:lineRule="auto"/>
              <w:jc w:val="center"/>
              <w:rPr>
                <w:rFonts w:hint="eastAsia"/>
                <w:color w:val="auto"/>
              </w:rPr>
            </w:pPr>
            <w:r>
              <w:rPr>
                <w:rFonts w:hint="eastAsia"/>
                <w:color w:val="auto"/>
                <w:lang w:val="en-US" w:eastAsia="zh-CN"/>
              </w:rPr>
              <w:t>编号</w:t>
            </w:r>
          </w:p>
        </w:tc>
        <w:tc>
          <w:tcPr>
            <w:tcW w:w="1161" w:type="pct"/>
            <w:tcBorders>
              <w:tl2br w:val="nil"/>
              <w:tr2bl w:val="nil"/>
            </w:tcBorders>
            <w:shd w:val="clear" w:color="auto" w:fill="FFFFFF" w:themeFill="background1"/>
            <w:vAlign w:val="center"/>
          </w:tcPr>
          <w:p w14:paraId="305BB734">
            <w:pPr>
              <w:pStyle w:val="21"/>
              <w:bidi w:val="0"/>
              <w:spacing w:line="240" w:lineRule="auto"/>
              <w:jc w:val="center"/>
              <w:rPr>
                <w:rFonts w:hint="eastAsia"/>
                <w:color w:val="auto"/>
              </w:rPr>
            </w:pPr>
            <w:r>
              <w:rPr>
                <w:rFonts w:hint="eastAsia"/>
                <w:color w:val="auto"/>
                <w:lang w:val="en-US" w:eastAsia="zh-CN"/>
              </w:rPr>
              <w:t>名称</w:t>
            </w:r>
          </w:p>
        </w:tc>
        <w:tc>
          <w:tcPr>
            <w:tcW w:w="2216" w:type="pct"/>
            <w:tcBorders>
              <w:tl2br w:val="nil"/>
              <w:tr2bl w:val="nil"/>
            </w:tcBorders>
            <w:shd w:val="clear" w:color="auto" w:fill="FFFFFF" w:themeFill="background1"/>
            <w:vAlign w:val="center"/>
          </w:tcPr>
          <w:p w14:paraId="551BA4B4">
            <w:pPr>
              <w:pStyle w:val="21"/>
              <w:bidi w:val="0"/>
              <w:spacing w:line="240" w:lineRule="auto"/>
              <w:jc w:val="center"/>
              <w:rPr>
                <w:rFonts w:hint="eastAsia"/>
                <w:color w:val="auto"/>
              </w:rPr>
            </w:pPr>
            <w:r>
              <w:rPr>
                <w:rFonts w:hint="eastAsia"/>
                <w:color w:val="auto"/>
                <w:lang w:val="en-US" w:eastAsia="zh-CN"/>
              </w:rPr>
              <w:t>规格参数</w:t>
            </w:r>
          </w:p>
        </w:tc>
        <w:tc>
          <w:tcPr>
            <w:tcW w:w="542" w:type="pct"/>
            <w:tcBorders>
              <w:tl2br w:val="nil"/>
              <w:tr2bl w:val="nil"/>
            </w:tcBorders>
            <w:shd w:val="clear" w:color="auto" w:fill="FFFFFF" w:themeFill="background1"/>
            <w:vAlign w:val="center"/>
          </w:tcPr>
          <w:p w14:paraId="33FB6D2C">
            <w:pPr>
              <w:pStyle w:val="21"/>
              <w:bidi w:val="0"/>
              <w:spacing w:line="240" w:lineRule="auto"/>
              <w:jc w:val="center"/>
              <w:rPr>
                <w:rFonts w:hint="eastAsia"/>
                <w:color w:val="auto"/>
              </w:rPr>
            </w:pPr>
            <w:r>
              <w:rPr>
                <w:rFonts w:hint="eastAsia"/>
                <w:color w:val="auto"/>
                <w:lang w:val="en-US" w:eastAsia="zh-CN"/>
              </w:rPr>
              <w:t>单位</w:t>
            </w:r>
          </w:p>
        </w:tc>
        <w:tc>
          <w:tcPr>
            <w:tcW w:w="544" w:type="pct"/>
            <w:tcBorders>
              <w:tl2br w:val="nil"/>
              <w:tr2bl w:val="nil"/>
            </w:tcBorders>
            <w:shd w:val="clear" w:color="auto" w:fill="FFFFFF" w:themeFill="background1"/>
            <w:vAlign w:val="center"/>
          </w:tcPr>
          <w:p w14:paraId="19BE6163">
            <w:pPr>
              <w:pStyle w:val="21"/>
              <w:bidi w:val="0"/>
              <w:spacing w:line="240" w:lineRule="auto"/>
              <w:jc w:val="center"/>
              <w:rPr>
                <w:rFonts w:hint="eastAsia"/>
                <w:color w:val="auto"/>
              </w:rPr>
            </w:pPr>
            <w:r>
              <w:rPr>
                <w:rFonts w:hint="eastAsia"/>
                <w:color w:val="auto"/>
                <w:lang w:val="en-US" w:eastAsia="zh-CN"/>
              </w:rPr>
              <w:t>数量</w:t>
            </w:r>
          </w:p>
        </w:tc>
      </w:tr>
      <w:tr w14:paraId="5CB75E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55" w:hRule="atLeast"/>
          <w:jc w:val="center"/>
        </w:trPr>
        <w:tc>
          <w:tcPr>
            <w:tcW w:w="534" w:type="pct"/>
            <w:tcBorders>
              <w:tl2br w:val="nil"/>
              <w:tr2bl w:val="nil"/>
            </w:tcBorders>
            <w:shd w:val="clear" w:color="auto" w:fill="FFFFFF" w:themeFill="background1"/>
            <w:vAlign w:val="center"/>
          </w:tcPr>
          <w:p w14:paraId="5B31466A">
            <w:pPr>
              <w:pStyle w:val="20"/>
              <w:bidi w:val="0"/>
              <w:rPr>
                <w:rFonts w:hint="eastAsia"/>
                <w:color w:val="auto"/>
              </w:rPr>
            </w:pPr>
            <w:r>
              <w:rPr>
                <w:rFonts w:hint="eastAsia"/>
                <w:color w:val="auto"/>
                <w:lang w:val="en-US" w:eastAsia="zh-CN"/>
              </w:rPr>
              <w:t>1</w:t>
            </w:r>
          </w:p>
        </w:tc>
        <w:tc>
          <w:tcPr>
            <w:tcW w:w="1161" w:type="pct"/>
            <w:tcBorders>
              <w:tl2br w:val="nil"/>
              <w:tr2bl w:val="nil"/>
            </w:tcBorders>
            <w:shd w:val="clear" w:color="auto" w:fill="FFFFFF" w:themeFill="background1"/>
            <w:vAlign w:val="center"/>
          </w:tcPr>
          <w:p w14:paraId="5693F37D">
            <w:pPr>
              <w:pStyle w:val="20"/>
              <w:bidi w:val="0"/>
              <w:rPr>
                <w:rFonts w:hint="eastAsia"/>
                <w:color w:val="auto"/>
              </w:rPr>
            </w:pPr>
            <w:r>
              <w:rPr>
                <w:rFonts w:hint="eastAsia"/>
                <w:color w:val="auto"/>
                <w:lang w:val="en-US" w:eastAsia="zh-CN"/>
              </w:rPr>
              <w:t>吸收塔</w:t>
            </w:r>
          </w:p>
        </w:tc>
        <w:tc>
          <w:tcPr>
            <w:tcW w:w="2216" w:type="pct"/>
            <w:tcBorders>
              <w:tl2br w:val="nil"/>
              <w:tr2bl w:val="nil"/>
            </w:tcBorders>
            <w:shd w:val="clear" w:color="auto" w:fill="FFFFFF" w:themeFill="background1"/>
            <w:vAlign w:val="center"/>
          </w:tcPr>
          <w:p w14:paraId="7AB0AB38">
            <w:pPr>
              <w:pStyle w:val="20"/>
              <w:bidi w:val="0"/>
              <w:rPr>
                <w:rFonts w:hint="eastAsia"/>
                <w:color w:val="auto"/>
              </w:rPr>
            </w:pPr>
            <w:r>
              <w:rPr>
                <w:rFonts w:hint="eastAsia"/>
                <w:color w:val="auto"/>
                <w:lang w:val="en-US" w:eastAsia="zh-CN"/>
              </w:rPr>
              <w:t>吸收塔总高：35.M；塔内径：11M，底部浆液池直径：12M；</w:t>
            </w:r>
          </w:p>
        </w:tc>
        <w:tc>
          <w:tcPr>
            <w:tcW w:w="542" w:type="pct"/>
            <w:tcBorders>
              <w:tl2br w:val="nil"/>
              <w:tr2bl w:val="nil"/>
            </w:tcBorders>
            <w:shd w:val="clear" w:color="auto" w:fill="FFFFFF" w:themeFill="background1"/>
            <w:vAlign w:val="center"/>
          </w:tcPr>
          <w:p w14:paraId="7093ACAB">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427FF278">
            <w:pPr>
              <w:pStyle w:val="20"/>
              <w:bidi w:val="0"/>
              <w:rPr>
                <w:rFonts w:hint="eastAsia"/>
                <w:color w:val="auto"/>
              </w:rPr>
            </w:pPr>
            <w:r>
              <w:rPr>
                <w:rFonts w:hint="eastAsia"/>
                <w:color w:val="auto"/>
                <w:lang w:val="en-US" w:eastAsia="zh-CN"/>
              </w:rPr>
              <w:t>1</w:t>
            </w:r>
          </w:p>
        </w:tc>
      </w:tr>
      <w:tr w14:paraId="09249A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0" w:hRule="atLeast"/>
          <w:jc w:val="center"/>
        </w:trPr>
        <w:tc>
          <w:tcPr>
            <w:tcW w:w="534" w:type="pct"/>
            <w:tcBorders>
              <w:tl2br w:val="nil"/>
              <w:tr2bl w:val="nil"/>
            </w:tcBorders>
            <w:shd w:val="clear" w:color="auto" w:fill="FFFFFF" w:themeFill="background1"/>
            <w:vAlign w:val="center"/>
          </w:tcPr>
          <w:p w14:paraId="6828EE86">
            <w:pPr>
              <w:pStyle w:val="20"/>
              <w:bidi w:val="0"/>
              <w:rPr>
                <w:rFonts w:hint="eastAsia"/>
                <w:color w:val="auto"/>
                <w:lang w:val="en-US" w:eastAsia="zh-CN"/>
              </w:rPr>
            </w:pPr>
            <w:r>
              <w:rPr>
                <w:rFonts w:hint="eastAsia"/>
                <w:color w:val="auto"/>
                <w:lang w:val="en-US" w:eastAsia="zh-CN"/>
              </w:rPr>
              <w:t>2</w:t>
            </w:r>
          </w:p>
        </w:tc>
        <w:tc>
          <w:tcPr>
            <w:tcW w:w="1161" w:type="pct"/>
            <w:tcBorders>
              <w:tl2br w:val="nil"/>
              <w:tr2bl w:val="nil"/>
            </w:tcBorders>
            <w:shd w:val="clear" w:color="auto" w:fill="FFFFFF" w:themeFill="background1"/>
            <w:vAlign w:val="center"/>
          </w:tcPr>
          <w:p w14:paraId="492322EB">
            <w:pPr>
              <w:pStyle w:val="20"/>
              <w:bidi w:val="0"/>
              <w:rPr>
                <w:rFonts w:hint="eastAsia"/>
                <w:color w:val="auto"/>
              </w:rPr>
            </w:pPr>
            <w:r>
              <w:rPr>
                <w:rFonts w:hint="eastAsia"/>
                <w:color w:val="auto"/>
                <w:lang w:val="en-US" w:eastAsia="zh-CN"/>
              </w:rPr>
              <w:t>除雾器：</w:t>
            </w:r>
          </w:p>
        </w:tc>
        <w:tc>
          <w:tcPr>
            <w:tcW w:w="2216" w:type="pct"/>
            <w:tcBorders>
              <w:tl2br w:val="nil"/>
              <w:tr2bl w:val="nil"/>
            </w:tcBorders>
            <w:shd w:val="clear" w:color="auto" w:fill="FFFFFF" w:themeFill="background1"/>
            <w:vAlign w:val="center"/>
          </w:tcPr>
          <w:p w14:paraId="1D8AA16D">
            <w:pPr>
              <w:pStyle w:val="20"/>
              <w:bidi w:val="0"/>
              <w:rPr>
                <w:rFonts w:hint="eastAsia"/>
                <w:color w:val="auto"/>
              </w:rPr>
            </w:pPr>
          </w:p>
        </w:tc>
        <w:tc>
          <w:tcPr>
            <w:tcW w:w="542" w:type="pct"/>
            <w:tcBorders>
              <w:tl2br w:val="nil"/>
              <w:tr2bl w:val="nil"/>
            </w:tcBorders>
            <w:shd w:val="clear" w:color="auto" w:fill="FFFFFF" w:themeFill="background1"/>
            <w:vAlign w:val="center"/>
          </w:tcPr>
          <w:p w14:paraId="6BAF44FE">
            <w:pPr>
              <w:pStyle w:val="20"/>
              <w:bidi w:val="0"/>
              <w:rPr>
                <w:rFonts w:hint="eastAsia"/>
                <w:color w:val="auto"/>
              </w:rPr>
            </w:pPr>
            <w:r>
              <w:rPr>
                <w:rFonts w:hint="eastAsia"/>
                <w:color w:val="auto"/>
                <w:lang w:val="en-US" w:eastAsia="zh-CN"/>
              </w:rPr>
              <w:t>套</w:t>
            </w:r>
          </w:p>
        </w:tc>
        <w:tc>
          <w:tcPr>
            <w:tcW w:w="544" w:type="pct"/>
            <w:tcBorders>
              <w:tl2br w:val="nil"/>
              <w:tr2bl w:val="nil"/>
            </w:tcBorders>
            <w:shd w:val="clear" w:color="auto" w:fill="FFFFFF" w:themeFill="background1"/>
            <w:vAlign w:val="center"/>
          </w:tcPr>
          <w:p w14:paraId="611E2549">
            <w:pPr>
              <w:pStyle w:val="20"/>
              <w:bidi w:val="0"/>
              <w:rPr>
                <w:rFonts w:hint="eastAsia"/>
                <w:color w:val="auto"/>
              </w:rPr>
            </w:pPr>
            <w:r>
              <w:rPr>
                <w:rFonts w:hint="eastAsia"/>
                <w:color w:val="auto"/>
                <w:lang w:val="en-US" w:eastAsia="zh-CN"/>
              </w:rPr>
              <w:t>1</w:t>
            </w:r>
          </w:p>
        </w:tc>
      </w:tr>
      <w:tr w14:paraId="00842D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jc w:val="center"/>
        </w:trPr>
        <w:tc>
          <w:tcPr>
            <w:tcW w:w="534" w:type="pct"/>
            <w:tcBorders>
              <w:tl2br w:val="nil"/>
              <w:tr2bl w:val="nil"/>
            </w:tcBorders>
            <w:shd w:val="clear" w:color="auto" w:fill="FFFFFF" w:themeFill="background1"/>
            <w:vAlign w:val="center"/>
          </w:tcPr>
          <w:p w14:paraId="714D0900">
            <w:pPr>
              <w:pStyle w:val="20"/>
              <w:bidi w:val="0"/>
              <w:rPr>
                <w:rFonts w:hint="default"/>
                <w:color w:val="auto"/>
                <w:lang w:val="en-US" w:eastAsia="zh-CN"/>
              </w:rPr>
            </w:pPr>
            <w:r>
              <w:rPr>
                <w:rFonts w:hint="eastAsia"/>
                <w:color w:val="auto"/>
                <w:lang w:val="en-US" w:eastAsia="zh-CN"/>
              </w:rPr>
              <w:t>3</w:t>
            </w:r>
          </w:p>
        </w:tc>
        <w:tc>
          <w:tcPr>
            <w:tcW w:w="1161" w:type="pct"/>
            <w:tcBorders>
              <w:tl2br w:val="nil"/>
              <w:tr2bl w:val="nil"/>
            </w:tcBorders>
            <w:shd w:val="clear" w:color="auto" w:fill="FFFFFF" w:themeFill="background1"/>
            <w:vAlign w:val="center"/>
          </w:tcPr>
          <w:p w14:paraId="3E6B73AA">
            <w:pPr>
              <w:pStyle w:val="20"/>
              <w:bidi w:val="0"/>
              <w:rPr>
                <w:rFonts w:hint="eastAsia"/>
                <w:color w:val="auto"/>
              </w:rPr>
            </w:pPr>
            <w:r>
              <w:rPr>
                <w:rFonts w:hint="eastAsia"/>
                <w:color w:val="auto"/>
                <w:lang w:val="en-US" w:eastAsia="zh-CN"/>
              </w:rPr>
              <w:t>喷淋层：</w:t>
            </w:r>
          </w:p>
        </w:tc>
        <w:tc>
          <w:tcPr>
            <w:tcW w:w="2216" w:type="pct"/>
            <w:tcBorders>
              <w:tl2br w:val="nil"/>
              <w:tr2bl w:val="nil"/>
            </w:tcBorders>
            <w:shd w:val="clear" w:color="auto" w:fill="FFFFFF" w:themeFill="background1"/>
            <w:vAlign w:val="center"/>
          </w:tcPr>
          <w:p w14:paraId="3E78C13F">
            <w:pPr>
              <w:pStyle w:val="20"/>
              <w:bidi w:val="0"/>
              <w:rPr>
                <w:rFonts w:hint="eastAsia"/>
                <w:color w:val="auto"/>
              </w:rPr>
            </w:pPr>
          </w:p>
        </w:tc>
        <w:tc>
          <w:tcPr>
            <w:tcW w:w="542" w:type="pct"/>
            <w:tcBorders>
              <w:tl2br w:val="nil"/>
              <w:tr2bl w:val="nil"/>
            </w:tcBorders>
            <w:shd w:val="clear" w:color="auto" w:fill="FFFFFF" w:themeFill="background1"/>
            <w:vAlign w:val="center"/>
          </w:tcPr>
          <w:p w14:paraId="2A447C30">
            <w:pPr>
              <w:pStyle w:val="20"/>
              <w:bidi w:val="0"/>
              <w:rPr>
                <w:rFonts w:hint="eastAsia"/>
                <w:color w:val="auto"/>
              </w:rPr>
            </w:pPr>
            <w:r>
              <w:rPr>
                <w:rFonts w:hint="eastAsia"/>
                <w:color w:val="auto"/>
                <w:lang w:val="en-US" w:eastAsia="zh-CN"/>
              </w:rPr>
              <w:t>套</w:t>
            </w:r>
          </w:p>
        </w:tc>
        <w:tc>
          <w:tcPr>
            <w:tcW w:w="544" w:type="pct"/>
            <w:tcBorders>
              <w:tl2br w:val="nil"/>
              <w:tr2bl w:val="nil"/>
            </w:tcBorders>
            <w:shd w:val="clear" w:color="auto" w:fill="FFFFFF" w:themeFill="background1"/>
            <w:vAlign w:val="center"/>
          </w:tcPr>
          <w:p w14:paraId="72A05DD8">
            <w:pPr>
              <w:pStyle w:val="20"/>
              <w:bidi w:val="0"/>
              <w:rPr>
                <w:rFonts w:hint="eastAsia"/>
                <w:color w:val="auto"/>
              </w:rPr>
            </w:pPr>
            <w:r>
              <w:rPr>
                <w:rFonts w:hint="eastAsia"/>
                <w:color w:val="auto"/>
                <w:lang w:val="en-US" w:eastAsia="zh-CN"/>
              </w:rPr>
              <w:t>1</w:t>
            </w:r>
          </w:p>
        </w:tc>
      </w:tr>
      <w:tr w14:paraId="08571C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2" w:hRule="atLeast"/>
          <w:jc w:val="center"/>
        </w:trPr>
        <w:tc>
          <w:tcPr>
            <w:tcW w:w="534" w:type="pct"/>
            <w:tcBorders>
              <w:tl2br w:val="nil"/>
              <w:tr2bl w:val="nil"/>
            </w:tcBorders>
            <w:shd w:val="clear" w:color="auto" w:fill="FFFFFF" w:themeFill="background1"/>
            <w:vAlign w:val="center"/>
          </w:tcPr>
          <w:p w14:paraId="4F647919">
            <w:pPr>
              <w:pStyle w:val="20"/>
              <w:bidi w:val="0"/>
              <w:rPr>
                <w:rFonts w:hint="eastAsia"/>
                <w:color w:val="auto"/>
                <w:lang w:val="en-US" w:eastAsia="zh-CN"/>
              </w:rPr>
            </w:pPr>
            <w:r>
              <w:rPr>
                <w:rFonts w:hint="eastAsia"/>
                <w:color w:val="auto"/>
                <w:lang w:val="en-US" w:eastAsia="zh-CN"/>
              </w:rPr>
              <w:t>4</w:t>
            </w:r>
          </w:p>
        </w:tc>
        <w:tc>
          <w:tcPr>
            <w:tcW w:w="1161" w:type="pct"/>
            <w:tcBorders>
              <w:tl2br w:val="nil"/>
              <w:tr2bl w:val="nil"/>
            </w:tcBorders>
            <w:shd w:val="clear" w:color="auto" w:fill="FFFFFF" w:themeFill="background1"/>
            <w:vAlign w:val="center"/>
          </w:tcPr>
          <w:p w14:paraId="78296C97">
            <w:pPr>
              <w:pStyle w:val="20"/>
              <w:bidi w:val="0"/>
              <w:rPr>
                <w:rFonts w:hint="eastAsia"/>
                <w:color w:val="auto"/>
              </w:rPr>
            </w:pPr>
            <w:r>
              <w:rPr>
                <w:rFonts w:hint="eastAsia"/>
                <w:color w:val="auto"/>
                <w:lang w:val="en-US" w:eastAsia="zh-CN"/>
              </w:rPr>
              <w:t>增强吸收层：</w:t>
            </w:r>
          </w:p>
        </w:tc>
        <w:tc>
          <w:tcPr>
            <w:tcW w:w="2216" w:type="pct"/>
            <w:tcBorders>
              <w:tl2br w:val="nil"/>
              <w:tr2bl w:val="nil"/>
            </w:tcBorders>
            <w:shd w:val="clear" w:color="auto" w:fill="FFFFFF" w:themeFill="background1"/>
            <w:vAlign w:val="center"/>
          </w:tcPr>
          <w:p w14:paraId="6AB5A65D">
            <w:pPr>
              <w:pStyle w:val="20"/>
              <w:bidi w:val="0"/>
              <w:rPr>
                <w:rFonts w:hint="eastAsia"/>
                <w:color w:val="auto"/>
              </w:rPr>
            </w:pPr>
          </w:p>
        </w:tc>
        <w:tc>
          <w:tcPr>
            <w:tcW w:w="542" w:type="pct"/>
            <w:tcBorders>
              <w:tl2br w:val="nil"/>
              <w:tr2bl w:val="nil"/>
            </w:tcBorders>
            <w:shd w:val="clear" w:color="auto" w:fill="FFFFFF" w:themeFill="background1"/>
            <w:vAlign w:val="center"/>
          </w:tcPr>
          <w:p w14:paraId="1BCADC1C">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2DF0197">
            <w:pPr>
              <w:pStyle w:val="20"/>
              <w:bidi w:val="0"/>
              <w:rPr>
                <w:rFonts w:hint="eastAsia"/>
                <w:color w:val="auto"/>
              </w:rPr>
            </w:pPr>
            <w:r>
              <w:rPr>
                <w:rFonts w:hint="eastAsia"/>
                <w:color w:val="auto"/>
                <w:lang w:val="en-US" w:eastAsia="zh-CN"/>
              </w:rPr>
              <w:t>1</w:t>
            </w:r>
          </w:p>
        </w:tc>
      </w:tr>
      <w:tr w14:paraId="52DD0B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534" w:type="pct"/>
            <w:tcBorders>
              <w:tl2br w:val="nil"/>
              <w:tr2bl w:val="nil"/>
            </w:tcBorders>
            <w:shd w:val="clear" w:color="auto" w:fill="FFFFFF" w:themeFill="background1"/>
            <w:vAlign w:val="center"/>
          </w:tcPr>
          <w:p w14:paraId="3160AD49">
            <w:pPr>
              <w:pStyle w:val="20"/>
              <w:bidi w:val="0"/>
              <w:rPr>
                <w:rFonts w:hint="eastAsia"/>
                <w:color w:val="auto"/>
              </w:rPr>
            </w:pPr>
            <w:r>
              <w:rPr>
                <w:rFonts w:hint="eastAsia"/>
                <w:color w:val="auto"/>
                <w:lang w:val="en-US" w:eastAsia="zh-CN"/>
              </w:rPr>
              <w:t>5</w:t>
            </w:r>
          </w:p>
        </w:tc>
        <w:tc>
          <w:tcPr>
            <w:tcW w:w="1161" w:type="pct"/>
            <w:tcBorders>
              <w:tl2br w:val="nil"/>
              <w:tr2bl w:val="nil"/>
            </w:tcBorders>
            <w:shd w:val="clear" w:color="auto" w:fill="FFFFFF" w:themeFill="background1"/>
            <w:vAlign w:val="center"/>
          </w:tcPr>
          <w:p w14:paraId="580EF618">
            <w:pPr>
              <w:pStyle w:val="20"/>
              <w:bidi w:val="0"/>
              <w:rPr>
                <w:rFonts w:hint="eastAsia"/>
                <w:color w:val="auto"/>
              </w:rPr>
            </w:pPr>
            <w:r>
              <w:rPr>
                <w:rFonts w:hint="eastAsia"/>
                <w:color w:val="auto"/>
                <w:lang w:val="en-US" w:eastAsia="zh-CN"/>
              </w:rPr>
              <w:t>浆液制备罐</w:t>
            </w:r>
          </w:p>
        </w:tc>
        <w:tc>
          <w:tcPr>
            <w:tcW w:w="2216" w:type="pct"/>
            <w:tcBorders>
              <w:tl2br w:val="nil"/>
              <w:tr2bl w:val="nil"/>
            </w:tcBorders>
            <w:shd w:val="clear" w:color="auto" w:fill="FFFFFF" w:themeFill="background1"/>
            <w:vAlign w:val="center"/>
          </w:tcPr>
          <w:p w14:paraId="5211DF1A">
            <w:pPr>
              <w:pStyle w:val="20"/>
              <w:bidi w:val="0"/>
              <w:rPr>
                <w:rFonts w:hint="eastAsia"/>
                <w:color w:val="auto"/>
              </w:rPr>
            </w:pPr>
            <w:r>
              <w:rPr>
                <w:rFonts w:hint="eastAsia"/>
                <w:color w:val="auto"/>
                <w:lang w:val="en-US" w:eastAsia="zh-CN"/>
              </w:rPr>
              <w:t>容积：50m³；尺寸：直径4m，高4m；</w:t>
            </w:r>
          </w:p>
        </w:tc>
        <w:tc>
          <w:tcPr>
            <w:tcW w:w="542" w:type="pct"/>
            <w:tcBorders>
              <w:tl2br w:val="nil"/>
              <w:tr2bl w:val="nil"/>
            </w:tcBorders>
            <w:shd w:val="clear" w:color="auto" w:fill="FFFFFF" w:themeFill="background1"/>
            <w:vAlign w:val="center"/>
          </w:tcPr>
          <w:p w14:paraId="0D17D78D">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0A6030B4">
            <w:pPr>
              <w:pStyle w:val="20"/>
              <w:bidi w:val="0"/>
              <w:rPr>
                <w:rFonts w:hint="eastAsia"/>
                <w:color w:val="auto"/>
              </w:rPr>
            </w:pPr>
            <w:r>
              <w:rPr>
                <w:rFonts w:hint="eastAsia"/>
                <w:color w:val="auto"/>
                <w:lang w:val="en-US" w:eastAsia="zh-CN"/>
              </w:rPr>
              <w:t>1</w:t>
            </w:r>
          </w:p>
        </w:tc>
      </w:tr>
      <w:tr w14:paraId="2DBFC8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2" w:hRule="atLeast"/>
          <w:jc w:val="center"/>
        </w:trPr>
        <w:tc>
          <w:tcPr>
            <w:tcW w:w="534" w:type="pct"/>
            <w:tcBorders>
              <w:tl2br w:val="nil"/>
              <w:tr2bl w:val="nil"/>
            </w:tcBorders>
            <w:shd w:val="clear" w:color="auto" w:fill="FFFFFF" w:themeFill="background1"/>
            <w:vAlign w:val="center"/>
          </w:tcPr>
          <w:p w14:paraId="235CB158">
            <w:pPr>
              <w:pStyle w:val="20"/>
              <w:bidi w:val="0"/>
              <w:rPr>
                <w:rFonts w:hint="eastAsia"/>
                <w:color w:val="auto"/>
              </w:rPr>
            </w:pPr>
            <w:r>
              <w:rPr>
                <w:rFonts w:hint="eastAsia"/>
                <w:color w:val="auto"/>
                <w:lang w:val="en-US" w:eastAsia="zh-CN"/>
              </w:rPr>
              <w:t>6</w:t>
            </w:r>
          </w:p>
        </w:tc>
        <w:tc>
          <w:tcPr>
            <w:tcW w:w="1161" w:type="pct"/>
            <w:tcBorders>
              <w:tl2br w:val="nil"/>
              <w:tr2bl w:val="nil"/>
            </w:tcBorders>
            <w:shd w:val="clear" w:color="auto" w:fill="FFFFFF" w:themeFill="background1"/>
            <w:vAlign w:val="center"/>
          </w:tcPr>
          <w:p w14:paraId="6402CEDE">
            <w:pPr>
              <w:pStyle w:val="20"/>
              <w:bidi w:val="0"/>
              <w:rPr>
                <w:rFonts w:hint="eastAsia"/>
                <w:color w:val="auto"/>
              </w:rPr>
            </w:pPr>
            <w:r>
              <w:rPr>
                <w:rFonts w:hint="eastAsia"/>
                <w:color w:val="auto"/>
                <w:lang w:val="en-US" w:eastAsia="zh-CN"/>
              </w:rPr>
              <w:t>集水坑</w:t>
            </w:r>
          </w:p>
        </w:tc>
        <w:tc>
          <w:tcPr>
            <w:tcW w:w="2216" w:type="pct"/>
            <w:tcBorders>
              <w:tl2br w:val="nil"/>
              <w:tr2bl w:val="nil"/>
            </w:tcBorders>
            <w:shd w:val="clear" w:color="auto" w:fill="FFFFFF" w:themeFill="background1"/>
            <w:vAlign w:val="center"/>
          </w:tcPr>
          <w:p w14:paraId="37B2941D">
            <w:pPr>
              <w:pStyle w:val="20"/>
              <w:bidi w:val="0"/>
              <w:rPr>
                <w:rFonts w:hint="eastAsia"/>
                <w:color w:val="auto"/>
              </w:rPr>
            </w:pPr>
            <w:r>
              <w:rPr>
                <w:rFonts w:hint="eastAsia"/>
                <w:color w:val="auto"/>
                <w:lang w:val="en-US" w:eastAsia="zh-CN"/>
              </w:rPr>
              <w:t>容积：60m³；尺寸：直径4m，高5m</w:t>
            </w:r>
          </w:p>
        </w:tc>
        <w:tc>
          <w:tcPr>
            <w:tcW w:w="542" w:type="pct"/>
            <w:tcBorders>
              <w:tl2br w:val="nil"/>
              <w:tr2bl w:val="nil"/>
            </w:tcBorders>
            <w:shd w:val="clear" w:color="auto" w:fill="FFFFFF" w:themeFill="background1"/>
            <w:vAlign w:val="center"/>
          </w:tcPr>
          <w:p w14:paraId="296DF7AE">
            <w:pPr>
              <w:pStyle w:val="20"/>
              <w:bidi w:val="0"/>
              <w:rPr>
                <w:rFonts w:hint="eastAsia"/>
                <w:color w:val="auto"/>
              </w:rPr>
            </w:pPr>
            <w:r>
              <w:rPr>
                <w:rFonts w:hint="eastAsia"/>
                <w:color w:val="auto"/>
                <w:lang w:val="en-US" w:eastAsia="zh-CN"/>
              </w:rPr>
              <w:t>个</w:t>
            </w:r>
          </w:p>
        </w:tc>
        <w:tc>
          <w:tcPr>
            <w:tcW w:w="544" w:type="pct"/>
            <w:tcBorders>
              <w:tl2br w:val="nil"/>
              <w:tr2bl w:val="nil"/>
            </w:tcBorders>
            <w:shd w:val="clear" w:color="auto" w:fill="FFFFFF" w:themeFill="background1"/>
            <w:vAlign w:val="center"/>
          </w:tcPr>
          <w:p w14:paraId="43C78EBC">
            <w:pPr>
              <w:pStyle w:val="20"/>
              <w:bidi w:val="0"/>
              <w:rPr>
                <w:rFonts w:hint="eastAsia"/>
                <w:color w:val="auto"/>
              </w:rPr>
            </w:pPr>
            <w:r>
              <w:rPr>
                <w:rFonts w:hint="eastAsia"/>
                <w:color w:val="auto"/>
                <w:lang w:val="en-US" w:eastAsia="zh-CN"/>
              </w:rPr>
              <w:t>1</w:t>
            </w:r>
          </w:p>
        </w:tc>
      </w:tr>
      <w:tr w14:paraId="69EF28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BE63E8F">
            <w:pPr>
              <w:pStyle w:val="20"/>
              <w:bidi w:val="0"/>
              <w:rPr>
                <w:rFonts w:hint="eastAsia"/>
                <w:color w:val="auto"/>
              </w:rPr>
            </w:pPr>
            <w:r>
              <w:rPr>
                <w:rFonts w:hint="eastAsia"/>
                <w:color w:val="auto"/>
                <w:lang w:val="en-US" w:eastAsia="zh-CN"/>
              </w:rPr>
              <w:t>7</w:t>
            </w:r>
          </w:p>
        </w:tc>
        <w:tc>
          <w:tcPr>
            <w:tcW w:w="1161" w:type="pct"/>
            <w:tcBorders>
              <w:tl2br w:val="nil"/>
              <w:tr2bl w:val="nil"/>
            </w:tcBorders>
            <w:shd w:val="clear" w:color="auto" w:fill="FFFFFF" w:themeFill="background1"/>
            <w:vAlign w:val="center"/>
          </w:tcPr>
          <w:p w14:paraId="5827F823">
            <w:pPr>
              <w:pStyle w:val="20"/>
              <w:bidi w:val="0"/>
              <w:rPr>
                <w:rFonts w:hint="eastAsia"/>
                <w:color w:val="auto"/>
              </w:rPr>
            </w:pPr>
            <w:r>
              <w:rPr>
                <w:rFonts w:hint="eastAsia"/>
                <w:color w:val="auto"/>
                <w:lang w:val="en-US" w:eastAsia="zh-CN"/>
              </w:rPr>
              <w:t>集水坑泵自吸罐</w:t>
            </w:r>
          </w:p>
        </w:tc>
        <w:tc>
          <w:tcPr>
            <w:tcW w:w="2216" w:type="pct"/>
            <w:tcBorders>
              <w:tl2br w:val="nil"/>
              <w:tr2bl w:val="nil"/>
            </w:tcBorders>
            <w:shd w:val="clear" w:color="auto" w:fill="FFFFFF" w:themeFill="background1"/>
            <w:vAlign w:val="center"/>
          </w:tcPr>
          <w:p w14:paraId="6AEEE961">
            <w:pPr>
              <w:pStyle w:val="20"/>
              <w:bidi w:val="0"/>
              <w:rPr>
                <w:rFonts w:hint="eastAsia"/>
                <w:color w:val="auto"/>
              </w:rPr>
            </w:pPr>
          </w:p>
        </w:tc>
        <w:tc>
          <w:tcPr>
            <w:tcW w:w="542" w:type="pct"/>
            <w:tcBorders>
              <w:tl2br w:val="nil"/>
              <w:tr2bl w:val="nil"/>
            </w:tcBorders>
            <w:shd w:val="clear" w:color="auto" w:fill="FFFFFF" w:themeFill="background1"/>
            <w:vAlign w:val="center"/>
          </w:tcPr>
          <w:p w14:paraId="4DE67AAD">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703F19B5">
            <w:pPr>
              <w:pStyle w:val="20"/>
              <w:bidi w:val="0"/>
              <w:rPr>
                <w:rFonts w:hint="eastAsia"/>
                <w:color w:val="auto"/>
              </w:rPr>
            </w:pPr>
            <w:r>
              <w:rPr>
                <w:rFonts w:hint="eastAsia"/>
                <w:color w:val="auto"/>
                <w:lang w:val="en-US" w:eastAsia="zh-CN"/>
              </w:rPr>
              <w:t>1</w:t>
            </w:r>
          </w:p>
        </w:tc>
      </w:tr>
      <w:tr w14:paraId="399E3F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29D5D953">
            <w:pPr>
              <w:pStyle w:val="20"/>
              <w:bidi w:val="0"/>
              <w:rPr>
                <w:rFonts w:hint="eastAsia"/>
                <w:color w:val="auto"/>
              </w:rPr>
            </w:pPr>
            <w:r>
              <w:rPr>
                <w:rFonts w:hint="eastAsia"/>
                <w:color w:val="auto"/>
                <w:lang w:val="en-US" w:eastAsia="zh-CN"/>
              </w:rPr>
              <w:t>8</w:t>
            </w:r>
          </w:p>
        </w:tc>
        <w:tc>
          <w:tcPr>
            <w:tcW w:w="1161" w:type="pct"/>
            <w:tcBorders>
              <w:tl2br w:val="nil"/>
              <w:tr2bl w:val="nil"/>
            </w:tcBorders>
            <w:shd w:val="clear" w:color="auto" w:fill="FFFFFF" w:themeFill="background1"/>
            <w:vAlign w:val="center"/>
          </w:tcPr>
          <w:p w14:paraId="290EA725">
            <w:pPr>
              <w:pStyle w:val="20"/>
              <w:bidi w:val="0"/>
              <w:rPr>
                <w:rFonts w:hint="eastAsia"/>
                <w:color w:val="auto"/>
              </w:rPr>
            </w:pPr>
            <w:r>
              <w:rPr>
                <w:rFonts w:hint="eastAsia"/>
                <w:color w:val="auto"/>
                <w:lang w:val="en-US" w:eastAsia="zh-CN"/>
              </w:rPr>
              <w:t>工艺水箱</w:t>
            </w:r>
          </w:p>
        </w:tc>
        <w:tc>
          <w:tcPr>
            <w:tcW w:w="2216" w:type="pct"/>
            <w:tcBorders>
              <w:tl2br w:val="nil"/>
              <w:tr2bl w:val="nil"/>
            </w:tcBorders>
            <w:shd w:val="clear" w:color="auto" w:fill="FFFFFF" w:themeFill="background1"/>
            <w:vAlign w:val="center"/>
          </w:tcPr>
          <w:p w14:paraId="1DC5412D">
            <w:pPr>
              <w:pStyle w:val="20"/>
              <w:bidi w:val="0"/>
              <w:rPr>
                <w:rFonts w:hint="eastAsia"/>
                <w:color w:val="auto"/>
              </w:rPr>
            </w:pPr>
            <w:r>
              <w:rPr>
                <w:rFonts w:hint="eastAsia"/>
                <w:color w:val="auto"/>
                <w:lang w:val="en-US" w:eastAsia="zh-CN"/>
              </w:rPr>
              <w:t>有效容积：50m³；直径4M，高4m，</w:t>
            </w:r>
          </w:p>
        </w:tc>
        <w:tc>
          <w:tcPr>
            <w:tcW w:w="542" w:type="pct"/>
            <w:tcBorders>
              <w:tl2br w:val="nil"/>
              <w:tr2bl w:val="nil"/>
            </w:tcBorders>
            <w:shd w:val="clear" w:color="auto" w:fill="FFFFFF" w:themeFill="background1"/>
            <w:vAlign w:val="center"/>
          </w:tcPr>
          <w:p w14:paraId="743C5B2A">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63B58FB2">
            <w:pPr>
              <w:pStyle w:val="20"/>
              <w:bidi w:val="0"/>
              <w:rPr>
                <w:rFonts w:hint="eastAsia"/>
                <w:color w:val="auto"/>
              </w:rPr>
            </w:pPr>
            <w:r>
              <w:rPr>
                <w:rFonts w:hint="eastAsia"/>
                <w:color w:val="auto"/>
                <w:lang w:val="en-US" w:eastAsia="zh-CN"/>
              </w:rPr>
              <w:t>1</w:t>
            </w:r>
          </w:p>
        </w:tc>
      </w:tr>
      <w:tr w14:paraId="073562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0ADDED36">
            <w:pPr>
              <w:pStyle w:val="20"/>
              <w:bidi w:val="0"/>
              <w:rPr>
                <w:rFonts w:hint="eastAsia"/>
                <w:color w:val="auto"/>
              </w:rPr>
            </w:pPr>
            <w:r>
              <w:rPr>
                <w:rFonts w:hint="eastAsia"/>
                <w:color w:val="auto"/>
                <w:lang w:val="en-US" w:eastAsia="zh-CN"/>
              </w:rPr>
              <w:t>9</w:t>
            </w:r>
          </w:p>
        </w:tc>
        <w:tc>
          <w:tcPr>
            <w:tcW w:w="1161" w:type="pct"/>
            <w:tcBorders>
              <w:tl2br w:val="nil"/>
              <w:tr2bl w:val="nil"/>
            </w:tcBorders>
            <w:shd w:val="clear" w:color="auto" w:fill="FFFFFF" w:themeFill="background1"/>
            <w:vAlign w:val="center"/>
          </w:tcPr>
          <w:p w14:paraId="2836D85C">
            <w:pPr>
              <w:pStyle w:val="20"/>
              <w:bidi w:val="0"/>
              <w:rPr>
                <w:rFonts w:hint="eastAsia"/>
                <w:color w:val="auto"/>
              </w:rPr>
            </w:pPr>
            <w:r>
              <w:rPr>
                <w:rFonts w:hint="eastAsia"/>
                <w:color w:val="auto"/>
                <w:lang w:val="en-US" w:eastAsia="zh-CN"/>
              </w:rPr>
              <w:t>废水沉淀箱</w:t>
            </w:r>
          </w:p>
        </w:tc>
        <w:tc>
          <w:tcPr>
            <w:tcW w:w="2216" w:type="pct"/>
            <w:tcBorders>
              <w:tl2br w:val="nil"/>
              <w:tr2bl w:val="nil"/>
            </w:tcBorders>
            <w:shd w:val="clear" w:color="auto" w:fill="FFFFFF" w:themeFill="background1"/>
            <w:vAlign w:val="center"/>
          </w:tcPr>
          <w:p w14:paraId="72776F71">
            <w:pPr>
              <w:pStyle w:val="20"/>
              <w:bidi w:val="0"/>
              <w:rPr>
                <w:rFonts w:hint="eastAsia"/>
                <w:color w:val="auto"/>
              </w:rPr>
            </w:pPr>
            <w:r>
              <w:rPr>
                <w:rFonts w:hint="eastAsia"/>
                <w:color w:val="auto"/>
                <w:lang w:val="en-US" w:eastAsia="zh-CN"/>
              </w:rPr>
              <w:t>有效容积：25m³；尺寸：直径3m，高3.5m；</w:t>
            </w:r>
          </w:p>
        </w:tc>
        <w:tc>
          <w:tcPr>
            <w:tcW w:w="542" w:type="pct"/>
            <w:tcBorders>
              <w:tl2br w:val="nil"/>
              <w:tr2bl w:val="nil"/>
            </w:tcBorders>
            <w:shd w:val="clear" w:color="auto" w:fill="FFFFFF" w:themeFill="background1"/>
            <w:vAlign w:val="center"/>
          </w:tcPr>
          <w:p w14:paraId="169697D8">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E623EE3">
            <w:pPr>
              <w:pStyle w:val="20"/>
              <w:bidi w:val="0"/>
              <w:rPr>
                <w:rFonts w:hint="eastAsia"/>
                <w:color w:val="auto"/>
              </w:rPr>
            </w:pPr>
            <w:r>
              <w:rPr>
                <w:rFonts w:hint="eastAsia"/>
                <w:color w:val="auto"/>
                <w:lang w:val="en-US" w:eastAsia="zh-CN"/>
              </w:rPr>
              <w:t>1</w:t>
            </w:r>
          </w:p>
        </w:tc>
      </w:tr>
      <w:tr w14:paraId="7B96B9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679F73B9">
            <w:pPr>
              <w:pStyle w:val="20"/>
              <w:bidi w:val="0"/>
              <w:rPr>
                <w:rFonts w:hint="default"/>
                <w:color w:val="auto"/>
                <w:lang w:val="en-US" w:eastAsia="zh-CN"/>
              </w:rPr>
            </w:pPr>
            <w:r>
              <w:rPr>
                <w:rFonts w:hint="eastAsia"/>
                <w:color w:val="auto"/>
                <w:lang w:val="en-US" w:eastAsia="zh-CN"/>
              </w:rPr>
              <w:t>10</w:t>
            </w:r>
          </w:p>
        </w:tc>
        <w:tc>
          <w:tcPr>
            <w:tcW w:w="1161" w:type="pct"/>
            <w:tcBorders>
              <w:tl2br w:val="nil"/>
              <w:tr2bl w:val="nil"/>
            </w:tcBorders>
            <w:shd w:val="clear" w:color="auto" w:fill="FFFFFF" w:themeFill="background1"/>
            <w:vAlign w:val="center"/>
          </w:tcPr>
          <w:p w14:paraId="18DE6739">
            <w:pPr>
              <w:pStyle w:val="20"/>
              <w:bidi w:val="0"/>
              <w:rPr>
                <w:rFonts w:hint="eastAsia"/>
                <w:color w:val="auto"/>
              </w:rPr>
            </w:pPr>
            <w:r>
              <w:rPr>
                <w:rFonts w:hint="eastAsia"/>
                <w:color w:val="auto"/>
                <w:lang w:val="en-US" w:eastAsia="zh-CN"/>
              </w:rPr>
              <w:t>事故浆液箱</w:t>
            </w:r>
          </w:p>
        </w:tc>
        <w:tc>
          <w:tcPr>
            <w:tcW w:w="2216" w:type="pct"/>
            <w:tcBorders>
              <w:tl2br w:val="nil"/>
              <w:tr2bl w:val="nil"/>
            </w:tcBorders>
            <w:shd w:val="clear" w:color="auto" w:fill="FFFFFF" w:themeFill="background1"/>
            <w:vAlign w:val="center"/>
          </w:tcPr>
          <w:p w14:paraId="4FC0BA0A">
            <w:pPr>
              <w:pStyle w:val="20"/>
              <w:bidi w:val="0"/>
              <w:rPr>
                <w:rFonts w:hint="eastAsia"/>
                <w:color w:val="auto"/>
              </w:rPr>
            </w:pPr>
            <w:r>
              <w:rPr>
                <w:rFonts w:hint="eastAsia"/>
                <w:color w:val="auto"/>
                <w:lang w:val="en-US" w:eastAsia="zh-CN"/>
              </w:rPr>
              <w:t>有效容积：1500m³；直径11M，高16m。</w:t>
            </w:r>
          </w:p>
        </w:tc>
        <w:tc>
          <w:tcPr>
            <w:tcW w:w="542" w:type="pct"/>
            <w:tcBorders>
              <w:tl2br w:val="nil"/>
              <w:tr2bl w:val="nil"/>
            </w:tcBorders>
            <w:shd w:val="clear" w:color="auto" w:fill="FFFFFF" w:themeFill="background1"/>
            <w:vAlign w:val="center"/>
          </w:tcPr>
          <w:p w14:paraId="16013494">
            <w:pPr>
              <w:pStyle w:val="20"/>
              <w:bidi w:val="0"/>
              <w:rPr>
                <w:rFonts w:hint="eastAsia"/>
                <w:color w:val="auto"/>
              </w:rPr>
            </w:pPr>
            <w:r>
              <w:rPr>
                <w:rFonts w:hint="eastAsia"/>
                <w:color w:val="auto"/>
                <w:lang w:val="en-US" w:eastAsia="zh-CN"/>
              </w:rPr>
              <w:t>个</w:t>
            </w:r>
          </w:p>
        </w:tc>
        <w:tc>
          <w:tcPr>
            <w:tcW w:w="544" w:type="pct"/>
            <w:tcBorders>
              <w:tl2br w:val="nil"/>
              <w:tr2bl w:val="nil"/>
            </w:tcBorders>
            <w:shd w:val="clear" w:color="auto" w:fill="FFFFFF" w:themeFill="background1"/>
            <w:vAlign w:val="center"/>
          </w:tcPr>
          <w:p w14:paraId="1BC290CF">
            <w:pPr>
              <w:pStyle w:val="20"/>
              <w:bidi w:val="0"/>
              <w:rPr>
                <w:rFonts w:hint="eastAsia"/>
                <w:color w:val="auto"/>
              </w:rPr>
            </w:pPr>
            <w:r>
              <w:rPr>
                <w:rFonts w:hint="eastAsia"/>
                <w:color w:val="auto"/>
                <w:lang w:val="en-US" w:eastAsia="zh-CN"/>
              </w:rPr>
              <w:t>1</w:t>
            </w:r>
          </w:p>
        </w:tc>
      </w:tr>
      <w:tr w14:paraId="1DDEC2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56767E7B">
            <w:pPr>
              <w:pStyle w:val="20"/>
              <w:bidi w:val="0"/>
              <w:rPr>
                <w:rFonts w:hint="default"/>
                <w:color w:val="auto"/>
                <w:lang w:val="en-US"/>
              </w:rPr>
            </w:pPr>
            <w:r>
              <w:rPr>
                <w:rFonts w:hint="eastAsia"/>
                <w:color w:val="auto"/>
                <w:lang w:val="en-US" w:eastAsia="zh-CN"/>
              </w:rPr>
              <w:t>11</w:t>
            </w:r>
          </w:p>
        </w:tc>
        <w:tc>
          <w:tcPr>
            <w:tcW w:w="1161" w:type="pct"/>
            <w:tcBorders>
              <w:tl2br w:val="nil"/>
              <w:tr2bl w:val="nil"/>
            </w:tcBorders>
            <w:shd w:val="clear" w:color="auto" w:fill="FFFFFF" w:themeFill="background1"/>
            <w:vAlign w:val="center"/>
          </w:tcPr>
          <w:p w14:paraId="1CC2AD34">
            <w:pPr>
              <w:pStyle w:val="20"/>
              <w:bidi w:val="0"/>
              <w:rPr>
                <w:rFonts w:hint="eastAsia"/>
                <w:color w:val="auto"/>
              </w:rPr>
            </w:pPr>
            <w:r>
              <w:rPr>
                <w:rFonts w:hint="eastAsia"/>
                <w:color w:val="auto"/>
                <w:lang w:val="en-US" w:eastAsia="zh-CN"/>
              </w:rPr>
              <w:t>滤液罐</w:t>
            </w:r>
          </w:p>
        </w:tc>
        <w:tc>
          <w:tcPr>
            <w:tcW w:w="2216" w:type="pct"/>
            <w:tcBorders>
              <w:tl2br w:val="nil"/>
              <w:tr2bl w:val="nil"/>
            </w:tcBorders>
            <w:shd w:val="clear" w:color="auto" w:fill="FFFFFF" w:themeFill="background1"/>
            <w:vAlign w:val="center"/>
          </w:tcPr>
          <w:p w14:paraId="368433AC">
            <w:pPr>
              <w:pStyle w:val="20"/>
              <w:bidi w:val="0"/>
              <w:rPr>
                <w:rFonts w:hint="eastAsia"/>
                <w:color w:val="auto"/>
              </w:rPr>
            </w:pPr>
            <w:r>
              <w:rPr>
                <w:rFonts w:hint="eastAsia"/>
                <w:color w:val="auto"/>
                <w:lang w:val="en-US" w:eastAsia="zh-CN"/>
              </w:rPr>
              <w:t>有效容积：15m³；尺寸：直径2.5m，高3m；</w:t>
            </w:r>
          </w:p>
        </w:tc>
        <w:tc>
          <w:tcPr>
            <w:tcW w:w="542" w:type="pct"/>
            <w:tcBorders>
              <w:tl2br w:val="nil"/>
              <w:tr2bl w:val="nil"/>
            </w:tcBorders>
            <w:shd w:val="clear" w:color="auto" w:fill="FFFFFF" w:themeFill="background1"/>
            <w:vAlign w:val="center"/>
          </w:tcPr>
          <w:p w14:paraId="1D63BA4C">
            <w:pPr>
              <w:pStyle w:val="20"/>
              <w:bidi w:val="0"/>
              <w:rPr>
                <w:rFonts w:hint="eastAsia"/>
                <w:color w:val="auto"/>
              </w:rPr>
            </w:pPr>
            <w:r>
              <w:rPr>
                <w:rFonts w:hint="eastAsia"/>
                <w:color w:val="auto"/>
                <w:lang w:val="en-US" w:eastAsia="zh-CN"/>
              </w:rPr>
              <w:t>个</w:t>
            </w:r>
          </w:p>
        </w:tc>
        <w:tc>
          <w:tcPr>
            <w:tcW w:w="544" w:type="pct"/>
            <w:tcBorders>
              <w:tl2br w:val="nil"/>
              <w:tr2bl w:val="nil"/>
            </w:tcBorders>
            <w:shd w:val="clear" w:color="auto" w:fill="FFFFFF" w:themeFill="background1"/>
            <w:vAlign w:val="center"/>
          </w:tcPr>
          <w:p w14:paraId="3137EF2E">
            <w:pPr>
              <w:pStyle w:val="20"/>
              <w:bidi w:val="0"/>
              <w:rPr>
                <w:rFonts w:hint="eastAsia"/>
                <w:color w:val="auto"/>
              </w:rPr>
            </w:pPr>
            <w:r>
              <w:rPr>
                <w:rFonts w:hint="eastAsia"/>
                <w:color w:val="auto"/>
                <w:lang w:val="en-US" w:eastAsia="zh-CN"/>
              </w:rPr>
              <w:t>2</w:t>
            </w:r>
          </w:p>
        </w:tc>
      </w:tr>
      <w:tr w14:paraId="356441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jc w:val="center"/>
        </w:trPr>
        <w:tc>
          <w:tcPr>
            <w:tcW w:w="534" w:type="pct"/>
            <w:tcBorders>
              <w:tl2br w:val="nil"/>
              <w:tr2bl w:val="nil"/>
            </w:tcBorders>
            <w:shd w:val="clear" w:color="auto" w:fill="FFFFFF" w:themeFill="background1"/>
            <w:vAlign w:val="center"/>
          </w:tcPr>
          <w:p w14:paraId="499B1CD0">
            <w:pPr>
              <w:pStyle w:val="20"/>
              <w:bidi w:val="0"/>
              <w:rPr>
                <w:rFonts w:hint="default"/>
                <w:color w:val="auto"/>
                <w:lang w:val="en-US"/>
              </w:rPr>
            </w:pPr>
            <w:r>
              <w:rPr>
                <w:rFonts w:hint="eastAsia"/>
                <w:color w:val="auto"/>
                <w:lang w:val="en-US" w:eastAsia="zh-CN"/>
              </w:rPr>
              <w:t>12</w:t>
            </w:r>
          </w:p>
        </w:tc>
        <w:tc>
          <w:tcPr>
            <w:tcW w:w="1161" w:type="pct"/>
            <w:tcBorders>
              <w:tl2br w:val="nil"/>
              <w:tr2bl w:val="nil"/>
            </w:tcBorders>
            <w:shd w:val="clear" w:color="auto" w:fill="FFFFFF" w:themeFill="background1"/>
            <w:vAlign w:val="center"/>
          </w:tcPr>
          <w:p w14:paraId="4592C3A8">
            <w:pPr>
              <w:pStyle w:val="20"/>
              <w:bidi w:val="0"/>
              <w:rPr>
                <w:rFonts w:hint="eastAsia"/>
                <w:color w:val="auto"/>
              </w:rPr>
            </w:pPr>
            <w:r>
              <w:rPr>
                <w:rFonts w:hint="eastAsia"/>
                <w:color w:val="auto"/>
                <w:lang w:val="en-US" w:eastAsia="zh-CN"/>
              </w:rPr>
              <w:t>石膏仓</w:t>
            </w:r>
          </w:p>
        </w:tc>
        <w:tc>
          <w:tcPr>
            <w:tcW w:w="2216" w:type="pct"/>
            <w:tcBorders>
              <w:tl2br w:val="nil"/>
              <w:tr2bl w:val="nil"/>
            </w:tcBorders>
            <w:shd w:val="clear" w:color="auto" w:fill="FFFFFF" w:themeFill="background1"/>
            <w:vAlign w:val="center"/>
          </w:tcPr>
          <w:p w14:paraId="337C03A2">
            <w:pPr>
              <w:pStyle w:val="20"/>
              <w:bidi w:val="0"/>
              <w:rPr>
                <w:rFonts w:hint="eastAsia"/>
                <w:color w:val="auto"/>
              </w:rPr>
            </w:pPr>
            <w:r>
              <w:rPr>
                <w:rFonts w:hint="eastAsia"/>
                <w:color w:val="auto"/>
                <w:lang w:val="en-US" w:eastAsia="zh-CN"/>
              </w:rPr>
              <w:t>有效容积：120m³；</w:t>
            </w:r>
          </w:p>
        </w:tc>
        <w:tc>
          <w:tcPr>
            <w:tcW w:w="542" w:type="pct"/>
            <w:tcBorders>
              <w:tl2br w:val="nil"/>
              <w:tr2bl w:val="nil"/>
            </w:tcBorders>
            <w:shd w:val="clear" w:color="auto" w:fill="FFFFFF" w:themeFill="background1"/>
            <w:vAlign w:val="center"/>
          </w:tcPr>
          <w:p w14:paraId="4A73DDF7">
            <w:pPr>
              <w:pStyle w:val="20"/>
              <w:bidi w:val="0"/>
              <w:rPr>
                <w:rFonts w:hint="eastAsia"/>
                <w:color w:val="auto"/>
              </w:rPr>
            </w:pPr>
            <w:r>
              <w:rPr>
                <w:rFonts w:hint="eastAsia"/>
                <w:color w:val="auto"/>
                <w:lang w:val="en-US" w:eastAsia="zh-CN"/>
              </w:rPr>
              <w:t>个</w:t>
            </w:r>
          </w:p>
        </w:tc>
        <w:tc>
          <w:tcPr>
            <w:tcW w:w="544" w:type="pct"/>
            <w:tcBorders>
              <w:tl2br w:val="nil"/>
              <w:tr2bl w:val="nil"/>
            </w:tcBorders>
            <w:shd w:val="clear" w:color="auto" w:fill="FFFFFF" w:themeFill="background1"/>
            <w:vAlign w:val="center"/>
          </w:tcPr>
          <w:p w14:paraId="41AB256E">
            <w:pPr>
              <w:pStyle w:val="20"/>
              <w:bidi w:val="0"/>
              <w:rPr>
                <w:rFonts w:hint="eastAsia"/>
                <w:color w:val="auto"/>
              </w:rPr>
            </w:pPr>
            <w:r>
              <w:rPr>
                <w:rFonts w:hint="eastAsia"/>
                <w:color w:val="auto"/>
                <w:lang w:val="en-US" w:eastAsia="zh-CN"/>
              </w:rPr>
              <w:t>1</w:t>
            </w:r>
          </w:p>
        </w:tc>
      </w:tr>
      <w:tr w14:paraId="77A7CD4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1140" w:hRule="atLeast"/>
          <w:jc w:val="center"/>
        </w:trPr>
        <w:tc>
          <w:tcPr>
            <w:tcW w:w="534" w:type="pct"/>
            <w:tcBorders>
              <w:tl2br w:val="nil"/>
              <w:tr2bl w:val="nil"/>
            </w:tcBorders>
            <w:shd w:val="clear" w:color="auto" w:fill="FFFFFF" w:themeFill="background1"/>
            <w:vAlign w:val="center"/>
          </w:tcPr>
          <w:p w14:paraId="66E5AF99">
            <w:pPr>
              <w:pStyle w:val="20"/>
              <w:bidi w:val="0"/>
              <w:rPr>
                <w:rFonts w:hint="default"/>
                <w:color w:val="auto"/>
                <w:lang w:val="en-US"/>
              </w:rPr>
            </w:pPr>
            <w:r>
              <w:rPr>
                <w:rFonts w:hint="eastAsia"/>
                <w:color w:val="auto"/>
                <w:lang w:val="en-US" w:eastAsia="zh-CN"/>
              </w:rPr>
              <w:t>13</w:t>
            </w:r>
          </w:p>
        </w:tc>
        <w:tc>
          <w:tcPr>
            <w:tcW w:w="1161" w:type="pct"/>
            <w:tcBorders>
              <w:tl2br w:val="nil"/>
              <w:tr2bl w:val="nil"/>
            </w:tcBorders>
            <w:shd w:val="clear" w:color="auto" w:fill="FFFFFF" w:themeFill="background1"/>
            <w:vAlign w:val="center"/>
          </w:tcPr>
          <w:p w14:paraId="0DF47446">
            <w:pPr>
              <w:pStyle w:val="20"/>
              <w:bidi w:val="0"/>
              <w:rPr>
                <w:rFonts w:hint="eastAsia"/>
                <w:color w:val="auto"/>
              </w:rPr>
            </w:pPr>
            <w:r>
              <w:rPr>
                <w:rFonts w:hint="eastAsia"/>
                <w:color w:val="auto"/>
                <w:lang w:val="en-US" w:eastAsia="zh-CN"/>
              </w:rPr>
              <w:t>吸收塔侧搅拌器</w:t>
            </w:r>
          </w:p>
        </w:tc>
        <w:tc>
          <w:tcPr>
            <w:tcW w:w="2216" w:type="pct"/>
            <w:tcBorders>
              <w:tl2br w:val="nil"/>
              <w:tr2bl w:val="nil"/>
            </w:tcBorders>
            <w:shd w:val="clear" w:color="auto" w:fill="FFFFFF" w:themeFill="background1"/>
            <w:vAlign w:val="center"/>
          </w:tcPr>
          <w:p w14:paraId="11DEC18A">
            <w:pPr>
              <w:pStyle w:val="20"/>
              <w:bidi w:val="0"/>
              <w:rPr>
                <w:rFonts w:hint="eastAsia"/>
                <w:color w:val="auto"/>
              </w:rPr>
            </w:pPr>
            <w:r>
              <w:rPr>
                <w:rFonts w:hint="eastAsia"/>
                <w:color w:val="auto"/>
                <w:lang w:val="en-US" w:eastAsia="zh-CN"/>
              </w:rPr>
              <w:t>型式：侧进旋浆式；型号：KCX900；</w:t>
            </w:r>
          </w:p>
        </w:tc>
        <w:tc>
          <w:tcPr>
            <w:tcW w:w="542" w:type="pct"/>
            <w:tcBorders>
              <w:tl2br w:val="nil"/>
              <w:tr2bl w:val="nil"/>
            </w:tcBorders>
            <w:shd w:val="clear" w:color="auto" w:fill="FFFFFF" w:themeFill="background1"/>
            <w:vAlign w:val="center"/>
          </w:tcPr>
          <w:p w14:paraId="49A8311B">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2F0E43A1">
            <w:pPr>
              <w:pStyle w:val="20"/>
              <w:bidi w:val="0"/>
              <w:rPr>
                <w:rFonts w:hint="eastAsia"/>
                <w:color w:val="auto"/>
              </w:rPr>
            </w:pPr>
            <w:r>
              <w:rPr>
                <w:rFonts w:hint="eastAsia"/>
                <w:color w:val="auto"/>
                <w:lang w:val="en-US" w:eastAsia="zh-CN"/>
              </w:rPr>
              <w:t>4</w:t>
            </w:r>
          </w:p>
        </w:tc>
      </w:tr>
      <w:tr w14:paraId="14CDF2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0" w:hRule="atLeast"/>
          <w:jc w:val="center"/>
        </w:trPr>
        <w:tc>
          <w:tcPr>
            <w:tcW w:w="534" w:type="pct"/>
            <w:tcBorders>
              <w:tl2br w:val="nil"/>
              <w:tr2bl w:val="nil"/>
            </w:tcBorders>
            <w:shd w:val="clear" w:color="auto" w:fill="FFFFFF" w:themeFill="background1"/>
            <w:vAlign w:val="center"/>
          </w:tcPr>
          <w:p w14:paraId="4FB789CD">
            <w:pPr>
              <w:pStyle w:val="20"/>
              <w:bidi w:val="0"/>
              <w:rPr>
                <w:rFonts w:hint="default"/>
                <w:color w:val="auto"/>
                <w:lang w:val="en-US" w:eastAsia="zh-CN"/>
              </w:rPr>
            </w:pPr>
            <w:r>
              <w:rPr>
                <w:rFonts w:hint="eastAsia"/>
                <w:color w:val="auto"/>
                <w:lang w:val="en-US" w:eastAsia="zh-CN"/>
              </w:rPr>
              <w:t>14</w:t>
            </w:r>
          </w:p>
        </w:tc>
        <w:tc>
          <w:tcPr>
            <w:tcW w:w="1161" w:type="pct"/>
            <w:tcBorders>
              <w:tl2br w:val="nil"/>
              <w:tr2bl w:val="nil"/>
            </w:tcBorders>
            <w:shd w:val="clear" w:color="auto" w:fill="FFFFFF" w:themeFill="background1"/>
            <w:vAlign w:val="center"/>
          </w:tcPr>
          <w:p w14:paraId="2F70CC8A">
            <w:pPr>
              <w:pStyle w:val="20"/>
              <w:bidi w:val="0"/>
              <w:rPr>
                <w:rFonts w:hint="eastAsia"/>
                <w:color w:val="auto"/>
              </w:rPr>
            </w:pPr>
            <w:r>
              <w:rPr>
                <w:rFonts w:hint="eastAsia"/>
                <w:color w:val="auto"/>
                <w:lang w:val="en-US" w:eastAsia="zh-CN"/>
              </w:rPr>
              <w:t>吸收塔1#循环泵</w:t>
            </w:r>
          </w:p>
        </w:tc>
        <w:tc>
          <w:tcPr>
            <w:tcW w:w="2216" w:type="pct"/>
            <w:tcBorders>
              <w:tl2br w:val="nil"/>
              <w:tr2bl w:val="nil"/>
            </w:tcBorders>
            <w:shd w:val="clear" w:color="auto" w:fill="FFFFFF" w:themeFill="background1"/>
            <w:vAlign w:val="center"/>
          </w:tcPr>
          <w:p w14:paraId="79E5BF5F">
            <w:pPr>
              <w:pStyle w:val="20"/>
              <w:bidi w:val="0"/>
              <w:rPr>
                <w:rFonts w:hint="eastAsia"/>
                <w:color w:val="auto"/>
              </w:rPr>
            </w:pPr>
            <w:r>
              <w:rPr>
                <w:rFonts w:hint="eastAsia"/>
                <w:color w:val="auto"/>
                <w:lang w:val="en-US" w:eastAsia="zh-CN"/>
              </w:rPr>
              <w:t>型式：卧式离心泵；泵型号：350DT-A65(59.5)；</w:t>
            </w:r>
          </w:p>
        </w:tc>
        <w:tc>
          <w:tcPr>
            <w:tcW w:w="542" w:type="pct"/>
            <w:tcBorders>
              <w:tl2br w:val="nil"/>
              <w:tr2bl w:val="nil"/>
            </w:tcBorders>
            <w:shd w:val="clear" w:color="auto" w:fill="FFFFFF" w:themeFill="background1"/>
            <w:vAlign w:val="center"/>
          </w:tcPr>
          <w:p w14:paraId="450F7D25">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02B9121">
            <w:pPr>
              <w:pStyle w:val="20"/>
              <w:bidi w:val="0"/>
              <w:rPr>
                <w:rFonts w:hint="eastAsia"/>
                <w:color w:val="auto"/>
              </w:rPr>
            </w:pPr>
            <w:r>
              <w:rPr>
                <w:rFonts w:hint="eastAsia"/>
                <w:color w:val="auto"/>
                <w:lang w:val="en-US" w:eastAsia="zh-CN"/>
              </w:rPr>
              <w:t>1</w:t>
            </w:r>
          </w:p>
        </w:tc>
      </w:tr>
      <w:tr w14:paraId="2E5737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534" w:type="pct"/>
            <w:tcBorders>
              <w:tl2br w:val="nil"/>
              <w:tr2bl w:val="nil"/>
            </w:tcBorders>
            <w:shd w:val="clear" w:color="auto" w:fill="FFFFFF" w:themeFill="background1"/>
            <w:vAlign w:val="center"/>
          </w:tcPr>
          <w:p w14:paraId="379F07FD">
            <w:pPr>
              <w:pStyle w:val="20"/>
              <w:bidi w:val="0"/>
              <w:rPr>
                <w:rFonts w:hint="default"/>
                <w:color w:val="auto"/>
                <w:lang w:val="en-US"/>
              </w:rPr>
            </w:pPr>
            <w:r>
              <w:rPr>
                <w:rFonts w:hint="eastAsia"/>
                <w:color w:val="auto"/>
                <w:lang w:val="en-US" w:eastAsia="zh-CN"/>
              </w:rPr>
              <w:t>15</w:t>
            </w:r>
          </w:p>
        </w:tc>
        <w:tc>
          <w:tcPr>
            <w:tcW w:w="1161" w:type="pct"/>
            <w:tcBorders>
              <w:tl2br w:val="nil"/>
              <w:tr2bl w:val="nil"/>
            </w:tcBorders>
            <w:shd w:val="clear" w:color="auto" w:fill="FFFFFF" w:themeFill="background1"/>
            <w:vAlign w:val="center"/>
          </w:tcPr>
          <w:p w14:paraId="3566FC67">
            <w:pPr>
              <w:pStyle w:val="20"/>
              <w:bidi w:val="0"/>
              <w:rPr>
                <w:rFonts w:hint="eastAsia"/>
                <w:color w:val="auto"/>
              </w:rPr>
            </w:pPr>
            <w:r>
              <w:rPr>
                <w:rFonts w:hint="eastAsia"/>
                <w:color w:val="auto"/>
                <w:lang w:val="en-US" w:eastAsia="zh-CN"/>
              </w:rPr>
              <w:t>吸收塔2#循环泵；</w:t>
            </w:r>
          </w:p>
        </w:tc>
        <w:tc>
          <w:tcPr>
            <w:tcW w:w="2216" w:type="pct"/>
            <w:tcBorders>
              <w:tl2br w:val="nil"/>
              <w:tr2bl w:val="nil"/>
            </w:tcBorders>
            <w:shd w:val="clear" w:color="auto" w:fill="FFFFFF" w:themeFill="background1"/>
            <w:vAlign w:val="center"/>
          </w:tcPr>
          <w:p w14:paraId="096FFEF6">
            <w:pPr>
              <w:pStyle w:val="20"/>
              <w:bidi w:val="0"/>
              <w:rPr>
                <w:rFonts w:hint="eastAsia"/>
                <w:color w:val="auto"/>
              </w:rPr>
            </w:pPr>
            <w:r>
              <w:rPr>
                <w:rFonts w:hint="eastAsia"/>
                <w:color w:val="auto"/>
                <w:lang w:val="en-US" w:eastAsia="zh-CN"/>
              </w:rPr>
              <w:t>型式：卧式离心泵；泵型号：350DT-A65(61）；</w:t>
            </w:r>
          </w:p>
        </w:tc>
        <w:tc>
          <w:tcPr>
            <w:tcW w:w="542" w:type="pct"/>
            <w:tcBorders>
              <w:tl2br w:val="nil"/>
              <w:tr2bl w:val="nil"/>
            </w:tcBorders>
            <w:shd w:val="clear" w:color="auto" w:fill="FFFFFF" w:themeFill="background1"/>
            <w:vAlign w:val="center"/>
          </w:tcPr>
          <w:p w14:paraId="46C5E557">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0DA8481">
            <w:pPr>
              <w:pStyle w:val="20"/>
              <w:bidi w:val="0"/>
              <w:rPr>
                <w:rFonts w:hint="eastAsia"/>
                <w:color w:val="auto"/>
              </w:rPr>
            </w:pPr>
            <w:r>
              <w:rPr>
                <w:rFonts w:hint="eastAsia"/>
                <w:color w:val="auto"/>
                <w:lang w:val="en-US" w:eastAsia="zh-CN"/>
              </w:rPr>
              <w:t>1</w:t>
            </w:r>
          </w:p>
        </w:tc>
      </w:tr>
      <w:tr w14:paraId="642334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2F64F3A">
            <w:pPr>
              <w:pStyle w:val="20"/>
              <w:bidi w:val="0"/>
              <w:rPr>
                <w:rFonts w:hint="default"/>
                <w:color w:val="auto"/>
                <w:lang w:val="en-US"/>
              </w:rPr>
            </w:pPr>
            <w:r>
              <w:rPr>
                <w:rFonts w:hint="eastAsia"/>
                <w:color w:val="auto"/>
                <w:lang w:val="en-US" w:eastAsia="zh-CN"/>
              </w:rPr>
              <w:t>16</w:t>
            </w:r>
          </w:p>
        </w:tc>
        <w:tc>
          <w:tcPr>
            <w:tcW w:w="1161" w:type="pct"/>
            <w:tcBorders>
              <w:tl2br w:val="nil"/>
              <w:tr2bl w:val="nil"/>
            </w:tcBorders>
            <w:shd w:val="clear" w:color="auto" w:fill="FFFFFF" w:themeFill="background1"/>
            <w:vAlign w:val="center"/>
          </w:tcPr>
          <w:p w14:paraId="1C284F4F">
            <w:pPr>
              <w:pStyle w:val="20"/>
              <w:bidi w:val="0"/>
              <w:rPr>
                <w:rFonts w:hint="eastAsia"/>
                <w:color w:val="auto"/>
              </w:rPr>
            </w:pPr>
            <w:r>
              <w:rPr>
                <w:rFonts w:hint="eastAsia"/>
                <w:color w:val="auto"/>
                <w:lang w:val="en-US" w:eastAsia="zh-CN"/>
              </w:rPr>
              <w:t>吸收塔3#循环泵</w:t>
            </w:r>
          </w:p>
        </w:tc>
        <w:tc>
          <w:tcPr>
            <w:tcW w:w="2216" w:type="pct"/>
            <w:tcBorders>
              <w:tl2br w:val="nil"/>
              <w:tr2bl w:val="nil"/>
            </w:tcBorders>
            <w:shd w:val="clear" w:color="auto" w:fill="FFFFFF" w:themeFill="background1"/>
            <w:vAlign w:val="center"/>
          </w:tcPr>
          <w:p w14:paraId="5145FD62">
            <w:pPr>
              <w:pStyle w:val="20"/>
              <w:bidi w:val="0"/>
              <w:rPr>
                <w:rFonts w:hint="eastAsia"/>
                <w:color w:val="auto"/>
              </w:rPr>
            </w:pPr>
            <w:r>
              <w:rPr>
                <w:rFonts w:hint="eastAsia"/>
                <w:color w:val="auto"/>
                <w:lang w:val="en-US" w:eastAsia="zh-CN"/>
              </w:rPr>
              <w:t>型式：卧式离心泵；泵型号：350DT-A65(62.5）；</w:t>
            </w:r>
          </w:p>
        </w:tc>
        <w:tc>
          <w:tcPr>
            <w:tcW w:w="542" w:type="pct"/>
            <w:tcBorders>
              <w:tl2br w:val="nil"/>
              <w:tr2bl w:val="nil"/>
            </w:tcBorders>
            <w:shd w:val="clear" w:color="auto" w:fill="FFFFFF" w:themeFill="background1"/>
            <w:vAlign w:val="center"/>
          </w:tcPr>
          <w:p w14:paraId="3D455CEA">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2A2E8765">
            <w:pPr>
              <w:pStyle w:val="20"/>
              <w:bidi w:val="0"/>
              <w:rPr>
                <w:rFonts w:hint="eastAsia"/>
                <w:color w:val="auto"/>
              </w:rPr>
            </w:pPr>
            <w:r>
              <w:rPr>
                <w:rFonts w:hint="eastAsia"/>
                <w:color w:val="auto"/>
                <w:lang w:val="en-US" w:eastAsia="zh-CN"/>
              </w:rPr>
              <w:t>1</w:t>
            </w:r>
          </w:p>
        </w:tc>
      </w:tr>
      <w:tr w14:paraId="3018C0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466ADFC2">
            <w:pPr>
              <w:pStyle w:val="20"/>
              <w:bidi w:val="0"/>
              <w:rPr>
                <w:rFonts w:hint="default"/>
                <w:color w:val="auto"/>
                <w:lang w:val="en-US"/>
              </w:rPr>
            </w:pPr>
            <w:r>
              <w:rPr>
                <w:rFonts w:hint="eastAsia"/>
                <w:color w:val="auto"/>
                <w:lang w:val="en-US" w:eastAsia="zh-CN"/>
              </w:rPr>
              <w:t>17</w:t>
            </w:r>
          </w:p>
        </w:tc>
        <w:tc>
          <w:tcPr>
            <w:tcW w:w="1161" w:type="pct"/>
            <w:tcBorders>
              <w:tl2br w:val="nil"/>
              <w:tr2bl w:val="nil"/>
            </w:tcBorders>
            <w:shd w:val="clear" w:color="auto" w:fill="FFFFFF" w:themeFill="background1"/>
            <w:vAlign w:val="center"/>
          </w:tcPr>
          <w:p w14:paraId="0806D48E">
            <w:pPr>
              <w:pStyle w:val="20"/>
              <w:bidi w:val="0"/>
              <w:rPr>
                <w:rFonts w:hint="eastAsia"/>
                <w:color w:val="auto"/>
              </w:rPr>
            </w:pPr>
            <w:r>
              <w:rPr>
                <w:rFonts w:hint="eastAsia"/>
                <w:color w:val="auto"/>
                <w:lang w:val="en-US" w:eastAsia="zh-CN"/>
              </w:rPr>
              <w:t>吸收塔4#循环泵；</w:t>
            </w:r>
          </w:p>
        </w:tc>
        <w:tc>
          <w:tcPr>
            <w:tcW w:w="2216" w:type="pct"/>
            <w:tcBorders>
              <w:tl2br w:val="nil"/>
              <w:tr2bl w:val="nil"/>
            </w:tcBorders>
            <w:shd w:val="clear" w:color="auto" w:fill="FFFFFF" w:themeFill="background1"/>
            <w:vAlign w:val="center"/>
          </w:tcPr>
          <w:p w14:paraId="0A84DC55">
            <w:pPr>
              <w:pStyle w:val="20"/>
              <w:bidi w:val="0"/>
              <w:rPr>
                <w:rFonts w:hint="eastAsia"/>
                <w:color w:val="auto"/>
              </w:rPr>
            </w:pPr>
            <w:r>
              <w:rPr>
                <w:rFonts w:hint="eastAsia"/>
                <w:color w:val="auto"/>
                <w:lang w:val="en-US" w:eastAsia="zh-CN"/>
              </w:rPr>
              <w:t>型式：卧式离心泵；泵型号：350DT-A65(64）；</w:t>
            </w:r>
          </w:p>
        </w:tc>
        <w:tc>
          <w:tcPr>
            <w:tcW w:w="542" w:type="pct"/>
            <w:tcBorders>
              <w:tl2br w:val="nil"/>
              <w:tr2bl w:val="nil"/>
            </w:tcBorders>
            <w:shd w:val="clear" w:color="auto" w:fill="FFFFFF" w:themeFill="background1"/>
            <w:vAlign w:val="center"/>
          </w:tcPr>
          <w:p w14:paraId="601BEC39">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5C4C261D">
            <w:pPr>
              <w:pStyle w:val="20"/>
              <w:bidi w:val="0"/>
              <w:rPr>
                <w:rFonts w:hint="eastAsia"/>
                <w:color w:val="auto"/>
              </w:rPr>
            </w:pPr>
            <w:r>
              <w:rPr>
                <w:rFonts w:hint="eastAsia"/>
                <w:color w:val="auto"/>
                <w:lang w:val="en-US" w:eastAsia="zh-CN"/>
              </w:rPr>
              <w:t>1</w:t>
            </w:r>
          </w:p>
        </w:tc>
      </w:tr>
      <w:tr w14:paraId="0EEE07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4BC9D821">
            <w:pPr>
              <w:pStyle w:val="20"/>
              <w:bidi w:val="0"/>
              <w:rPr>
                <w:rFonts w:hint="default"/>
                <w:color w:val="auto"/>
                <w:lang w:val="en-US"/>
              </w:rPr>
            </w:pPr>
            <w:r>
              <w:rPr>
                <w:rFonts w:hint="eastAsia"/>
                <w:color w:val="auto"/>
                <w:lang w:val="en-US" w:eastAsia="zh-CN"/>
              </w:rPr>
              <w:t>18</w:t>
            </w:r>
          </w:p>
        </w:tc>
        <w:tc>
          <w:tcPr>
            <w:tcW w:w="1161" w:type="pct"/>
            <w:tcBorders>
              <w:tl2br w:val="nil"/>
              <w:tr2bl w:val="nil"/>
            </w:tcBorders>
            <w:shd w:val="clear" w:color="auto" w:fill="FFFFFF" w:themeFill="background1"/>
            <w:vAlign w:val="center"/>
          </w:tcPr>
          <w:p w14:paraId="1AFF1932">
            <w:pPr>
              <w:pStyle w:val="20"/>
              <w:bidi w:val="0"/>
              <w:rPr>
                <w:rFonts w:hint="eastAsia"/>
                <w:color w:val="auto"/>
              </w:rPr>
            </w:pPr>
            <w:r>
              <w:rPr>
                <w:rFonts w:hint="eastAsia"/>
                <w:color w:val="auto"/>
                <w:lang w:val="en-US" w:eastAsia="zh-CN"/>
              </w:rPr>
              <w:t>吸收塔浆液排出泵</w:t>
            </w:r>
          </w:p>
        </w:tc>
        <w:tc>
          <w:tcPr>
            <w:tcW w:w="2216" w:type="pct"/>
            <w:tcBorders>
              <w:tl2br w:val="nil"/>
              <w:tr2bl w:val="nil"/>
            </w:tcBorders>
            <w:shd w:val="clear" w:color="auto" w:fill="FFFFFF" w:themeFill="background1"/>
            <w:vAlign w:val="center"/>
          </w:tcPr>
          <w:p w14:paraId="74DC1ACC">
            <w:pPr>
              <w:pStyle w:val="20"/>
              <w:bidi w:val="0"/>
              <w:rPr>
                <w:rFonts w:hint="eastAsia"/>
                <w:color w:val="auto"/>
              </w:rPr>
            </w:pPr>
            <w:r>
              <w:rPr>
                <w:rFonts w:hint="eastAsia"/>
                <w:color w:val="auto"/>
                <w:lang w:val="en-US" w:eastAsia="zh-CN"/>
              </w:rPr>
              <w:t>型式：卧式离心泵；泵型号：65DT-A40(39）；</w:t>
            </w:r>
          </w:p>
        </w:tc>
        <w:tc>
          <w:tcPr>
            <w:tcW w:w="542" w:type="pct"/>
            <w:tcBorders>
              <w:tl2br w:val="nil"/>
              <w:tr2bl w:val="nil"/>
            </w:tcBorders>
            <w:shd w:val="clear" w:color="auto" w:fill="FFFFFF" w:themeFill="background1"/>
            <w:vAlign w:val="center"/>
          </w:tcPr>
          <w:p w14:paraId="58788857">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4526EBB">
            <w:pPr>
              <w:pStyle w:val="20"/>
              <w:bidi w:val="0"/>
              <w:rPr>
                <w:rFonts w:hint="eastAsia"/>
                <w:color w:val="auto"/>
              </w:rPr>
            </w:pPr>
            <w:r>
              <w:rPr>
                <w:rFonts w:hint="eastAsia"/>
                <w:color w:val="auto"/>
                <w:lang w:val="en-US" w:eastAsia="zh-CN"/>
              </w:rPr>
              <w:t>2</w:t>
            </w:r>
          </w:p>
        </w:tc>
      </w:tr>
      <w:tr w14:paraId="0059D2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60" w:hRule="atLeast"/>
          <w:jc w:val="center"/>
        </w:trPr>
        <w:tc>
          <w:tcPr>
            <w:tcW w:w="534" w:type="pct"/>
            <w:tcBorders>
              <w:tl2br w:val="nil"/>
              <w:tr2bl w:val="nil"/>
            </w:tcBorders>
            <w:shd w:val="clear" w:color="auto" w:fill="FFFFFF" w:themeFill="background1"/>
            <w:vAlign w:val="center"/>
          </w:tcPr>
          <w:p w14:paraId="70B96020">
            <w:pPr>
              <w:pStyle w:val="20"/>
              <w:bidi w:val="0"/>
              <w:rPr>
                <w:rFonts w:hint="default"/>
                <w:color w:val="auto"/>
                <w:lang w:val="en-US"/>
              </w:rPr>
            </w:pPr>
            <w:r>
              <w:rPr>
                <w:rFonts w:hint="eastAsia"/>
                <w:color w:val="auto"/>
                <w:lang w:val="en-US" w:eastAsia="zh-CN"/>
              </w:rPr>
              <w:t>19</w:t>
            </w:r>
          </w:p>
        </w:tc>
        <w:tc>
          <w:tcPr>
            <w:tcW w:w="1161" w:type="pct"/>
            <w:tcBorders>
              <w:tl2br w:val="nil"/>
              <w:tr2bl w:val="nil"/>
            </w:tcBorders>
            <w:shd w:val="clear" w:color="auto" w:fill="FFFFFF" w:themeFill="background1"/>
            <w:vAlign w:val="center"/>
          </w:tcPr>
          <w:p w14:paraId="4C14ED32">
            <w:pPr>
              <w:pStyle w:val="20"/>
              <w:bidi w:val="0"/>
              <w:rPr>
                <w:rFonts w:hint="eastAsia"/>
                <w:color w:val="auto"/>
              </w:rPr>
            </w:pPr>
            <w:r>
              <w:rPr>
                <w:rFonts w:hint="eastAsia"/>
                <w:color w:val="auto"/>
                <w:lang w:val="en-US" w:eastAsia="zh-CN"/>
              </w:rPr>
              <w:t>石膏泵</w:t>
            </w:r>
          </w:p>
        </w:tc>
        <w:tc>
          <w:tcPr>
            <w:tcW w:w="2216" w:type="pct"/>
            <w:tcBorders>
              <w:tl2br w:val="nil"/>
              <w:tr2bl w:val="nil"/>
            </w:tcBorders>
            <w:shd w:val="clear" w:color="auto" w:fill="FFFFFF" w:themeFill="background1"/>
            <w:vAlign w:val="center"/>
          </w:tcPr>
          <w:p w14:paraId="482A021A">
            <w:pPr>
              <w:pStyle w:val="20"/>
              <w:bidi w:val="0"/>
              <w:rPr>
                <w:rFonts w:hint="eastAsia"/>
                <w:color w:val="auto"/>
              </w:rPr>
            </w:pPr>
            <w:r>
              <w:rPr>
                <w:rFonts w:hint="eastAsia"/>
                <w:color w:val="auto"/>
                <w:lang w:val="en-US" w:eastAsia="zh-CN"/>
              </w:rPr>
              <w:t>泵型号：65DT-A40(39）；型式：卧式离心泵；</w:t>
            </w:r>
          </w:p>
        </w:tc>
        <w:tc>
          <w:tcPr>
            <w:tcW w:w="542" w:type="pct"/>
            <w:tcBorders>
              <w:tl2br w:val="nil"/>
              <w:tr2bl w:val="nil"/>
            </w:tcBorders>
            <w:shd w:val="clear" w:color="auto" w:fill="FFFFFF" w:themeFill="background1"/>
            <w:vAlign w:val="center"/>
          </w:tcPr>
          <w:p w14:paraId="499230E6">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0F2D1B02">
            <w:pPr>
              <w:pStyle w:val="20"/>
              <w:bidi w:val="0"/>
              <w:rPr>
                <w:rFonts w:hint="eastAsia"/>
                <w:color w:val="auto"/>
              </w:rPr>
            </w:pPr>
            <w:r>
              <w:rPr>
                <w:rFonts w:hint="eastAsia"/>
                <w:color w:val="auto"/>
                <w:lang w:val="en-US" w:eastAsia="zh-CN"/>
              </w:rPr>
              <w:t>2</w:t>
            </w:r>
          </w:p>
        </w:tc>
      </w:tr>
      <w:tr w14:paraId="002B0BC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2E923252">
            <w:pPr>
              <w:pStyle w:val="20"/>
              <w:bidi w:val="0"/>
              <w:rPr>
                <w:rFonts w:hint="default"/>
                <w:color w:val="auto"/>
                <w:lang w:val="en-US"/>
              </w:rPr>
            </w:pPr>
            <w:r>
              <w:rPr>
                <w:rFonts w:hint="eastAsia"/>
                <w:color w:val="auto"/>
                <w:lang w:val="en-US" w:eastAsia="zh-CN"/>
              </w:rPr>
              <w:t>20</w:t>
            </w:r>
          </w:p>
        </w:tc>
        <w:tc>
          <w:tcPr>
            <w:tcW w:w="1161" w:type="pct"/>
            <w:tcBorders>
              <w:tl2br w:val="nil"/>
              <w:tr2bl w:val="nil"/>
            </w:tcBorders>
            <w:shd w:val="clear" w:color="auto" w:fill="FFFFFF" w:themeFill="background1"/>
            <w:vAlign w:val="center"/>
          </w:tcPr>
          <w:p w14:paraId="67C337E4">
            <w:pPr>
              <w:pStyle w:val="20"/>
              <w:bidi w:val="0"/>
              <w:rPr>
                <w:rFonts w:hint="eastAsia"/>
                <w:color w:val="auto"/>
              </w:rPr>
            </w:pPr>
            <w:r>
              <w:rPr>
                <w:rFonts w:hint="eastAsia"/>
                <w:color w:val="auto"/>
                <w:lang w:val="en-US" w:eastAsia="zh-CN"/>
              </w:rPr>
              <w:t>PH、密度监测出口浆液循环泵</w:t>
            </w:r>
          </w:p>
        </w:tc>
        <w:tc>
          <w:tcPr>
            <w:tcW w:w="2216" w:type="pct"/>
            <w:tcBorders>
              <w:tl2br w:val="nil"/>
              <w:tr2bl w:val="nil"/>
            </w:tcBorders>
            <w:shd w:val="clear" w:color="auto" w:fill="FFFFFF" w:themeFill="background1"/>
            <w:vAlign w:val="center"/>
          </w:tcPr>
          <w:p w14:paraId="3EFF77CD">
            <w:pPr>
              <w:pStyle w:val="20"/>
              <w:bidi w:val="0"/>
              <w:rPr>
                <w:rFonts w:hint="eastAsia"/>
                <w:color w:val="auto"/>
              </w:rPr>
            </w:pPr>
            <w:r>
              <w:rPr>
                <w:rFonts w:hint="eastAsia"/>
                <w:color w:val="auto"/>
                <w:lang w:val="en-US" w:eastAsia="zh-CN"/>
              </w:rPr>
              <w:t>型号：25DT-A25(24)；</w:t>
            </w:r>
          </w:p>
        </w:tc>
        <w:tc>
          <w:tcPr>
            <w:tcW w:w="542" w:type="pct"/>
            <w:tcBorders>
              <w:tl2br w:val="nil"/>
              <w:tr2bl w:val="nil"/>
            </w:tcBorders>
            <w:shd w:val="clear" w:color="auto" w:fill="FFFFFF" w:themeFill="background1"/>
            <w:vAlign w:val="center"/>
          </w:tcPr>
          <w:p w14:paraId="5DC62121">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6AE5981C">
            <w:pPr>
              <w:pStyle w:val="20"/>
              <w:bidi w:val="0"/>
              <w:rPr>
                <w:rFonts w:hint="eastAsia"/>
                <w:color w:val="auto"/>
              </w:rPr>
            </w:pPr>
            <w:r>
              <w:rPr>
                <w:rFonts w:hint="eastAsia"/>
                <w:color w:val="auto"/>
                <w:lang w:val="en-US" w:eastAsia="zh-CN"/>
              </w:rPr>
              <w:t>1</w:t>
            </w:r>
          </w:p>
        </w:tc>
      </w:tr>
      <w:tr w14:paraId="7FA0DC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56D4B46">
            <w:pPr>
              <w:pStyle w:val="20"/>
              <w:bidi w:val="0"/>
              <w:rPr>
                <w:rFonts w:hint="default"/>
                <w:color w:val="auto"/>
                <w:lang w:val="en-US"/>
              </w:rPr>
            </w:pPr>
            <w:r>
              <w:rPr>
                <w:rFonts w:hint="eastAsia"/>
                <w:color w:val="auto"/>
                <w:lang w:val="en-US" w:eastAsia="zh-CN"/>
              </w:rPr>
              <w:t>21</w:t>
            </w:r>
          </w:p>
        </w:tc>
        <w:tc>
          <w:tcPr>
            <w:tcW w:w="1161" w:type="pct"/>
            <w:tcBorders>
              <w:tl2br w:val="nil"/>
              <w:tr2bl w:val="nil"/>
            </w:tcBorders>
            <w:shd w:val="clear" w:color="auto" w:fill="FFFFFF" w:themeFill="background1"/>
            <w:vAlign w:val="center"/>
          </w:tcPr>
          <w:p w14:paraId="3DDA6CA0">
            <w:pPr>
              <w:pStyle w:val="20"/>
              <w:bidi w:val="0"/>
              <w:rPr>
                <w:rFonts w:hint="eastAsia"/>
                <w:color w:val="auto"/>
              </w:rPr>
            </w:pPr>
            <w:r>
              <w:rPr>
                <w:rFonts w:hint="eastAsia"/>
                <w:color w:val="auto"/>
                <w:lang w:val="en-US" w:eastAsia="zh-CN"/>
              </w:rPr>
              <w:t>窑灰输送螺旋称</w:t>
            </w:r>
          </w:p>
        </w:tc>
        <w:tc>
          <w:tcPr>
            <w:tcW w:w="2216" w:type="pct"/>
            <w:tcBorders>
              <w:tl2br w:val="nil"/>
              <w:tr2bl w:val="nil"/>
            </w:tcBorders>
            <w:shd w:val="clear" w:color="auto" w:fill="FFFFFF" w:themeFill="background1"/>
            <w:vAlign w:val="center"/>
          </w:tcPr>
          <w:p w14:paraId="6FD4B5A1">
            <w:pPr>
              <w:pStyle w:val="20"/>
              <w:bidi w:val="0"/>
              <w:rPr>
                <w:rFonts w:hint="eastAsia"/>
                <w:color w:val="auto"/>
              </w:rPr>
            </w:pPr>
          </w:p>
        </w:tc>
        <w:tc>
          <w:tcPr>
            <w:tcW w:w="542" w:type="pct"/>
            <w:tcBorders>
              <w:tl2br w:val="nil"/>
              <w:tr2bl w:val="nil"/>
            </w:tcBorders>
            <w:shd w:val="clear" w:color="auto" w:fill="FFFFFF" w:themeFill="background1"/>
            <w:vAlign w:val="center"/>
          </w:tcPr>
          <w:p w14:paraId="2BB529B2">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57E8F0FD">
            <w:pPr>
              <w:pStyle w:val="20"/>
              <w:bidi w:val="0"/>
              <w:rPr>
                <w:rFonts w:hint="eastAsia"/>
                <w:color w:val="auto"/>
              </w:rPr>
            </w:pPr>
            <w:r>
              <w:rPr>
                <w:rFonts w:hint="eastAsia"/>
                <w:color w:val="auto"/>
                <w:lang w:val="en-US" w:eastAsia="zh-CN"/>
              </w:rPr>
              <w:t>1</w:t>
            </w:r>
          </w:p>
        </w:tc>
      </w:tr>
      <w:tr w14:paraId="621279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0E1AB239">
            <w:pPr>
              <w:pStyle w:val="20"/>
              <w:bidi w:val="0"/>
              <w:rPr>
                <w:rFonts w:hint="default"/>
                <w:color w:val="auto"/>
                <w:lang w:val="en-US"/>
              </w:rPr>
            </w:pPr>
            <w:r>
              <w:rPr>
                <w:rFonts w:hint="eastAsia"/>
                <w:color w:val="auto"/>
                <w:lang w:val="en-US" w:eastAsia="zh-CN"/>
              </w:rPr>
              <w:t>22</w:t>
            </w:r>
          </w:p>
        </w:tc>
        <w:tc>
          <w:tcPr>
            <w:tcW w:w="1161" w:type="pct"/>
            <w:tcBorders>
              <w:tl2br w:val="nil"/>
              <w:tr2bl w:val="nil"/>
            </w:tcBorders>
            <w:shd w:val="clear" w:color="auto" w:fill="FFFFFF" w:themeFill="background1"/>
            <w:vAlign w:val="center"/>
          </w:tcPr>
          <w:p w14:paraId="0587052B">
            <w:pPr>
              <w:pStyle w:val="20"/>
              <w:bidi w:val="0"/>
              <w:rPr>
                <w:rFonts w:hint="eastAsia"/>
                <w:color w:val="auto"/>
              </w:rPr>
            </w:pPr>
            <w:r>
              <w:rPr>
                <w:rFonts w:hint="eastAsia"/>
                <w:color w:val="auto"/>
                <w:lang w:val="en-US" w:eastAsia="zh-CN"/>
              </w:rPr>
              <w:t>浆液制备罐搅拌器</w:t>
            </w:r>
          </w:p>
        </w:tc>
        <w:tc>
          <w:tcPr>
            <w:tcW w:w="2216" w:type="pct"/>
            <w:tcBorders>
              <w:tl2br w:val="nil"/>
              <w:tr2bl w:val="nil"/>
            </w:tcBorders>
            <w:shd w:val="clear" w:color="auto" w:fill="FFFFFF" w:themeFill="background1"/>
            <w:vAlign w:val="center"/>
          </w:tcPr>
          <w:p w14:paraId="3BDDC6DF">
            <w:pPr>
              <w:pStyle w:val="20"/>
              <w:bidi w:val="0"/>
              <w:rPr>
                <w:rFonts w:hint="eastAsia"/>
                <w:color w:val="auto"/>
              </w:rPr>
            </w:pPr>
            <w:r>
              <w:rPr>
                <w:rFonts w:hint="eastAsia"/>
                <w:color w:val="auto"/>
                <w:lang w:val="en-US" w:eastAsia="zh-CN"/>
              </w:rPr>
              <w:t>型式：顶进式搅拌器；型号：</w:t>
            </w:r>
            <w:r>
              <w:rPr>
                <w:color w:val="auto"/>
                <w:lang w:val="en-US" w:eastAsia="zh-CN"/>
              </w:rPr>
              <w:t>SEW/RF87</w:t>
            </w:r>
          </w:p>
        </w:tc>
        <w:tc>
          <w:tcPr>
            <w:tcW w:w="542" w:type="pct"/>
            <w:tcBorders>
              <w:tl2br w:val="nil"/>
              <w:tr2bl w:val="nil"/>
            </w:tcBorders>
            <w:shd w:val="clear" w:color="auto" w:fill="FFFFFF" w:themeFill="background1"/>
            <w:vAlign w:val="center"/>
          </w:tcPr>
          <w:p w14:paraId="450628B7">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2FF6BF84">
            <w:pPr>
              <w:pStyle w:val="20"/>
              <w:bidi w:val="0"/>
              <w:rPr>
                <w:rFonts w:hint="eastAsia"/>
                <w:color w:val="auto"/>
              </w:rPr>
            </w:pPr>
            <w:r>
              <w:rPr>
                <w:rFonts w:hint="eastAsia"/>
                <w:color w:val="auto"/>
                <w:lang w:val="en-US" w:eastAsia="zh-CN"/>
              </w:rPr>
              <w:t>1</w:t>
            </w:r>
          </w:p>
        </w:tc>
      </w:tr>
      <w:tr w14:paraId="776134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D356AB6">
            <w:pPr>
              <w:pStyle w:val="20"/>
              <w:bidi w:val="0"/>
              <w:rPr>
                <w:rFonts w:hint="default"/>
                <w:color w:val="auto"/>
                <w:lang w:val="en-US"/>
              </w:rPr>
            </w:pPr>
            <w:r>
              <w:rPr>
                <w:rFonts w:hint="eastAsia"/>
                <w:color w:val="auto"/>
                <w:lang w:val="en-US" w:eastAsia="zh-CN"/>
              </w:rPr>
              <w:t>23</w:t>
            </w:r>
          </w:p>
        </w:tc>
        <w:tc>
          <w:tcPr>
            <w:tcW w:w="1161" w:type="pct"/>
            <w:tcBorders>
              <w:tl2br w:val="nil"/>
              <w:tr2bl w:val="nil"/>
            </w:tcBorders>
            <w:shd w:val="clear" w:color="auto" w:fill="FFFFFF" w:themeFill="background1"/>
            <w:vAlign w:val="center"/>
          </w:tcPr>
          <w:p w14:paraId="59411739">
            <w:pPr>
              <w:pStyle w:val="20"/>
              <w:bidi w:val="0"/>
              <w:rPr>
                <w:rFonts w:hint="eastAsia"/>
                <w:color w:val="auto"/>
              </w:rPr>
            </w:pPr>
            <w:r>
              <w:rPr>
                <w:rFonts w:hint="eastAsia"/>
                <w:color w:val="auto"/>
                <w:lang w:val="en-US" w:eastAsia="zh-CN"/>
              </w:rPr>
              <w:t>1#2#浆液供给泵</w:t>
            </w:r>
          </w:p>
        </w:tc>
        <w:tc>
          <w:tcPr>
            <w:tcW w:w="2216" w:type="pct"/>
            <w:tcBorders>
              <w:tl2br w:val="nil"/>
              <w:tr2bl w:val="nil"/>
            </w:tcBorders>
            <w:shd w:val="clear" w:color="auto" w:fill="FFFFFF" w:themeFill="background1"/>
            <w:vAlign w:val="center"/>
          </w:tcPr>
          <w:p w14:paraId="283A0EBE">
            <w:pPr>
              <w:pStyle w:val="20"/>
              <w:bidi w:val="0"/>
              <w:rPr>
                <w:rFonts w:hint="eastAsia"/>
                <w:color w:val="auto"/>
              </w:rPr>
            </w:pPr>
            <w:r>
              <w:rPr>
                <w:rFonts w:hint="eastAsia"/>
                <w:color w:val="auto"/>
                <w:lang w:val="en-US" w:eastAsia="zh-CN"/>
              </w:rPr>
              <w:t>型式：卧式离心泵；泵型号：40DT-B35(32)B；</w:t>
            </w:r>
          </w:p>
        </w:tc>
        <w:tc>
          <w:tcPr>
            <w:tcW w:w="542" w:type="pct"/>
            <w:tcBorders>
              <w:tl2br w:val="nil"/>
              <w:tr2bl w:val="nil"/>
            </w:tcBorders>
            <w:shd w:val="clear" w:color="auto" w:fill="FFFFFF" w:themeFill="background1"/>
            <w:vAlign w:val="center"/>
          </w:tcPr>
          <w:p w14:paraId="5A5FDBE4">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68D6F53B">
            <w:pPr>
              <w:pStyle w:val="20"/>
              <w:bidi w:val="0"/>
              <w:rPr>
                <w:rFonts w:hint="eastAsia"/>
                <w:color w:val="auto"/>
              </w:rPr>
            </w:pPr>
            <w:r>
              <w:rPr>
                <w:rFonts w:hint="eastAsia"/>
                <w:color w:val="auto"/>
                <w:lang w:val="en-US" w:eastAsia="zh-CN"/>
              </w:rPr>
              <w:t>2</w:t>
            </w:r>
          </w:p>
        </w:tc>
      </w:tr>
      <w:tr w14:paraId="342C26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40" w:hRule="atLeast"/>
          <w:jc w:val="center"/>
        </w:trPr>
        <w:tc>
          <w:tcPr>
            <w:tcW w:w="534" w:type="pct"/>
            <w:tcBorders>
              <w:tl2br w:val="nil"/>
              <w:tr2bl w:val="nil"/>
            </w:tcBorders>
            <w:shd w:val="clear" w:color="auto" w:fill="FFFFFF" w:themeFill="background1"/>
            <w:vAlign w:val="center"/>
          </w:tcPr>
          <w:p w14:paraId="23A3401E">
            <w:pPr>
              <w:pStyle w:val="20"/>
              <w:bidi w:val="0"/>
              <w:rPr>
                <w:rFonts w:hint="default"/>
                <w:color w:val="auto"/>
                <w:lang w:val="en-US"/>
              </w:rPr>
            </w:pPr>
            <w:r>
              <w:rPr>
                <w:rFonts w:hint="eastAsia"/>
                <w:color w:val="auto"/>
                <w:lang w:val="en-US" w:eastAsia="zh-CN"/>
              </w:rPr>
              <w:t>24</w:t>
            </w:r>
          </w:p>
        </w:tc>
        <w:tc>
          <w:tcPr>
            <w:tcW w:w="1161" w:type="pct"/>
            <w:tcBorders>
              <w:tl2br w:val="nil"/>
              <w:tr2bl w:val="nil"/>
            </w:tcBorders>
            <w:shd w:val="clear" w:color="auto" w:fill="FFFFFF" w:themeFill="background1"/>
            <w:vAlign w:val="center"/>
          </w:tcPr>
          <w:p w14:paraId="1E3B5A4A">
            <w:pPr>
              <w:pStyle w:val="20"/>
              <w:bidi w:val="0"/>
              <w:rPr>
                <w:rFonts w:hint="eastAsia"/>
                <w:color w:val="auto"/>
              </w:rPr>
            </w:pPr>
            <w:r>
              <w:rPr>
                <w:rFonts w:hint="eastAsia"/>
                <w:color w:val="auto"/>
                <w:lang w:val="en-US" w:eastAsia="zh-CN"/>
              </w:rPr>
              <w:t>集水坑搅拌器</w:t>
            </w:r>
          </w:p>
        </w:tc>
        <w:tc>
          <w:tcPr>
            <w:tcW w:w="2216" w:type="pct"/>
            <w:tcBorders>
              <w:tl2br w:val="nil"/>
              <w:tr2bl w:val="nil"/>
            </w:tcBorders>
            <w:shd w:val="clear" w:color="auto" w:fill="FFFFFF" w:themeFill="background1"/>
            <w:vAlign w:val="center"/>
          </w:tcPr>
          <w:p w14:paraId="09538DC7">
            <w:pPr>
              <w:pStyle w:val="20"/>
              <w:bidi w:val="0"/>
              <w:rPr>
                <w:rFonts w:hint="eastAsia"/>
                <w:color w:val="auto"/>
              </w:rPr>
            </w:pPr>
            <w:r>
              <w:rPr>
                <w:rFonts w:hint="eastAsia"/>
                <w:color w:val="auto"/>
                <w:lang w:val="en-US" w:eastAsia="zh-CN"/>
              </w:rPr>
              <w:t>型式：顶进式搅拌器，螺旋式；型号：HBY1400；</w:t>
            </w:r>
          </w:p>
        </w:tc>
        <w:tc>
          <w:tcPr>
            <w:tcW w:w="542" w:type="pct"/>
            <w:tcBorders>
              <w:tl2br w:val="nil"/>
              <w:tr2bl w:val="nil"/>
            </w:tcBorders>
            <w:shd w:val="clear" w:color="auto" w:fill="FFFFFF" w:themeFill="background1"/>
            <w:vAlign w:val="center"/>
          </w:tcPr>
          <w:p w14:paraId="584FF9FC">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57E6C95F">
            <w:pPr>
              <w:pStyle w:val="20"/>
              <w:bidi w:val="0"/>
              <w:rPr>
                <w:rFonts w:hint="eastAsia"/>
                <w:color w:val="auto"/>
              </w:rPr>
            </w:pPr>
            <w:r>
              <w:rPr>
                <w:rFonts w:hint="eastAsia"/>
                <w:color w:val="auto"/>
                <w:lang w:val="en-US" w:eastAsia="zh-CN"/>
              </w:rPr>
              <w:t>1</w:t>
            </w:r>
          </w:p>
        </w:tc>
      </w:tr>
      <w:tr w14:paraId="38D5E6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855" w:hRule="atLeast"/>
          <w:jc w:val="center"/>
        </w:trPr>
        <w:tc>
          <w:tcPr>
            <w:tcW w:w="534" w:type="pct"/>
            <w:tcBorders>
              <w:tl2br w:val="nil"/>
              <w:tr2bl w:val="nil"/>
            </w:tcBorders>
            <w:shd w:val="clear" w:color="auto" w:fill="FFFFFF" w:themeFill="background1"/>
            <w:vAlign w:val="center"/>
          </w:tcPr>
          <w:p w14:paraId="49AA04D9">
            <w:pPr>
              <w:pStyle w:val="20"/>
              <w:bidi w:val="0"/>
              <w:rPr>
                <w:rFonts w:hint="default"/>
                <w:color w:val="auto"/>
                <w:lang w:val="en-US"/>
              </w:rPr>
            </w:pPr>
            <w:r>
              <w:rPr>
                <w:rFonts w:hint="eastAsia"/>
                <w:color w:val="auto"/>
                <w:lang w:val="en-US" w:eastAsia="zh-CN"/>
              </w:rPr>
              <w:t>25</w:t>
            </w:r>
          </w:p>
        </w:tc>
        <w:tc>
          <w:tcPr>
            <w:tcW w:w="1161" w:type="pct"/>
            <w:tcBorders>
              <w:tl2br w:val="nil"/>
              <w:tr2bl w:val="nil"/>
            </w:tcBorders>
            <w:shd w:val="clear" w:color="auto" w:fill="FFFFFF" w:themeFill="background1"/>
            <w:vAlign w:val="center"/>
          </w:tcPr>
          <w:p w14:paraId="36C8CD98">
            <w:pPr>
              <w:pStyle w:val="20"/>
              <w:bidi w:val="0"/>
              <w:rPr>
                <w:rFonts w:hint="eastAsia"/>
                <w:color w:val="auto"/>
              </w:rPr>
            </w:pPr>
            <w:r>
              <w:rPr>
                <w:rFonts w:hint="eastAsia"/>
                <w:color w:val="auto"/>
                <w:lang w:val="en-US" w:eastAsia="zh-CN"/>
              </w:rPr>
              <w:t>集水坑泵</w:t>
            </w:r>
          </w:p>
        </w:tc>
        <w:tc>
          <w:tcPr>
            <w:tcW w:w="2216" w:type="pct"/>
            <w:tcBorders>
              <w:tl2br w:val="nil"/>
              <w:tr2bl w:val="nil"/>
            </w:tcBorders>
            <w:shd w:val="clear" w:color="auto" w:fill="FFFFFF" w:themeFill="background1"/>
            <w:vAlign w:val="center"/>
          </w:tcPr>
          <w:p w14:paraId="30001060">
            <w:pPr>
              <w:pStyle w:val="20"/>
              <w:bidi w:val="0"/>
              <w:rPr>
                <w:rFonts w:hint="eastAsia"/>
                <w:color w:val="auto"/>
              </w:rPr>
            </w:pPr>
            <w:r>
              <w:rPr>
                <w:rFonts w:hint="eastAsia"/>
                <w:color w:val="auto"/>
                <w:lang w:val="en-US" w:eastAsia="zh-CN"/>
              </w:rPr>
              <w:t>型式：卧式离心式；型号:</w:t>
            </w:r>
            <w:r>
              <w:rPr>
                <w:color w:val="auto"/>
                <w:lang w:val="en-US" w:eastAsia="zh-CN"/>
              </w:rPr>
              <w:t>40DT-B20</w:t>
            </w:r>
          </w:p>
        </w:tc>
        <w:tc>
          <w:tcPr>
            <w:tcW w:w="542" w:type="pct"/>
            <w:tcBorders>
              <w:tl2br w:val="nil"/>
              <w:tr2bl w:val="nil"/>
            </w:tcBorders>
            <w:shd w:val="clear" w:color="auto" w:fill="FFFFFF" w:themeFill="background1"/>
            <w:vAlign w:val="center"/>
          </w:tcPr>
          <w:p w14:paraId="353CA602">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EC9E7B3">
            <w:pPr>
              <w:pStyle w:val="20"/>
              <w:bidi w:val="0"/>
              <w:rPr>
                <w:rFonts w:hint="eastAsia"/>
                <w:color w:val="auto"/>
              </w:rPr>
            </w:pPr>
            <w:r>
              <w:rPr>
                <w:rFonts w:hint="eastAsia"/>
                <w:color w:val="auto"/>
                <w:lang w:val="en-US" w:eastAsia="zh-CN"/>
              </w:rPr>
              <w:t>2</w:t>
            </w:r>
          </w:p>
        </w:tc>
      </w:tr>
      <w:tr w14:paraId="2CC302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4B8884DB">
            <w:pPr>
              <w:pStyle w:val="20"/>
              <w:bidi w:val="0"/>
              <w:rPr>
                <w:rFonts w:hint="default"/>
                <w:color w:val="auto"/>
                <w:lang w:val="en-US"/>
              </w:rPr>
            </w:pPr>
            <w:r>
              <w:rPr>
                <w:rFonts w:hint="eastAsia"/>
                <w:color w:val="auto"/>
                <w:lang w:val="en-US" w:eastAsia="zh-CN"/>
              </w:rPr>
              <w:t>26</w:t>
            </w:r>
          </w:p>
        </w:tc>
        <w:tc>
          <w:tcPr>
            <w:tcW w:w="1161" w:type="pct"/>
            <w:tcBorders>
              <w:tl2br w:val="nil"/>
              <w:tr2bl w:val="nil"/>
            </w:tcBorders>
            <w:shd w:val="clear" w:color="auto" w:fill="FFFFFF" w:themeFill="background1"/>
            <w:vAlign w:val="center"/>
          </w:tcPr>
          <w:p w14:paraId="3C64298F">
            <w:pPr>
              <w:pStyle w:val="20"/>
              <w:bidi w:val="0"/>
              <w:rPr>
                <w:rFonts w:hint="eastAsia"/>
                <w:color w:val="auto"/>
              </w:rPr>
            </w:pPr>
            <w:r>
              <w:rPr>
                <w:rFonts w:hint="eastAsia"/>
                <w:color w:val="auto"/>
                <w:lang w:val="en-US" w:eastAsia="zh-CN"/>
              </w:rPr>
              <w:t>工艺水泵</w:t>
            </w:r>
          </w:p>
        </w:tc>
        <w:tc>
          <w:tcPr>
            <w:tcW w:w="2216" w:type="pct"/>
            <w:tcBorders>
              <w:tl2br w:val="nil"/>
              <w:tr2bl w:val="nil"/>
            </w:tcBorders>
            <w:shd w:val="clear" w:color="auto" w:fill="FFFFFF" w:themeFill="background1"/>
            <w:vAlign w:val="center"/>
          </w:tcPr>
          <w:p w14:paraId="4B70C8EF">
            <w:pPr>
              <w:pStyle w:val="20"/>
              <w:bidi w:val="0"/>
              <w:rPr>
                <w:rFonts w:hint="eastAsia"/>
                <w:color w:val="auto"/>
              </w:rPr>
            </w:pPr>
            <w:r>
              <w:rPr>
                <w:rFonts w:hint="eastAsia"/>
                <w:color w:val="auto"/>
                <w:lang w:val="en-US" w:eastAsia="zh-CN"/>
              </w:rPr>
              <w:t>型式：卧式离心式；泵型号：KQW80/185；</w:t>
            </w:r>
          </w:p>
        </w:tc>
        <w:tc>
          <w:tcPr>
            <w:tcW w:w="542" w:type="pct"/>
            <w:tcBorders>
              <w:tl2br w:val="nil"/>
              <w:tr2bl w:val="nil"/>
            </w:tcBorders>
            <w:shd w:val="clear" w:color="auto" w:fill="FFFFFF" w:themeFill="background1"/>
            <w:vAlign w:val="center"/>
          </w:tcPr>
          <w:p w14:paraId="3EDAD796">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725A4A14">
            <w:pPr>
              <w:pStyle w:val="20"/>
              <w:bidi w:val="0"/>
              <w:rPr>
                <w:rFonts w:hint="eastAsia"/>
                <w:color w:val="auto"/>
              </w:rPr>
            </w:pPr>
            <w:r>
              <w:rPr>
                <w:rFonts w:hint="eastAsia"/>
                <w:color w:val="auto"/>
                <w:lang w:val="en-US" w:eastAsia="zh-CN"/>
              </w:rPr>
              <w:t>2</w:t>
            </w:r>
          </w:p>
        </w:tc>
      </w:tr>
      <w:tr w14:paraId="4A9A3A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289C16A8">
            <w:pPr>
              <w:pStyle w:val="20"/>
              <w:bidi w:val="0"/>
              <w:rPr>
                <w:rFonts w:hint="default"/>
                <w:color w:val="auto"/>
                <w:lang w:val="en-US"/>
              </w:rPr>
            </w:pPr>
            <w:r>
              <w:rPr>
                <w:rFonts w:hint="eastAsia"/>
                <w:color w:val="auto"/>
                <w:lang w:val="en-US" w:eastAsia="zh-CN"/>
              </w:rPr>
              <w:t>27</w:t>
            </w:r>
          </w:p>
        </w:tc>
        <w:tc>
          <w:tcPr>
            <w:tcW w:w="1161" w:type="pct"/>
            <w:tcBorders>
              <w:tl2br w:val="nil"/>
              <w:tr2bl w:val="nil"/>
            </w:tcBorders>
            <w:shd w:val="clear" w:color="auto" w:fill="FFFFFF" w:themeFill="background1"/>
            <w:vAlign w:val="center"/>
          </w:tcPr>
          <w:p w14:paraId="327007F0">
            <w:pPr>
              <w:pStyle w:val="20"/>
              <w:bidi w:val="0"/>
              <w:rPr>
                <w:rFonts w:hint="eastAsia"/>
                <w:color w:val="auto"/>
              </w:rPr>
            </w:pPr>
            <w:r>
              <w:rPr>
                <w:rFonts w:hint="eastAsia"/>
                <w:color w:val="auto"/>
                <w:lang w:val="en-US" w:eastAsia="zh-CN"/>
              </w:rPr>
              <w:t>除雾器冲洗水泵</w:t>
            </w:r>
          </w:p>
        </w:tc>
        <w:tc>
          <w:tcPr>
            <w:tcW w:w="2216" w:type="pct"/>
            <w:tcBorders>
              <w:tl2br w:val="nil"/>
              <w:tr2bl w:val="nil"/>
            </w:tcBorders>
            <w:shd w:val="clear" w:color="auto" w:fill="FFFFFF" w:themeFill="background1"/>
            <w:vAlign w:val="center"/>
          </w:tcPr>
          <w:p w14:paraId="00268C69">
            <w:pPr>
              <w:pStyle w:val="20"/>
              <w:bidi w:val="0"/>
              <w:rPr>
                <w:rFonts w:hint="eastAsia"/>
                <w:color w:val="auto"/>
              </w:rPr>
            </w:pPr>
            <w:r>
              <w:rPr>
                <w:rFonts w:hint="eastAsia"/>
                <w:color w:val="auto"/>
                <w:lang w:val="en-US" w:eastAsia="zh-CN"/>
              </w:rPr>
              <w:t>型式：卧式离心式；泵型号：125KQW125-220；</w:t>
            </w:r>
          </w:p>
        </w:tc>
        <w:tc>
          <w:tcPr>
            <w:tcW w:w="542" w:type="pct"/>
            <w:tcBorders>
              <w:tl2br w:val="nil"/>
              <w:tr2bl w:val="nil"/>
            </w:tcBorders>
            <w:shd w:val="clear" w:color="auto" w:fill="FFFFFF" w:themeFill="background1"/>
            <w:vAlign w:val="center"/>
          </w:tcPr>
          <w:p w14:paraId="0FD4B09D">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39C64371">
            <w:pPr>
              <w:pStyle w:val="20"/>
              <w:bidi w:val="0"/>
              <w:rPr>
                <w:rFonts w:hint="eastAsia"/>
                <w:color w:val="auto"/>
              </w:rPr>
            </w:pPr>
            <w:r>
              <w:rPr>
                <w:rFonts w:hint="eastAsia"/>
                <w:color w:val="auto"/>
                <w:lang w:val="en-US" w:eastAsia="zh-CN"/>
              </w:rPr>
              <w:t>2</w:t>
            </w:r>
          </w:p>
        </w:tc>
      </w:tr>
      <w:tr w14:paraId="0D1327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A265C91">
            <w:pPr>
              <w:pStyle w:val="20"/>
              <w:bidi w:val="0"/>
              <w:rPr>
                <w:rFonts w:hint="default"/>
                <w:color w:val="auto"/>
                <w:lang w:val="en-US"/>
              </w:rPr>
            </w:pPr>
            <w:r>
              <w:rPr>
                <w:rFonts w:hint="eastAsia"/>
                <w:color w:val="auto"/>
                <w:lang w:val="en-US" w:eastAsia="zh-CN"/>
              </w:rPr>
              <w:t>28</w:t>
            </w:r>
          </w:p>
        </w:tc>
        <w:tc>
          <w:tcPr>
            <w:tcW w:w="1161" w:type="pct"/>
            <w:tcBorders>
              <w:tl2br w:val="nil"/>
              <w:tr2bl w:val="nil"/>
            </w:tcBorders>
            <w:shd w:val="clear" w:color="auto" w:fill="FFFFFF" w:themeFill="background1"/>
            <w:vAlign w:val="center"/>
          </w:tcPr>
          <w:p w14:paraId="55FF0211">
            <w:pPr>
              <w:pStyle w:val="20"/>
              <w:bidi w:val="0"/>
              <w:rPr>
                <w:rFonts w:hint="eastAsia"/>
                <w:color w:val="auto"/>
              </w:rPr>
            </w:pPr>
            <w:r>
              <w:rPr>
                <w:rFonts w:hint="eastAsia"/>
                <w:color w:val="auto"/>
                <w:lang w:val="en-US" w:eastAsia="zh-CN"/>
              </w:rPr>
              <w:t>氧化风机</w:t>
            </w:r>
          </w:p>
        </w:tc>
        <w:tc>
          <w:tcPr>
            <w:tcW w:w="2216" w:type="pct"/>
            <w:tcBorders>
              <w:tl2br w:val="nil"/>
              <w:tr2bl w:val="nil"/>
            </w:tcBorders>
            <w:shd w:val="clear" w:color="auto" w:fill="FFFFFF" w:themeFill="background1"/>
            <w:vAlign w:val="center"/>
          </w:tcPr>
          <w:p w14:paraId="3B231C51">
            <w:pPr>
              <w:pStyle w:val="20"/>
              <w:bidi w:val="0"/>
              <w:rPr>
                <w:rFonts w:hint="eastAsia"/>
                <w:color w:val="auto"/>
              </w:rPr>
            </w:pPr>
            <w:r>
              <w:rPr>
                <w:rFonts w:hint="eastAsia"/>
                <w:color w:val="auto"/>
                <w:lang w:val="en-US" w:eastAsia="zh-CN"/>
              </w:rPr>
              <w:t>型式：罗茨风机；型号：CS51；</w:t>
            </w:r>
          </w:p>
        </w:tc>
        <w:tc>
          <w:tcPr>
            <w:tcW w:w="542" w:type="pct"/>
            <w:tcBorders>
              <w:tl2br w:val="nil"/>
              <w:tr2bl w:val="nil"/>
            </w:tcBorders>
            <w:shd w:val="clear" w:color="auto" w:fill="FFFFFF" w:themeFill="background1"/>
            <w:vAlign w:val="center"/>
          </w:tcPr>
          <w:p w14:paraId="0436308C">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2B5AF797">
            <w:pPr>
              <w:pStyle w:val="20"/>
              <w:bidi w:val="0"/>
              <w:rPr>
                <w:rFonts w:hint="eastAsia"/>
                <w:color w:val="auto"/>
              </w:rPr>
            </w:pPr>
            <w:r>
              <w:rPr>
                <w:rFonts w:hint="eastAsia"/>
                <w:color w:val="auto"/>
                <w:lang w:val="en-US" w:eastAsia="zh-CN"/>
              </w:rPr>
              <w:t>2</w:t>
            </w:r>
          </w:p>
        </w:tc>
      </w:tr>
      <w:tr w14:paraId="6FCCA6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40" w:hRule="atLeast"/>
          <w:jc w:val="center"/>
        </w:trPr>
        <w:tc>
          <w:tcPr>
            <w:tcW w:w="534" w:type="pct"/>
            <w:tcBorders>
              <w:tl2br w:val="nil"/>
              <w:tr2bl w:val="nil"/>
            </w:tcBorders>
            <w:shd w:val="clear" w:color="auto" w:fill="FFFFFF" w:themeFill="background1"/>
            <w:vAlign w:val="center"/>
          </w:tcPr>
          <w:p w14:paraId="482A3870">
            <w:pPr>
              <w:pStyle w:val="20"/>
              <w:bidi w:val="0"/>
              <w:rPr>
                <w:rFonts w:hint="default"/>
                <w:color w:val="auto"/>
                <w:lang w:val="en-US"/>
              </w:rPr>
            </w:pPr>
            <w:r>
              <w:rPr>
                <w:rFonts w:hint="eastAsia"/>
                <w:color w:val="auto"/>
                <w:lang w:val="en-US" w:eastAsia="zh-CN"/>
              </w:rPr>
              <w:t>29</w:t>
            </w:r>
          </w:p>
        </w:tc>
        <w:tc>
          <w:tcPr>
            <w:tcW w:w="1161" w:type="pct"/>
            <w:tcBorders>
              <w:tl2br w:val="nil"/>
              <w:tr2bl w:val="nil"/>
            </w:tcBorders>
            <w:shd w:val="clear" w:color="auto" w:fill="FFFFFF" w:themeFill="background1"/>
            <w:vAlign w:val="center"/>
          </w:tcPr>
          <w:p w14:paraId="42A6E480">
            <w:pPr>
              <w:pStyle w:val="20"/>
              <w:bidi w:val="0"/>
              <w:rPr>
                <w:rFonts w:hint="eastAsia"/>
                <w:color w:val="auto"/>
              </w:rPr>
            </w:pPr>
            <w:r>
              <w:rPr>
                <w:rFonts w:hint="eastAsia"/>
                <w:color w:val="auto"/>
                <w:lang w:val="en-US" w:eastAsia="zh-CN"/>
              </w:rPr>
              <w:t>废水沉淀箱搅拌器</w:t>
            </w:r>
          </w:p>
        </w:tc>
        <w:tc>
          <w:tcPr>
            <w:tcW w:w="2216" w:type="pct"/>
            <w:tcBorders>
              <w:tl2br w:val="nil"/>
              <w:tr2bl w:val="nil"/>
            </w:tcBorders>
            <w:shd w:val="clear" w:color="auto" w:fill="FFFFFF" w:themeFill="background1"/>
            <w:vAlign w:val="center"/>
          </w:tcPr>
          <w:p w14:paraId="19A446DE">
            <w:pPr>
              <w:pStyle w:val="20"/>
              <w:bidi w:val="0"/>
              <w:rPr>
                <w:rFonts w:hint="eastAsia"/>
                <w:color w:val="auto"/>
              </w:rPr>
            </w:pPr>
            <w:r>
              <w:rPr>
                <w:rFonts w:hint="eastAsia"/>
                <w:color w:val="auto"/>
                <w:lang w:val="en-US" w:eastAsia="zh-CN"/>
              </w:rPr>
              <w:t>型式：顶进式搅拌器，旋浆式；型号：HBY950；</w:t>
            </w:r>
          </w:p>
        </w:tc>
        <w:tc>
          <w:tcPr>
            <w:tcW w:w="542" w:type="pct"/>
            <w:tcBorders>
              <w:tl2br w:val="nil"/>
              <w:tr2bl w:val="nil"/>
            </w:tcBorders>
            <w:shd w:val="clear" w:color="auto" w:fill="FFFFFF" w:themeFill="background1"/>
            <w:vAlign w:val="center"/>
          </w:tcPr>
          <w:p w14:paraId="0356A700">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021A3247">
            <w:pPr>
              <w:pStyle w:val="20"/>
              <w:bidi w:val="0"/>
              <w:rPr>
                <w:rFonts w:hint="eastAsia"/>
                <w:color w:val="auto"/>
              </w:rPr>
            </w:pPr>
            <w:r>
              <w:rPr>
                <w:rFonts w:hint="eastAsia"/>
                <w:color w:val="auto"/>
                <w:lang w:val="en-US" w:eastAsia="zh-CN"/>
              </w:rPr>
              <w:t>1</w:t>
            </w:r>
          </w:p>
        </w:tc>
      </w:tr>
      <w:tr w14:paraId="48E3C7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0" w:hRule="atLeast"/>
          <w:jc w:val="center"/>
        </w:trPr>
        <w:tc>
          <w:tcPr>
            <w:tcW w:w="534" w:type="pct"/>
            <w:tcBorders>
              <w:tl2br w:val="nil"/>
              <w:tr2bl w:val="nil"/>
            </w:tcBorders>
            <w:shd w:val="clear" w:color="auto" w:fill="FFFFFF" w:themeFill="background1"/>
            <w:vAlign w:val="center"/>
          </w:tcPr>
          <w:p w14:paraId="73AD0E76">
            <w:pPr>
              <w:pStyle w:val="20"/>
              <w:bidi w:val="0"/>
              <w:rPr>
                <w:rFonts w:hint="default"/>
                <w:color w:val="auto"/>
                <w:lang w:val="en-US" w:eastAsia="zh-CN"/>
              </w:rPr>
            </w:pPr>
            <w:r>
              <w:rPr>
                <w:rFonts w:hint="eastAsia"/>
                <w:color w:val="auto"/>
                <w:lang w:val="en-US" w:eastAsia="zh-CN"/>
              </w:rPr>
              <w:t>30</w:t>
            </w:r>
          </w:p>
        </w:tc>
        <w:tc>
          <w:tcPr>
            <w:tcW w:w="1161" w:type="pct"/>
            <w:tcBorders>
              <w:tl2br w:val="nil"/>
              <w:tr2bl w:val="nil"/>
            </w:tcBorders>
            <w:shd w:val="clear" w:color="auto" w:fill="FFFFFF" w:themeFill="background1"/>
            <w:vAlign w:val="center"/>
          </w:tcPr>
          <w:p w14:paraId="4CCF99AC">
            <w:pPr>
              <w:pStyle w:val="20"/>
              <w:bidi w:val="0"/>
              <w:rPr>
                <w:rFonts w:hint="eastAsia"/>
                <w:color w:val="auto"/>
              </w:rPr>
            </w:pPr>
            <w:r>
              <w:rPr>
                <w:rFonts w:hint="eastAsia"/>
                <w:color w:val="auto"/>
                <w:lang w:val="en-US" w:eastAsia="zh-CN"/>
              </w:rPr>
              <w:t>1#2#废水泵</w:t>
            </w:r>
          </w:p>
        </w:tc>
        <w:tc>
          <w:tcPr>
            <w:tcW w:w="2216" w:type="pct"/>
            <w:tcBorders>
              <w:tl2br w:val="nil"/>
              <w:tr2bl w:val="nil"/>
            </w:tcBorders>
            <w:shd w:val="clear" w:color="auto" w:fill="FFFFFF" w:themeFill="background1"/>
            <w:vAlign w:val="center"/>
          </w:tcPr>
          <w:p w14:paraId="445EC9D1">
            <w:pPr>
              <w:pStyle w:val="20"/>
              <w:bidi w:val="0"/>
              <w:rPr>
                <w:rFonts w:hint="eastAsia"/>
                <w:color w:val="auto"/>
              </w:rPr>
            </w:pPr>
            <w:r>
              <w:rPr>
                <w:rFonts w:hint="eastAsia"/>
                <w:color w:val="auto"/>
                <w:lang w:val="en-US" w:eastAsia="zh-CN"/>
              </w:rPr>
              <w:t>型式：卧式离心式；泵型号：</w:t>
            </w:r>
            <w:r>
              <w:rPr>
                <w:color w:val="auto"/>
                <w:lang w:val="en-US" w:eastAsia="zh-CN"/>
              </w:rPr>
              <w:t>40DT-B35(32)B</w:t>
            </w:r>
          </w:p>
        </w:tc>
        <w:tc>
          <w:tcPr>
            <w:tcW w:w="542" w:type="pct"/>
            <w:tcBorders>
              <w:tl2br w:val="nil"/>
              <w:tr2bl w:val="nil"/>
            </w:tcBorders>
            <w:shd w:val="clear" w:color="auto" w:fill="FFFFFF" w:themeFill="background1"/>
            <w:vAlign w:val="center"/>
          </w:tcPr>
          <w:p w14:paraId="55A4323D">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7DD36DE">
            <w:pPr>
              <w:pStyle w:val="20"/>
              <w:bidi w:val="0"/>
              <w:rPr>
                <w:rFonts w:hint="eastAsia"/>
                <w:color w:val="auto"/>
              </w:rPr>
            </w:pPr>
            <w:r>
              <w:rPr>
                <w:rFonts w:hint="eastAsia"/>
                <w:color w:val="auto"/>
                <w:lang w:val="en-US" w:eastAsia="zh-CN"/>
              </w:rPr>
              <w:t>2</w:t>
            </w:r>
          </w:p>
        </w:tc>
      </w:tr>
      <w:tr w14:paraId="7EC3C7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73C51CE9">
            <w:pPr>
              <w:pStyle w:val="20"/>
              <w:bidi w:val="0"/>
              <w:rPr>
                <w:rFonts w:hint="default"/>
                <w:color w:val="auto"/>
                <w:lang w:val="en-US"/>
              </w:rPr>
            </w:pPr>
            <w:r>
              <w:rPr>
                <w:rFonts w:hint="eastAsia"/>
                <w:color w:val="auto"/>
                <w:lang w:val="en-US" w:eastAsia="zh-CN"/>
              </w:rPr>
              <w:t>31</w:t>
            </w:r>
          </w:p>
        </w:tc>
        <w:tc>
          <w:tcPr>
            <w:tcW w:w="1161" w:type="pct"/>
            <w:tcBorders>
              <w:tl2br w:val="nil"/>
              <w:tr2bl w:val="nil"/>
            </w:tcBorders>
            <w:shd w:val="clear" w:color="auto" w:fill="FFFFFF" w:themeFill="background1"/>
            <w:vAlign w:val="center"/>
          </w:tcPr>
          <w:p w14:paraId="552F97BA">
            <w:pPr>
              <w:pStyle w:val="20"/>
              <w:bidi w:val="0"/>
              <w:rPr>
                <w:rFonts w:hint="eastAsia"/>
                <w:color w:val="auto"/>
              </w:rPr>
            </w:pPr>
            <w:r>
              <w:rPr>
                <w:rFonts w:hint="eastAsia"/>
                <w:color w:val="auto"/>
                <w:lang w:val="en-US" w:eastAsia="zh-CN"/>
              </w:rPr>
              <w:t>5#6#窑头篦冷机废水喷枪</w:t>
            </w:r>
          </w:p>
        </w:tc>
        <w:tc>
          <w:tcPr>
            <w:tcW w:w="2216" w:type="pct"/>
            <w:tcBorders>
              <w:tl2br w:val="nil"/>
              <w:tr2bl w:val="nil"/>
            </w:tcBorders>
            <w:shd w:val="clear" w:color="auto" w:fill="FFFFFF" w:themeFill="background1"/>
            <w:vAlign w:val="center"/>
          </w:tcPr>
          <w:p w14:paraId="6E52C252">
            <w:pPr>
              <w:pStyle w:val="20"/>
              <w:bidi w:val="0"/>
              <w:rPr>
                <w:rFonts w:hint="eastAsia"/>
                <w:color w:val="auto"/>
              </w:rPr>
            </w:pPr>
            <w:r>
              <w:rPr>
                <w:rFonts w:hint="eastAsia"/>
                <w:color w:val="auto"/>
                <w:lang w:val="en-US" w:eastAsia="zh-CN"/>
              </w:rPr>
              <w:t>/</w:t>
            </w:r>
          </w:p>
        </w:tc>
        <w:tc>
          <w:tcPr>
            <w:tcW w:w="542" w:type="pct"/>
            <w:tcBorders>
              <w:tl2br w:val="nil"/>
              <w:tr2bl w:val="nil"/>
            </w:tcBorders>
            <w:shd w:val="clear" w:color="auto" w:fill="FFFFFF" w:themeFill="background1"/>
            <w:vAlign w:val="center"/>
          </w:tcPr>
          <w:p w14:paraId="04564A35">
            <w:pPr>
              <w:pStyle w:val="20"/>
              <w:bidi w:val="0"/>
              <w:rPr>
                <w:rFonts w:hint="eastAsia"/>
                <w:color w:val="auto"/>
              </w:rPr>
            </w:pPr>
            <w:r>
              <w:rPr>
                <w:rFonts w:hint="eastAsia"/>
                <w:color w:val="auto"/>
                <w:lang w:val="en-US" w:eastAsia="zh-CN"/>
              </w:rPr>
              <w:t>个</w:t>
            </w:r>
          </w:p>
        </w:tc>
        <w:tc>
          <w:tcPr>
            <w:tcW w:w="544" w:type="pct"/>
            <w:tcBorders>
              <w:tl2br w:val="nil"/>
              <w:tr2bl w:val="nil"/>
            </w:tcBorders>
            <w:shd w:val="clear" w:color="auto" w:fill="FFFFFF" w:themeFill="background1"/>
            <w:vAlign w:val="center"/>
          </w:tcPr>
          <w:p w14:paraId="5AFB0832">
            <w:pPr>
              <w:pStyle w:val="20"/>
              <w:bidi w:val="0"/>
              <w:rPr>
                <w:rFonts w:hint="eastAsia"/>
                <w:color w:val="auto"/>
              </w:rPr>
            </w:pPr>
            <w:r>
              <w:rPr>
                <w:rFonts w:hint="eastAsia"/>
                <w:color w:val="auto"/>
                <w:lang w:val="en-US" w:eastAsia="zh-CN"/>
              </w:rPr>
              <w:t>6</w:t>
            </w:r>
          </w:p>
        </w:tc>
      </w:tr>
      <w:tr w14:paraId="642D82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855" w:hRule="atLeast"/>
          <w:jc w:val="center"/>
        </w:trPr>
        <w:tc>
          <w:tcPr>
            <w:tcW w:w="534" w:type="pct"/>
            <w:tcBorders>
              <w:tl2br w:val="nil"/>
              <w:tr2bl w:val="nil"/>
            </w:tcBorders>
            <w:shd w:val="clear" w:color="auto" w:fill="FFFFFF" w:themeFill="background1"/>
            <w:vAlign w:val="center"/>
          </w:tcPr>
          <w:p w14:paraId="51DB2A75">
            <w:pPr>
              <w:pStyle w:val="20"/>
              <w:bidi w:val="0"/>
              <w:rPr>
                <w:rFonts w:hint="default"/>
                <w:color w:val="auto"/>
                <w:lang w:val="en-US"/>
              </w:rPr>
            </w:pPr>
            <w:r>
              <w:rPr>
                <w:rFonts w:hint="eastAsia"/>
                <w:color w:val="auto"/>
                <w:lang w:val="en-US" w:eastAsia="zh-CN"/>
              </w:rPr>
              <w:t>32</w:t>
            </w:r>
          </w:p>
        </w:tc>
        <w:tc>
          <w:tcPr>
            <w:tcW w:w="1161" w:type="pct"/>
            <w:tcBorders>
              <w:tl2br w:val="nil"/>
              <w:tr2bl w:val="nil"/>
            </w:tcBorders>
            <w:shd w:val="clear" w:color="auto" w:fill="FFFFFF" w:themeFill="background1"/>
            <w:vAlign w:val="center"/>
          </w:tcPr>
          <w:p w14:paraId="115D225E">
            <w:pPr>
              <w:pStyle w:val="20"/>
              <w:bidi w:val="0"/>
              <w:rPr>
                <w:rFonts w:hint="eastAsia"/>
                <w:color w:val="auto"/>
              </w:rPr>
            </w:pPr>
            <w:r>
              <w:rPr>
                <w:rFonts w:hint="eastAsia"/>
                <w:color w:val="auto"/>
                <w:lang w:val="en-US" w:eastAsia="zh-CN"/>
              </w:rPr>
              <w:t>事故浆液箱搅拌器</w:t>
            </w:r>
          </w:p>
        </w:tc>
        <w:tc>
          <w:tcPr>
            <w:tcW w:w="2216" w:type="pct"/>
            <w:tcBorders>
              <w:tl2br w:val="nil"/>
              <w:tr2bl w:val="nil"/>
            </w:tcBorders>
            <w:shd w:val="clear" w:color="auto" w:fill="FFFFFF" w:themeFill="background1"/>
            <w:vAlign w:val="center"/>
          </w:tcPr>
          <w:p w14:paraId="17004610">
            <w:pPr>
              <w:pStyle w:val="20"/>
              <w:bidi w:val="0"/>
              <w:rPr>
                <w:rFonts w:hint="eastAsia"/>
                <w:color w:val="auto"/>
              </w:rPr>
            </w:pPr>
            <w:r>
              <w:rPr>
                <w:rFonts w:hint="eastAsia"/>
                <w:color w:val="auto"/>
                <w:lang w:val="en-US" w:eastAsia="zh-CN"/>
              </w:rPr>
              <w:t>型式：侧进旋浆式；型号：KAF97AM180</w:t>
            </w:r>
          </w:p>
        </w:tc>
        <w:tc>
          <w:tcPr>
            <w:tcW w:w="542" w:type="pct"/>
            <w:tcBorders>
              <w:tl2br w:val="nil"/>
              <w:tr2bl w:val="nil"/>
            </w:tcBorders>
            <w:shd w:val="clear" w:color="auto" w:fill="FFFFFF" w:themeFill="background1"/>
            <w:vAlign w:val="center"/>
          </w:tcPr>
          <w:p w14:paraId="13B29041">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DE0AFAF">
            <w:pPr>
              <w:pStyle w:val="20"/>
              <w:bidi w:val="0"/>
              <w:rPr>
                <w:rFonts w:hint="eastAsia"/>
                <w:color w:val="auto"/>
              </w:rPr>
            </w:pPr>
            <w:r>
              <w:rPr>
                <w:rFonts w:hint="eastAsia"/>
                <w:color w:val="auto"/>
                <w:lang w:val="en-US" w:eastAsia="zh-CN"/>
              </w:rPr>
              <w:t>3</w:t>
            </w:r>
          </w:p>
        </w:tc>
      </w:tr>
      <w:tr w14:paraId="71E6AD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15DEC5B3">
            <w:pPr>
              <w:pStyle w:val="20"/>
              <w:bidi w:val="0"/>
              <w:rPr>
                <w:rFonts w:hint="default"/>
                <w:color w:val="auto"/>
                <w:lang w:val="en-US"/>
              </w:rPr>
            </w:pPr>
            <w:r>
              <w:rPr>
                <w:rFonts w:hint="eastAsia"/>
                <w:color w:val="auto"/>
                <w:lang w:val="en-US" w:eastAsia="zh-CN"/>
              </w:rPr>
              <w:t>33</w:t>
            </w:r>
          </w:p>
        </w:tc>
        <w:tc>
          <w:tcPr>
            <w:tcW w:w="1161" w:type="pct"/>
            <w:tcBorders>
              <w:tl2br w:val="nil"/>
              <w:tr2bl w:val="nil"/>
            </w:tcBorders>
            <w:shd w:val="clear" w:color="auto" w:fill="FFFFFF" w:themeFill="background1"/>
            <w:vAlign w:val="center"/>
          </w:tcPr>
          <w:p w14:paraId="5001E6F7">
            <w:pPr>
              <w:pStyle w:val="20"/>
              <w:bidi w:val="0"/>
              <w:rPr>
                <w:rFonts w:hint="eastAsia"/>
                <w:color w:val="auto"/>
              </w:rPr>
            </w:pPr>
            <w:r>
              <w:rPr>
                <w:rFonts w:hint="eastAsia"/>
                <w:color w:val="auto"/>
                <w:lang w:val="en-US" w:eastAsia="zh-CN"/>
              </w:rPr>
              <w:t>事故浆液返回泵</w:t>
            </w:r>
          </w:p>
        </w:tc>
        <w:tc>
          <w:tcPr>
            <w:tcW w:w="2216" w:type="pct"/>
            <w:tcBorders>
              <w:tl2br w:val="nil"/>
              <w:tr2bl w:val="nil"/>
            </w:tcBorders>
            <w:shd w:val="clear" w:color="auto" w:fill="FFFFFF" w:themeFill="background1"/>
            <w:vAlign w:val="center"/>
          </w:tcPr>
          <w:p w14:paraId="15C4F58E">
            <w:pPr>
              <w:pStyle w:val="20"/>
              <w:bidi w:val="0"/>
              <w:rPr>
                <w:rFonts w:hint="eastAsia"/>
                <w:color w:val="auto"/>
              </w:rPr>
            </w:pPr>
            <w:r>
              <w:rPr>
                <w:rFonts w:hint="eastAsia"/>
                <w:color w:val="auto"/>
                <w:lang w:val="en-US" w:eastAsia="zh-CN"/>
              </w:rPr>
              <w:t>型式：卧式离心式；泵型号：65DT-A30（27）；重量:264kg</w:t>
            </w:r>
          </w:p>
        </w:tc>
        <w:tc>
          <w:tcPr>
            <w:tcW w:w="542" w:type="pct"/>
            <w:tcBorders>
              <w:tl2br w:val="nil"/>
              <w:tr2bl w:val="nil"/>
            </w:tcBorders>
            <w:shd w:val="clear" w:color="auto" w:fill="FFFFFF" w:themeFill="background1"/>
            <w:vAlign w:val="center"/>
          </w:tcPr>
          <w:p w14:paraId="0E8F8A87">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1D495062">
            <w:pPr>
              <w:pStyle w:val="20"/>
              <w:bidi w:val="0"/>
              <w:rPr>
                <w:rFonts w:hint="eastAsia"/>
                <w:color w:val="auto"/>
              </w:rPr>
            </w:pPr>
            <w:r>
              <w:rPr>
                <w:rFonts w:hint="eastAsia"/>
                <w:color w:val="auto"/>
                <w:lang w:val="en-US" w:eastAsia="zh-CN"/>
              </w:rPr>
              <w:t>2</w:t>
            </w:r>
          </w:p>
        </w:tc>
      </w:tr>
      <w:tr w14:paraId="1722BF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146E2C8">
            <w:pPr>
              <w:pStyle w:val="20"/>
              <w:bidi w:val="0"/>
              <w:rPr>
                <w:rFonts w:hint="default"/>
                <w:color w:val="auto"/>
                <w:lang w:val="en-US"/>
              </w:rPr>
            </w:pPr>
            <w:r>
              <w:rPr>
                <w:rFonts w:hint="eastAsia"/>
                <w:color w:val="auto"/>
                <w:lang w:val="en-US" w:eastAsia="zh-CN"/>
              </w:rPr>
              <w:t>34</w:t>
            </w:r>
          </w:p>
        </w:tc>
        <w:tc>
          <w:tcPr>
            <w:tcW w:w="1161" w:type="pct"/>
            <w:tcBorders>
              <w:tl2br w:val="nil"/>
              <w:tr2bl w:val="nil"/>
            </w:tcBorders>
            <w:shd w:val="clear" w:color="auto" w:fill="FFFFFF" w:themeFill="background1"/>
            <w:vAlign w:val="center"/>
          </w:tcPr>
          <w:p w14:paraId="7821EBEB">
            <w:pPr>
              <w:pStyle w:val="20"/>
              <w:bidi w:val="0"/>
              <w:rPr>
                <w:rFonts w:hint="eastAsia"/>
                <w:color w:val="auto"/>
              </w:rPr>
            </w:pPr>
            <w:r>
              <w:rPr>
                <w:rFonts w:hint="eastAsia"/>
                <w:color w:val="auto"/>
                <w:lang w:val="en-US" w:eastAsia="zh-CN"/>
              </w:rPr>
              <w:t>5#6#石膏旋流器</w:t>
            </w:r>
          </w:p>
        </w:tc>
        <w:tc>
          <w:tcPr>
            <w:tcW w:w="2216" w:type="pct"/>
            <w:tcBorders>
              <w:tl2br w:val="nil"/>
              <w:tr2bl w:val="nil"/>
            </w:tcBorders>
            <w:shd w:val="clear" w:color="auto" w:fill="FFFFFF" w:themeFill="background1"/>
            <w:vAlign w:val="center"/>
          </w:tcPr>
          <w:p w14:paraId="680A7EBD">
            <w:pPr>
              <w:pStyle w:val="20"/>
              <w:bidi w:val="0"/>
              <w:rPr>
                <w:rFonts w:hint="eastAsia"/>
                <w:color w:val="auto"/>
              </w:rPr>
            </w:pPr>
            <w:r>
              <w:rPr>
                <w:rFonts w:hint="eastAsia"/>
                <w:color w:val="auto"/>
                <w:lang w:val="en-US" w:eastAsia="zh-CN"/>
              </w:rPr>
              <w:t>/</w:t>
            </w:r>
          </w:p>
        </w:tc>
        <w:tc>
          <w:tcPr>
            <w:tcW w:w="542" w:type="pct"/>
            <w:tcBorders>
              <w:tl2br w:val="nil"/>
              <w:tr2bl w:val="nil"/>
            </w:tcBorders>
            <w:shd w:val="clear" w:color="auto" w:fill="FFFFFF" w:themeFill="background1"/>
            <w:vAlign w:val="center"/>
          </w:tcPr>
          <w:p w14:paraId="18EEBD10">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223B1CBB">
            <w:pPr>
              <w:pStyle w:val="20"/>
              <w:bidi w:val="0"/>
              <w:rPr>
                <w:rFonts w:hint="eastAsia"/>
                <w:color w:val="auto"/>
              </w:rPr>
            </w:pPr>
            <w:r>
              <w:rPr>
                <w:rFonts w:hint="eastAsia"/>
                <w:color w:val="auto"/>
                <w:lang w:val="en-US" w:eastAsia="zh-CN"/>
              </w:rPr>
              <w:t>2</w:t>
            </w:r>
          </w:p>
        </w:tc>
      </w:tr>
      <w:tr w14:paraId="775512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534" w:type="pct"/>
            <w:tcBorders>
              <w:tl2br w:val="nil"/>
              <w:tr2bl w:val="nil"/>
            </w:tcBorders>
            <w:shd w:val="clear" w:color="auto" w:fill="FFFFFF" w:themeFill="background1"/>
            <w:vAlign w:val="center"/>
          </w:tcPr>
          <w:p w14:paraId="79AD7284">
            <w:pPr>
              <w:pStyle w:val="20"/>
              <w:bidi w:val="0"/>
              <w:rPr>
                <w:rFonts w:hint="default"/>
                <w:color w:val="auto"/>
                <w:lang w:val="en-US"/>
              </w:rPr>
            </w:pPr>
            <w:r>
              <w:rPr>
                <w:rFonts w:hint="eastAsia"/>
                <w:color w:val="auto"/>
                <w:lang w:val="en-US" w:eastAsia="zh-CN"/>
              </w:rPr>
              <w:t>35</w:t>
            </w:r>
          </w:p>
        </w:tc>
        <w:tc>
          <w:tcPr>
            <w:tcW w:w="1161" w:type="pct"/>
            <w:tcBorders>
              <w:tl2br w:val="nil"/>
              <w:tr2bl w:val="nil"/>
            </w:tcBorders>
            <w:shd w:val="clear" w:color="auto" w:fill="FFFFFF" w:themeFill="background1"/>
            <w:vAlign w:val="center"/>
          </w:tcPr>
          <w:p w14:paraId="7B51459F">
            <w:pPr>
              <w:pStyle w:val="20"/>
              <w:bidi w:val="0"/>
              <w:rPr>
                <w:rFonts w:hint="eastAsia"/>
                <w:color w:val="auto"/>
              </w:rPr>
            </w:pPr>
            <w:r>
              <w:rPr>
                <w:rFonts w:hint="eastAsia"/>
                <w:color w:val="auto"/>
                <w:lang w:val="en-US" w:eastAsia="zh-CN"/>
              </w:rPr>
              <w:t>5#废水旋流器</w:t>
            </w:r>
          </w:p>
        </w:tc>
        <w:tc>
          <w:tcPr>
            <w:tcW w:w="2216" w:type="pct"/>
            <w:tcBorders>
              <w:tl2br w:val="nil"/>
              <w:tr2bl w:val="nil"/>
            </w:tcBorders>
            <w:shd w:val="clear" w:color="auto" w:fill="FFFFFF" w:themeFill="background1"/>
            <w:vAlign w:val="center"/>
          </w:tcPr>
          <w:p w14:paraId="13C965B6">
            <w:pPr>
              <w:pStyle w:val="20"/>
              <w:bidi w:val="0"/>
              <w:rPr>
                <w:rFonts w:hint="eastAsia"/>
                <w:color w:val="auto"/>
              </w:rPr>
            </w:pPr>
            <w:r>
              <w:rPr>
                <w:rFonts w:hint="eastAsia"/>
                <w:color w:val="auto"/>
                <w:lang w:val="en-US" w:eastAsia="zh-CN"/>
              </w:rPr>
              <w:t>/</w:t>
            </w:r>
          </w:p>
        </w:tc>
        <w:tc>
          <w:tcPr>
            <w:tcW w:w="542" w:type="pct"/>
            <w:tcBorders>
              <w:tl2br w:val="nil"/>
              <w:tr2bl w:val="nil"/>
            </w:tcBorders>
            <w:shd w:val="clear" w:color="auto" w:fill="FFFFFF" w:themeFill="background1"/>
            <w:vAlign w:val="center"/>
          </w:tcPr>
          <w:p w14:paraId="2C537421">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3C5894FC">
            <w:pPr>
              <w:pStyle w:val="20"/>
              <w:bidi w:val="0"/>
              <w:rPr>
                <w:rFonts w:hint="eastAsia"/>
                <w:color w:val="auto"/>
              </w:rPr>
            </w:pPr>
            <w:r>
              <w:rPr>
                <w:rFonts w:hint="eastAsia"/>
                <w:color w:val="auto"/>
                <w:lang w:val="en-US" w:eastAsia="zh-CN"/>
              </w:rPr>
              <w:t>1</w:t>
            </w:r>
          </w:p>
        </w:tc>
      </w:tr>
      <w:tr w14:paraId="4F2198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534" w:type="pct"/>
            <w:tcBorders>
              <w:tl2br w:val="nil"/>
              <w:tr2bl w:val="nil"/>
            </w:tcBorders>
            <w:shd w:val="clear" w:color="auto" w:fill="FFFFFF" w:themeFill="background1"/>
            <w:vAlign w:val="center"/>
          </w:tcPr>
          <w:p w14:paraId="591AA652">
            <w:pPr>
              <w:pStyle w:val="20"/>
              <w:bidi w:val="0"/>
              <w:rPr>
                <w:rFonts w:hint="default"/>
                <w:color w:val="auto"/>
                <w:lang w:val="en-US"/>
              </w:rPr>
            </w:pPr>
            <w:r>
              <w:rPr>
                <w:rFonts w:hint="eastAsia"/>
                <w:color w:val="auto"/>
                <w:lang w:val="en-US" w:eastAsia="zh-CN"/>
              </w:rPr>
              <w:t>36</w:t>
            </w:r>
          </w:p>
        </w:tc>
        <w:tc>
          <w:tcPr>
            <w:tcW w:w="1161" w:type="pct"/>
            <w:tcBorders>
              <w:tl2br w:val="nil"/>
              <w:tr2bl w:val="nil"/>
            </w:tcBorders>
            <w:shd w:val="clear" w:color="auto" w:fill="FFFFFF" w:themeFill="background1"/>
            <w:vAlign w:val="center"/>
          </w:tcPr>
          <w:p w14:paraId="3427C5AA">
            <w:pPr>
              <w:pStyle w:val="20"/>
              <w:bidi w:val="0"/>
              <w:rPr>
                <w:rFonts w:hint="eastAsia"/>
                <w:color w:val="auto"/>
              </w:rPr>
            </w:pPr>
            <w:r>
              <w:rPr>
                <w:rFonts w:hint="eastAsia"/>
                <w:color w:val="auto"/>
                <w:lang w:val="en-US" w:eastAsia="zh-CN"/>
              </w:rPr>
              <w:t>真空带式过滤机</w:t>
            </w:r>
          </w:p>
        </w:tc>
        <w:tc>
          <w:tcPr>
            <w:tcW w:w="2216" w:type="pct"/>
            <w:tcBorders>
              <w:tl2br w:val="nil"/>
              <w:tr2bl w:val="nil"/>
            </w:tcBorders>
            <w:shd w:val="clear" w:color="auto" w:fill="FFFFFF" w:themeFill="background1"/>
            <w:vAlign w:val="center"/>
          </w:tcPr>
          <w:p w14:paraId="04155590">
            <w:pPr>
              <w:pStyle w:val="20"/>
              <w:bidi w:val="0"/>
              <w:rPr>
                <w:rFonts w:hint="eastAsia"/>
                <w:color w:val="auto"/>
              </w:rPr>
            </w:pPr>
            <w:r>
              <w:rPr>
                <w:rFonts w:hint="eastAsia"/>
                <w:color w:val="auto"/>
                <w:lang w:val="en-US" w:eastAsia="zh-CN"/>
              </w:rPr>
              <w:t>/</w:t>
            </w:r>
          </w:p>
        </w:tc>
        <w:tc>
          <w:tcPr>
            <w:tcW w:w="542" w:type="pct"/>
            <w:tcBorders>
              <w:tl2br w:val="nil"/>
              <w:tr2bl w:val="nil"/>
            </w:tcBorders>
            <w:shd w:val="clear" w:color="auto" w:fill="FFFFFF" w:themeFill="background1"/>
            <w:vAlign w:val="center"/>
          </w:tcPr>
          <w:p w14:paraId="2F980FFA">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77BF317B">
            <w:pPr>
              <w:pStyle w:val="20"/>
              <w:bidi w:val="0"/>
              <w:rPr>
                <w:rFonts w:hint="eastAsia"/>
                <w:color w:val="auto"/>
              </w:rPr>
            </w:pPr>
            <w:r>
              <w:rPr>
                <w:rFonts w:hint="eastAsia"/>
                <w:color w:val="auto"/>
                <w:lang w:val="en-US" w:eastAsia="zh-CN"/>
              </w:rPr>
              <w:t>2</w:t>
            </w:r>
          </w:p>
        </w:tc>
      </w:tr>
      <w:tr w14:paraId="7BB30E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4857870">
            <w:pPr>
              <w:pStyle w:val="20"/>
              <w:bidi w:val="0"/>
              <w:rPr>
                <w:rFonts w:hint="default"/>
                <w:color w:val="auto"/>
                <w:lang w:val="en-US"/>
              </w:rPr>
            </w:pPr>
            <w:r>
              <w:rPr>
                <w:rFonts w:hint="eastAsia"/>
                <w:color w:val="auto"/>
                <w:lang w:val="en-US" w:eastAsia="zh-CN"/>
              </w:rPr>
              <w:t>37</w:t>
            </w:r>
          </w:p>
        </w:tc>
        <w:tc>
          <w:tcPr>
            <w:tcW w:w="1161" w:type="pct"/>
            <w:tcBorders>
              <w:tl2br w:val="nil"/>
              <w:tr2bl w:val="nil"/>
            </w:tcBorders>
            <w:shd w:val="clear" w:color="auto" w:fill="FFFFFF" w:themeFill="background1"/>
            <w:vAlign w:val="center"/>
          </w:tcPr>
          <w:p w14:paraId="26CA9E0A">
            <w:pPr>
              <w:pStyle w:val="20"/>
              <w:bidi w:val="0"/>
              <w:rPr>
                <w:rFonts w:hint="eastAsia"/>
                <w:color w:val="auto"/>
              </w:rPr>
            </w:pPr>
            <w:r>
              <w:rPr>
                <w:rFonts w:hint="eastAsia"/>
                <w:color w:val="auto"/>
                <w:lang w:val="en-US" w:eastAsia="zh-CN"/>
              </w:rPr>
              <w:t>真空泵</w:t>
            </w:r>
          </w:p>
        </w:tc>
        <w:tc>
          <w:tcPr>
            <w:tcW w:w="2216" w:type="pct"/>
            <w:tcBorders>
              <w:tl2br w:val="nil"/>
              <w:tr2bl w:val="nil"/>
            </w:tcBorders>
            <w:shd w:val="clear" w:color="auto" w:fill="FFFFFF" w:themeFill="background1"/>
            <w:vAlign w:val="center"/>
          </w:tcPr>
          <w:p w14:paraId="3B74C98B">
            <w:pPr>
              <w:pStyle w:val="20"/>
              <w:bidi w:val="0"/>
              <w:rPr>
                <w:rFonts w:hint="eastAsia"/>
                <w:color w:val="auto"/>
              </w:rPr>
            </w:pPr>
            <w:r>
              <w:rPr>
                <w:rFonts w:hint="eastAsia"/>
                <w:color w:val="auto"/>
                <w:lang w:val="en-US" w:eastAsia="zh-CN"/>
              </w:rPr>
              <w:t>型式：水环式真空泵；型号：2BE1-253；</w:t>
            </w:r>
          </w:p>
        </w:tc>
        <w:tc>
          <w:tcPr>
            <w:tcW w:w="542" w:type="pct"/>
            <w:tcBorders>
              <w:tl2br w:val="nil"/>
              <w:tr2bl w:val="nil"/>
            </w:tcBorders>
            <w:shd w:val="clear" w:color="auto" w:fill="FFFFFF" w:themeFill="background1"/>
            <w:vAlign w:val="center"/>
          </w:tcPr>
          <w:p w14:paraId="45A20443">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7BBB4180">
            <w:pPr>
              <w:pStyle w:val="20"/>
              <w:bidi w:val="0"/>
              <w:rPr>
                <w:rFonts w:hint="eastAsia"/>
                <w:color w:val="auto"/>
              </w:rPr>
            </w:pPr>
            <w:r>
              <w:rPr>
                <w:rFonts w:hint="eastAsia"/>
                <w:color w:val="auto"/>
                <w:lang w:val="en-US" w:eastAsia="zh-CN"/>
              </w:rPr>
              <w:t>2</w:t>
            </w:r>
          </w:p>
        </w:tc>
      </w:tr>
      <w:tr w14:paraId="5041F2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9A16CE8">
            <w:pPr>
              <w:pStyle w:val="20"/>
              <w:bidi w:val="0"/>
              <w:rPr>
                <w:rFonts w:hint="default"/>
                <w:color w:val="auto"/>
                <w:lang w:val="en-US"/>
              </w:rPr>
            </w:pPr>
            <w:r>
              <w:rPr>
                <w:rFonts w:hint="eastAsia"/>
                <w:color w:val="auto"/>
                <w:lang w:val="en-US" w:eastAsia="zh-CN"/>
              </w:rPr>
              <w:t>38</w:t>
            </w:r>
          </w:p>
        </w:tc>
        <w:tc>
          <w:tcPr>
            <w:tcW w:w="1161" w:type="pct"/>
            <w:tcBorders>
              <w:tl2br w:val="nil"/>
              <w:tr2bl w:val="nil"/>
            </w:tcBorders>
            <w:shd w:val="clear" w:color="auto" w:fill="FFFFFF" w:themeFill="background1"/>
            <w:vAlign w:val="center"/>
          </w:tcPr>
          <w:p w14:paraId="13735EA3">
            <w:pPr>
              <w:pStyle w:val="20"/>
              <w:bidi w:val="0"/>
              <w:rPr>
                <w:rFonts w:hint="eastAsia"/>
                <w:color w:val="auto"/>
              </w:rPr>
            </w:pPr>
            <w:r>
              <w:rPr>
                <w:rFonts w:hint="eastAsia"/>
                <w:color w:val="auto"/>
                <w:lang w:val="en-US" w:eastAsia="zh-CN"/>
              </w:rPr>
              <w:t>气液分离器</w:t>
            </w:r>
          </w:p>
        </w:tc>
        <w:tc>
          <w:tcPr>
            <w:tcW w:w="2216" w:type="pct"/>
            <w:tcBorders>
              <w:tl2br w:val="nil"/>
              <w:tr2bl w:val="nil"/>
            </w:tcBorders>
            <w:shd w:val="clear" w:color="auto" w:fill="FFFFFF" w:themeFill="background1"/>
            <w:vAlign w:val="center"/>
          </w:tcPr>
          <w:p w14:paraId="234FDD2A">
            <w:pPr>
              <w:pStyle w:val="20"/>
              <w:bidi w:val="0"/>
              <w:rPr>
                <w:rFonts w:hint="eastAsia"/>
                <w:color w:val="auto"/>
              </w:rPr>
            </w:pPr>
            <w:r>
              <w:rPr>
                <w:rFonts w:hint="eastAsia"/>
                <w:color w:val="auto"/>
                <w:lang w:val="en-US" w:eastAsia="zh-CN"/>
              </w:rPr>
              <w:t>/</w:t>
            </w:r>
          </w:p>
        </w:tc>
        <w:tc>
          <w:tcPr>
            <w:tcW w:w="542" w:type="pct"/>
            <w:tcBorders>
              <w:tl2br w:val="nil"/>
              <w:tr2bl w:val="nil"/>
            </w:tcBorders>
            <w:shd w:val="clear" w:color="auto" w:fill="FFFFFF" w:themeFill="background1"/>
            <w:vAlign w:val="center"/>
          </w:tcPr>
          <w:p w14:paraId="76F2815A">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455B8029">
            <w:pPr>
              <w:pStyle w:val="20"/>
              <w:bidi w:val="0"/>
              <w:rPr>
                <w:rFonts w:hint="eastAsia"/>
                <w:color w:val="auto"/>
              </w:rPr>
            </w:pPr>
            <w:r>
              <w:rPr>
                <w:rFonts w:hint="eastAsia"/>
                <w:color w:val="auto"/>
                <w:lang w:val="en-US" w:eastAsia="zh-CN"/>
              </w:rPr>
              <w:t>2</w:t>
            </w:r>
          </w:p>
        </w:tc>
      </w:tr>
      <w:tr w14:paraId="0158C1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534" w:type="pct"/>
            <w:tcBorders>
              <w:tl2br w:val="nil"/>
              <w:tr2bl w:val="nil"/>
            </w:tcBorders>
            <w:shd w:val="clear" w:color="auto" w:fill="FFFFFF" w:themeFill="background1"/>
            <w:vAlign w:val="center"/>
          </w:tcPr>
          <w:p w14:paraId="7D570640">
            <w:pPr>
              <w:pStyle w:val="20"/>
              <w:bidi w:val="0"/>
              <w:rPr>
                <w:rFonts w:hint="default"/>
                <w:color w:val="auto"/>
                <w:lang w:val="en-US"/>
              </w:rPr>
            </w:pPr>
            <w:r>
              <w:rPr>
                <w:rFonts w:hint="eastAsia"/>
                <w:color w:val="auto"/>
                <w:lang w:val="en-US" w:eastAsia="zh-CN"/>
              </w:rPr>
              <w:t>39</w:t>
            </w:r>
          </w:p>
        </w:tc>
        <w:tc>
          <w:tcPr>
            <w:tcW w:w="1161" w:type="pct"/>
            <w:tcBorders>
              <w:tl2br w:val="nil"/>
              <w:tr2bl w:val="nil"/>
            </w:tcBorders>
            <w:shd w:val="clear" w:color="auto" w:fill="FFFFFF" w:themeFill="background1"/>
            <w:vAlign w:val="center"/>
          </w:tcPr>
          <w:p w14:paraId="4908FA22">
            <w:pPr>
              <w:pStyle w:val="20"/>
              <w:bidi w:val="0"/>
              <w:rPr>
                <w:rFonts w:hint="eastAsia"/>
                <w:color w:val="auto"/>
              </w:rPr>
            </w:pPr>
            <w:r>
              <w:rPr>
                <w:rFonts w:hint="eastAsia"/>
                <w:color w:val="auto"/>
                <w:lang w:val="en-US" w:eastAsia="zh-CN"/>
              </w:rPr>
              <w:t>滤液泵</w:t>
            </w:r>
          </w:p>
        </w:tc>
        <w:tc>
          <w:tcPr>
            <w:tcW w:w="2216" w:type="pct"/>
            <w:tcBorders>
              <w:tl2br w:val="nil"/>
              <w:tr2bl w:val="nil"/>
            </w:tcBorders>
            <w:shd w:val="clear" w:color="auto" w:fill="FFFFFF" w:themeFill="background1"/>
            <w:vAlign w:val="center"/>
          </w:tcPr>
          <w:p w14:paraId="11F2942A">
            <w:pPr>
              <w:pStyle w:val="20"/>
              <w:bidi w:val="0"/>
              <w:rPr>
                <w:rFonts w:hint="eastAsia"/>
                <w:color w:val="auto"/>
              </w:rPr>
            </w:pPr>
            <w:r>
              <w:rPr>
                <w:rFonts w:hint="eastAsia"/>
                <w:color w:val="auto"/>
                <w:lang w:val="en-US" w:eastAsia="zh-CN"/>
              </w:rPr>
              <w:t>型式：卧式离心式；泵型号：65DT-A30(27)；重量:320kg</w:t>
            </w:r>
          </w:p>
        </w:tc>
        <w:tc>
          <w:tcPr>
            <w:tcW w:w="542" w:type="pct"/>
            <w:tcBorders>
              <w:tl2br w:val="nil"/>
              <w:tr2bl w:val="nil"/>
            </w:tcBorders>
            <w:shd w:val="clear" w:color="auto" w:fill="FFFFFF" w:themeFill="background1"/>
            <w:vAlign w:val="center"/>
          </w:tcPr>
          <w:p w14:paraId="07219C31">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0FAF9E39">
            <w:pPr>
              <w:pStyle w:val="20"/>
              <w:bidi w:val="0"/>
              <w:rPr>
                <w:rFonts w:hint="eastAsia"/>
                <w:color w:val="auto"/>
              </w:rPr>
            </w:pPr>
            <w:r>
              <w:rPr>
                <w:rFonts w:hint="eastAsia"/>
                <w:color w:val="auto"/>
                <w:lang w:val="en-US" w:eastAsia="zh-CN"/>
              </w:rPr>
              <w:t>1</w:t>
            </w:r>
          </w:p>
        </w:tc>
      </w:tr>
      <w:tr w14:paraId="549417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72DFE20A">
            <w:pPr>
              <w:pStyle w:val="20"/>
              <w:bidi w:val="0"/>
              <w:rPr>
                <w:rFonts w:hint="default"/>
                <w:color w:val="auto"/>
                <w:lang w:val="en-US"/>
              </w:rPr>
            </w:pPr>
            <w:r>
              <w:rPr>
                <w:rFonts w:hint="eastAsia"/>
                <w:color w:val="auto"/>
                <w:lang w:val="en-US" w:eastAsia="zh-CN"/>
              </w:rPr>
              <w:t>40</w:t>
            </w:r>
          </w:p>
        </w:tc>
        <w:tc>
          <w:tcPr>
            <w:tcW w:w="1161" w:type="pct"/>
            <w:tcBorders>
              <w:tl2br w:val="nil"/>
              <w:tr2bl w:val="nil"/>
            </w:tcBorders>
            <w:shd w:val="clear" w:color="auto" w:fill="FFFFFF" w:themeFill="background1"/>
            <w:vAlign w:val="center"/>
          </w:tcPr>
          <w:p w14:paraId="33380443">
            <w:pPr>
              <w:pStyle w:val="20"/>
              <w:bidi w:val="0"/>
              <w:rPr>
                <w:rFonts w:hint="eastAsia"/>
                <w:color w:val="auto"/>
              </w:rPr>
            </w:pPr>
            <w:r>
              <w:rPr>
                <w:rFonts w:hint="eastAsia"/>
                <w:color w:val="auto"/>
                <w:lang w:val="en-US" w:eastAsia="zh-CN"/>
              </w:rPr>
              <w:t>废液转存泵</w:t>
            </w:r>
          </w:p>
        </w:tc>
        <w:tc>
          <w:tcPr>
            <w:tcW w:w="2216" w:type="pct"/>
            <w:tcBorders>
              <w:tl2br w:val="nil"/>
              <w:tr2bl w:val="nil"/>
            </w:tcBorders>
            <w:shd w:val="clear" w:color="auto" w:fill="FFFFFF" w:themeFill="background1"/>
            <w:vAlign w:val="center"/>
          </w:tcPr>
          <w:p w14:paraId="7C2B4F51">
            <w:pPr>
              <w:pStyle w:val="20"/>
              <w:bidi w:val="0"/>
              <w:rPr>
                <w:rFonts w:hint="eastAsia"/>
                <w:color w:val="auto"/>
              </w:rPr>
            </w:pPr>
            <w:r>
              <w:rPr>
                <w:rFonts w:hint="eastAsia"/>
                <w:color w:val="auto"/>
                <w:lang w:val="en-US" w:eastAsia="zh-CN"/>
              </w:rPr>
              <w:t>型式：卧式离心式；泵型号：40DT-B30(29)B；</w:t>
            </w:r>
          </w:p>
        </w:tc>
        <w:tc>
          <w:tcPr>
            <w:tcW w:w="542" w:type="pct"/>
            <w:tcBorders>
              <w:tl2br w:val="nil"/>
              <w:tr2bl w:val="nil"/>
            </w:tcBorders>
            <w:shd w:val="clear" w:color="auto" w:fill="FFFFFF" w:themeFill="background1"/>
            <w:vAlign w:val="center"/>
          </w:tcPr>
          <w:p w14:paraId="6EA2331A">
            <w:pPr>
              <w:pStyle w:val="20"/>
              <w:bidi w:val="0"/>
              <w:rPr>
                <w:rFonts w:hint="eastAsia"/>
                <w:color w:val="auto"/>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235696D3">
            <w:pPr>
              <w:pStyle w:val="20"/>
              <w:bidi w:val="0"/>
              <w:rPr>
                <w:rFonts w:hint="eastAsia"/>
                <w:color w:val="auto"/>
              </w:rPr>
            </w:pPr>
            <w:r>
              <w:rPr>
                <w:rFonts w:hint="eastAsia"/>
                <w:color w:val="auto"/>
                <w:lang w:val="en-US" w:eastAsia="zh-CN"/>
              </w:rPr>
              <w:t>2</w:t>
            </w:r>
          </w:p>
        </w:tc>
      </w:tr>
      <w:tr w14:paraId="7969E8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570" w:hRule="atLeast"/>
          <w:jc w:val="center"/>
        </w:trPr>
        <w:tc>
          <w:tcPr>
            <w:tcW w:w="534" w:type="pct"/>
            <w:tcBorders>
              <w:tl2br w:val="nil"/>
              <w:tr2bl w:val="nil"/>
            </w:tcBorders>
            <w:shd w:val="clear" w:color="auto" w:fill="FFFFFF" w:themeFill="background1"/>
            <w:vAlign w:val="center"/>
          </w:tcPr>
          <w:p w14:paraId="3C98E50A">
            <w:pPr>
              <w:pStyle w:val="20"/>
              <w:bidi w:val="0"/>
              <w:rPr>
                <w:rFonts w:hint="default"/>
                <w:color w:val="auto"/>
                <w:lang w:val="en-US" w:eastAsia="zh-CN"/>
              </w:rPr>
            </w:pPr>
            <w:r>
              <w:rPr>
                <w:rFonts w:hint="eastAsia"/>
                <w:color w:val="auto"/>
                <w:lang w:val="en-US" w:eastAsia="zh-CN"/>
              </w:rPr>
              <w:t>41</w:t>
            </w:r>
          </w:p>
        </w:tc>
        <w:tc>
          <w:tcPr>
            <w:tcW w:w="1161" w:type="pct"/>
            <w:tcBorders>
              <w:tl2br w:val="nil"/>
              <w:tr2bl w:val="nil"/>
            </w:tcBorders>
            <w:shd w:val="clear" w:color="auto" w:fill="FFFFFF" w:themeFill="background1"/>
            <w:vAlign w:val="center"/>
          </w:tcPr>
          <w:p w14:paraId="05E95A67">
            <w:pPr>
              <w:pStyle w:val="20"/>
              <w:bidi w:val="0"/>
              <w:rPr>
                <w:rFonts w:hint="eastAsia"/>
                <w:color w:val="auto"/>
                <w:lang w:val="en-US" w:eastAsia="zh-CN"/>
              </w:rPr>
            </w:pPr>
            <w:r>
              <w:rPr>
                <w:rFonts w:hint="eastAsia"/>
                <w:color w:val="auto"/>
                <w:lang w:val="en-US" w:eastAsia="zh-CN"/>
              </w:rPr>
              <w:t>SA160W型螺杆式压缩机</w:t>
            </w:r>
          </w:p>
        </w:tc>
        <w:tc>
          <w:tcPr>
            <w:tcW w:w="2216" w:type="pct"/>
            <w:tcBorders>
              <w:tl2br w:val="nil"/>
              <w:tr2bl w:val="nil"/>
            </w:tcBorders>
            <w:shd w:val="clear" w:color="auto" w:fill="FFFFFF" w:themeFill="background1"/>
            <w:vAlign w:val="center"/>
          </w:tcPr>
          <w:p w14:paraId="188520F5">
            <w:pPr>
              <w:pStyle w:val="20"/>
              <w:bidi w:val="0"/>
              <w:rPr>
                <w:rFonts w:hint="default"/>
                <w:color w:val="auto"/>
                <w:lang w:val="en-US" w:eastAsia="zh-CN"/>
              </w:rPr>
            </w:pPr>
            <w:r>
              <w:rPr>
                <w:rFonts w:hint="eastAsia"/>
                <w:color w:val="auto"/>
                <w:lang w:val="en-US" w:eastAsia="zh-CN"/>
              </w:rPr>
              <w:t>/</w:t>
            </w:r>
          </w:p>
        </w:tc>
        <w:tc>
          <w:tcPr>
            <w:tcW w:w="542" w:type="pct"/>
            <w:tcBorders>
              <w:tl2br w:val="nil"/>
              <w:tr2bl w:val="nil"/>
            </w:tcBorders>
            <w:shd w:val="clear" w:color="auto" w:fill="FFFFFF" w:themeFill="background1"/>
            <w:vAlign w:val="center"/>
          </w:tcPr>
          <w:p w14:paraId="6BEF8598">
            <w:pPr>
              <w:pStyle w:val="20"/>
              <w:bidi w:val="0"/>
              <w:rPr>
                <w:rFonts w:hint="default"/>
                <w:color w:val="auto"/>
                <w:lang w:val="en-US" w:eastAsia="zh-CN"/>
              </w:rPr>
            </w:pPr>
            <w:r>
              <w:rPr>
                <w:rFonts w:hint="eastAsia"/>
                <w:color w:val="auto"/>
                <w:lang w:val="en-US" w:eastAsia="zh-CN"/>
              </w:rPr>
              <w:t>台</w:t>
            </w:r>
          </w:p>
        </w:tc>
        <w:tc>
          <w:tcPr>
            <w:tcW w:w="544" w:type="pct"/>
            <w:tcBorders>
              <w:tl2br w:val="nil"/>
              <w:tr2bl w:val="nil"/>
            </w:tcBorders>
            <w:shd w:val="clear" w:color="auto" w:fill="FFFFFF" w:themeFill="background1"/>
            <w:vAlign w:val="center"/>
          </w:tcPr>
          <w:p w14:paraId="6FEFA990">
            <w:pPr>
              <w:pStyle w:val="20"/>
              <w:bidi w:val="0"/>
              <w:rPr>
                <w:rFonts w:hint="default"/>
                <w:color w:val="auto"/>
                <w:lang w:val="en-US" w:eastAsia="zh-CN"/>
              </w:rPr>
            </w:pPr>
            <w:r>
              <w:rPr>
                <w:rFonts w:hint="eastAsia"/>
                <w:color w:val="auto"/>
                <w:lang w:val="en-US" w:eastAsia="zh-CN"/>
              </w:rPr>
              <w:t>3</w:t>
            </w:r>
          </w:p>
        </w:tc>
      </w:tr>
    </w:tbl>
    <w:p w14:paraId="7AE9BC9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zh-CN"/>
        </w:rPr>
      </w:pPr>
      <w:r>
        <w:rPr>
          <w:rFonts w:hint="eastAsia"/>
          <w:color w:val="auto"/>
          <w:lang w:val="zh-CN"/>
        </w:rPr>
        <w:t>表2.</w:t>
      </w:r>
      <w:r>
        <w:rPr>
          <w:rFonts w:hint="eastAsia"/>
          <w:color w:val="auto"/>
          <w:lang w:val="en-US" w:eastAsia="zh-CN"/>
        </w:rPr>
        <w:t>8.2-2安全附件</w:t>
      </w:r>
      <w:r>
        <w:rPr>
          <w:rFonts w:hint="eastAsia"/>
          <w:color w:val="auto"/>
          <w:lang w:val="zh-CN"/>
        </w:rPr>
        <w:t>一览表</w:t>
      </w:r>
    </w:p>
    <w:tbl>
      <w:tblPr>
        <w:tblStyle w:val="14"/>
        <w:tblW w:w="4995" w:type="pct"/>
        <w:tblInd w:w="0" w:type="dxa"/>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698"/>
        <w:gridCol w:w="1276"/>
        <w:gridCol w:w="5895"/>
        <w:gridCol w:w="705"/>
        <w:gridCol w:w="705"/>
      </w:tblGrid>
      <w:tr w14:paraId="0B1865B3">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45499DB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cs="Times New Roman"/>
                <w:b/>
                <w:bCs/>
                <w:color w:val="auto"/>
                <w:kern w:val="2"/>
                <w:sz w:val="21"/>
                <w:szCs w:val="22"/>
                <w:lang w:val="en-US" w:eastAsia="zh-CN" w:bidi="ar-SA"/>
              </w:rPr>
            </w:pPr>
            <w:r>
              <w:rPr>
                <w:rFonts w:hint="eastAsia" w:cs="Times New Roman"/>
                <w:b/>
                <w:bCs/>
                <w:color w:val="auto"/>
                <w:kern w:val="2"/>
                <w:sz w:val="21"/>
                <w:szCs w:val="22"/>
                <w:lang w:val="en-US" w:eastAsia="zh-CN" w:bidi="ar-SA"/>
              </w:rPr>
              <w:t>编号</w:t>
            </w:r>
          </w:p>
        </w:tc>
        <w:tc>
          <w:tcPr>
            <w:tcW w:w="687" w:type="pct"/>
            <w:tcBorders>
              <w:tl2br w:val="nil"/>
              <w:tr2bl w:val="nil"/>
            </w:tcBorders>
            <w:shd w:val="clear" w:color="auto" w:fill="auto"/>
            <w:vAlign w:val="center"/>
          </w:tcPr>
          <w:p w14:paraId="46B52E9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b/>
                <w:bCs/>
                <w:color w:val="auto"/>
                <w:kern w:val="2"/>
                <w:sz w:val="21"/>
                <w:szCs w:val="22"/>
                <w:lang w:val="en-US" w:eastAsia="zh-CN" w:bidi="ar-SA"/>
              </w:rPr>
            </w:pPr>
            <w:r>
              <w:rPr>
                <w:rFonts w:hint="eastAsia" w:cs="Times New Roman"/>
                <w:b/>
                <w:bCs/>
                <w:color w:val="auto"/>
                <w:kern w:val="2"/>
                <w:sz w:val="21"/>
                <w:szCs w:val="22"/>
                <w:lang w:val="en-US" w:eastAsia="zh-CN" w:bidi="ar-SA"/>
              </w:rPr>
              <w:t>名称</w:t>
            </w:r>
          </w:p>
        </w:tc>
        <w:tc>
          <w:tcPr>
            <w:tcW w:w="3176" w:type="pct"/>
            <w:tcBorders>
              <w:tl2br w:val="nil"/>
              <w:tr2bl w:val="nil"/>
            </w:tcBorders>
            <w:shd w:val="clear" w:color="auto" w:fill="auto"/>
            <w:vAlign w:val="center"/>
          </w:tcPr>
          <w:p w14:paraId="07718A4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b/>
                <w:bCs/>
                <w:color w:val="auto"/>
                <w:kern w:val="2"/>
                <w:sz w:val="21"/>
                <w:szCs w:val="22"/>
                <w:lang w:val="en-US" w:eastAsia="zh-CN" w:bidi="ar-SA"/>
              </w:rPr>
            </w:pPr>
            <w:r>
              <w:rPr>
                <w:rFonts w:hint="eastAsia" w:cs="Times New Roman"/>
                <w:b/>
                <w:bCs/>
                <w:color w:val="auto"/>
                <w:kern w:val="2"/>
                <w:sz w:val="21"/>
                <w:szCs w:val="22"/>
                <w:lang w:val="en-US" w:eastAsia="zh-CN" w:bidi="ar-SA"/>
              </w:rPr>
              <w:t>型号规格</w:t>
            </w:r>
          </w:p>
        </w:tc>
        <w:tc>
          <w:tcPr>
            <w:tcW w:w="379" w:type="pct"/>
            <w:tcBorders>
              <w:tl2br w:val="nil"/>
              <w:tr2bl w:val="nil"/>
            </w:tcBorders>
            <w:shd w:val="clear" w:color="auto" w:fill="auto"/>
            <w:vAlign w:val="center"/>
          </w:tcPr>
          <w:p w14:paraId="2653077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b/>
                <w:bCs/>
                <w:color w:val="auto"/>
                <w:kern w:val="2"/>
                <w:sz w:val="21"/>
                <w:szCs w:val="22"/>
                <w:lang w:val="en-US" w:eastAsia="zh-CN" w:bidi="ar-SA"/>
              </w:rPr>
            </w:pPr>
            <w:r>
              <w:rPr>
                <w:rFonts w:hint="eastAsia" w:cs="Times New Roman"/>
                <w:b/>
                <w:bCs/>
                <w:color w:val="auto"/>
                <w:kern w:val="2"/>
                <w:sz w:val="21"/>
                <w:szCs w:val="22"/>
                <w:lang w:val="en-US" w:eastAsia="zh-CN" w:bidi="ar-SA"/>
              </w:rPr>
              <w:t>单位</w:t>
            </w:r>
          </w:p>
        </w:tc>
        <w:tc>
          <w:tcPr>
            <w:tcW w:w="379" w:type="pct"/>
            <w:tcBorders>
              <w:tl2br w:val="nil"/>
              <w:tr2bl w:val="nil"/>
            </w:tcBorders>
            <w:shd w:val="clear" w:color="auto" w:fill="auto"/>
            <w:vAlign w:val="center"/>
          </w:tcPr>
          <w:p w14:paraId="2F888AB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b/>
                <w:bCs/>
                <w:color w:val="auto"/>
                <w:kern w:val="2"/>
                <w:sz w:val="21"/>
                <w:szCs w:val="22"/>
                <w:lang w:val="en-US" w:eastAsia="zh-CN" w:bidi="ar-SA"/>
              </w:rPr>
            </w:pPr>
            <w:r>
              <w:rPr>
                <w:rFonts w:hint="eastAsia" w:cs="Times New Roman"/>
                <w:b/>
                <w:bCs/>
                <w:color w:val="auto"/>
                <w:kern w:val="2"/>
                <w:sz w:val="21"/>
                <w:szCs w:val="22"/>
                <w:lang w:val="en-US" w:eastAsia="zh-CN" w:bidi="ar-SA"/>
              </w:rPr>
              <w:t>数量</w:t>
            </w:r>
          </w:p>
        </w:tc>
      </w:tr>
      <w:tr w14:paraId="67F029EF">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0FA93978">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1</w:t>
            </w:r>
          </w:p>
        </w:tc>
        <w:tc>
          <w:tcPr>
            <w:tcW w:w="687" w:type="pct"/>
            <w:tcBorders>
              <w:tl2br w:val="nil"/>
              <w:tr2bl w:val="nil"/>
            </w:tcBorders>
            <w:shd w:val="clear" w:color="auto" w:fill="auto"/>
            <w:vAlign w:val="center"/>
          </w:tcPr>
          <w:p w14:paraId="518C1B1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吸收塔1#液位计</w:t>
            </w:r>
          </w:p>
        </w:tc>
        <w:tc>
          <w:tcPr>
            <w:tcW w:w="3176" w:type="pct"/>
            <w:tcBorders>
              <w:tl2br w:val="nil"/>
              <w:tr2bl w:val="nil"/>
            </w:tcBorders>
            <w:shd w:val="clear" w:color="auto" w:fill="auto"/>
            <w:vAlign w:val="center"/>
          </w:tcPr>
          <w:p w14:paraId="4B52DE7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型式：差压式</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量程：0+120</w:t>
            </w:r>
            <w:r>
              <w:rPr>
                <w:rFonts w:hint="eastAsia" w:cs="Times New Roman"/>
                <w:color w:val="auto"/>
                <w:kern w:val="2"/>
                <w:sz w:val="21"/>
                <w:szCs w:val="22"/>
                <w:lang w:val="en-US" w:eastAsia="zh-CN" w:bidi="ar-SA"/>
              </w:rPr>
              <w:t>kPa；</w:t>
            </w:r>
            <w:r>
              <w:rPr>
                <w:rFonts w:hint="eastAsia" w:ascii="Times New Roman" w:hAnsi="Times New Roman" w:eastAsia="宋体" w:cs="Times New Roman"/>
                <w:color w:val="auto"/>
                <w:kern w:val="2"/>
                <w:sz w:val="21"/>
                <w:szCs w:val="22"/>
                <w:lang w:val="en-US" w:eastAsia="zh-CN" w:bidi="ar-SA"/>
              </w:rPr>
              <w:t>电源：24VDC；输出信号；4-20MA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防护等级IP65</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不锈钢316材质，输出4-20MA带HART协议；准确等级0.1级；密封圈材料：氟橡胶；椭圆法兰1/4-18NPT M10</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采用扩散硅压阻式差压传感器；环境温度；-40—85℃</w:t>
            </w:r>
          </w:p>
        </w:tc>
        <w:tc>
          <w:tcPr>
            <w:tcW w:w="379" w:type="pct"/>
            <w:tcBorders>
              <w:tl2br w:val="nil"/>
              <w:tr2bl w:val="nil"/>
            </w:tcBorders>
            <w:shd w:val="clear" w:color="auto" w:fill="auto"/>
            <w:vAlign w:val="center"/>
          </w:tcPr>
          <w:p w14:paraId="1A5BC0A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1CA7B0C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0AE50C7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0EC1014C">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w:t>
            </w:r>
          </w:p>
        </w:tc>
        <w:tc>
          <w:tcPr>
            <w:tcW w:w="687" w:type="pct"/>
            <w:tcBorders>
              <w:tl2br w:val="nil"/>
              <w:tr2bl w:val="nil"/>
            </w:tcBorders>
            <w:shd w:val="clear" w:color="auto" w:fill="auto"/>
            <w:vAlign w:val="center"/>
          </w:tcPr>
          <w:p w14:paraId="68BBFB0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吸收塔2#液位计</w:t>
            </w:r>
          </w:p>
        </w:tc>
        <w:tc>
          <w:tcPr>
            <w:tcW w:w="3176" w:type="pct"/>
            <w:tcBorders>
              <w:tl2br w:val="nil"/>
              <w:tr2bl w:val="nil"/>
            </w:tcBorders>
            <w:shd w:val="clear" w:color="auto" w:fill="auto"/>
            <w:vAlign w:val="center"/>
          </w:tcPr>
          <w:p w14:paraId="4056EC9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型式：差压式；量程：0+120</w:t>
            </w:r>
            <w:r>
              <w:rPr>
                <w:rFonts w:hint="eastAsia" w:cs="Times New Roman"/>
                <w:color w:val="auto"/>
                <w:kern w:val="2"/>
                <w:sz w:val="21"/>
                <w:szCs w:val="22"/>
                <w:lang w:val="en-US" w:eastAsia="zh-CN" w:bidi="ar-SA"/>
              </w:rPr>
              <w:t>kPa；</w:t>
            </w:r>
            <w:r>
              <w:rPr>
                <w:rFonts w:hint="eastAsia" w:ascii="Times New Roman" w:hAnsi="Times New Roman" w:eastAsia="宋体" w:cs="Times New Roman"/>
                <w:color w:val="auto"/>
                <w:kern w:val="2"/>
                <w:sz w:val="21"/>
                <w:szCs w:val="22"/>
                <w:lang w:val="en-US" w:eastAsia="zh-CN" w:bidi="ar-SA"/>
              </w:rPr>
              <w:t>电源：24VDC；输出信号；4-20MA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防护等级IP65</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不锈钢316材质，输出4-20MA带HART协议；准确等级0.1级；密封圈材料：氟橡胶；椭圆法兰1/4-18NPT M10</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采用扩散硅压阻式差压传感器；环境温度；-40—85℃</w:t>
            </w:r>
          </w:p>
        </w:tc>
        <w:tc>
          <w:tcPr>
            <w:tcW w:w="379" w:type="pct"/>
            <w:tcBorders>
              <w:tl2br w:val="nil"/>
              <w:tr2bl w:val="nil"/>
            </w:tcBorders>
            <w:shd w:val="clear" w:color="auto" w:fill="auto"/>
            <w:vAlign w:val="center"/>
          </w:tcPr>
          <w:p w14:paraId="5C6FB5D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47A0F4D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75F4D42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75540EF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3</w:t>
            </w:r>
          </w:p>
        </w:tc>
        <w:tc>
          <w:tcPr>
            <w:tcW w:w="687" w:type="pct"/>
            <w:tcBorders>
              <w:tl2br w:val="nil"/>
              <w:tr2bl w:val="nil"/>
            </w:tcBorders>
            <w:shd w:val="clear" w:color="auto" w:fill="auto"/>
            <w:vAlign w:val="center"/>
          </w:tcPr>
          <w:p w14:paraId="0594BE6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除雾器压差测量</w:t>
            </w:r>
          </w:p>
        </w:tc>
        <w:tc>
          <w:tcPr>
            <w:tcW w:w="3176" w:type="pct"/>
            <w:tcBorders>
              <w:tl2br w:val="nil"/>
              <w:tr2bl w:val="nil"/>
            </w:tcBorders>
            <w:shd w:val="clear" w:color="auto" w:fill="auto"/>
            <w:vAlign w:val="center"/>
          </w:tcPr>
          <w:p w14:paraId="5F3B52F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量程：100-400Pa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微差压变送器；防护等级IP65；不锈钢316材质； 环境温度：-40—85℃； 输出4-20mA,带HART协议；准确等级0.1级；密封圈材料：氟橡胶；椭圆法兰1/4-18NPT M10</w:t>
            </w:r>
          </w:p>
        </w:tc>
        <w:tc>
          <w:tcPr>
            <w:tcW w:w="379" w:type="pct"/>
            <w:tcBorders>
              <w:tl2br w:val="nil"/>
              <w:tr2bl w:val="nil"/>
            </w:tcBorders>
            <w:shd w:val="clear" w:color="auto" w:fill="auto"/>
            <w:vAlign w:val="center"/>
          </w:tcPr>
          <w:p w14:paraId="6B88C92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4754BB8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08FB958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052F2652">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4</w:t>
            </w:r>
          </w:p>
        </w:tc>
        <w:tc>
          <w:tcPr>
            <w:tcW w:w="687" w:type="pct"/>
            <w:tcBorders>
              <w:tl2br w:val="nil"/>
              <w:tr2bl w:val="nil"/>
            </w:tcBorders>
            <w:shd w:val="clear" w:color="auto" w:fill="auto"/>
            <w:vAlign w:val="center"/>
          </w:tcPr>
          <w:p w14:paraId="1A9369F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浆液循环泵出口压力表</w:t>
            </w:r>
          </w:p>
        </w:tc>
        <w:tc>
          <w:tcPr>
            <w:tcW w:w="3176" w:type="pct"/>
            <w:tcBorders>
              <w:tl2br w:val="nil"/>
              <w:tr2bl w:val="nil"/>
            </w:tcBorders>
            <w:shd w:val="clear" w:color="auto" w:fill="auto"/>
            <w:vAlign w:val="center"/>
          </w:tcPr>
          <w:p w14:paraId="52BAC3C8">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Y-100MF,隔膜抗震压力表；量程：0-0.6MPa,精度：1.6；不锈钢316；隔膜抗震压力表，法兰DN50</w:t>
            </w:r>
          </w:p>
        </w:tc>
        <w:tc>
          <w:tcPr>
            <w:tcW w:w="379" w:type="pct"/>
            <w:tcBorders>
              <w:tl2br w:val="nil"/>
              <w:tr2bl w:val="nil"/>
            </w:tcBorders>
            <w:shd w:val="clear" w:color="auto" w:fill="auto"/>
            <w:vAlign w:val="center"/>
          </w:tcPr>
          <w:p w14:paraId="0135EBD3">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5B35286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4</w:t>
            </w:r>
          </w:p>
        </w:tc>
      </w:tr>
      <w:tr w14:paraId="3ABC11B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73D7222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5</w:t>
            </w:r>
          </w:p>
        </w:tc>
        <w:tc>
          <w:tcPr>
            <w:tcW w:w="687" w:type="pct"/>
            <w:tcBorders>
              <w:tl2br w:val="nil"/>
              <w:tr2bl w:val="nil"/>
            </w:tcBorders>
            <w:shd w:val="clear" w:color="auto" w:fill="auto"/>
            <w:vAlign w:val="center"/>
          </w:tcPr>
          <w:p w14:paraId="6A8AE2D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石膏浆液排出泵出口压力表</w:t>
            </w:r>
          </w:p>
        </w:tc>
        <w:tc>
          <w:tcPr>
            <w:tcW w:w="3176" w:type="pct"/>
            <w:tcBorders>
              <w:tl2br w:val="nil"/>
              <w:tr2bl w:val="nil"/>
            </w:tcBorders>
            <w:shd w:val="clear" w:color="auto" w:fill="auto"/>
            <w:vAlign w:val="center"/>
          </w:tcPr>
          <w:p w14:paraId="43EBA40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Y-100MF,隔膜抗震压力表；量程：0-0.6MPa,精度：1.6；不锈钢316；隔膜抗震压力表，法兰DN50</w:t>
            </w:r>
          </w:p>
        </w:tc>
        <w:tc>
          <w:tcPr>
            <w:tcW w:w="379" w:type="pct"/>
            <w:tcBorders>
              <w:tl2br w:val="nil"/>
              <w:tr2bl w:val="nil"/>
            </w:tcBorders>
            <w:shd w:val="clear" w:color="auto" w:fill="auto"/>
            <w:vAlign w:val="center"/>
          </w:tcPr>
          <w:p w14:paraId="371386E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6AF52AD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72831D8D">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5B936D7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6</w:t>
            </w:r>
          </w:p>
        </w:tc>
        <w:tc>
          <w:tcPr>
            <w:tcW w:w="687" w:type="pct"/>
            <w:tcBorders>
              <w:tl2br w:val="nil"/>
              <w:tr2bl w:val="nil"/>
            </w:tcBorders>
            <w:shd w:val="clear" w:color="auto" w:fill="auto"/>
            <w:vAlign w:val="center"/>
          </w:tcPr>
          <w:p w14:paraId="3E43C20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吸收塔浆液PH监测</w:t>
            </w:r>
          </w:p>
        </w:tc>
        <w:tc>
          <w:tcPr>
            <w:tcW w:w="3176" w:type="pct"/>
            <w:tcBorders>
              <w:tl2br w:val="nil"/>
              <w:tr2bl w:val="nil"/>
            </w:tcBorders>
            <w:shd w:val="clear" w:color="auto" w:fill="auto"/>
            <w:vAlign w:val="center"/>
          </w:tcPr>
          <w:p w14:paraId="378AFA85">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量程：0-14（0-110℃）；电源：24VDC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输出信号：4-20mA</w:t>
            </w:r>
          </w:p>
        </w:tc>
        <w:tc>
          <w:tcPr>
            <w:tcW w:w="379" w:type="pct"/>
            <w:tcBorders>
              <w:tl2br w:val="nil"/>
              <w:tr2bl w:val="nil"/>
            </w:tcBorders>
            <w:shd w:val="clear" w:color="auto" w:fill="auto"/>
            <w:vAlign w:val="center"/>
          </w:tcPr>
          <w:p w14:paraId="017E0E1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238E74F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0F3C269D">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5C9C7CA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7</w:t>
            </w:r>
          </w:p>
        </w:tc>
        <w:tc>
          <w:tcPr>
            <w:tcW w:w="687" w:type="pct"/>
            <w:tcBorders>
              <w:tl2br w:val="nil"/>
              <w:tr2bl w:val="nil"/>
            </w:tcBorders>
            <w:shd w:val="clear" w:color="auto" w:fill="auto"/>
            <w:vAlign w:val="center"/>
          </w:tcPr>
          <w:p w14:paraId="4323C528">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吸收塔浆液密度检测</w:t>
            </w:r>
          </w:p>
        </w:tc>
        <w:tc>
          <w:tcPr>
            <w:tcW w:w="3176" w:type="pct"/>
            <w:tcBorders>
              <w:tl2br w:val="nil"/>
              <w:tr2bl w:val="nil"/>
            </w:tcBorders>
            <w:shd w:val="clear" w:color="auto" w:fill="auto"/>
            <w:vAlign w:val="center"/>
          </w:tcPr>
          <w:p w14:paraId="4C2CF32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量程：0-1.6g/m³；精度：0.001g/m³；电源：24VDC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输出信号：4-20mA</w:t>
            </w:r>
          </w:p>
        </w:tc>
        <w:tc>
          <w:tcPr>
            <w:tcW w:w="379" w:type="pct"/>
            <w:tcBorders>
              <w:tl2br w:val="nil"/>
              <w:tr2bl w:val="nil"/>
            </w:tcBorders>
            <w:shd w:val="clear" w:color="auto" w:fill="auto"/>
            <w:vAlign w:val="center"/>
          </w:tcPr>
          <w:p w14:paraId="53BBFE6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71232DE8">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5389703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4707F72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8</w:t>
            </w:r>
          </w:p>
        </w:tc>
        <w:tc>
          <w:tcPr>
            <w:tcW w:w="687" w:type="pct"/>
            <w:tcBorders>
              <w:tl2br w:val="nil"/>
              <w:tr2bl w:val="nil"/>
            </w:tcBorders>
            <w:shd w:val="clear" w:color="auto" w:fill="auto"/>
            <w:vAlign w:val="center"/>
          </w:tcPr>
          <w:p w14:paraId="6919481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浆液制备罐液位计</w:t>
            </w:r>
          </w:p>
        </w:tc>
        <w:tc>
          <w:tcPr>
            <w:tcW w:w="3176" w:type="pct"/>
            <w:tcBorders>
              <w:tl2br w:val="nil"/>
              <w:tr2bl w:val="nil"/>
            </w:tcBorders>
            <w:shd w:val="clear" w:color="auto" w:fill="auto"/>
            <w:vAlign w:val="center"/>
          </w:tcPr>
          <w:p w14:paraId="05F141A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型式：差压式； 量程：0-4m； 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输出信号：4-20mA,HART协议； 防护等级IP65；不锈钢316材质；准确等级0.1级；采用扩散硅压阻式差压传感器；环境温度：-40-8085℃</w:t>
            </w:r>
          </w:p>
        </w:tc>
        <w:tc>
          <w:tcPr>
            <w:tcW w:w="379" w:type="pct"/>
            <w:tcBorders>
              <w:tl2br w:val="nil"/>
              <w:tr2bl w:val="nil"/>
            </w:tcBorders>
            <w:shd w:val="clear" w:color="auto" w:fill="auto"/>
            <w:vAlign w:val="center"/>
          </w:tcPr>
          <w:p w14:paraId="086C1E58">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4E3B33D5">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546F3CEC">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6D709C2C">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9</w:t>
            </w:r>
          </w:p>
        </w:tc>
        <w:tc>
          <w:tcPr>
            <w:tcW w:w="687" w:type="pct"/>
            <w:tcBorders>
              <w:tl2br w:val="nil"/>
              <w:tr2bl w:val="nil"/>
            </w:tcBorders>
            <w:shd w:val="clear" w:color="auto" w:fill="auto"/>
            <w:vAlign w:val="center"/>
          </w:tcPr>
          <w:p w14:paraId="47214BC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浆液供给泵出口压力表</w:t>
            </w:r>
          </w:p>
        </w:tc>
        <w:tc>
          <w:tcPr>
            <w:tcW w:w="3176" w:type="pct"/>
            <w:tcBorders>
              <w:tl2br w:val="nil"/>
              <w:tr2bl w:val="nil"/>
            </w:tcBorders>
            <w:shd w:val="clear" w:color="auto" w:fill="auto"/>
            <w:vAlign w:val="center"/>
          </w:tcPr>
          <w:p w14:paraId="271F607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Y-100MF,隔膜抗震压力表；量程：0-0.6MPa,精度：1.6；法兰DN50</w:t>
            </w:r>
          </w:p>
        </w:tc>
        <w:tc>
          <w:tcPr>
            <w:tcW w:w="379" w:type="pct"/>
            <w:tcBorders>
              <w:tl2br w:val="nil"/>
              <w:tr2bl w:val="nil"/>
            </w:tcBorders>
            <w:shd w:val="clear" w:color="auto" w:fill="auto"/>
            <w:vAlign w:val="center"/>
          </w:tcPr>
          <w:p w14:paraId="6429CA4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752A101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7C6F08A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5162AAA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10</w:t>
            </w:r>
          </w:p>
        </w:tc>
        <w:tc>
          <w:tcPr>
            <w:tcW w:w="687" w:type="pct"/>
            <w:tcBorders>
              <w:tl2br w:val="nil"/>
              <w:tr2bl w:val="nil"/>
            </w:tcBorders>
            <w:shd w:val="clear" w:color="auto" w:fill="auto"/>
            <w:vAlign w:val="center"/>
          </w:tcPr>
          <w:p w14:paraId="4D13AF9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集水坑液位计</w:t>
            </w:r>
          </w:p>
        </w:tc>
        <w:tc>
          <w:tcPr>
            <w:tcW w:w="3176" w:type="pct"/>
            <w:tcBorders>
              <w:tl2br w:val="nil"/>
              <w:tr2bl w:val="nil"/>
            </w:tcBorders>
            <w:shd w:val="clear" w:color="auto" w:fill="auto"/>
            <w:vAlign w:val="center"/>
          </w:tcPr>
          <w:p w14:paraId="756E962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型式：雷达式； 量程：0-5米； 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高低限报警</w:t>
            </w:r>
          </w:p>
        </w:tc>
        <w:tc>
          <w:tcPr>
            <w:tcW w:w="379" w:type="pct"/>
            <w:tcBorders>
              <w:tl2br w:val="nil"/>
              <w:tr2bl w:val="nil"/>
            </w:tcBorders>
            <w:shd w:val="clear" w:color="auto" w:fill="auto"/>
            <w:vAlign w:val="center"/>
          </w:tcPr>
          <w:p w14:paraId="7BFEFE3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105BA4E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49F310F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07EFB36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r>
              <w:rPr>
                <w:rFonts w:hint="eastAsia" w:cs="Times New Roman"/>
                <w:color w:val="auto"/>
                <w:kern w:val="2"/>
                <w:sz w:val="21"/>
                <w:szCs w:val="22"/>
                <w:lang w:val="en-US" w:eastAsia="zh-CN" w:bidi="ar-SA"/>
              </w:rPr>
              <w:t>1</w:t>
            </w:r>
          </w:p>
        </w:tc>
        <w:tc>
          <w:tcPr>
            <w:tcW w:w="687" w:type="pct"/>
            <w:tcBorders>
              <w:tl2br w:val="nil"/>
              <w:tr2bl w:val="nil"/>
            </w:tcBorders>
            <w:shd w:val="clear" w:color="auto" w:fill="auto"/>
            <w:vAlign w:val="center"/>
          </w:tcPr>
          <w:p w14:paraId="4689106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集水坑泵出口压力表</w:t>
            </w:r>
          </w:p>
        </w:tc>
        <w:tc>
          <w:tcPr>
            <w:tcW w:w="3176" w:type="pct"/>
            <w:tcBorders>
              <w:tl2br w:val="nil"/>
              <w:tr2bl w:val="nil"/>
            </w:tcBorders>
            <w:shd w:val="clear" w:color="auto" w:fill="auto"/>
            <w:vAlign w:val="center"/>
          </w:tcPr>
          <w:p w14:paraId="24EC867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Y-100MF,隔膜抗震压力表；量程：0-0.6MPa,精度：1.6；法兰：DN50</w:t>
            </w:r>
          </w:p>
        </w:tc>
        <w:tc>
          <w:tcPr>
            <w:tcW w:w="379" w:type="pct"/>
            <w:tcBorders>
              <w:tl2br w:val="nil"/>
              <w:tr2bl w:val="nil"/>
            </w:tcBorders>
            <w:shd w:val="clear" w:color="auto" w:fill="auto"/>
            <w:vAlign w:val="center"/>
          </w:tcPr>
          <w:p w14:paraId="111F9DD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30E0B93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2054D786">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68BB07E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12</w:t>
            </w:r>
          </w:p>
        </w:tc>
        <w:tc>
          <w:tcPr>
            <w:tcW w:w="687" w:type="pct"/>
            <w:tcBorders>
              <w:tl2br w:val="nil"/>
              <w:tr2bl w:val="nil"/>
            </w:tcBorders>
            <w:shd w:val="clear" w:color="auto" w:fill="auto"/>
            <w:vAlign w:val="center"/>
          </w:tcPr>
          <w:p w14:paraId="7A7DC893">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工艺水箱液位计</w:t>
            </w:r>
          </w:p>
        </w:tc>
        <w:tc>
          <w:tcPr>
            <w:tcW w:w="3176" w:type="pct"/>
            <w:tcBorders>
              <w:tl2br w:val="nil"/>
              <w:tr2bl w:val="nil"/>
            </w:tcBorders>
            <w:shd w:val="clear" w:color="auto" w:fill="auto"/>
            <w:vAlign w:val="center"/>
          </w:tcPr>
          <w:p w14:paraId="58683E1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型式：磁翻板液位计；量程0-4米；电：24VDC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高底限警报</w:t>
            </w:r>
          </w:p>
        </w:tc>
        <w:tc>
          <w:tcPr>
            <w:tcW w:w="379" w:type="pct"/>
            <w:tcBorders>
              <w:tl2br w:val="nil"/>
              <w:tr2bl w:val="nil"/>
            </w:tcBorders>
            <w:shd w:val="clear" w:color="auto" w:fill="auto"/>
            <w:vAlign w:val="center"/>
          </w:tcPr>
          <w:p w14:paraId="42A190B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4CC5CDD2">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43A4C45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30E056D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r>
              <w:rPr>
                <w:rFonts w:hint="eastAsia" w:cs="Times New Roman"/>
                <w:color w:val="auto"/>
                <w:kern w:val="2"/>
                <w:sz w:val="21"/>
                <w:szCs w:val="22"/>
                <w:lang w:val="en-US" w:eastAsia="zh-CN" w:bidi="ar-SA"/>
              </w:rPr>
              <w:t>3</w:t>
            </w:r>
          </w:p>
        </w:tc>
        <w:tc>
          <w:tcPr>
            <w:tcW w:w="687" w:type="pct"/>
            <w:tcBorders>
              <w:tl2br w:val="nil"/>
              <w:tr2bl w:val="nil"/>
            </w:tcBorders>
            <w:shd w:val="clear" w:color="auto" w:fill="auto"/>
            <w:vAlign w:val="center"/>
          </w:tcPr>
          <w:p w14:paraId="460E7353">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工艺补水压力表</w:t>
            </w:r>
          </w:p>
        </w:tc>
        <w:tc>
          <w:tcPr>
            <w:tcW w:w="3176" w:type="pct"/>
            <w:tcBorders>
              <w:tl2br w:val="nil"/>
              <w:tr2bl w:val="nil"/>
            </w:tcBorders>
            <w:shd w:val="clear" w:color="auto" w:fill="auto"/>
            <w:vAlign w:val="center"/>
          </w:tcPr>
          <w:p w14:paraId="47E401E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 xml:space="preserve"> 型式： Y-100MF；量程：0-0.6MPa,精度：1.6； 材质：不锈钢316；法兰：DN50</w:t>
            </w:r>
          </w:p>
        </w:tc>
        <w:tc>
          <w:tcPr>
            <w:tcW w:w="379" w:type="pct"/>
            <w:tcBorders>
              <w:tl2br w:val="nil"/>
              <w:tr2bl w:val="nil"/>
            </w:tcBorders>
            <w:shd w:val="clear" w:color="auto" w:fill="auto"/>
            <w:vAlign w:val="center"/>
          </w:tcPr>
          <w:p w14:paraId="07C3D99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4FC2E10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1E877EB8">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676B443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14</w:t>
            </w:r>
          </w:p>
        </w:tc>
        <w:tc>
          <w:tcPr>
            <w:tcW w:w="687" w:type="pct"/>
            <w:tcBorders>
              <w:tl2br w:val="nil"/>
              <w:tr2bl w:val="nil"/>
            </w:tcBorders>
            <w:shd w:val="clear" w:color="auto" w:fill="auto"/>
            <w:vAlign w:val="center"/>
          </w:tcPr>
          <w:p w14:paraId="235BF99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工艺水泵出口压力表</w:t>
            </w:r>
          </w:p>
        </w:tc>
        <w:tc>
          <w:tcPr>
            <w:tcW w:w="3176" w:type="pct"/>
            <w:tcBorders>
              <w:tl2br w:val="nil"/>
              <w:tr2bl w:val="nil"/>
            </w:tcBorders>
            <w:shd w:val="clear" w:color="auto" w:fill="auto"/>
            <w:vAlign w:val="center"/>
          </w:tcPr>
          <w:p w14:paraId="79F6F6E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Y-100B；量程：0-0.6MPa,精度：1.6； 材质：不锈钢316；法兰：DN50</w:t>
            </w:r>
          </w:p>
        </w:tc>
        <w:tc>
          <w:tcPr>
            <w:tcW w:w="379" w:type="pct"/>
            <w:tcBorders>
              <w:tl2br w:val="nil"/>
              <w:tr2bl w:val="nil"/>
            </w:tcBorders>
            <w:shd w:val="clear" w:color="auto" w:fill="auto"/>
            <w:vAlign w:val="center"/>
          </w:tcPr>
          <w:p w14:paraId="70D01FE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573B1FE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3F129B01">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29797A0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15</w:t>
            </w:r>
          </w:p>
        </w:tc>
        <w:tc>
          <w:tcPr>
            <w:tcW w:w="687" w:type="pct"/>
            <w:tcBorders>
              <w:tl2br w:val="nil"/>
              <w:tr2bl w:val="nil"/>
            </w:tcBorders>
            <w:shd w:val="clear" w:color="auto" w:fill="auto"/>
            <w:vAlign w:val="center"/>
          </w:tcPr>
          <w:p w14:paraId="1A1FFF5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1#2#除雾器冲洗水泵出口压力表</w:t>
            </w:r>
          </w:p>
        </w:tc>
        <w:tc>
          <w:tcPr>
            <w:tcW w:w="3176" w:type="pct"/>
            <w:tcBorders>
              <w:tl2br w:val="nil"/>
              <w:tr2bl w:val="nil"/>
            </w:tcBorders>
            <w:shd w:val="clear" w:color="auto" w:fill="auto"/>
            <w:vAlign w:val="center"/>
          </w:tcPr>
          <w:p w14:paraId="05079C1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Y-100B；量程：0-0.6MPa,精度：1.6； 材质：不锈钢316；法兰：DN50</w:t>
            </w:r>
          </w:p>
        </w:tc>
        <w:tc>
          <w:tcPr>
            <w:tcW w:w="379" w:type="pct"/>
            <w:tcBorders>
              <w:tl2br w:val="nil"/>
              <w:tr2bl w:val="nil"/>
            </w:tcBorders>
            <w:shd w:val="clear" w:color="auto" w:fill="auto"/>
            <w:vAlign w:val="center"/>
          </w:tcPr>
          <w:p w14:paraId="6198BB23">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580C334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56AC5A9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55D44F5C">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r>
              <w:rPr>
                <w:rFonts w:hint="eastAsia" w:cs="Times New Roman"/>
                <w:color w:val="auto"/>
                <w:kern w:val="2"/>
                <w:sz w:val="21"/>
                <w:szCs w:val="22"/>
                <w:lang w:val="en-US" w:eastAsia="zh-CN" w:bidi="ar-SA"/>
              </w:rPr>
              <w:t>6</w:t>
            </w:r>
          </w:p>
        </w:tc>
        <w:tc>
          <w:tcPr>
            <w:tcW w:w="687" w:type="pct"/>
            <w:tcBorders>
              <w:tl2br w:val="nil"/>
              <w:tr2bl w:val="nil"/>
            </w:tcBorders>
            <w:shd w:val="clear" w:color="auto" w:fill="auto"/>
            <w:vAlign w:val="center"/>
          </w:tcPr>
          <w:p w14:paraId="402D122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氧化风机出口压力表</w:t>
            </w:r>
          </w:p>
        </w:tc>
        <w:tc>
          <w:tcPr>
            <w:tcW w:w="3176" w:type="pct"/>
            <w:tcBorders>
              <w:tl2br w:val="nil"/>
              <w:tr2bl w:val="nil"/>
            </w:tcBorders>
            <w:shd w:val="clear" w:color="auto" w:fill="auto"/>
            <w:vAlign w:val="center"/>
          </w:tcPr>
          <w:p w14:paraId="03E57F1C">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量程：0-0.25MPa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电源：24VDC；输出信号：4-20mA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高低限报警； 连接材料：不锈钢316；采用扩散硅传感器；环境温度：-20—85℃；外螺纹G1/2A内孔11.4mm； 输出4-20mA；准确等级0.5级；铝外壳；</w:t>
            </w:r>
          </w:p>
        </w:tc>
        <w:tc>
          <w:tcPr>
            <w:tcW w:w="379" w:type="pct"/>
            <w:tcBorders>
              <w:tl2br w:val="nil"/>
              <w:tr2bl w:val="nil"/>
            </w:tcBorders>
            <w:shd w:val="clear" w:color="auto" w:fill="auto"/>
            <w:vAlign w:val="center"/>
          </w:tcPr>
          <w:p w14:paraId="2E1B58B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437D22A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1CC2BF58">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1338053C">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17</w:t>
            </w:r>
          </w:p>
        </w:tc>
        <w:tc>
          <w:tcPr>
            <w:tcW w:w="687" w:type="pct"/>
            <w:tcBorders>
              <w:tl2br w:val="nil"/>
              <w:tr2bl w:val="nil"/>
            </w:tcBorders>
            <w:shd w:val="clear" w:color="auto" w:fill="auto"/>
            <w:vAlign w:val="center"/>
          </w:tcPr>
          <w:p w14:paraId="6D92571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氧化风机出口温度计</w:t>
            </w:r>
          </w:p>
        </w:tc>
        <w:tc>
          <w:tcPr>
            <w:tcW w:w="3176" w:type="pct"/>
            <w:tcBorders>
              <w:tl2br w:val="nil"/>
              <w:tr2bl w:val="nil"/>
            </w:tcBorders>
            <w:shd w:val="clear" w:color="auto" w:fill="auto"/>
            <w:vAlign w:val="center"/>
          </w:tcPr>
          <w:p w14:paraId="157D3E9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量程：0-200℃； 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输出信号：4-20mA；高低限报警；</w:t>
            </w:r>
          </w:p>
        </w:tc>
        <w:tc>
          <w:tcPr>
            <w:tcW w:w="379" w:type="pct"/>
            <w:tcBorders>
              <w:tl2br w:val="nil"/>
              <w:tr2bl w:val="nil"/>
            </w:tcBorders>
            <w:shd w:val="clear" w:color="auto" w:fill="auto"/>
            <w:vAlign w:val="center"/>
          </w:tcPr>
          <w:p w14:paraId="2A50231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台</w:t>
            </w:r>
          </w:p>
        </w:tc>
        <w:tc>
          <w:tcPr>
            <w:tcW w:w="379" w:type="pct"/>
            <w:tcBorders>
              <w:tl2br w:val="nil"/>
              <w:tr2bl w:val="nil"/>
            </w:tcBorders>
            <w:shd w:val="clear" w:color="auto" w:fill="auto"/>
            <w:vAlign w:val="center"/>
          </w:tcPr>
          <w:p w14:paraId="408F3BD2">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5560441D">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3E909F3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18</w:t>
            </w:r>
          </w:p>
        </w:tc>
        <w:tc>
          <w:tcPr>
            <w:tcW w:w="687" w:type="pct"/>
            <w:tcBorders>
              <w:tl2br w:val="nil"/>
              <w:tr2bl w:val="nil"/>
            </w:tcBorders>
            <w:shd w:val="clear" w:color="auto" w:fill="auto"/>
            <w:vAlign w:val="center"/>
          </w:tcPr>
          <w:p w14:paraId="2A9B17A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废水沉淀箱液位计</w:t>
            </w:r>
          </w:p>
        </w:tc>
        <w:tc>
          <w:tcPr>
            <w:tcW w:w="3176" w:type="pct"/>
            <w:tcBorders>
              <w:tl2br w:val="nil"/>
              <w:tr2bl w:val="nil"/>
            </w:tcBorders>
            <w:shd w:val="clear" w:color="auto" w:fill="auto"/>
            <w:vAlign w:val="center"/>
          </w:tcPr>
          <w:p w14:paraId="26C21564">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型式：差压式； 量程：0-3.5m；电源：24VDC；输出信号：4-20mA,HART协议； 防护等级IP65</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不锈钢316材质；准确等级0.1级； 密封圈材质；氟橡胶；椭圆法兰1/4-18NPT M10</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采用扩散硅压阻式差压传感器；环境温度：-40—85℃</w:t>
            </w:r>
          </w:p>
        </w:tc>
        <w:tc>
          <w:tcPr>
            <w:tcW w:w="379" w:type="pct"/>
            <w:tcBorders>
              <w:tl2br w:val="nil"/>
              <w:tr2bl w:val="nil"/>
            </w:tcBorders>
            <w:shd w:val="clear" w:color="auto" w:fill="auto"/>
            <w:vAlign w:val="center"/>
          </w:tcPr>
          <w:p w14:paraId="28184253">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71C3316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700058DF">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7AB97F1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19</w:t>
            </w:r>
          </w:p>
        </w:tc>
        <w:tc>
          <w:tcPr>
            <w:tcW w:w="687" w:type="pct"/>
            <w:tcBorders>
              <w:tl2br w:val="nil"/>
              <w:tr2bl w:val="nil"/>
            </w:tcBorders>
            <w:shd w:val="clear" w:color="auto" w:fill="auto"/>
            <w:vAlign w:val="center"/>
          </w:tcPr>
          <w:p w14:paraId="0DDFE03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废水泵出口压力表</w:t>
            </w:r>
          </w:p>
        </w:tc>
        <w:tc>
          <w:tcPr>
            <w:tcW w:w="3176" w:type="pct"/>
            <w:tcBorders>
              <w:tl2br w:val="nil"/>
              <w:tr2bl w:val="nil"/>
            </w:tcBorders>
            <w:shd w:val="clear" w:color="auto" w:fill="auto"/>
            <w:vAlign w:val="center"/>
          </w:tcPr>
          <w:p w14:paraId="5936668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Y-100MF,隔膜抗震压力表；量程：0-0.6MPa,精度：1.6；法兰：DN25</w:t>
            </w:r>
          </w:p>
        </w:tc>
        <w:tc>
          <w:tcPr>
            <w:tcW w:w="379" w:type="pct"/>
            <w:tcBorders>
              <w:tl2br w:val="nil"/>
              <w:tr2bl w:val="nil"/>
            </w:tcBorders>
            <w:shd w:val="clear" w:color="auto" w:fill="auto"/>
            <w:vAlign w:val="center"/>
          </w:tcPr>
          <w:p w14:paraId="786A115C">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0BB7FFB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2</w:t>
            </w:r>
          </w:p>
        </w:tc>
      </w:tr>
      <w:tr w14:paraId="5DD67B1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2ED61032">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20</w:t>
            </w:r>
          </w:p>
        </w:tc>
        <w:tc>
          <w:tcPr>
            <w:tcW w:w="687" w:type="pct"/>
            <w:tcBorders>
              <w:tl2br w:val="nil"/>
              <w:tr2bl w:val="nil"/>
            </w:tcBorders>
            <w:shd w:val="clear" w:color="auto" w:fill="auto"/>
            <w:vAlign w:val="center"/>
          </w:tcPr>
          <w:p w14:paraId="6F67513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1#2#废水泵出口流量计</w:t>
            </w:r>
          </w:p>
        </w:tc>
        <w:tc>
          <w:tcPr>
            <w:tcW w:w="3176" w:type="pct"/>
            <w:tcBorders>
              <w:tl2br w:val="nil"/>
              <w:tr2bl w:val="nil"/>
            </w:tcBorders>
            <w:shd w:val="clear" w:color="auto" w:fill="auto"/>
            <w:vAlign w:val="center"/>
          </w:tcPr>
          <w:p w14:paraId="1B6D732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量程：0-30m³/h； 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防护等级； 不锈钢材质；输出信号：4-20mA</w:t>
            </w:r>
            <w:r>
              <w:rPr>
                <w:rFonts w:hint="eastAsia" w:cs="Times New Roman"/>
                <w:color w:val="auto"/>
                <w:kern w:val="2"/>
                <w:sz w:val="21"/>
                <w:szCs w:val="22"/>
                <w:lang w:val="en-US" w:eastAsia="zh-CN" w:bidi="ar-SA"/>
              </w:rPr>
              <w:t>；</w:t>
            </w:r>
          </w:p>
        </w:tc>
        <w:tc>
          <w:tcPr>
            <w:tcW w:w="379" w:type="pct"/>
            <w:tcBorders>
              <w:tl2br w:val="nil"/>
              <w:tr2bl w:val="nil"/>
            </w:tcBorders>
            <w:shd w:val="clear" w:color="auto" w:fill="auto"/>
            <w:vAlign w:val="center"/>
          </w:tcPr>
          <w:p w14:paraId="03F78F05">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20DADF8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2</w:t>
            </w:r>
          </w:p>
        </w:tc>
      </w:tr>
      <w:tr w14:paraId="3432DEFC">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4DE3B79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21</w:t>
            </w:r>
          </w:p>
        </w:tc>
        <w:tc>
          <w:tcPr>
            <w:tcW w:w="687" w:type="pct"/>
            <w:tcBorders>
              <w:tl2br w:val="nil"/>
              <w:tr2bl w:val="nil"/>
            </w:tcBorders>
            <w:shd w:val="clear" w:color="auto" w:fill="auto"/>
            <w:vAlign w:val="center"/>
          </w:tcPr>
          <w:p w14:paraId="09F2F21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5#6#窑头喷枪用压缩空气压力表</w:t>
            </w:r>
          </w:p>
        </w:tc>
        <w:tc>
          <w:tcPr>
            <w:tcW w:w="3176" w:type="pct"/>
            <w:tcBorders>
              <w:tl2br w:val="nil"/>
              <w:tr2bl w:val="nil"/>
            </w:tcBorders>
            <w:shd w:val="clear" w:color="auto" w:fill="auto"/>
            <w:vAlign w:val="center"/>
          </w:tcPr>
          <w:p w14:paraId="6131B97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Y-100MF,隔膜抗震压力表；量程：0-1MPa,精度：1.6；法兰：DN20</w:t>
            </w:r>
          </w:p>
        </w:tc>
        <w:tc>
          <w:tcPr>
            <w:tcW w:w="379" w:type="pct"/>
            <w:tcBorders>
              <w:tl2br w:val="nil"/>
              <w:tr2bl w:val="nil"/>
            </w:tcBorders>
            <w:shd w:val="clear" w:color="auto" w:fill="auto"/>
            <w:vAlign w:val="center"/>
          </w:tcPr>
          <w:p w14:paraId="13C1379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3DCB017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2</w:t>
            </w:r>
          </w:p>
        </w:tc>
      </w:tr>
      <w:tr w14:paraId="7DD51F53">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4EBE4E82">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22</w:t>
            </w:r>
          </w:p>
        </w:tc>
        <w:tc>
          <w:tcPr>
            <w:tcW w:w="687" w:type="pct"/>
            <w:tcBorders>
              <w:tl2br w:val="nil"/>
              <w:tr2bl w:val="nil"/>
            </w:tcBorders>
            <w:shd w:val="clear" w:color="auto" w:fill="auto"/>
            <w:vAlign w:val="center"/>
          </w:tcPr>
          <w:p w14:paraId="7BACF85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事故浆液箱液位计</w:t>
            </w:r>
          </w:p>
        </w:tc>
        <w:tc>
          <w:tcPr>
            <w:tcW w:w="3176" w:type="pct"/>
            <w:tcBorders>
              <w:tl2br w:val="nil"/>
              <w:tr2bl w:val="nil"/>
            </w:tcBorders>
            <w:shd w:val="clear" w:color="auto" w:fill="auto"/>
            <w:vAlign w:val="center"/>
          </w:tcPr>
          <w:p w14:paraId="20A3563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型式：差压式； 量程：0-120</w:t>
            </w:r>
            <w:r>
              <w:rPr>
                <w:rFonts w:hint="eastAsia" w:cs="Times New Roman"/>
                <w:color w:val="auto"/>
                <w:kern w:val="2"/>
                <w:sz w:val="21"/>
                <w:szCs w:val="22"/>
                <w:lang w:val="en-US" w:eastAsia="zh-CN" w:bidi="ar-SA"/>
              </w:rPr>
              <w:t>kPa</w:t>
            </w:r>
            <w:r>
              <w:rPr>
                <w:rFonts w:hint="eastAsia" w:ascii="Times New Roman" w:hAnsi="Times New Roman" w:eastAsia="宋体" w:cs="Times New Roman"/>
                <w:color w:val="auto"/>
                <w:kern w:val="2"/>
                <w:sz w:val="21"/>
                <w:szCs w:val="22"/>
                <w:lang w:val="en-US" w:eastAsia="zh-CN" w:bidi="ar-SA"/>
              </w:rPr>
              <w:t>:(0-18m） 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输出信号：4-20mA</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防护等级IP65； 不锈钢316材质；输出4-20mA；准确等级0.1级； 密封圈材料：氟橡胶；椭圆法兰1/4-18NPT M10</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采用扩散硅压阻式差压传感器；环境温度：-40—85℃</w:t>
            </w:r>
          </w:p>
        </w:tc>
        <w:tc>
          <w:tcPr>
            <w:tcW w:w="379" w:type="pct"/>
            <w:tcBorders>
              <w:tl2br w:val="nil"/>
              <w:tr2bl w:val="nil"/>
            </w:tcBorders>
            <w:shd w:val="clear" w:color="auto" w:fill="auto"/>
            <w:vAlign w:val="center"/>
          </w:tcPr>
          <w:p w14:paraId="5C27384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5D42A59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29AC483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7DE6D4CA">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23</w:t>
            </w:r>
          </w:p>
        </w:tc>
        <w:tc>
          <w:tcPr>
            <w:tcW w:w="687" w:type="pct"/>
            <w:tcBorders>
              <w:tl2br w:val="nil"/>
              <w:tr2bl w:val="nil"/>
            </w:tcBorders>
            <w:shd w:val="clear" w:color="auto" w:fill="auto"/>
            <w:vAlign w:val="center"/>
          </w:tcPr>
          <w:p w14:paraId="4B29110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 xml:space="preserve">事故浆液泵出口压力表   </w:t>
            </w:r>
          </w:p>
        </w:tc>
        <w:tc>
          <w:tcPr>
            <w:tcW w:w="3176" w:type="pct"/>
            <w:tcBorders>
              <w:tl2br w:val="nil"/>
              <w:tr2bl w:val="nil"/>
            </w:tcBorders>
            <w:shd w:val="clear" w:color="auto" w:fill="auto"/>
            <w:vAlign w:val="center"/>
          </w:tcPr>
          <w:p w14:paraId="4140F03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Y-100MF,隔膜抗震压力表；量程：0-0.6MPa,精度：1.6；法兰：DN50</w:t>
            </w:r>
          </w:p>
        </w:tc>
        <w:tc>
          <w:tcPr>
            <w:tcW w:w="379" w:type="pct"/>
            <w:tcBorders>
              <w:tl2br w:val="nil"/>
              <w:tr2bl w:val="nil"/>
            </w:tcBorders>
            <w:shd w:val="clear" w:color="auto" w:fill="auto"/>
            <w:vAlign w:val="center"/>
          </w:tcPr>
          <w:p w14:paraId="663A265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647A331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2</w:t>
            </w:r>
          </w:p>
        </w:tc>
      </w:tr>
      <w:tr w14:paraId="0A00BD0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4B10587F">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24</w:t>
            </w:r>
          </w:p>
        </w:tc>
        <w:tc>
          <w:tcPr>
            <w:tcW w:w="687" w:type="pct"/>
            <w:tcBorders>
              <w:tl2br w:val="nil"/>
              <w:tr2bl w:val="nil"/>
            </w:tcBorders>
            <w:shd w:val="clear" w:color="auto" w:fill="auto"/>
            <w:vAlign w:val="center"/>
          </w:tcPr>
          <w:p w14:paraId="5AAA2FE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 xml:space="preserve">滤液罐液位计   </w:t>
            </w:r>
          </w:p>
        </w:tc>
        <w:tc>
          <w:tcPr>
            <w:tcW w:w="3176" w:type="pct"/>
            <w:tcBorders>
              <w:tl2br w:val="nil"/>
              <w:tr2bl w:val="nil"/>
            </w:tcBorders>
            <w:shd w:val="clear" w:color="auto" w:fill="auto"/>
            <w:vAlign w:val="center"/>
          </w:tcPr>
          <w:p w14:paraId="511B0653">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型式：差压式； 量程：0-3m； 电源：24VDC</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输出信号：4-20mA，HART协议</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防护等级IP65； 不锈钢316材质；准确等级0.1级； 密封圈材料：氟橡胶；椭圆法兰1/4-18NPT M10</w:t>
            </w:r>
            <w:r>
              <w:rPr>
                <w:rFonts w:hint="eastAsia" w:cs="Times New Roman"/>
                <w:color w:val="auto"/>
                <w:kern w:val="2"/>
                <w:sz w:val="21"/>
                <w:szCs w:val="22"/>
                <w:lang w:val="en-US" w:eastAsia="zh-CN" w:bidi="ar-SA"/>
              </w:rPr>
              <w:t>；</w:t>
            </w:r>
            <w:r>
              <w:rPr>
                <w:rFonts w:hint="eastAsia" w:ascii="Times New Roman" w:hAnsi="Times New Roman" w:eastAsia="宋体" w:cs="Times New Roman"/>
                <w:color w:val="auto"/>
                <w:kern w:val="2"/>
                <w:sz w:val="21"/>
                <w:szCs w:val="22"/>
                <w:lang w:val="en-US" w:eastAsia="zh-CN" w:bidi="ar-SA"/>
              </w:rPr>
              <w:t xml:space="preserve"> 采用扩散硅压阻式差压传感器；环境温度：-40—85℃</w:t>
            </w:r>
          </w:p>
        </w:tc>
        <w:tc>
          <w:tcPr>
            <w:tcW w:w="379" w:type="pct"/>
            <w:tcBorders>
              <w:tl2br w:val="nil"/>
              <w:tr2bl w:val="nil"/>
            </w:tcBorders>
            <w:shd w:val="clear" w:color="auto" w:fill="auto"/>
            <w:vAlign w:val="center"/>
          </w:tcPr>
          <w:p w14:paraId="34FB663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0848F7F7">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399A09A3">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47263FAE">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25</w:t>
            </w:r>
          </w:p>
        </w:tc>
        <w:tc>
          <w:tcPr>
            <w:tcW w:w="687" w:type="pct"/>
            <w:tcBorders>
              <w:tl2br w:val="nil"/>
              <w:tr2bl w:val="nil"/>
            </w:tcBorders>
            <w:shd w:val="clear" w:color="auto" w:fill="auto"/>
            <w:vAlign w:val="center"/>
          </w:tcPr>
          <w:p w14:paraId="6BE27361">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滤液泵出口压力表</w:t>
            </w:r>
          </w:p>
        </w:tc>
        <w:tc>
          <w:tcPr>
            <w:tcW w:w="3176" w:type="pct"/>
            <w:tcBorders>
              <w:tl2br w:val="nil"/>
              <w:tr2bl w:val="nil"/>
            </w:tcBorders>
            <w:shd w:val="clear" w:color="auto" w:fill="auto"/>
            <w:vAlign w:val="center"/>
          </w:tcPr>
          <w:p w14:paraId="6FAD7490">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Y-100MF,隔膜抗震压力表；量程：0-0.6MPa,精度：1.6；法兰：DN50</w:t>
            </w:r>
          </w:p>
        </w:tc>
        <w:tc>
          <w:tcPr>
            <w:tcW w:w="379" w:type="pct"/>
            <w:tcBorders>
              <w:tl2br w:val="nil"/>
              <w:tr2bl w:val="nil"/>
            </w:tcBorders>
            <w:shd w:val="clear" w:color="auto" w:fill="auto"/>
            <w:vAlign w:val="center"/>
          </w:tcPr>
          <w:p w14:paraId="524699AD">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53F4EB35">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r w14:paraId="00344401">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3" w:hRule="atLeast"/>
        </w:trPr>
        <w:tc>
          <w:tcPr>
            <w:tcW w:w="376" w:type="pct"/>
            <w:tcBorders>
              <w:tl2br w:val="nil"/>
              <w:tr2bl w:val="nil"/>
            </w:tcBorders>
            <w:shd w:val="clear" w:color="auto" w:fill="auto"/>
            <w:vAlign w:val="center"/>
          </w:tcPr>
          <w:p w14:paraId="727A9A99">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2"/>
                <w:sz w:val="21"/>
                <w:szCs w:val="22"/>
                <w:lang w:val="en-US" w:eastAsia="zh-CN" w:bidi="ar-SA"/>
              </w:rPr>
            </w:pPr>
            <w:r>
              <w:rPr>
                <w:rFonts w:hint="eastAsia" w:cs="Times New Roman"/>
                <w:color w:val="auto"/>
                <w:kern w:val="2"/>
                <w:sz w:val="21"/>
                <w:szCs w:val="22"/>
                <w:lang w:val="en-US" w:eastAsia="zh-CN" w:bidi="ar-SA"/>
              </w:rPr>
              <w:t>26</w:t>
            </w:r>
          </w:p>
        </w:tc>
        <w:tc>
          <w:tcPr>
            <w:tcW w:w="687" w:type="pct"/>
            <w:tcBorders>
              <w:tl2br w:val="nil"/>
              <w:tr2bl w:val="nil"/>
            </w:tcBorders>
            <w:shd w:val="clear" w:color="auto" w:fill="auto"/>
            <w:vAlign w:val="center"/>
          </w:tcPr>
          <w:p w14:paraId="0E0C2E36">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废液转存泵出口压力表</w:t>
            </w:r>
          </w:p>
        </w:tc>
        <w:tc>
          <w:tcPr>
            <w:tcW w:w="3176" w:type="pct"/>
            <w:tcBorders>
              <w:tl2br w:val="nil"/>
              <w:tr2bl w:val="nil"/>
            </w:tcBorders>
            <w:shd w:val="clear" w:color="auto" w:fill="auto"/>
            <w:vAlign w:val="center"/>
          </w:tcPr>
          <w:p w14:paraId="57EB7ED5">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left"/>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型式： Y-100MF,隔膜抗震压力表；量程：0-0.6MPa,精度：1.6；法兰：DN40</w:t>
            </w:r>
          </w:p>
        </w:tc>
        <w:tc>
          <w:tcPr>
            <w:tcW w:w="379" w:type="pct"/>
            <w:tcBorders>
              <w:tl2br w:val="nil"/>
              <w:tr2bl w:val="nil"/>
            </w:tcBorders>
            <w:shd w:val="clear" w:color="auto" w:fill="auto"/>
            <w:vAlign w:val="center"/>
          </w:tcPr>
          <w:p w14:paraId="6E347365">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个</w:t>
            </w:r>
          </w:p>
        </w:tc>
        <w:tc>
          <w:tcPr>
            <w:tcW w:w="379" w:type="pct"/>
            <w:tcBorders>
              <w:tl2br w:val="nil"/>
              <w:tr2bl w:val="nil"/>
            </w:tcBorders>
            <w:shd w:val="clear" w:color="auto" w:fill="auto"/>
            <w:vAlign w:val="center"/>
          </w:tcPr>
          <w:p w14:paraId="5F2B33BB">
            <w:pPr>
              <w:keepNext w:val="0"/>
              <w:keepLines w:val="0"/>
              <w:pageBreakBefore w:val="0"/>
              <w:widowControl/>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w:t>
            </w:r>
          </w:p>
        </w:tc>
      </w:tr>
    </w:tbl>
    <w:p w14:paraId="38AE482B">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color w:val="auto"/>
          <w:lang w:val="zh-CN"/>
        </w:rPr>
      </w:pPr>
    </w:p>
    <w:p w14:paraId="6D8D9A01">
      <w:pPr>
        <w:pStyle w:val="4"/>
        <w:bidi w:val="0"/>
        <w:rPr>
          <w:color w:val="auto"/>
        </w:rPr>
      </w:pPr>
      <w:bookmarkStart w:id="39" w:name="_Toc4582"/>
      <w:r>
        <w:rPr>
          <w:rFonts w:hint="eastAsia"/>
          <w:color w:val="auto"/>
          <w:lang w:val="en-US" w:eastAsia="zh-CN"/>
        </w:rPr>
        <w:t>2.8.3</w:t>
      </w:r>
      <w:r>
        <w:rPr>
          <w:color w:val="auto"/>
        </w:rPr>
        <w:t>主要原辅材料</w:t>
      </w:r>
      <w:bookmarkEnd w:id="39"/>
    </w:p>
    <w:p w14:paraId="12C39080">
      <w:pPr>
        <w:keepNext w:val="0"/>
        <w:keepLines w:val="0"/>
        <w:widowControl/>
        <w:suppressLineNumbers w:val="0"/>
        <w:jc w:val="left"/>
        <w:rPr>
          <w:color w:val="auto"/>
        </w:rPr>
      </w:pPr>
      <w:r>
        <w:rPr>
          <w:rFonts w:hint="eastAsia"/>
          <w:color w:val="auto"/>
          <w:sz w:val="28"/>
          <w:szCs w:val="28"/>
        </w:rPr>
        <w:t>项目主要原辅材料消耗情况见表2.</w:t>
      </w:r>
      <w:r>
        <w:rPr>
          <w:rFonts w:hint="eastAsia"/>
          <w:color w:val="auto"/>
          <w:sz w:val="28"/>
          <w:szCs w:val="28"/>
          <w:lang w:val="en-US" w:eastAsia="zh-CN"/>
        </w:rPr>
        <w:t>8.3</w:t>
      </w:r>
      <w:r>
        <w:rPr>
          <w:rFonts w:hint="eastAsia"/>
          <w:color w:val="auto"/>
          <w:sz w:val="28"/>
          <w:szCs w:val="28"/>
        </w:rPr>
        <w:t>-</w:t>
      </w:r>
      <w:r>
        <w:rPr>
          <w:rFonts w:hint="eastAsia"/>
          <w:color w:val="auto"/>
          <w:sz w:val="28"/>
          <w:szCs w:val="28"/>
          <w:lang w:val="en-US"/>
        </w:rPr>
        <w:t>1</w:t>
      </w:r>
      <w:r>
        <w:rPr>
          <w:rFonts w:hint="eastAsia"/>
          <w:color w:val="auto"/>
          <w:sz w:val="28"/>
          <w:szCs w:val="28"/>
        </w:rPr>
        <w:t>。</w:t>
      </w:r>
    </w:p>
    <w:p w14:paraId="0A414B3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eastAsia="宋体"/>
          <w:color w:val="auto"/>
          <w:sz w:val="28"/>
          <w:szCs w:val="28"/>
          <w:lang w:val="en-US" w:eastAsia="zh-CN"/>
        </w:rPr>
      </w:pPr>
      <w:r>
        <w:rPr>
          <w:rFonts w:hint="eastAsia"/>
          <w:color w:val="auto"/>
          <w:sz w:val="28"/>
          <w:szCs w:val="28"/>
          <w:lang w:val="en-US" w:eastAsia="zh-CN"/>
        </w:rPr>
        <w:t>表2.8.3-1主要原辅材料消耗情况</w:t>
      </w:r>
    </w:p>
    <w:tbl>
      <w:tblPr>
        <w:tblStyle w:val="18"/>
        <w:tblW w:w="912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73"/>
        <w:gridCol w:w="1453"/>
        <w:gridCol w:w="1812"/>
        <w:gridCol w:w="4884"/>
      </w:tblGrid>
      <w:tr w14:paraId="76E24B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7" w:hRule="atLeast"/>
          <w:tblHeader/>
          <w:jc w:val="center"/>
        </w:trPr>
        <w:tc>
          <w:tcPr>
            <w:tcW w:w="973" w:type="dxa"/>
            <w:tcBorders>
              <w:tl2br w:val="nil"/>
              <w:tr2bl w:val="nil"/>
            </w:tcBorders>
            <w:vAlign w:val="center"/>
          </w:tcPr>
          <w:p w14:paraId="0ABF106F">
            <w:pPr>
              <w:pStyle w:val="21"/>
              <w:bidi w:val="0"/>
              <w:spacing w:line="240" w:lineRule="auto"/>
              <w:rPr>
                <w:color w:val="auto"/>
                <w:lang w:eastAsia="en-US"/>
              </w:rPr>
            </w:pPr>
            <w:r>
              <w:rPr>
                <w:rFonts w:hint="eastAsia"/>
                <w:color w:val="auto"/>
              </w:rPr>
              <w:t>序号</w:t>
            </w:r>
          </w:p>
        </w:tc>
        <w:tc>
          <w:tcPr>
            <w:tcW w:w="1453" w:type="dxa"/>
            <w:tcBorders>
              <w:tl2br w:val="nil"/>
              <w:tr2bl w:val="nil"/>
            </w:tcBorders>
            <w:vAlign w:val="center"/>
          </w:tcPr>
          <w:p w14:paraId="6E94795B">
            <w:pPr>
              <w:pStyle w:val="21"/>
              <w:bidi w:val="0"/>
              <w:spacing w:line="240" w:lineRule="auto"/>
              <w:rPr>
                <w:color w:val="auto"/>
                <w:lang w:eastAsia="en-US"/>
              </w:rPr>
            </w:pPr>
            <w:r>
              <w:rPr>
                <w:rFonts w:hint="eastAsia"/>
                <w:color w:val="auto"/>
              </w:rPr>
              <w:t>原料名称</w:t>
            </w:r>
          </w:p>
        </w:tc>
        <w:tc>
          <w:tcPr>
            <w:tcW w:w="1812" w:type="dxa"/>
            <w:tcBorders>
              <w:tl2br w:val="nil"/>
              <w:tr2bl w:val="nil"/>
            </w:tcBorders>
            <w:vAlign w:val="center"/>
          </w:tcPr>
          <w:p w14:paraId="21ACB9CD">
            <w:pPr>
              <w:pStyle w:val="21"/>
              <w:bidi w:val="0"/>
              <w:spacing w:line="240" w:lineRule="auto"/>
              <w:rPr>
                <w:color w:val="auto"/>
                <w:lang w:eastAsia="en-US"/>
              </w:rPr>
            </w:pPr>
            <w:r>
              <w:rPr>
                <w:rFonts w:hint="eastAsia"/>
                <w:color w:val="auto"/>
              </w:rPr>
              <w:t>用量</w:t>
            </w:r>
          </w:p>
        </w:tc>
        <w:tc>
          <w:tcPr>
            <w:tcW w:w="4884" w:type="dxa"/>
            <w:tcBorders>
              <w:tl2br w:val="nil"/>
              <w:tr2bl w:val="nil"/>
            </w:tcBorders>
            <w:vAlign w:val="center"/>
          </w:tcPr>
          <w:p w14:paraId="41ED0B3D">
            <w:pPr>
              <w:pStyle w:val="21"/>
              <w:bidi w:val="0"/>
              <w:spacing w:line="240" w:lineRule="auto"/>
              <w:rPr>
                <w:color w:val="auto"/>
                <w:lang w:eastAsia="en-US"/>
              </w:rPr>
            </w:pPr>
            <w:r>
              <w:rPr>
                <w:rFonts w:hint="eastAsia"/>
                <w:color w:val="auto"/>
              </w:rPr>
              <w:t>来源</w:t>
            </w:r>
          </w:p>
        </w:tc>
      </w:tr>
      <w:tr w14:paraId="60C427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973" w:type="dxa"/>
            <w:tcBorders>
              <w:tl2br w:val="nil"/>
              <w:tr2bl w:val="nil"/>
            </w:tcBorders>
            <w:vAlign w:val="center"/>
          </w:tcPr>
          <w:p w14:paraId="5A79CA25">
            <w:pPr>
              <w:pStyle w:val="20"/>
              <w:bidi w:val="0"/>
              <w:rPr>
                <w:color w:val="auto"/>
              </w:rPr>
            </w:pPr>
            <w:r>
              <w:rPr>
                <w:rFonts w:hint="eastAsia"/>
                <w:color w:val="auto"/>
              </w:rPr>
              <w:t>1</w:t>
            </w:r>
          </w:p>
        </w:tc>
        <w:tc>
          <w:tcPr>
            <w:tcW w:w="1453" w:type="dxa"/>
            <w:tcBorders>
              <w:tl2br w:val="nil"/>
              <w:tr2bl w:val="nil"/>
            </w:tcBorders>
            <w:vAlign w:val="center"/>
          </w:tcPr>
          <w:p w14:paraId="1C34BE77">
            <w:pPr>
              <w:pStyle w:val="20"/>
              <w:bidi w:val="0"/>
              <w:rPr>
                <w:color w:val="auto"/>
              </w:rPr>
            </w:pPr>
            <w:r>
              <w:rPr>
                <w:rFonts w:hint="eastAsia"/>
                <w:color w:val="auto"/>
              </w:rPr>
              <w:t>窑灰</w:t>
            </w:r>
          </w:p>
        </w:tc>
        <w:tc>
          <w:tcPr>
            <w:tcW w:w="1812" w:type="dxa"/>
            <w:tcBorders>
              <w:tl2br w:val="nil"/>
              <w:tr2bl w:val="nil"/>
            </w:tcBorders>
            <w:vAlign w:val="center"/>
          </w:tcPr>
          <w:p w14:paraId="06B664AE">
            <w:pPr>
              <w:pStyle w:val="20"/>
              <w:bidi w:val="0"/>
              <w:rPr>
                <w:color w:val="auto"/>
              </w:rPr>
            </w:pPr>
            <w:r>
              <w:rPr>
                <w:rFonts w:hint="eastAsia"/>
                <w:color w:val="auto"/>
              </w:rPr>
              <w:t>4400t/a</w:t>
            </w:r>
          </w:p>
        </w:tc>
        <w:tc>
          <w:tcPr>
            <w:tcW w:w="4884" w:type="dxa"/>
            <w:tcBorders>
              <w:tl2br w:val="nil"/>
              <w:tr2bl w:val="nil"/>
            </w:tcBorders>
            <w:vAlign w:val="center"/>
          </w:tcPr>
          <w:p w14:paraId="14A65A81">
            <w:pPr>
              <w:pStyle w:val="20"/>
              <w:bidi w:val="0"/>
              <w:rPr>
                <w:color w:val="auto"/>
              </w:rPr>
            </w:pPr>
            <w:r>
              <w:rPr>
                <w:rFonts w:hint="eastAsia"/>
                <w:color w:val="auto"/>
              </w:rPr>
              <w:t>窑灰取灰处为窑尾余热发电回灰或者窑尾收尘器回灰</w:t>
            </w:r>
          </w:p>
        </w:tc>
      </w:tr>
      <w:tr w14:paraId="722B18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973" w:type="dxa"/>
            <w:tcBorders>
              <w:tl2br w:val="nil"/>
              <w:tr2bl w:val="nil"/>
            </w:tcBorders>
            <w:vAlign w:val="center"/>
          </w:tcPr>
          <w:p w14:paraId="501F28D6">
            <w:pPr>
              <w:pStyle w:val="20"/>
              <w:bidi w:val="0"/>
              <w:rPr>
                <w:color w:val="auto"/>
              </w:rPr>
            </w:pPr>
            <w:r>
              <w:rPr>
                <w:rFonts w:hint="eastAsia"/>
                <w:color w:val="auto"/>
              </w:rPr>
              <w:t>2</w:t>
            </w:r>
          </w:p>
        </w:tc>
        <w:tc>
          <w:tcPr>
            <w:tcW w:w="1453" w:type="dxa"/>
            <w:tcBorders>
              <w:tl2br w:val="nil"/>
              <w:tr2bl w:val="nil"/>
            </w:tcBorders>
            <w:vAlign w:val="center"/>
          </w:tcPr>
          <w:p w14:paraId="402D0B64">
            <w:pPr>
              <w:pStyle w:val="20"/>
              <w:bidi w:val="0"/>
              <w:rPr>
                <w:color w:val="auto"/>
              </w:rPr>
            </w:pPr>
            <w:r>
              <w:rPr>
                <w:rFonts w:hint="eastAsia"/>
                <w:color w:val="auto"/>
              </w:rPr>
              <w:t>水</w:t>
            </w:r>
          </w:p>
        </w:tc>
        <w:tc>
          <w:tcPr>
            <w:tcW w:w="1812" w:type="dxa"/>
            <w:tcBorders>
              <w:tl2br w:val="nil"/>
              <w:tr2bl w:val="nil"/>
            </w:tcBorders>
            <w:vAlign w:val="center"/>
          </w:tcPr>
          <w:p w14:paraId="133B5E25">
            <w:pPr>
              <w:pStyle w:val="20"/>
              <w:bidi w:val="0"/>
              <w:rPr>
                <w:color w:val="auto"/>
              </w:rPr>
            </w:pPr>
            <w:r>
              <w:rPr>
                <w:rFonts w:hint="eastAsia"/>
                <w:color w:val="auto"/>
              </w:rPr>
              <w:t>442000m</w:t>
            </w:r>
            <w:r>
              <w:rPr>
                <w:rFonts w:hint="eastAsia"/>
                <w:color w:val="auto"/>
                <w:vertAlign w:val="superscript"/>
              </w:rPr>
              <w:t>3</w:t>
            </w:r>
            <w:r>
              <w:rPr>
                <w:rFonts w:hint="eastAsia"/>
                <w:color w:val="auto"/>
              </w:rPr>
              <w:t>/a</w:t>
            </w:r>
          </w:p>
        </w:tc>
        <w:tc>
          <w:tcPr>
            <w:tcW w:w="4884" w:type="dxa"/>
            <w:tcBorders>
              <w:tl2br w:val="nil"/>
              <w:tr2bl w:val="nil"/>
            </w:tcBorders>
            <w:vAlign w:val="center"/>
          </w:tcPr>
          <w:p w14:paraId="74E9160A">
            <w:pPr>
              <w:pStyle w:val="20"/>
              <w:bidi w:val="0"/>
              <w:rPr>
                <w:color w:val="auto"/>
              </w:rPr>
            </w:pPr>
            <w:r>
              <w:rPr>
                <w:rFonts w:hint="eastAsia"/>
                <w:color w:val="auto"/>
              </w:rPr>
              <w:t>利用现有供水管网</w:t>
            </w:r>
          </w:p>
        </w:tc>
      </w:tr>
      <w:tr w14:paraId="120924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973" w:type="dxa"/>
            <w:tcBorders>
              <w:tl2br w:val="nil"/>
              <w:tr2bl w:val="nil"/>
            </w:tcBorders>
            <w:vAlign w:val="center"/>
          </w:tcPr>
          <w:p w14:paraId="08AD0FE0">
            <w:pPr>
              <w:pStyle w:val="20"/>
              <w:bidi w:val="0"/>
              <w:rPr>
                <w:color w:val="auto"/>
              </w:rPr>
            </w:pPr>
            <w:r>
              <w:rPr>
                <w:rFonts w:hint="eastAsia"/>
                <w:color w:val="auto"/>
              </w:rPr>
              <w:t>3</w:t>
            </w:r>
          </w:p>
        </w:tc>
        <w:tc>
          <w:tcPr>
            <w:tcW w:w="1453" w:type="dxa"/>
            <w:tcBorders>
              <w:tl2br w:val="nil"/>
              <w:tr2bl w:val="nil"/>
            </w:tcBorders>
            <w:vAlign w:val="center"/>
          </w:tcPr>
          <w:p w14:paraId="5FBE05F0">
            <w:pPr>
              <w:pStyle w:val="20"/>
              <w:bidi w:val="0"/>
              <w:rPr>
                <w:color w:val="auto"/>
              </w:rPr>
            </w:pPr>
            <w:r>
              <w:rPr>
                <w:rFonts w:hint="eastAsia"/>
                <w:color w:val="auto"/>
              </w:rPr>
              <w:t>电</w:t>
            </w:r>
          </w:p>
        </w:tc>
        <w:tc>
          <w:tcPr>
            <w:tcW w:w="1812" w:type="dxa"/>
            <w:tcBorders>
              <w:tl2br w:val="nil"/>
              <w:tr2bl w:val="nil"/>
            </w:tcBorders>
            <w:vAlign w:val="center"/>
          </w:tcPr>
          <w:p w14:paraId="53717EBD">
            <w:pPr>
              <w:pStyle w:val="20"/>
              <w:bidi w:val="0"/>
              <w:rPr>
                <w:color w:val="auto"/>
              </w:rPr>
            </w:pPr>
            <w:r>
              <w:rPr>
                <w:rFonts w:hint="eastAsia"/>
                <w:color w:val="auto"/>
              </w:rPr>
              <w:t>7.48×10</w:t>
            </w:r>
            <w:r>
              <w:rPr>
                <w:rFonts w:hint="eastAsia"/>
                <w:color w:val="auto"/>
                <w:vertAlign w:val="superscript"/>
              </w:rPr>
              <w:t>6</w:t>
            </w:r>
            <w:r>
              <w:rPr>
                <w:rFonts w:hint="eastAsia"/>
                <w:color w:val="auto"/>
              </w:rPr>
              <w:t>kW·h/a</w:t>
            </w:r>
          </w:p>
        </w:tc>
        <w:tc>
          <w:tcPr>
            <w:tcW w:w="4884" w:type="dxa"/>
            <w:tcBorders>
              <w:tl2br w:val="nil"/>
              <w:tr2bl w:val="nil"/>
            </w:tcBorders>
            <w:vAlign w:val="center"/>
          </w:tcPr>
          <w:p w14:paraId="5B2BFEE6">
            <w:pPr>
              <w:pStyle w:val="20"/>
              <w:bidi w:val="0"/>
              <w:rPr>
                <w:rFonts w:hint="eastAsia" w:eastAsia="宋体"/>
                <w:color w:val="auto"/>
                <w:lang w:eastAsia="zh-CN"/>
              </w:rPr>
            </w:pPr>
            <w:r>
              <w:rPr>
                <w:rFonts w:hint="eastAsia"/>
                <w:color w:val="auto"/>
              </w:rPr>
              <w:t>在现有厂用电中协调解决</w:t>
            </w:r>
          </w:p>
        </w:tc>
      </w:tr>
    </w:tbl>
    <w:p w14:paraId="54618BD5">
      <w:pPr>
        <w:pStyle w:val="4"/>
        <w:bidi w:val="0"/>
        <w:rPr>
          <w:rFonts w:hint="eastAsia"/>
          <w:color w:val="auto"/>
          <w:lang w:val="en-US" w:eastAsia="zh-CN"/>
        </w:rPr>
      </w:pPr>
      <w:bookmarkStart w:id="40" w:name="_Toc15129"/>
      <w:r>
        <w:rPr>
          <w:rFonts w:hint="eastAsia"/>
          <w:color w:val="auto"/>
          <w:lang w:val="en-US" w:eastAsia="zh-CN"/>
        </w:rPr>
        <w:t>2.8.4技术目标</w:t>
      </w:r>
    </w:p>
    <w:p w14:paraId="3D8A0F83">
      <w:pPr>
        <w:rPr>
          <w:rFonts w:hint="eastAsia"/>
          <w:color w:val="auto"/>
          <w:vertAlign w:val="baseline"/>
          <w:lang w:val="en-US" w:eastAsia="zh-CN"/>
        </w:rPr>
      </w:pPr>
      <w:r>
        <w:rPr>
          <w:rFonts w:hint="eastAsia"/>
          <w:color w:val="auto"/>
          <w:lang w:val="en-US" w:eastAsia="zh-CN"/>
        </w:rPr>
        <w:t>本项目烟气中主要成分为SO</w:t>
      </w:r>
      <w:r>
        <w:rPr>
          <w:rFonts w:hint="eastAsia"/>
          <w:color w:val="auto"/>
          <w:vertAlign w:val="subscript"/>
          <w:lang w:val="en-US" w:eastAsia="zh-CN"/>
        </w:rPr>
        <w:t>2</w:t>
      </w:r>
      <w:r>
        <w:rPr>
          <w:rFonts w:hint="eastAsia"/>
          <w:color w:val="auto"/>
          <w:vertAlign w:val="baseline"/>
          <w:lang w:val="en-US" w:eastAsia="zh-CN"/>
        </w:rPr>
        <w:t>及少量颗粒物，5#脱硫塔进口SO</w:t>
      </w:r>
      <w:r>
        <w:rPr>
          <w:rFonts w:hint="eastAsia"/>
          <w:color w:val="auto"/>
          <w:vertAlign w:val="subscript"/>
          <w:lang w:val="en-US" w:eastAsia="zh-CN"/>
        </w:rPr>
        <w:t>2</w:t>
      </w:r>
      <w:r>
        <w:rPr>
          <w:rFonts w:hint="eastAsia"/>
          <w:color w:val="auto"/>
          <w:vertAlign w:val="baseline"/>
          <w:lang w:val="en-US" w:eastAsia="zh-CN"/>
        </w:rPr>
        <w:t>浓度为531mg/Nm³，6#脱硫塔进口SO</w:t>
      </w:r>
      <w:r>
        <w:rPr>
          <w:rFonts w:hint="eastAsia"/>
          <w:color w:val="auto"/>
          <w:vertAlign w:val="subscript"/>
          <w:lang w:val="en-US" w:eastAsia="zh-CN"/>
        </w:rPr>
        <w:t>2</w:t>
      </w:r>
      <w:r>
        <w:rPr>
          <w:rFonts w:hint="eastAsia"/>
          <w:color w:val="auto"/>
          <w:vertAlign w:val="baseline"/>
          <w:lang w:val="en-US" w:eastAsia="zh-CN"/>
        </w:rPr>
        <w:t>浓度为352mg/Nm</w:t>
      </w:r>
      <w:r>
        <w:rPr>
          <w:rFonts w:hint="eastAsia"/>
          <w:color w:val="auto"/>
          <w:vertAlign w:val="superscript"/>
          <w:lang w:val="en-US" w:eastAsia="zh-CN"/>
        </w:rPr>
        <w:t>3</w:t>
      </w:r>
      <w:r>
        <w:rPr>
          <w:rFonts w:hint="eastAsia"/>
          <w:color w:val="auto"/>
          <w:vertAlign w:val="baseline"/>
          <w:lang w:val="en-US" w:eastAsia="zh-CN"/>
        </w:rPr>
        <w:t>。脱硫后要求：</w:t>
      </w:r>
    </w:p>
    <w:p w14:paraId="6B0DD9A4">
      <w:pPr>
        <w:numPr>
          <w:ilvl w:val="0"/>
          <w:numId w:val="0"/>
        </w:numPr>
        <w:ind w:firstLine="560" w:firstLineChars="200"/>
        <w:rPr>
          <w:rFonts w:hint="eastAsia"/>
          <w:color w:val="auto"/>
          <w:vertAlign w:val="baseline"/>
          <w:lang w:val="en-US" w:eastAsia="zh-CN"/>
        </w:rPr>
      </w:pPr>
      <w:r>
        <w:rPr>
          <w:rFonts w:hint="eastAsia" w:ascii="Times New Roman" w:hAnsi="Times New Roman" w:eastAsia="宋体" w:cs="Times New Roman"/>
          <w:color w:val="auto"/>
          <w:kern w:val="2"/>
          <w:sz w:val="28"/>
          <w:szCs w:val="28"/>
          <w:vertAlign w:val="baseline"/>
          <w:lang w:val="en-US" w:eastAsia="zh-CN" w:bidi="ar-SA"/>
        </w:rPr>
        <w:t>1.</w:t>
      </w:r>
      <w:r>
        <w:rPr>
          <w:rFonts w:hint="eastAsia"/>
          <w:color w:val="auto"/>
          <w:vertAlign w:val="baseline"/>
          <w:lang w:val="en-US" w:eastAsia="zh-CN"/>
        </w:rPr>
        <w:t>整套脱硫装置与窑运转同步率保证值＞99.5%；</w:t>
      </w:r>
    </w:p>
    <w:p w14:paraId="138044DE">
      <w:pPr>
        <w:numPr>
          <w:ilvl w:val="0"/>
          <w:numId w:val="0"/>
        </w:numPr>
        <w:ind w:firstLine="560" w:firstLineChars="200"/>
        <w:rPr>
          <w:rFonts w:hint="eastAsia"/>
          <w:color w:val="auto"/>
          <w:vertAlign w:val="baseline"/>
          <w:lang w:val="en-US" w:eastAsia="zh-CN"/>
        </w:rPr>
      </w:pPr>
      <w:r>
        <w:rPr>
          <w:rFonts w:hint="eastAsia"/>
          <w:color w:val="auto"/>
          <w:vertAlign w:val="baseline"/>
          <w:lang w:val="en-US" w:eastAsia="zh-CN"/>
        </w:rPr>
        <w:t>2.烟囱出口SO</w:t>
      </w:r>
      <w:r>
        <w:rPr>
          <w:rFonts w:hint="eastAsia"/>
          <w:color w:val="auto"/>
          <w:vertAlign w:val="subscript"/>
          <w:lang w:val="en-US" w:eastAsia="zh-CN"/>
        </w:rPr>
        <w:t>2</w:t>
      </w:r>
      <w:r>
        <w:rPr>
          <w:rFonts w:hint="eastAsia"/>
          <w:color w:val="auto"/>
          <w:vertAlign w:val="baseline"/>
          <w:lang w:val="en-US" w:eastAsia="zh-CN"/>
        </w:rPr>
        <w:t>排放浓度＜50mg/Nm</w:t>
      </w:r>
      <w:r>
        <w:rPr>
          <w:rFonts w:hint="eastAsia"/>
          <w:color w:val="auto"/>
          <w:vertAlign w:val="superscript"/>
          <w:lang w:val="en-US" w:eastAsia="zh-CN"/>
        </w:rPr>
        <w:t>3</w:t>
      </w:r>
      <w:r>
        <w:rPr>
          <w:rFonts w:hint="eastAsia"/>
          <w:color w:val="auto"/>
          <w:vertAlign w:val="baseline"/>
          <w:lang w:val="en-US" w:eastAsia="zh-CN"/>
        </w:rPr>
        <w:t>；</w:t>
      </w:r>
    </w:p>
    <w:p w14:paraId="326EB6BA">
      <w:pPr>
        <w:numPr>
          <w:ilvl w:val="0"/>
          <w:numId w:val="0"/>
        </w:numPr>
        <w:ind w:firstLine="560" w:firstLineChars="200"/>
        <w:rPr>
          <w:rFonts w:hint="default"/>
          <w:color w:val="auto"/>
          <w:vertAlign w:val="baseline"/>
          <w:lang w:val="en-US" w:eastAsia="zh-CN"/>
        </w:rPr>
      </w:pPr>
      <w:r>
        <w:rPr>
          <w:rFonts w:hint="eastAsia" w:cs="Times New Roman"/>
          <w:color w:val="auto"/>
          <w:kern w:val="2"/>
          <w:sz w:val="28"/>
          <w:szCs w:val="28"/>
          <w:vertAlign w:val="baseline"/>
          <w:lang w:val="en-US" w:eastAsia="zh-CN" w:bidi="ar-SA"/>
        </w:rPr>
        <w:t>3</w:t>
      </w:r>
      <w:r>
        <w:rPr>
          <w:rFonts w:hint="default" w:ascii="Times New Roman" w:hAnsi="Times New Roman" w:eastAsia="宋体" w:cs="Times New Roman"/>
          <w:color w:val="auto"/>
          <w:kern w:val="2"/>
          <w:sz w:val="28"/>
          <w:szCs w:val="28"/>
          <w:vertAlign w:val="baseline"/>
          <w:lang w:val="en-US" w:eastAsia="zh-CN" w:bidi="ar-SA"/>
        </w:rPr>
        <w:t>.</w:t>
      </w:r>
      <w:r>
        <w:rPr>
          <w:rFonts w:hint="eastAsia"/>
          <w:color w:val="auto"/>
          <w:vertAlign w:val="baseline"/>
          <w:lang w:val="en-US" w:eastAsia="zh-CN"/>
        </w:rPr>
        <w:t>烟囱出口雾滴排放浓度＜50mg/Nm</w:t>
      </w:r>
      <w:r>
        <w:rPr>
          <w:rFonts w:hint="eastAsia"/>
          <w:color w:val="auto"/>
          <w:vertAlign w:val="superscript"/>
          <w:lang w:val="en-US" w:eastAsia="zh-CN"/>
        </w:rPr>
        <w:t>3</w:t>
      </w:r>
      <w:r>
        <w:rPr>
          <w:rFonts w:hint="eastAsia"/>
          <w:color w:val="auto"/>
          <w:vertAlign w:val="baseline"/>
          <w:lang w:val="en-US" w:eastAsia="zh-CN"/>
        </w:rPr>
        <w:t>；</w:t>
      </w:r>
    </w:p>
    <w:p w14:paraId="0DF717DC">
      <w:pPr>
        <w:numPr>
          <w:ilvl w:val="0"/>
          <w:numId w:val="0"/>
        </w:numPr>
        <w:ind w:firstLine="560" w:firstLineChars="200"/>
        <w:rPr>
          <w:rFonts w:hint="default"/>
          <w:color w:val="auto"/>
          <w:vertAlign w:val="baseline"/>
          <w:lang w:val="en-US" w:eastAsia="zh-CN"/>
        </w:rPr>
      </w:pPr>
      <w:r>
        <w:rPr>
          <w:rFonts w:hint="eastAsia" w:cs="Times New Roman"/>
          <w:color w:val="auto"/>
          <w:kern w:val="2"/>
          <w:sz w:val="28"/>
          <w:szCs w:val="28"/>
          <w:vertAlign w:val="baseline"/>
          <w:lang w:val="en-US" w:eastAsia="zh-CN" w:bidi="ar-SA"/>
        </w:rPr>
        <w:t>4</w:t>
      </w:r>
      <w:r>
        <w:rPr>
          <w:rFonts w:hint="default" w:ascii="Times New Roman" w:hAnsi="Times New Roman" w:eastAsia="宋体" w:cs="Times New Roman"/>
          <w:color w:val="auto"/>
          <w:kern w:val="2"/>
          <w:sz w:val="28"/>
          <w:szCs w:val="28"/>
          <w:vertAlign w:val="baseline"/>
          <w:lang w:val="en-US" w:eastAsia="zh-CN" w:bidi="ar-SA"/>
        </w:rPr>
        <w:t>.</w:t>
      </w:r>
      <w:r>
        <w:rPr>
          <w:rFonts w:hint="eastAsia"/>
          <w:color w:val="auto"/>
          <w:vertAlign w:val="baseline"/>
          <w:lang w:val="en-US" w:eastAsia="zh-CN"/>
        </w:rPr>
        <w:t>烟囱出口粉尘排放浓度＜10mg/Nm</w:t>
      </w:r>
      <w:r>
        <w:rPr>
          <w:rFonts w:hint="eastAsia"/>
          <w:color w:val="auto"/>
          <w:vertAlign w:val="superscript"/>
          <w:lang w:val="en-US" w:eastAsia="zh-CN"/>
        </w:rPr>
        <w:t>3</w:t>
      </w:r>
      <w:r>
        <w:rPr>
          <w:rFonts w:hint="eastAsia"/>
          <w:color w:val="auto"/>
          <w:vertAlign w:val="baseline"/>
          <w:lang w:val="en-US" w:eastAsia="zh-CN"/>
        </w:rPr>
        <w:t>；</w:t>
      </w:r>
    </w:p>
    <w:p w14:paraId="62252552">
      <w:pPr>
        <w:numPr>
          <w:ilvl w:val="0"/>
          <w:numId w:val="0"/>
        </w:numPr>
        <w:ind w:firstLine="560" w:firstLineChars="200"/>
        <w:rPr>
          <w:rFonts w:hint="default"/>
          <w:color w:val="auto"/>
          <w:vertAlign w:val="baseline"/>
          <w:lang w:val="en-US" w:eastAsia="zh-CN"/>
        </w:rPr>
      </w:pPr>
      <w:r>
        <w:rPr>
          <w:rFonts w:hint="eastAsia" w:cs="Times New Roman"/>
          <w:color w:val="auto"/>
          <w:kern w:val="2"/>
          <w:sz w:val="28"/>
          <w:szCs w:val="28"/>
          <w:vertAlign w:val="baseline"/>
          <w:lang w:val="en-US" w:eastAsia="zh-CN" w:bidi="ar-SA"/>
        </w:rPr>
        <w:t>5</w:t>
      </w:r>
      <w:r>
        <w:rPr>
          <w:rFonts w:hint="default" w:ascii="Times New Roman" w:hAnsi="Times New Roman" w:eastAsia="宋体" w:cs="Times New Roman"/>
          <w:color w:val="auto"/>
          <w:kern w:val="2"/>
          <w:sz w:val="28"/>
          <w:szCs w:val="28"/>
          <w:vertAlign w:val="baseline"/>
          <w:lang w:val="en-US" w:eastAsia="zh-CN" w:bidi="ar-SA"/>
        </w:rPr>
        <w:t>.</w:t>
      </w:r>
      <w:r>
        <w:rPr>
          <w:rFonts w:hint="eastAsia"/>
          <w:color w:val="auto"/>
          <w:vertAlign w:val="baseline"/>
          <w:lang w:val="en-US" w:eastAsia="zh-CN"/>
        </w:rPr>
        <w:t>石膏含水率＜15%。</w:t>
      </w:r>
    </w:p>
    <w:p w14:paraId="03B07C81">
      <w:pPr>
        <w:pStyle w:val="3"/>
        <w:bidi w:val="0"/>
        <w:rPr>
          <w:rFonts w:hint="default"/>
          <w:color w:val="auto"/>
          <w:lang w:val="en-US" w:eastAsia="zh-CN"/>
        </w:rPr>
      </w:pPr>
      <w:r>
        <w:rPr>
          <w:rFonts w:hint="default"/>
          <w:color w:val="auto"/>
          <w:lang w:val="en-US" w:eastAsia="zh-CN"/>
        </w:rPr>
        <w:t>2.</w:t>
      </w:r>
      <w:r>
        <w:rPr>
          <w:rFonts w:hint="eastAsia"/>
          <w:color w:val="auto"/>
          <w:lang w:val="en-US" w:eastAsia="zh-CN"/>
        </w:rPr>
        <w:t>9</w:t>
      </w:r>
      <w:r>
        <w:rPr>
          <w:rFonts w:hint="default"/>
          <w:color w:val="auto"/>
          <w:lang w:val="en-US" w:eastAsia="zh-CN"/>
        </w:rPr>
        <w:t>公用工程及辅助设施</w:t>
      </w:r>
      <w:bookmarkEnd w:id="40"/>
    </w:p>
    <w:p w14:paraId="6F786F72">
      <w:pPr>
        <w:pStyle w:val="4"/>
        <w:bidi w:val="0"/>
        <w:rPr>
          <w:color w:val="auto"/>
        </w:rPr>
      </w:pPr>
      <w:bookmarkStart w:id="41" w:name="_Toc30566"/>
      <w:r>
        <w:rPr>
          <w:rFonts w:hint="eastAsia"/>
          <w:color w:val="auto"/>
          <w:lang w:val="en-US" w:eastAsia="zh-CN"/>
        </w:rPr>
        <w:t>2.9.1</w:t>
      </w:r>
      <w:r>
        <w:rPr>
          <w:color w:val="auto"/>
        </w:rPr>
        <w:t>给排水</w:t>
      </w:r>
      <w:bookmarkEnd w:id="41"/>
    </w:p>
    <w:p w14:paraId="455E6642">
      <w:pPr>
        <w:numPr>
          <w:ilvl w:val="0"/>
          <w:numId w:val="0"/>
        </w:numPr>
        <w:bidi w:val="0"/>
        <w:ind w:firstLine="560" w:firstLineChars="200"/>
        <w:rPr>
          <w:rFonts w:hint="eastAsia" w:eastAsia="宋体"/>
          <w:color w:val="auto"/>
          <w:lang w:val="en-US" w:eastAsia="zh-CN"/>
        </w:rPr>
      </w:pPr>
      <w:r>
        <w:rPr>
          <w:rFonts w:hint="eastAsia" w:cs="Times New Roman"/>
          <w:color w:val="auto"/>
          <w:kern w:val="2"/>
          <w:sz w:val="28"/>
          <w:szCs w:val="28"/>
          <w:lang w:val="en-US" w:eastAsia="zh-CN" w:bidi="ar-SA"/>
        </w:rPr>
        <w:t>1.</w:t>
      </w:r>
      <w:r>
        <w:rPr>
          <w:rFonts w:hint="eastAsia"/>
          <w:color w:val="auto"/>
          <w:lang w:val="en-US" w:eastAsia="zh-CN"/>
        </w:rPr>
        <w:t>水源</w:t>
      </w:r>
    </w:p>
    <w:p w14:paraId="06421733">
      <w:pPr>
        <w:bidi w:val="0"/>
        <w:rPr>
          <w:rFonts w:hint="eastAsia"/>
          <w:color w:val="auto"/>
        </w:rPr>
      </w:pPr>
      <w:r>
        <w:rPr>
          <w:rFonts w:hint="eastAsia"/>
          <w:color w:val="auto"/>
          <w:lang w:val="en-US" w:eastAsia="zh-CN"/>
        </w:rPr>
        <w:t>厂区</w:t>
      </w:r>
      <w:r>
        <w:rPr>
          <w:rFonts w:hint="eastAsia"/>
          <w:color w:val="auto"/>
        </w:rPr>
        <w:t>生产</w:t>
      </w:r>
      <w:r>
        <w:rPr>
          <w:rFonts w:hint="eastAsia"/>
          <w:color w:val="auto"/>
          <w:lang w:eastAsia="zh-CN"/>
        </w:rPr>
        <w:t>、</w:t>
      </w:r>
      <w:r>
        <w:rPr>
          <w:rFonts w:hint="eastAsia"/>
          <w:color w:val="auto"/>
          <w:lang w:val="en-US" w:eastAsia="zh-CN"/>
        </w:rPr>
        <w:t>生活</w:t>
      </w:r>
      <w:r>
        <w:rPr>
          <w:rFonts w:hint="eastAsia"/>
          <w:color w:val="auto"/>
        </w:rPr>
        <w:t>及消防用水的水源</w:t>
      </w:r>
      <w:r>
        <w:rPr>
          <w:rFonts w:hint="eastAsia"/>
          <w:color w:val="auto"/>
          <w:lang w:val="en-US" w:eastAsia="zh-CN"/>
        </w:rPr>
        <w:t>来自</w:t>
      </w:r>
      <w:r>
        <w:rPr>
          <w:rFonts w:hint="eastAsia"/>
          <w:color w:val="auto"/>
        </w:rPr>
        <w:t>6#水库（圆形，容积3000m</w:t>
      </w:r>
      <w:r>
        <w:rPr>
          <w:rFonts w:hint="eastAsia"/>
          <w:color w:val="auto"/>
          <w:vertAlign w:val="superscript"/>
        </w:rPr>
        <w:t>3</w:t>
      </w:r>
      <w:r>
        <w:rPr>
          <w:rFonts w:hint="eastAsia"/>
          <w:color w:val="auto"/>
        </w:rPr>
        <w:t>）</w:t>
      </w:r>
      <w:r>
        <w:rPr>
          <w:rFonts w:hint="eastAsia"/>
          <w:color w:val="auto"/>
          <w:lang w:eastAsia="zh-CN"/>
        </w:rPr>
        <w:t>，</w:t>
      </w:r>
      <w:r>
        <w:rPr>
          <w:rFonts w:hint="eastAsia"/>
          <w:color w:val="auto"/>
        </w:rPr>
        <w:t>通过水泵（2台水泵，1用1备）加压（0.3～0.4MPa）至生产、生活、消防用水环形管网，管径为DN200</w:t>
      </w:r>
      <w:r>
        <w:rPr>
          <w:rFonts w:hint="eastAsia"/>
          <w:color w:val="auto"/>
          <w:lang w:val="en-US" w:eastAsia="zh-CN"/>
        </w:rPr>
        <w:t>，</w:t>
      </w:r>
      <w:r>
        <w:rPr>
          <w:rFonts w:hint="eastAsia"/>
          <w:color w:val="auto"/>
        </w:rPr>
        <w:t>其水质能够满足全厂生产及消防用水水质要求</w:t>
      </w:r>
      <w:r>
        <w:rPr>
          <w:rFonts w:hint="eastAsia"/>
          <w:color w:val="auto"/>
          <w:lang w:eastAsia="zh-CN"/>
        </w:rPr>
        <w:t>。</w:t>
      </w:r>
      <w:r>
        <w:rPr>
          <w:rFonts w:hint="eastAsia"/>
          <w:color w:val="auto"/>
          <w:lang w:val="en-US" w:eastAsia="zh-CN"/>
        </w:rPr>
        <w:t>本项目生产及消防用水的供水由厂区区原有生产、消防用水环形管网进行供给</w:t>
      </w:r>
      <w:r>
        <w:rPr>
          <w:rFonts w:hint="eastAsia"/>
          <w:color w:val="auto"/>
        </w:rPr>
        <w:t>。</w:t>
      </w:r>
    </w:p>
    <w:p w14:paraId="187E036E">
      <w:pPr>
        <w:bidi w:val="0"/>
        <w:rPr>
          <w:rFonts w:hint="eastAsia" w:eastAsia="宋体"/>
          <w:color w:val="auto"/>
          <w:lang w:val="en-US" w:eastAsia="zh-CN"/>
        </w:rPr>
      </w:pPr>
      <w:r>
        <w:rPr>
          <w:rFonts w:hint="eastAsia"/>
          <w:color w:val="auto"/>
          <w:lang w:val="en-US" w:eastAsia="zh-CN"/>
        </w:rPr>
        <w:t>2.用水量</w:t>
      </w:r>
    </w:p>
    <w:p w14:paraId="61F7C189">
      <w:pPr>
        <w:bidi w:val="0"/>
        <w:rPr>
          <w:rFonts w:hint="eastAsia"/>
          <w:color w:val="auto"/>
          <w:lang w:val="en-US"/>
        </w:rPr>
      </w:pPr>
      <w:r>
        <w:rPr>
          <w:rFonts w:hint="eastAsia"/>
          <w:color w:val="auto"/>
          <w:lang w:val="en-US"/>
        </w:rPr>
        <w:t>本次脱硫系统用水量约42799.56m</w:t>
      </w:r>
      <w:r>
        <w:rPr>
          <w:rFonts w:hint="eastAsia"/>
          <w:color w:val="auto"/>
          <w:vertAlign w:val="superscript"/>
          <w:lang w:val="en-US"/>
        </w:rPr>
        <w:t>3</w:t>
      </w:r>
      <w:r>
        <w:rPr>
          <w:rFonts w:hint="eastAsia"/>
          <w:color w:val="auto"/>
          <w:lang w:val="en-US"/>
        </w:rPr>
        <w:t>/d，其中新水补充量720m</w:t>
      </w:r>
      <w:r>
        <w:rPr>
          <w:rFonts w:hint="eastAsia"/>
          <w:color w:val="auto"/>
          <w:vertAlign w:val="superscript"/>
          <w:lang w:val="en-US"/>
        </w:rPr>
        <w:t>3</w:t>
      </w:r>
      <w:r>
        <w:rPr>
          <w:rFonts w:hint="eastAsia"/>
          <w:color w:val="auto"/>
          <w:lang w:val="en-US"/>
        </w:rPr>
        <w:t>/d，循环水量约42000m</w:t>
      </w:r>
      <w:r>
        <w:rPr>
          <w:rFonts w:hint="eastAsia"/>
          <w:color w:val="auto"/>
          <w:vertAlign w:val="superscript"/>
          <w:lang w:val="en-US"/>
        </w:rPr>
        <w:t>3</w:t>
      </w:r>
      <w:r>
        <w:rPr>
          <w:rFonts w:hint="eastAsia"/>
          <w:color w:val="auto"/>
          <w:lang w:val="en-US"/>
        </w:rPr>
        <w:t>/d，损耗量677.76mm</w:t>
      </w:r>
      <w:r>
        <w:rPr>
          <w:rFonts w:hint="eastAsia"/>
          <w:color w:val="auto"/>
          <w:vertAlign w:val="superscript"/>
          <w:lang w:val="en-US"/>
        </w:rPr>
        <w:t>3</w:t>
      </w:r>
      <w:r>
        <w:rPr>
          <w:rFonts w:hint="eastAsia"/>
          <w:color w:val="auto"/>
          <w:lang w:val="en-US"/>
        </w:rPr>
        <w:t>/d，其中石膏产生量为52.8t/d（含水率为80%)，则石膏含水量为42.24m</w:t>
      </w:r>
      <w:r>
        <w:rPr>
          <w:rFonts w:hint="eastAsia"/>
          <w:color w:val="auto"/>
          <w:vertAlign w:val="superscript"/>
          <w:lang w:val="en-US"/>
        </w:rPr>
        <w:t>3</w:t>
      </w:r>
      <w:r>
        <w:rPr>
          <w:rFonts w:hint="eastAsia"/>
          <w:color w:val="auto"/>
          <w:lang w:val="en-US"/>
        </w:rPr>
        <w:t>/d。废水产生量约79.56m</w:t>
      </w:r>
      <w:r>
        <w:rPr>
          <w:rFonts w:hint="eastAsia"/>
          <w:color w:val="auto"/>
          <w:vertAlign w:val="superscript"/>
          <w:lang w:val="en-US"/>
        </w:rPr>
        <w:t>3</w:t>
      </w:r>
      <w:r>
        <w:rPr>
          <w:rFonts w:hint="eastAsia"/>
          <w:color w:val="auto"/>
          <w:lang w:val="en-US"/>
        </w:rPr>
        <w:t>/d，全部回用于浆液补水，无废水外排。</w:t>
      </w:r>
    </w:p>
    <w:p w14:paraId="4197BF3C">
      <w:pPr>
        <w:bidi w:val="0"/>
        <w:rPr>
          <w:rFonts w:hint="eastAsia"/>
          <w:color w:val="auto"/>
          <w:lang w:val="en-US"/>
        </w:rPr>
      </w:pPr>
      <w:r>
        <w:rPr>
          <w:rFonts w:hint="eastAsia"/>
          <w:color w:val="auto"/>
          <w:lang w:val="en-US"/>
        </w:rPr>
        <w:t>本次技改项目不新增员工，</w:t>
      </w:r>
      <w:r>
        <w:rPr>
          <w:rFonts w:hint="eastAsia"/>
          <w:color w:val="auto"/>
          <w:lang w:val="en-US" w:eastAsia="zh-CN"/>
        </w:rPr>
        <w:t>故</w:t>
      </w:r>
      <w:r>
        <w:rPr>
          <w:rFonts w:hint="eastAsia"/>
          <w:color w:val="auto"/>
          <w:lang w:val="en-US"/>
        </w:rPr>
        <w:t>不增加员工生活用水</w:t>
      </w:r>
      <w:r>
        <w:rPr>
          <w:rFonts w:hint="eastAsia"/>
          <w:color w:val="auto"/>
          <w:lang w:val="en-US" w:eastAsia="zh-CN"/>
        </w:rPr>
        <w:t>。</w:t>
      </w:r>
    </w:p>
    <w:p w14:paraId="026E2929">
      <w:pPr>
        <w:bidi w:val="0"/>
        <w:rPr>
          <w:color w:val="auto"/>
          <w:lang w:val="en-US"/>
        </w:rPr>
      </w:pPr>
      <w:r>
        <w:rPr>
          <w:rFonts w:hint="eastAsia"/>
          <w:color w:val="auto"/>
          <w:lang w:val="en-US" w:eastAsia="zh-CN"/>
        </w:rPr>
        <w:t>3.</w:t>
      </w:r>
      <w:r>
        <w:rPr>
          <w:rFonts w:hint="eastAsia"/>
          <w:color w:val="auto"/>
          <w:lang w:val="en-US"/>
        </w:rPr>
        <w:t>排水系统</w:t>
      </w:r>
    </w:p>
    <w:p w14:paraId="64EC8E18">
      <w:pPr>
        <w:bidi w:val="0"/>
        <w:rPr>
          <w:color w:val="auto"/>
          <w:lang w:val="en-US"/>
        </w:rPr>
      </w:pPr>
      <w:r>
        <w:rPr>
          <w:rFonts w:hint="eastAsia"/>
          <w:color w:val="auto"/>
          <w:lang w:val="en-US" w:eastAsia="zh-CN"/>
        </w:rPr>
        <w:t>（1）</w:t>
      </w:r>
      <w:r>
        <w:rPr>
          <w:rFonts w:hint="eastAsia"/>
          <w:color w:val="auto"/>
          <w:lang w:val="en-US"/>
        </w:rPr>
        <w:t>雨水：雨水系统依托</w:t>
      </w:r>
      <w:r>
        <w:rPr>
          <w:rFonts w:hint="eastAsia"/>
          <w:color w:val="auto"/>
          <w:lang w:val="en-US" w:eastAsia="zh-CN"/>
        </w:rPr>
        <w:t>厂区</w:t>
      </w:r>
      <w:r>
        <w:rPr>
          <w:rFonts w:hint="eastAsia"/>
          <w:color w:val="auto"/>
          <w:lang w:val="en-US"/>
        </w:rPr>
        <w:t>现有。现有厂区实行雨污分流，雨水经排洪沟排出。</w:t>
      </w:r>
    </w:p>
    <w:p w14:paraId="5B0A3BF3">
      <w:pPr>
        <w:bidi w:val="0"/>
        <w:rPr>
          <w:color w:val="auto"/>
          <w:lang w:val="en-US"/>
        </w:rPr>
      </w:pPr>
      <w:r>
        <w:rPr>
          <w:rFonts w:hint="eastAsia"/>
          <w:color w:val="auto"/>
          <w:lang w:val="en-US" w:eastAsia="zh-CN"/>
        </w:rPr>
        <w:t>（2）</w:t>
      </w:r>
      <w:r>
        <w:rPr>
          <w:rFonts w:hint="eastAsia"/>
          <w:color w:val="auto"/>
          <w:lang w:val="en-US"/>
        </w:rPr>
        <w:t>生活污水：本次技改项目不新增员工，不增加员工生活污水。</w:t>
      </w:r>
    </w:p>
    <w:p w14:paraId="0AD64E66">
      <w:pPr>
        <w:bidi w:val="0"/>
        <w:rPr>
          <w:rFonts w:hint="eastAsia" w:eastAsia="宋体"/>
          <w:color w:val="auto"/>
          <w:lang w:val="en-US" w:eastAsia="zh-CN"/>
        </w:rPr>
      </w:pPr>
      <w:r>
        <w:rPr>
          <w:rFonts w:hint="eastAsia"/>
          <w:color w:val="auto"/>
          <w:lang w:val="en-US" w:eastAsia="zh-CN"/>
        </w:rPr>
        <w:t>（3）</w:t>
      </w:r>
      <w:r>
        <w:rPr>
          <w:rFonts w:hint="eastAsia"/>
          <w:color w:val="auto"/>
          <w:lang w:val="en-US"/>
        </w:rPr>
        <w:t>生产废水：本次技改项目生产废水</w:t>
      </w:r>
      <w:r>
        <w:rPr>
          <w:rFonts w:hint="eastAsia"/>
          <w:color w:val="auto"/>
          <w:lang w:val="en-US" w:eastAsia="zh-CN"/>
        </w:rPr>
        <w:t>主要来自于以下两个方面：</w:t>
      </w:r>
    </w:p>
    <w:p w14:paraId="7721D8EA">
      <w:pPr>
        <w:keepNext w:val="0"/>
        <w:keepLines w:val="0"/>
        <w:pageBreakBefore w:val="0"/>
        <w:widowControl w:val="0"/>
        <w:kinsoku/>
        <w:wordWrap/>
        <w:overflowPunct/>
        <w:topLinePunct w:val="0"/>
        <w:autoSpaceDE/>
        <w:autoSpaceDN/>
        <w:bidi w:val="0"/>
        <w:adjustRightInd w:val="0"/>
        <w:snapToGrid w:val="0"/>
        <w:ind w:left="280" w:leftChars="100"/>
        <w:textAlignment w:val="auto"/>
        <w:rPr>
          <w:rFonts w:hint="eastAsia" w:eastAsia="宋体"/>
          <w:color w:val="auto"/>
          <w:lang w:val="en-US" w:eastAsia="zh-CN"/>
        </w:rPr>
      </w:pPr>
      <w:r>
        <w:rPr>
          <w:rFonts w:hint="eastAsia"/>
          <w:color w:val="auto"/>
          <w:lang w:val="en-US" w:eastAsia="zh-CN"/>
        </w:rPr>
        <w:t>①</w:t>
      </w:r>
      <w:r>
        <w:rPr>
          <w:rFonts w:hint="eastAsia"/>
          <w:color w:val="auto"/>
          <w:lang w:val="en-US"/>
        </w:rPr>
        <w:t>脱硫系统中吸收塔浆池、除雾器、脱硫岛场地</w:t>
      </w:r>
      <w:r>
        <w:rPr>
          <w:rFonts w:hint="eastAsia"/>
          <w:color w:val="auto"/>
          <w:lang w:val="en-US" w:eastAsia="zh-CN"/>
        </w:rPr>
        <w:t>、</w:t>
      </w:r>
      <w:r>
        <w:rPr>
          <w:rFonts w:hint="eastAsia"/>
          <w:color w:val="auto"/>
          <w:lang w:val="en-US"/>
        </w:rPr>
        <w:t>浆液输送设备、输送管路、贮存箱</w:t>
      </w:r>
      <w:r>
        <w:rPr>
          <w:rFonts w:hint="eastAsia"/>
          <w:color w:val="auto"/>
          <w:lang w:val="en-US" w:eastAsia="zh-CN"/>
        </w:rPr>
        <w:t>的</w:t>
      </w:r>
      <w:r>
        <w:rPr>
          <w:rFonts w:hint="eastAsia"/>
          <w:color w:val="auto"/>
          <w:lang w:val="en-US"/>
        </w:rPr>
        <w:t>冲洗</w:t>
      </w:r>
      <w:r>
        <w:rPr>
          <w:rFonts w:hint="eastAsia"/>
          <w:color w:val="auto"/>
          <w:lang w:val="en-US" w:eastAsia="zh-CN"/>
        </w:rPr>
        <w:t>产生的废水。</w:t>
      </w:r>
    </w:p>
    <w:p w14:paraId="13AD3600">
      <w:pPr>
        <w:keepNext w:val="0"/>
        <w:keepLines w:val="0"/>
        <w:pageBreakBefore w:val="0"/>
        <w:widowControl w:val="0"/>
        <w:kinsoku/>
        <w:wordWrap/>
        <w:overflowPunct/>
        <w:topLinePunct w:val="0"/>
        <w:autoSpaceDE/>
        <w:autoSpaceDN/>
        <w:bidi w:val="0"/>
        <w:adjustRightInd w:val="0"/>
        <w:snapToGrid w:val="0"/>
        <w:ind w:left="280" w:leftChars="100"/>
        <w:textAlignment w:val="auto"/>
        <w:rPr>
          <w:rFonts w:hint="eastAsia"/>
          <w:color w:val="auto"/>
          <w:lang w:val="en-US" w:eastAsia="zh-CN"/>
        </w:rPr>
      </w:pPr>
      <w:r>
        <w:rPr>
          <w:rFonts w:hint="eastAsia"/>
          <w:color w:val="auto"/>
          <w:lang w:val="en-US" w:eastAsia="zh-CN"/>
        </w:rPr>
        <w:t>②</w:t>
      </w:r>
      <w:r>
        <w:rPr>
          <w:rFonts w:hint="eastAsia"/>
          <w:color w:val="auto"/>
          <w:lang w:val="en-US"/>
        </w:rPr>
        <w:t>脱硫系统辅助机械冷却、密封</w:t>
      </w:r>
      <w:r>
        <w:rPr>
          <w:rFonts w:hint="eastAsia"/>
          <w:color w:val="auto"/>
          <w:lang w:val="en-US" w:eastAsia="zh-CN"/>
        </w:rPr>
        <w:t>排放的废水。</w:t>
      </w:r>
    </w:p>
    <w:p w14:paraId="17ACA02B">
      <w:pPr>
        <w:keepNext w:val="0"/>
        <w:keepLines w:val="0"/>
        <w:pageBreakBefore w:val="0"/>
        <w:widowControl w:val="0"/>
        <w:kinsoku/>
        <w:wordWrap/>
        <w:overflowPunct/>
        <w:topLinePunct w:val="0"/>
        <w:autoSpaceDE/>
        <w:autoSpaceDN/>
        <w:bidi w:val="0"/>
        <w:adjustRightInd w:val="0"/>
        <w:snapToGrid w:val="0"/>
        <w:ind w:left="280" w:leftChars="100"/>
        <w:textAlignment w:val="auto"/>
        <w:rPr>
          <w:color w:val="auto"/>
          <w:lang w:val="en-US"/>
        </w:rPr>
      </w:pPr>
      <w:r>
        <w:rPr>
          <w:rFonts w:hint="eastAsia"/>
          <w:color w:val="auto"/>
          <w:lang w:val="en-US"/>
        </w:rPr>
        <w:t>脱硫废水产生量约79.56m</w:t>
      </w:r>
      <w:r>
        <w:rPr>
          <w:rFonts w:hint="eastAsia"/>
          <w:color w:val="auto"/>
          <w:vertAlign w:val="superscript"/>
          <w:lang w:val="en-US"/>
        </w:rPr>
        <w:t>3</w:t>
      </w:r>
      <w:r>
        <w:rPr>
          <w:rFonts w:hint="eastAsia"/>
          <w:color w:val="auto"/>
          <w:lang w:val="en-US"/>
        </w:rPr>
        <w:t>/d，全部进入排水坑综合利用，不外排。</w:t>
      </w:r>
    </w:p>
    <w:p w14:paraId="1611C45D">
      <w:pPr>
        <w:pStyle w:val="4"/>
        <w:bidi w:val="0"/>
        <w:rPr>
          <w:rFonts w:ascii="Times New Roman" w:hAnsi="Times New Roman"/>
          <w:color w:val="auto"/>
          <w:lang w:val="en-US" w:eastAsia="zh-CN"/>
        </w:rPr>
      </w:pPr>
      <w:bookmarkStart w:id="42" w:name="_Toc21694"/>
      <w:r>
        <w:rPr>
          <w:rFonts w:hint="eastAsia" w:ascii="Times New Roman" w:hAnsi="Times New Roman"/>
          <w:color w:val="auto"/>
          <w:lang w:val="en-US" w:eastAsia="zh-CN"/>
        </w:rPr>
        <w:t>2.</w:t>
      </w:r>
      <w:r>
        <w:rPr>
          <w:rFonts w:hint="eastAsia"/>
          <w:color w:val="auto"/>
          <w:lang w:val="en-US" w:eastAsia="zh-CN"/>
        </w:rPr>
        <w:t>9</w:t>
      </w:r>
      <w:r>
        <w:rPr>
          <w:rFonts w:hint="eastAsia" w:ascii="Times New Roman" w:hAnsi="Times New Roman"/>
          <w:color w:val="auto"/>
          <w:lang w:val="en-US" w:eastAsia="zh-CN"/>
        </w:rPr>
        <w:t>.2供配电</w:t>
      </w:r>
      <w:bookmarkEnd w:id="42"/>
    </w:p>
    <w:p w14:paraId="338EA9E7">
      <w:pPr>
        <w:numPr>
          <w:ilvl w:val="0"/>
          <w:numId w:val="0"/>
        </w:numPr>
        <w:spacing w:line="360" w:lineRule="auto"/>
        <w:ind w:firstLine="560" w:firstLineChars="200"/>
        <w:jc w:val="left"/>
        <w:rPr>
          <w:rFonts w:hint="eastAsia"/>
          <w:color w:val="auto"/>
          <w:lang w:val="en-US" w:eastAsia="zh-CN"/>
        </w:rPr>
      </w:pPr>
      <w:r>
        <w:rPr>
          <w:rFonts w:hint="eastAsia" w:ascii="Times New Roman" w:hAnsi="Times New Roman" w:eastAsia="宋体" w:cs="Times New Roman"/>
          <w:color w:val="auto"/>
          <w:kern w:val="2"/>
          <w:sz w:val="28"/>
          <w:szCs w:val="28"/>
          <w:lang w:val="en-US" w:eastAsia="zh-CN" w:bidi="ar-SA"/>
        </w:rPr>
        <w:t>1.</w:t>
      </w:r>
      <w:r>
        <w:rPr>
          <w:rFonts w:hint="eastAsia"/>
          <w:color w:val="auto"/>
          <w:lang w:val="en-US" w:eastAsia="zh-CN"/>
        </w:rPr>
        <w:t>厂区电源</w:t>
      </w:r>
    </w:p>
    <w:p w14:paraId="5DEBDEC0">
      <w:pPr>
        <w:numPr>
          <w:ilvl w:val="0"/>
          <w:numId w:val="0"/>
        </w:numPr>
        <w:spacing w:line="360" w:lineRule="auto"/>
        <w:ind w:firstLine="560" w:firstLineChars="200"/>
        <w:jc w:val="left"/>
        <w:rPr>
          <w:rFonts w:hint="eastAsia"/>
          <w:color w:val="auto"/>
          <w:lang w:eastAsia="zh-CN"/>
        </w:rPr>
      </w:pPr>
      <w:r>
        <w:rPr>
          <w:rFonts w:hint="eastAsia"/>
          <w:color w:val="auto"/>
        </w:rPr>
        <w:t>电源有三路，两路来自瑞昌市码头变电站220</w:t>
      </w:r>
      <w:r>
        <w:rPr>
          <w:rFonts w:hint="eastAsia"/>
          <w:color w:val="auto"/>
          <w:lang w:val="en-US" w:eastAsia="zh-CN"/>
        </w:rPr>
        <w:t>k</w:t>
      </w:r>
      <w:r>
        <w:rPr>
          <w:rFonts w:hint="eastAsia"/>
          <w:color w:val="auto"/>
        </w:rPr>
        <w:t>V双回路独立电源（主供电源），第三路来自瑞昌市裕丰变电站110</w:t>
      </w:r>
      <w:r>
        <w:rPr>
          <w:rFonts w:hint="eastAsia"/>
          <w:color w:val="auto"/>
          <w:lang w:val="en-US" w:eastAsia="zh-CN"/>
        </w:rPr>
        <w:t>k</w:t>
      </w:r>
      <w:r>
        <w:rPr>
          <w:rFonts w:hint="eastAsia"/>
          <w:color w:val="auto"/>
        </w:rPr>
        <w:t>V单回路独立电源（保安电源）。脱硫装置用电在现有厂用电中协调解决</w:t>
      </w:r>
      <w:r>
        <w:rPr>
          <w:rFonts w:hint="eastAsia"/>
          <w:color w:val="auto"/>
          <w:lang w:eastAsia="zh-CN"/>
        </w:rPr>
        <w:t>。</w:t>
      </w:r>
    </w:p>
    <w:p w14:paraId="1ED372DC">
      <w:pPr>
        <w:bidi w:val="0"/>
        <w:rPr>
          <w:color w:val="auto"/>
        </w:rPr>
      </w:pPr>
      <w:r>
        <w:rPr>
          <w:rFonts w:hint="eastAsia"/>
          <w:color w:val="auto"/>
        </w:rPr>
        <w:t>五</w:t>
      </w:r>
      <w:r>
        <w:rPr>
          <w:rFonts w:hint="eastAsia"/>
          <w:color w:val="auto"/>
          <w:lang w:eastAsia="zh-CN"/>
        </w:rPr>
        <w:t>、</w:t>
      </w:r>
      <w:r>
        <w:rPr>
          <w:rFonts w:hint="eastAsia"/>
          <w:color w:val="auto"/>
        </w:rPr>
        <w:t>六号脱硫系统</w:t>
      </w:r>
      <w:r>
        <w:rPr>
          <w:rFonts w:hint="eastAsia"/>
          <w:color w:val="auto"/>
          <w:lang w:val="en-US" w:eastAsia="zh-CN"/>
        </w:rPr>
        <w:t>各自由</w:t>
      </w:r>
      <w:r>
        <w:rPr>
          <w:rFonts w:hint="eastAsia"/>
          <w:color w:val="auto"/>
        </w:rPr>
        <w:t>独立电源</w:t>
      </w:r>
      <w:r>
        <w:rPr>
          <w:rFonts w:hint="eastAsia"/>
          <w:color w:val="auto"/>
          <w:lang w:val="en-US" w:eastAsia="zh-CN"/>
        </w:rPr>
        <w:t>供电，</w:t>
      </w:r>
      <w:r>
        <w:rPr>
          <w:rFonts w:hint="eastAsia"/>
          <w:color w:val="auto"/>
        </w:rPr>
        <w:t>高压电源分别来自五、六号预热机高压配电室</w:t>
      </w:r>
      <w:r>
        <w:rPr>
          <w:rFonts w:hint="eastAsia"/>
          <w:color w:val="auto"/>
          <w:lang w:val="en-US" w:eastAsia="zh-CN"/>
        </w:rPr>
        <w:t>，并新增独立高压电源柜</w:t>
      </w:r>
      <w:r>
        <w:rPr>
          <w:rFonts w:hint="eastAsia"/>
          <w:color w:val="auto"/>
        </w:rPr>
        <w:t>，脱硫区</w:t>
      </w:r>
      <w:r>
        <w:rPr>
          <w:rFonts w:hint="eastAsia"/>
          <w:color w:val="auto"/>
          <w:lang w:val="en-US" w:eastAsia="zh-CN"/>
        </w:rPr>
        <w:t>配电室</w:t>
      </w:r>
      <w:r>
        <w:rPr>
          <w:rFonts w:hint="eastAsia"/>
          <w:color w:val="auto"/>
        </w:rPr>
        <w:t>设高压开关柜。</w:t>
      </w:r>
    </w:p>
    <w:p w14:paraId="615D7D6B">
      <w:pPr>
        <w:spacing w:line="360" w:lineRule="auto"/>
        <w:ind w:firstLine="560" w:firstLineChars="200"/>
        <w:jc w:val="left"/>
        <w:rPr>
          <w:rFonts w:hint="eastAsia" w:ascii="Times New Roman" w:hAnsi="Times New Roman" w:eastAsia="宋体" w:cs="Times New Roman"/>
          <w:color w:val="auto"/>
        </w:rPr>
      </w:pPr>
      <w:r>
        <w:rPr>
          <w:rFonts w:hint="eastAsia"/>
          <w:color w:val="auto"/>
          <w:lang w:val="en-US" w:eastAsia="zh-CN"/>
        </w:rPr>
        <w:t>脱硫区配电室</w:t>
      </w:r>
      <w:r>
        <w:rPr>
          <w:rFonts w:hint="eastAsia"/>
          <w:color w:val="auto"/>
        </w:rPr>
        <w:t>的位置：</w:t>
      </w:r>
      <w:r>
        <w:rPr>
          <w:rFonts w:hint="eastAsia"/>
          <w:color w:val="auto"/>
          <w:highlight w:val="none"/>
        </w:rPr>
        <w:t>五号生产线脱硫装置西侧设置配电室，配电室旁设置</w:t>
      </w:r>
      <w:r>
        <w:rPr>
          <w:rFonts w:hint="eastAsia"/>
          <w:color w:val="auto"/>
          <w:highlight w:val="none"/>
          <w:lang w:val="en-US" w:eastAsia="zh-CN"/>
        </w:rPr>
        <w:t>两间</w:t>
      </w:r>
      <w:r>
        <w:rPr>
          <w:rFonts w:hint="eastAsia"/>
          <w:color w:val="auto"/>
          <w:highlight w:val="none"/>
        </w:rPr>
        <w:t>变压器室，</w:t>
      </w:r>
      <w:r>
        <w:rPr>
          <w:rFonts w:hint="eastAsia"/>
          <w:color w:val="auto"/>
          <w:highlight w:val="none"/>
          <w:lang w:val="en-US" w:eastAsia="zh-CN"/>
        </w:rPr>
        <w:t>分别</w:t>
      </w:r>
      <w:r>
        <w:rPr>
          <w:rFonts w:hint="eastAsia"/>
          <w:color w:val="auto"/>
          <w:highlight w:val="none"/>
        </w:rPr>
        <w:t>用于放置五</w:t>
      </w:r>
      <w:r>
        <w:rPr>
          <w:rFonts w:hint="eastAsia"/>
          <w:color w:val="auto"/>
        </w:rPr>
        <w:t>号生产线脱硫装置</w:t>
      </w:r>
      <w:r>
        <w:rPr>
          <w:rFonts w:hint="eastAsia" w:ascii="Times New Roman" w:hAnsi="Times New Roman" w:eastAsia="宋体" w:cs="Times New Roman"/>
          <w:color w:val="auto"/>
          <w:lang w:val="en-US" w:eastAsia="zh-CN"/>
        </w:rPr>
        <w:t>新增的</w:t>
      </w:r>
      <w:r>
        <w:rPr>
          <w:rFonts w:hint="eastAsia" w:ascii="Times New Roman" w:hAnsi="Times New Roman" w:eastAsia="宋体" w:cs="Times New Roman"/>
          <w:color w:val="auto"/>
        </w:rPr>
        <w:t>S11-1000/6油浸式变压器</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一台</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和</w:t>
      </w:r>
      <w:r>
        <w:rPr>
          <w:rFonts w:hint="eastAsia"/>
          <w:color w:val="auto"/>
        </w:rPr>
        <w:t>六号生产线脱硫装置</w:t>
      </w:r>
      <w:r>
        <w:rPr>
          <w:rFonts w:hint="eastAsia" w:ascii="Times New Roman" w:hAnsi="Times New Roman" w:eastAsia="宋体" w:cs="Times New Roman"/>
          <w:color w:val="auto"/>
          <w:lang w:val="en-US" w:eastAsia="zh-CN"/>
        </w:rPr>
        <w:t>新增的</w:t>
      </w:r>
      <w:r>
        <w:rPr>
          <w:rFonts w:hint="eastAsia" w:ascii="Times New Roman" w:hAnsi="Times New Roman" w:eastAsia="宋体" w:cs="Times New Roman"/>
          <w:color w:val="auto"/>
        </w:rPr>
        <w:t>S11-500/6油浸式变压器</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一台</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w:t>
      </w:r>
    </w:p>
    <w:p w14:paraId="51258F85">
      <w:pPr>
        <w:spacing w:line="360" w:lineRule="auto"/>
        <w:ind w:firstLine="560" w:firstLineChars="200"/>
        <w:jc w:val="left"/>
        <w:rPr>
          <w:rFonts w:hint="eastAsia" w:eastAsia="宋体"/>
          <w:color w:val="auto"/>
          <w:lang w:eastAsia="zh-CN"/>
        </w:rPr>
      </w:pPr>
      <w:r>
        <w:rPr>
          <w:rFonts w:hint="eastAsia"/>
          <w:color w:val="auto"/>
        </w:rPr>
        <w:t>电压等级：采用380/220V低压配电系统。</w:t>
      </w:r>
    </w:p>
    <w:p w14:paraId="56B1B9DF">
      <w:pPr>
        <w:spacing w:line="360" w:lineRule="auto"/>
        <w:ind w:firstLine="560" w:firstLineChars="200"/>
        <w:jc w:val="left"/>
        <w:rPr>
          <w:rFonts w:hint="eastAsia"/>
          <w:color w:val="auto"/>
        </w:rPr>
      </w:pPr>
      <w:r>
        <w:rPr>
          <w:rFonts w:hint="eastAsia"/>
          <w:color w:val="auto"/>
        </w:rPr>
        <w:t>年供电量：7.48×10</w:t>
      </w:r>
      <w:r>
        <w:rPr>
          <w:rFonts w:hint="eastAsia"/>
          <w:color w:val="auto"/>
          <w:vertAlign w:val="superscript"/>
        </w:rPr>
        <w:t>6</w:t>
      </w:r>
      <w:r>
        <w:rPr>
          <w:rFonts w:hint="eastAsia"/>
          <w:color w:val="auto"/>
        </w:rPr>
        <w:t>kW·h。</w:t>
      </w:r>
    </w:p>
    <w:p w14:paraId="1DE2F992">
      <w:pPr>
        <w:numPr>
          <w:ilvl w:val="0"/>
          <w:numId w:val="0"/>
        </w:numPr>
        <w:bidi w:val="0"/>
        <w:ind w:firstLine="560" w:firstLineChars="200"/>
        <w:rPr>
          <w:rFonts w:hint="eastAsia"/>
          <w:color w:val="auto"/>
        </w:rPr>
      </w:pPr>
      <w:r>
        <w:rPr>
          <w:rFonts w:hint="eastAsia" w:ascii="Times New Roman" w:hAnsi="Times New Roman" w:eastAsia="宋体" w:cs="Times New Roman"/>
          <w:color w:val="auto"/>
          <w:kern w:val="2"/>
          <w:sz w:val="28"/>
          <w:szCs w:val="28"/>
          <w:lang w:val="en-US" w:eastAsia="zh-CN" w:bidi="ar-SA"/>
        </w:rPr>
        <w:t>2</w:t>
      </w:r>
      <w:r>
        <w:rPr>
          <w:rFonts w:hint="eastAsia" w:cs="Times New Roman"/>
          <w:color w:val="auto"/>
          <w:kern w:val="2"/>
          <w:sz w:val="28"/>
          <w:szCs w:val="28"/>
          <w:lang w:val="en-US" w:eastAsia="zh-CN" w:bidi="ar-SA"/>
        </w:rPr>
        <w:t>.</w:t>
      </w:r>
      <w:r>
        <w:rPr>
          <w:rFonts w:hint="eastAsia"/>
          <w:color w:val="auto"/>
        </w:rPr>
        <w:t>用电负荷</w:t>
      </w:r>
    </w:p>
    <w:p w14:paraId="0910BF9D">
      <w:pPr>
        <w:numPr>
          <w:ilvl w:val="0"/>
          <w:numId w:val="0"/>
        </w:numPr>
        <w:bidi w:val="0"/>
        <w:ind w:firstLine="560" w:firstLineChars="200"/>
        <w:rPr>
          <w:rFonts w:hint="eastAsia"/>
          <w:color w:val="auto"/>
        </w:rPr>
      </w:pPr>
      <w:r>
        <w:rPr>
          <w:rFonts w:hint="eastAsia"/>
          <w:color w:val="auto"/>
          <w:lang w:val="en-US" w:eastAsia="zh-CN"/>
        </w:rPr>
        <w:t>本项目</w:t>
      </w:r>
      <w:r>
        <w:rPr>
          <w:rFonts w:hint="eastAsia"/>
          <w:color w:val="auto"/>
        </w:rPr>
        <w:t>火灾自动报警系统、</w:t>
      </w:r>
      <w:r>
        <w:rPr>
          <w:rFonts w:hint="eastAsia"/>
          <w:color w:val="auto"/>
          <w:lang w:val="en-US" w:eastAsia="zh-CN"/>
        </w:rPr>
        <w:t>应急</w:t>
      </w:r>
      <w:r>
        <w:rPr>
          <w:rFonts w:hint="eastAsia"/>
          <w:color w:val="auto"/>
        </w:rPr>
        <w:t>照明等属于二级用电负荷，其余</w:t>
      </w:r>
      <w:r>
        <w:rPr>
          <w:rFonts w:hint="eastAsia"/>
          <w:color w:val="auto"/>
          <w:lang w:val="en-US" w:eastAsia="zh-CN"/>
        </w:rPr>
        <w:t>为</w:t>
      </w:r>
      <w:r>
        <w:rPr>
          <w:rFonts w:hint="eastAsia"/>
          <w:color w:val="auto"/>
        </w:rPr>
        <w:t>三级用电负荷。火灾自动报警系统由本公司</w:t>
      </w:r>
      <w:r>
        <w:rPr>
          <w:rFonts w:hint="eastAsia"/>
          <w:color w:val="auto"/>
          <w:lang w:val="en-US"/>
        </w:rPr>
        <w:t>原有的</w:t>
      </w:r>
      <w:r>
        <w:rPr>
          <w:rFonts w:hint="eastAsia"/>
          <w:color w:val="auto"/>
        </w:rPr>
        <w:t>UPS不间断电源提供备用电源，应急照明由应急照明灯具自带的蓄电池提供备用电源</w:t>
      </w:r>
      <w:r>
        <w:rPr>
          <w:rFonts w:hint="eastAsia"/>
          <w:color w:val="auto"/>
          <w:lang w:eastAsia="zh-CN"/>
        </w:rPr>
        <w:t>，</w:t>
      </w:r>
      <w:r>
        <w:rPr>
          <w:rFonts w:hint="eastAsia"/>
          <w:color w:val="auto"/>
          <w:lang w:val="en-US" w:eastAsia="zh-CN"/>
        </w:rPr>
        <w:t>持续工作时间不小于30min</w:t>
      </w:r>
      <w:r>
        <w:rPr>
          <w:rFonts w:hint="eastAsia"/>
          <w:color w:val="auto"/>
        </w:rPr>
        <w:t>。</w:t>
      </w:r>
    </w:p>
    <w:p w14:paraId="7C02C85C">
      <w:pPr>
        <w:numPr>
          <w:ilvl w:val="0"/>
          <w:numId w:val="0"/>
        </w:numPr>
        <w:bidi w:val="0"/>
        <w:ind w:firstLine="560" w:firstLineChars="200"/>
        <w:rPr>
          <w:rFonts w:hint="eastAsia"/>
          <w:color w:val="auto"/>
        </w:rPr>
      </w:pPr>
      <w:r>
        <w:rPr>
          <w:rFonts w:hint="eastAsia"/>
          <w:color w:val="auto"/>
        </w:rPr>
        <w:t>3</w:t>
      </w:r>
      <w:r>
        <w:rPr>
          <w:rFonts w:hint="eastAsia"/>
          <w:color w:val="auto"/>
          <w:lang w:val="en-US" w:eastAsia="zh-CN"/>
        </w:rPr>
        <w:t>.</w:t>
      </w:r>
      <w:r>
        <w:rPr>
          <w:rFonts w:hint="eastAsia"/>
          <w:color w:val="auto"/>
        </w:rPr>
        <w:t>输电线路</w:t>
      </w:r>
    </w:p>
    <w:p w14:paraId="2173B34B">
      <w:pPr>
        <w:numPr>
          <w:ilvl w:val="0"/>
          <w:numId w:val="0"/>
        </w:numPr>
        <w:bidi w:val="0"/>
        <w:ind w:firstLine="560" w:firstLineChars="200"/>
        <w:rPr>
          <w:rFonts w:hint="eastAsia"/>
          <w:color w:val="auto"/>
        </w:rPr>
      </w:pPr>
      <w:r>
        <w:rPr>
          <w:rFonts w:hint="eastAsia"/>
          <w:color w:val="auto"/>
        </w:rPr>
        <w:t>所有动力电缆及控制电缆均采用铜芯电缆。</w:t>
      </w:r>
    </w:p>
    <w:p w14:paraId="15228087">
      <w:pPr>
        <w:numPr>
          <w:ilvl w:val="0"/>
          <w:numId w:val="0"/>
        </w:numPr>
        <w:bidi w:val="0"/>
        <w:ind w:firstLine="560" w:firstLineChars="200"/>
        <w:rPr>
          <w:rFonts w:hint="eastAsia"/>
          <w:color w:val="auto"/>
        </w:rPr>
      </w:pPr>
      <w:r>
        <w:rPr>
          <w:rFonts w:hint="eastAsia"/>
          <w:color w:val="auto"/>
        </w:rPr>
        <w:t>6kV电力电缆采用YJV-8.7/10kV、YJV-8.7/10kV交联聚氯乙烯绝缘电缆，低压电力电缆采用YJV-0.6/1kV交联聚氯乙烯绝缘电力电缆，控制电缆采用</w:t>
      </w:r>
      <w:r>
        <w:rPr>
          <w:rFonts w:hint="eastAsia"/>
          <w:color w:val="auto"/>
          <w:lang w:val="en-US" w:eastAsia="zh-CN"/>
        </w:rPr>
        <w:t>K</w:t>
      </w:r>
      <w:r>
        <w:rPr>
          <w:rFonts w:hint="eastAsia"/>
          <w:color w:val="auto"/>
        </w:rPr>
        <w:t>VV-300铜芯电缆。</w:t>
      </w:r>
    </w:p>
    <w:p w14:paraId="5FC8E972">
      <w:pPr>
        <w:numPr>
          <w:ilvl w:val="0"/>
          <w:numId w:val="0"/>
        </w:numPr>
        <w:bidi w:val="0"/>
        <w:ind w:firstLine="560" w:firstLineChars="200"/>
        <w:rPr>
          <w:rFonts w:hint="eastAsia"/>
          <w:color w:val="auto"/>
        </w:rPr>
      </w:pPr>
      <w:r>
        <w:rPr>
          <w:rFonts w:hint="eastAsia"/>
          <w:color w:val="auto"/>
        </w:rPr>
        <w:t>厂区室外电缆敷设采用室外电缆桥架及电缆沟相结合的敷设方式；室内采用电缆桥架敷设方式。</w:t>
      </w:r>
    </w:p>
    <w:p w14:paraId="1A24C8A8">
      <w:pPr>
        <w:numPr>
          <w:ilvl w:val="0"/>
          <w:numId w:val="0"/>
        </w:numPr>
        <w:bidi w:val="0"/>
        <w:ind w:firstLine="560" w:firstLineChars="200"/>
        <w:rPr>
          <w:rFonts w:hint="eastAsia"/>
          <w:color w:val="auto"/>
        </w:rPr>
      </w:pPr>
      <w:r>
        <w:rPr>
          <w:rFonts w:hint="eastAsia"/>
          <w:color w:val="auto"/>
        </w:rPr>
        <w:t>4</w:t>
      </w:r>
      <w:r>
        <w:rPr>
          <w:rFonts w:hint="eastAsia"/>
          <w:color w:val="auto"/>
          <w:lang w:val="en-US" w:eastAsia="zh-CN"/>
        </w:rPr>
        <w:t>.</w:t>
      </w:r>
      <w:r>
        <w:rPr>
          <w:rFonts w:hint="eastAsia"/>
          <w:color w:val="auto"/>
        </w:rPr>
        <w:t>照明</w:t>
      </w:r>
    </w:p>
    <w:p w14:paraId="39DBA471">
      <w:pPr>
        <w:numPr>
          <w:ilvl w:val="0"/>
          <w:numId w:val="0"/>
        </w:numPr>
        <w:bidi w:val="0"/>
        <w:ind w:firstLine="560" w:firstLineChars="200"/>
        <w:rPr>
          <w:rFonts w:hint="eastAsia"/>
          <w:color w:val="auto"/>
        </w:rPr>
      </w:pPr>
      <w:r>
        <w:rPr>
          <w:rFonts w:hint="eastAsia"/>
          <w:color w:val="auto"/>
        </w:rPr>
        <w:t>依据各工段的环境及生产对照度的不同要求，配合选用合适的灯具和光源。</w:t>
      </w:r>
    </w:p>
    <w:p w14:paraId="420EC503">
      <w:pPr>
        <w:numPr>
          <w:ilvl w:val="0"/>
          <w:numId w:val="0"/>
        </w:numPr>
        <w:bidi w:val="0"/>
        <w:ind w:firstLine="560" w:firstLineChars="200"/>
        <w:rPr>
          <w:rFonts w:hint="eastAsia"/>
          <w:color w:val="auto"/>
          <w:lang w:eastAsia="zh-CN"/>
        </w:rPr>
      </w:pPr>
      <w:r>
        <w:rPr>
          <w:rFonts w:hint="eastAsia"/>
          <w:color w:val="auto"/>
        </w:rPr>
        <w:t>厂区道路照明以马路灯为主。路灯照明灯选用普通道路灯</w:t>
      </w:r>
      <w:r>
        <w:rPr>
          <w:rFonts w:hint="eastAsia"/>
          <w:color w:val="auto"/>
          <w:lang w:eastAsia="zh-CN"/>
        </w:rPr>
        <w:t>。</w:t>
      </w:r>
    </w:p>
    <w:p w14:paraId="574746FA">
      <w:pPr>
        <w:numPr>
          <w:ilvl w:val="0"/>
          <w:numId w:val="0"/>
        </w:numPr>
        <w:bidi w:val="0"/>
        <w:ind w:firstLine="560" w:firstLineChars="200"/>
        <w:rPr>
          <w:color w:val="auto"/>
        </w:rPr>
      </w:pPr>
      <w:r>
        <w:rPr>
          <w:color w:val="auto"/>
        </w:rPr>
        <w:t>在厂房内的生产场所及疏散走道等处设置疏散照明，其照度不低于1.0lx</w:t>
      </w:r>
      <w:r>
        <w:rPr>
          <w:rFonts w:hint="eastAsia"/>
          <w:color w:val="auto"/>
          <w:lang w:eastAsia="zh-CN"/>
        </w:rPr>
        <w:t>；</w:t>
      </w:r>
      <w:r>
        <w:rPr>
          <w:color w:val="auto"/>
        </w:rPr>
        <w:t>人员密集的生产场所，不低于3.0lx。</w:t>
      </w:r>
    </w:p>
    <w:p w14:paraId="5DCFD08A">
      <w:pPr>
        <w:numPr>
          <w:ilvl w:val="0"/>
          <w:numId w:val="0"/>
        </w:numPr>
        <w:bidi w:val="0"/>
        <w:ind w:firstLine="560" w:firstLineChars="200"/>
        <w:rPr>
          <w:rFonts w:hint="eastAsia"/>
          <w:color w:val="auto"/>
        </w:rPr>
      </w:pPr>
      <w:r>
        <w:rPr>
          <w:rFonts w:hint="eastAsia"/>
          <w:color w:val="auto"/>
        </w:rPr>
        <w:t>5</w:t>
      </w:r>
      <w:r>
        <w:rPr>
          <w:rFonts w:hint="eastAsia"/>
          <w:color w:val="auto"/>
          <w:lang w:val="en-US" w:eastAsia="zh-CN"/>
        </w:rPr>
        <w:t>.</w:t>
      </w:r>
      <w:r>
        <w:rPr>
          <w:rFonts w:hint="eastAsia"/>
          <w:color w:val="auto"/>
        </w:rPr>
        <w:t>防雷接地</w:t>
      </w:r>
    </w:p>
    <w:p w14:paraId="20BA7049">
      <w:pPr>
        <w:spacing w:line="360" w:lineRule="auto"/>
        <w:ind w:firstLine="560" w:firstLineChars="200"/>
        <w:rPr>
          <w:color w:val="auto"/>
          <w:lang w:val="zh-CN"/>
        </w:rPr>
      </w:pPr>
      <w:r>
        <w:rPr>
          <w:color w:val="auto"/>
          <w:lang w:val="zh-CN"/>
        </w:rPr>
        <w:t>为了防止雷击过电压、操作过电压，在各级配电系统中均设过电压保护器和浪涌保护器。</w:t>
      </w:r>
    </w:p>
    <w:p w14:paraId="6EBDEA9B">
      <w:pPr>
        <w:numPr>
          <w:ilvl w:val="0"/>
          <w:numId w:val="0"/>
        </w:numPr>
        <w:bidi w:val="0"/>
        <w:ind w:firstLine="560" w:firstLineChars="200"/>
        <w:rPr>
          <w:rFonts w:hint="eastAsia"/>
          <w:color w:val="auto"/>
        </w:rPr>
      </w:pPr>
      <w:r>
        <w:rPr>
          <w:rFonts w:hint="eastAsia"/>
          <w:color w:val="auto"/>
        </w:rPr>
        <w:t>本项目配电间属三类防雷建筑物，屋面设接闪带，金属设备、构件及管道构架等构件与接地装置相连以防直击雷。将各装置低压电源电缆金属外皮接地以防雷电波入侵。各装置的防雷接地，防静电接地及电气设备接地等共接地网，接地电阻小于4欧姆。</w:t>
      </w:r>
    </w:p>
    <w:p w14:paraId="7D6B2D15">
      <w:pPr>
        <w:numPr>
          <w:ilvl w:val="0"/>
          <w:numId w:val="0"/>
        </w:numPr>
        <w:bidi w:val="0"/>
        <w:ind w:firstLine="560" w:firstLineChars="200"/>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建筑物采取低压电缆埋地入户，入户端电缆金属外皮（套管）接地，电缆与架空线连接处装设接闪器，且</w:t>
      </w:r>
      <w:r>
        <w:rPr>
          <w:rFonts w:hint="eastAsia" w:cs="Times New Roman"/>
          <w:color w:val="auto"/>
          <w:lang w:val="en-US" w:eastAsia="zh-CN"/>
        </w:rPr>
        <w:t>接闪器</w:t>
      </w:r>
      <w:r>
        <w:rPr>
          <w:rFonts w:hint="eastAsia" w:ascii="Times New Roman" w:hAnsi="Times New Roman" w:eastAsia="宋体" w:cs="Times New Roman"/>
          <w:color w:val="auto"/>
          <w:lang w:val="zh-CN"/>
        </w:rPr>
        <w:t>与金属外皮（套管）和绝缘子铁脚连在一起接地（冲击电阻不大于30欧姆）；直埋架空金属管道入户处接到防雷、电气设备接地装置上；同时采取等电位连接接地。</w:t>
      </w:r>
    </w:p>
    <w:p w14:paraId="1506F99F">
      <w:pPr>
        <w:adjustRightInd w:val="0"/>
        <w:snapToGrid w:val="0"/>
        <w:spacing w:line="360" w:lineRule="auto"/>
        <w:ind w:firstLine="560" w:firstLineChars="200"/>
        <w:rPr>
          <w:bCs/>
          <w:color w:val="auto"/>
          <w:lang w:val="zh-CN"/>
        </w:rPr>
      </w:pPr>
      <w:r>
        <w:rPr>
          <w:bCs/>
          <w:color w:val="auto"/>
          <w:lang w:val="zh-CN"/>
        </w:rPr>
        <w:t>所有设备上的电机均利用专用PE线作接地线。室外设备的金属外壳均与接地干线作可靠连接。在主配电柜和配电箱进线处设置相应等级的电涌保护器，在信息系统进线处设置信号电涌保护器，可以有效防止雷电波侵入。</w:t>
      </w:r>
    </w:p>
    <w:p w14:paraId="7B8D600E">
      <w:pPr>
        <w:adjustRightInd w:val="0"/>
        <w:snapToGrid w:val="0"/>
        <w:spacing w:line="360" w:lineRule="auto"/>
        <w:ind w:firstLine="560" w:firstLineChars="200"/>
        <w:rPr>
          <w:bCs/>
          <w:color w:val="auto"/>
          <w:lang w:val="zh-CN"/>
        </w:rPr>
      </w:pPr>
      <w:r>
        <w:rPr>
          <w:rFonts w:hint="eastAsia"/>
          <w:color w:val="auto"/>
          <w:lang w:val="en-US" w:eastAsia="zh-CN"/>
        </w:rPr>
        <w:t>九江市蓝天科技有限公司出具了本项目的防雷检测报告，报告编号:1152017003雷检字[2024]02061，检测结果均为合格，检测日期为2024年5月13日，报告有效期至2025年5月19日。</w:t>
      </w:r>
    </w:p>
    <w:p w14:paraId="62B12D0C">
      <w:pPr>
        <w:pStyle w:val="4"/>
        <w:bidi w:val="0"/>
        <w:rPr>
          <w:rFonts w:hint="eastAsia"/>
          <w:color w:val="auto"/>
        </w:rPr>
      </w:pPr>
      <w:bookmarkStart w:id="43" w:name="_Toc6187"/>
      <w:r>
        <w:rPr>
          <w:rFonts w:hint="eastAsia"/>
          <w:color w:val="auto"/>
          <w:lang w:val="en-US" w:eastAsia="zh-CN"/>
        </w:rPr>
        <w:t>2.9.3</w:t>
      </w:r>
      <w:r>
        <w:rPr>
          <w:rFonts w:hint="eastAsia"/>
          <w:color w:val="auto"/>
        </w:rPr>
        <w:t>自动化及控制系统</w:t>
      </w:r>
      <w:bookmarkEnd w:id="43"/>
    </w:p>
    <w:p w14:paraId="54466305">
      <w:pPr>
        <w:bidi w:val="0"/>
        <w:rPr>
          <w:rFonts w:hint="default"/>
          <w:color w:val="auto"/>
          <w:lang w:val="en-US" w:eastAsia="zh-CN"/>
        </w:rPr>
      </w:pPr>
      <w:r>
        <w:rPr>
          <w:rFonts w:hint="eastAsia"/>
          <w:color w:val="auto"/>
          <w:lang w:val="en-US" w:eastAsia="zh-CN"/>
        </w:rPr>
        <w:t>1.DCS控制系统</w:t>
      </w:r>
    </w:p>
    <w:p w14:paraId="41D9A517">
      <w:pPr>
        <w:bidi w:val="0"/>
        <w:rPr>
          <w:rFonts w:hint="eastAsia"/>
          <w:color w:val="auto"/>
        </w:rPr>
      </w:pPr>
      <w:r>
        <w:rPr>
          <w:rFonts w:hint="eastAsia"/>
          <w:color w:val="auto"/>
        </w:rPr>
        <w:t>本项目脱硫系统采用DCS计算机中央集散控制系统进行控制。</w:t>
      </w:r>
    </w:p>
    <w:p w14:paraId="6ACC1EB4">
      <w:pPr>
        <w:bidi w:val="0"/>
        <w:rPr>
          <w:color w:val="auto"/>
        </w:rPr>
      </w:pPr>
      <w:r>
        <w:rPr>
          <w:color w:val="auto"/>
        </w:rPr>
        <w:t>DCS自动控制系统采用各种测量仪表仪器采集现场压力、温度、浓度、流量等现场生产数据，实现了整个烟气脱硫过程及运行工况的监测与控制，能够根据现场监测数据完成对脱硫过程的自动控制，能够保证工艺系统的安全、正常运行，提高脱硫机组的自动化水平，维持主要参数正常运行</w:t>
      </w:r>
      <w:r>
        <w:rPr>
          <w:rFonts w:hint="eastAsia"/>
          <w:color w:val="auto"/>
        </w:rPr>
        <w:t>。</w:t>
      </w:r>
    </w:p>
    <w:p w14:paraId="7376A1FF">
      <w:pPr>
        <w:bidi w:val="0"/>
        <w:rPr>
          <w:color w:val="auto"/>
        </w:rPr>
      </w:pPr>
      <w:r>
        <w:rPr>
          <w:color w:val="auto"/>
        </w:rPr>
        <w:t>DCS自动控制系统对脱硫设施的实时监控数据和运行状态数据进行采集、传输、存储、分析和统计，对脱硫系统运行异常进行实时预警、处置和汇总。</w:t>
      </w:r>
    </w:p>
    <w:p w14:paraId="758C2822">
      <w:pPr>
        <w:bidi w:val="0"/>
        <w:rPr>
          <w:rFonts w:hint="eastAsia"/>
          <w:color w:val="auto"/>
        </w:rPr>
      </w:pPr>
      <w:r>
        <w:rPr>
          <w:rFonts w:hint="eastAsia"/>
          <w:color w:val="auto"/>
        </w:rPr>
        <w:t>脱硫DCS自动控制系统可实现自动检测和调整pH值及各种浓度的石灰制浆及钠碱自动配制、自动计算并控制石灰乳及碱液投加量，石膏处理控制系统；记录脱硫设施主要设备运行和维护情况，机组负荷、烟气温度、烟气流量、增压风机电流和叶片开启度、烟气旁路开启度、脱硫岛pH值、碱液及石灰浆液投加量以及烟气进口和出口二氧化硫、烟尘、氮氧化物浓度以及旁路烟道的烟气温度和流量等参数。</w:t>
      </w:r>
    </w:p>
    <w:p w14:paraId="20119B77">
      <w:pPr>
        <w:bidi w:val="0"/>
        <w:rPr>
          <w:rFonts w:hint="eastAsia"/>
          <w:color w:val="auto"/>
        </w:rPr>
      </w:pPr>
      <w:r>
        <w:rPr>
          <w:rFonts w:hint="eastAsia"/>
          <w:color w:val="auto"/>
        </w:rPr>
        <w:t>自动控制系统的主要控制点包括泵、风机、挡板门、搅拌机等电机的就地、远程控制。</w:t>
      </w:r>
    </w:p>
    <w:p w14:paraId="44ABC9EF">
      <w:pPr>
        <w:bidi w:val="0"/>
        <w:rPr>
          <w:rFonts w:hint="eastAsia"/>
          <w:color w:val="auto"/>
        </w:rPr>
      </w:pPr>
      <w:r>
        <w:rPr>
          <w:rFonts w:hint="eastAsia"/>
          <w:color w:val="auto"/>
        </w:rPr>
        <w:t>一、烟气系统：</w:t>
      </w:r>
    </w:p>
    <w:p w14:paraId="50E59EE0">
      <w:pPr>
        <w:bidi w:val="0"/>
        <w:rPr>
          <w:rFonts w:hint="eastAsia"/>
          <w:color w:val="auto"/>
        </w:rPr>
      </w:pPr>
      <w:r>
        <w:rPr>
          <w:rFonts w:hint="eastAsia"/>
          <w:color w:val="auto"/>
        </w:rPr>
        <w:t>1</w:t>
      </w:r>
      <w:r>
        <w:rPr>
          <w:rFonts w:hint="eastAsia"/>
          <w:color w:val="auto"/>
          <w:lang w:val="en-US" w:eastAsia="zh-CN"/>
        </w:rPr>
        <w:t>)</w:t>
      </w:r>
      <w:r>
        <w:rPr>
          <w:rFonts w:hint="eastAsia"/>
          <w:color w:val="auto"/>
        </w:rPr>
        <w:t>4个循环泵均未运行，启动烟道事故喷淋冷却水控制阀（3个）。</w:t>
      </w:r>
    </w:p>
    <w:p w14:paraId="5274390A">
      <w:pPr>
        <w:bidi w:val="0"/>
        <w:rPr>
          <w:rFonts w:hint="eastAsia"/>
          <w:color w:val="auto"/>
        </w:rPr>
      </w:pPr>
      <w:r>
        <w:rPr>
          <w:rFonts w:hint="eastAsia"/>
          <w:color w:val="auto"/>
        </w:rPr>
        <w:t>2</w:t>
      </w:r>
      <w:r>
        <w:rPr>
          <w:rFonts w:hint="eastAsia"/>
          <w:color w:val="auto"/>
          <w:lang w:val="en-US" w:eastAsia="zh-CN"/>
        </w:rPr>
        <w:t>)</w:t>
      </w:r>
      <w:r>
        <w:rPr>
          <w:rFonts w:hint="eastAsia"/>
          <w:color w:val="auto"/>
        </w:rPr>
        <w:t>当T＞180℃，启动烟道事故喷淋冷却水控制阀（1个）；当T＞220℃启动烟道事故喷淋冷却水控制阀（2个）；当T＞250℃启动烟道事故喷淋冷却水控制阀（3个）。</w:t>
      </w:r>
    </w:p>
    <w:p w14:paraId="7CF17224">
      <w:pPr>
        <w:bidi w:val="0"/>
        <w:rPr>
          <w:rFonts w:hint="eastAsia"/>
          <w:color w:val="auto"/>
        </w:rPr>
      </w:pPr>
      <w:r>
        <w:rPr>
          <w:rFonts w:hint="eastAsia"/>
          <w:color w:val="auto"/>
        </w:rPr>
        <w:t>3</w:t>
      </w:r>
      <w:r>
        <w:rPr>
          <w:rFonts w:hint="eastAsia"/>
          <w:color w:val="auto"/>
          <w:lang w:val="en-US" w:eastAsia="zh-CN"/>
        </w:rPr>
        <w:t>)</w:t>
      </w:r>
      <w:r>
        <w:rPr>
          <w:rFonts w:hint="eastAsia"/>
          <w:color w:val="auto"/>
        </w:rPr>
        <w:t>当T＜160℃（延时10min）且至少有一台循环泵运行，停止烟道事故喷淋冷却水控制阀。</w:t>
      </w:r>
    </w:p>
    <w:p w14:paraId="69D88C66">
      <w:pPr>
        <w:bidi w:val="0"/>
        <w:rPr>
          <w:rFonts w:hint="eastAsia"/>
          <w:color w:val="auto"/>
        </w:rPr>
      </w:pPr>
      <w:r>
        <w:rPr>
          <w:rFonts w:hint="eastAsia"/>
          <w:color w:val="auto"/>
        </w:rPr>
        <w:t>4</w:t>
      </w:r>
      <w:r>
        <w:rPr>
          <w:rFonts w:hint="eastAsia"/>
          <w:color w:val="auto"/>
          <w:lang w:val="en-US" w:eastAsia="zh-CN"/>
        </w:rPr>
        <w:t>)</w:t>
      </w:r>
      <w:r>
        <w:rPr>
          <w:rFonts w:hint="eastAsia"/>
          <w:color w:val="auto"/>
        </w:rPr>
        <w:t>原烟道挡板开启必要条件：至少一台浆液循环泵已启动运行。</w:t>
      </w:r>
    </w:p>
    <w:p w14:paraId="6264820A">
      <w:pPr>
        <w:bidi w:val="0"/>
        <w:rPr>
          <w:rFonts w:hint="eastAsia"/>
          <w:color w:val="auto"/>
        </w:rPr>
      </w:pPr>
      <w:r>
        <w:rPr>
          <w:rFonts w:hint="eastAsia"/>
          <w:color w:val="auto"/>
        </w:rPr>
        <w:t>当塔出口温度T0大于一级设定值（70℃）时高限报警，大于二级设定值（80℃）时高高限报警；</w:t>
      </w:r>
    </w:p>
    <w:p w14:paraId="78ACDE10">
      <w:pPr>
        <w:bidi w:val="0"/>
        <w:rPr>
          <w:rFonts w:hint="eastAsia"/>
          <w:color w:val="auto"/>
        </w:rPr>
      </w:pPr>
      <w:r>
        <w:rPr>
          <w:rFonts w:hint="eastAsia"/>
          <w:color w:val="auto"/>
        </w:rPr>
        <w:t>当塔出口温度T0＞85℃延时5min发送信号给水泥线的PLC，PLC收到旁路烟道挡板全开信号后关闭原烟道挡板。</w:t>
      </w:r>
    </w:p>
    <w:p w14:paraId="40D47B14">
      <w:pPr>
        <w:bidi w:val="0"/>
        <w:rPr>
          <w:rFonts w:hint="eastAsia"/>
          <w:color w:val="auto"/>
        </w:rPr>
      </w:pPr>
      <w:r>
        <w:rPr>
          <w:rFonts w:hint="eastAsia"/>
          <w:color w:val="auto"/>
        </w:rPr>
        <w:t>5</w:t>
      </w:r>
      <w:r>
        <w:rPr>
          <w:rFonts w:hint="eastAsia"/>
          <w:color w:val="auto"/>
          <w:lang w:val="en-US" w:eastAsia="zh-CN"/>
        </w:rPr>
        <w:t>)</w:t>
      </w:r>
      <w:r>
        <w:rPr>
          <w:rFonts w:hint="eastAsia"/>
          <w:color w:val="auto"/>
        </w:rPr>
        <w:t>吸收塔出口温度＞75℃启动烟道事故喷淋冷却水控制阀（1个）；吸收塔出口温度＞80℃启动烟道事故喷淋冷却水控制阀（2个）；吸收塔出口温度＞85℃启动烟道事故喷淋冷却水控制阀（3个）。</w:t>
      </w:r>
    </w:p>
    <w:p w14:paraId="1BF4DA17">
      <w:pPr>
        <w:bidi w:val="0"/>
        <w:rPr>
          <w:rFonts w:hint="eastAsia"/>
          <w:color w:val="auto"/>
        </w:rPr>
      </w:pPr>
      <w:r>
        <w:rPr>
          <w:rFonts w:hint="eastAsia"/>
          <w:color w:val="auto"/>
        </w:rPr>
        <w:t>6</w:t>
      </w:r>
      <w:r>
        <w:rPr>
          <w:rFonts w:hint="eastAsia"/>
          <w:color w:val="auto"/>
          <w:lang w:val="en-US" w:eastAsia="zh-CN"/>
        </w:rPr>
        <w:t>)</w:t>
      </w:r>
      <w:r>
        <w:rPr>
          <w:rFonts w:hint="eastAsia"/>
          <w:color w:val="auto"/>
        </w:rPr>
        <w:t>CEMS出口烟道SO</w:t>
      </w:r>
      <w:r>
        <w:rPr>
          <w:rFonts w:hint="eastAsia"/>
          <w:color w:val="auto"/>
          <w:vertAlign w:val="subscript"/>
        </w:rPr>
        <w:t>2</w:t>
      </w:r>
      <w:r>
        <w:rPr>
          <w:rFonts w:hint="eastAsia"/>
          <w:color w:val="auto"/>
        </w:rPr>
        <w:t>含量大于一级设定值（40mg/m</w:t>
      </w:r>
      <w:r>
        <w:rPr>
          <w:rFonts w:hint="eastAsia"/>
          <w:color w:val="auto"/>
          <w:vertAlign w:val="superscript"/>
        </w:rPr>
        <w:t>3</w:t>
      </w:r>
      <w:r>
        <w:rPr>
          <w:rFonts w:hint="eastAsia"/>
          <w:color w:val="auto"/>
        </w:rPr>
        <w:t>）时高限报警，大于二级设定值（50mg/m</w:t>
      </w:r>
      <w:r>
        <w:rPr>
          <w:rFonts w:hint="eastAsia"/>
          <w:color w:val="auto"/>
          <w:vertAlign w:val="superscript"/>
        </w:rPr>
        <w:t>3</w:t>
      </w:r>
      <w:r>
        <w:rPr>
          <w:rFonts w:hint="eastAsia"/>
          <w:color w:val="auto"/>
        </w:rPr>
        <w:t>）时高高限报警。</w:t>
      </w:r>
    </w:p>
    <w:p w14:paraId="5493BD09">
      <w:pPr>
        <w:bidi w:val="0"/>
        <w:rPr>
          <w:rFonts w:hint="eastAsia"/>
          <w:color w:val="auto"/>
        </w:rPr>
      </w:pPr>
      <w:r>
        <w:rPr>
          <w:rFonts w:hint="eastAsia"/>
          <w:color w:val="auto"/>
        </w:rPr>
        <w:t>二、浆液制备系统</w:t>
      </w:r>
    </w:p>
    <w:p w14:paraId="1A6A8C20">
      <w:pPr>
        <w:bidi w:val="0"/>
        <w:rPr>
          <w:rFonts w:hint="eastAsia"/>
          <w:color w:val="auto"/>
        </w:rPr>
      </w:pPr>
      <w:r>
        <w:rPr>
          <w:rFonts w:hint="eastAsia"/>
          <w:color w:val="auto"/>
        </w:rPr>
        <w:t>1</w:t>
      </w:r>
      <w:r>
        <w:rPr>
          <w:rFonts w:hint="eastAsia"/>
          <w:color w:val="auto"/>
          <w:lang w:val="en-US" w:eastAsia="zh-CN"/>
        </w:rPr>
        <w:t>)</w:t>
      </w:r>
      <w:r>
        <w:rPr>
          <w:rFonts w:hint="eastAsia"/>
          <w:color w:val="auto"/>
        </w:rPr>
        <w:t>显示压力值，由压力值确定加水和窑灰</w:t>
      </w:r>
      <w:r>
        <w:rPr>
          <w:rFonts w:hint="eastAsia"/>
          <w:color w:val="auto"/>
        </w:rPr>
        <w:tab/>
      </w:r>
    </w:p>
    <w:p w14:paraId="48602284">
      <w:pPr>
        <w:bidi w:val="0"/>
        <w:rPr>
          <w:rFonts w:hint="eastAsia"/>
          <w:color w:val="auto"/>
        </w:rPr>
      </w:pPr>
      <w:r>
        <w:rPr>
          <w:rFonts w:hint="eastAsia"/>
          <w:color w:val="auto"/>
        </w:rPr>
        <w:t>加水：压力＜4</w:t>
      </w:r>
      <w:r>
        <w:rPr>
          <w:rFonts w:hint="eastAsia"/>
          <w:color w:val="auto"/>
          <w:lang w:val="en-US" w:eastAsia="zh-CN"/>
        </w:rPr>
        <w:t>kPa</w:t>
      </w:r>
      <w:r>
        <w:rPr>
          <w:rFonts w:hint="eastAsia"/>
          <w:color w:val="auto"/>
        </w:rPr>
        <w:t>自动加水，压力达到14</w:t>
      </w:r>
      <w:r>
        <w:rPr>
          <w:rFonts w:hint="eastAsia"/>
          <w:color w:val="auto"/>
          <w:lang w:val="en-US" w:eastAsia="zh-CN"/>
        </w:rPr>
        <w:t>kPa</w:t>
      </w:r>
      <w:r>
        <w:rPr>
          <w:rFonts w:hint="eastAsia"/>
          <w:color w:val="auto"/>
        </w:rPr>
        <w:t>停止加水（只开关浆液制备罐补水阀）；</w:t>
      </w:r>
    </w:p>
    <w:p w14:paraId="35E4CDA6">
      <w:pPr>
        <w:bidi w:val="0"/>
        <w:rPr>
          <w:rFonts w:hint="eastAsia"/>
          <w:color w:val="auto"/>
        </w:rPr>
      </w:pPr>
      <w:r>
        <w:rPr>
          <w:rFonts w:hint="eastAsia"/>
          <w:color w:val="auto"/>
        </w:rPr>
        <w:t>加灰：压力≥14</w:t>
      </w:r>
      <w:r>
        <w:rPr>
          <w:rFonts w:hint="eastAsia"/>
          <w:color w:val="auto"/>
          <w:lang w:eastAsia="zh-CN"/>
        </w:rPr>
        <w:t>kPa</w:t>
      </w:r>
      <w:r>
        <w:rPr>
          <w:rFonts w:hint="eastAsia"/>
          <w:color w:val="auto"/>
        </w:rPr>
        <w:t>自动加灰（先关闭5#卸灰阀，然后启动5#窑灰输送螺旋称，最后开启料斗气动阀），压力达到16</w:t>
      </w:r>
      <w:r>
        <w:rPr>
          <w:rFonts w:hint="eastAsia"/>
          <w:color w:val="auto"/>
          <w:lang w:eastAsia="zh-CN"/>
        </w:rPr>
        <w:t>kPa</w:t>
      </w:r>
      <w:r>
        <w:rPr>
          <w:rFonts w:hint="eastAsia"/>
          <w:color w:val="auto"/>
        </w:rPr>
        <w:t>停止加灰（开启5#卸灰阀，关闭灰斗气动阀，停止5#窑灰输送螺旋称）。</w:t>
      </w:r>
    </w:p>
    <w:p w14:paraId="135CF47C">
      <w:pPr>
        <w:bidi w:val="0"/>
        <w:rPr>
          <w:rFonts w:hint="eastAsia"/>
          <w:color w:val="auto"/>
        </w:rPr>
      </w:pPr>
      <w:r>
        <w:rPr>
          <w:rFonts w:hint="eastAsia"/>
          <w:color w:val="auto"/>
        </w:rPr>
        <w:t>浆液供给：吸收塔PH＜5.2或者出口SO</w:t>
      </w:r>
      <w:r>
        <w:rPr>
          <w:rFonts w:hint="eastAsia"/>
          <w:color w:val="auto"/>
          <w:vertAlign w:val="subscript"/>
        </w:rPr>
        <w:t>2</w:t>
      </w:r>
      <w:r>
        <w:rPr>
          <w:rFonts w:hint="eastAsia"/>
          <w:color w:val="auto"/>
        </w:rPr>
        <w:t>含量大于40mg/m</w:t>
      </w:r>
      <w:r>
        <w:rPr>
          <w:rFonts w:hint="eastAsia"/>
          <w:color w:val="auto"/>
          <w:vertAlign w:val="superscript"/>
        </w:rPr>
        <w:t>3</w:t>
      </w:r>
      <w:r>
        <w:rPr>
          <w:rFonts w:hint="eastAsia"/>
          <w:color w:val="auto"/>
        </w:rPr>
        <w:t>，打开浆液供给泵入口控制阀到开限位，启动浆液供给泵；浆液制备罐压力＜4</w:t>
      </w:r>
      <w:r>
        <w:rPr>
          <w:rFonts w:hint="eastAsia"/>
          <w:color w:val="auto"/>
          <w:lang w:eastAsia="zh-CN"/>
        </w:rPr>
        <w:t>kPa</w:t>
      </w:r>
      <w:r>
        <w:rPr>
          <w:rFonts w:hint="eastAsia"/>
          <w:color w:val="auto"/>
        </w:rPr>
        <w:t>停止浆液供给泵，关闭浆液供给泵入口控制阀；不管浆液是否制备完成，只要吸收塔PH＜5.2或者出口SO</w:t>
      </w:r>
      <w:r>
        <w:rPr>
          <w:rFonts w:hint="eastAsia"/>
          <w:color w:val="auto"/>
          <w:vertAlign w:val="subscript"/>
        </w:rPr>
        <w:t>2</w:t>
      </w:r>
      <w:r>
        <w:rPr>
          <w:rFonts w:hint="eastAsia"/>
          <w:color w:val="auto"/>
        </w:rPr>
        <w:t>含量大于40mg/m</w:t>
      </w:r>
      <w:r>
        <w:rPr>
          <w:rFonts w:hint="eastAsia"/>
          <w:color w:val="auto"/>
          <w:vertAlign w:val="superscript"/>
        </w:rPr>
        <w:t>3</w:t>
      </w:r>
      <w:r>
        <w:rPr>
          <w:rFonts w:hint="eastAsia"/>
          <w:color w:val="auto"/>
        </w:rPr>
        <w:t>都进行浆液供给（临时，因下灰较少制浆过程较慢）。</w:t>
      </w:r>
    </w:p>
    <w:p w14:paraId="251E6CB0">
      <w:pPr>
        <w:bidi w:val="0"/>
        <w:rPr>
          <w:rFonts w:hint="eastAsia"/>
          <w:color w:val="auto"/>
        </w:rPr>
      </w:pPr>
      <w:r>
        <w:rPr>
          <w:rFonts w:hint="eastAsia"/>
          <w:color w:val="auto"/>
        </w:rPr>
        <w:t>2</w:t>
      </w:r>
      <w:r>
        <w:rPr>
          <w:rFonts w:hint="eastAsia"/>
          <w:color w:val="auto"/>
          <w:lang w:val="en-US" w:eastAsia="zh-CN"/>
        </w:rPr>
        <w:t>)</w:t>
      </w:r>
      <w:r>
        <w:rPr>
          <w:rFonts w:hint="eastAsia"/>
          <w:color w:val="auto"/>
        </w:rPr>
        <w:t>搅拌器：浆液制备罐压力＞3.8</w:t>
      </w:r>
      <w:r>
        <w:rPr>
          <w:rFonts w:hint="eastAsia"/>
          <w:color w:val="auto"/>
          <w:lang w:eastAsia="zh-CN"/>
        </w:rPr>
        <w:t>kPa</w:t>
      </w:r>
      <w:r>
        <w:rPr>
          <w:rFonts w:hint="eastAsia"/>
          <w:color w:val="auto"/>
        </w:rPr>
        <w:t>启动，浆液制备罐压力＜3</w:t>
      </w:r>
      <w:r>
        <w:rPr>
          <w:rFonts w:hint="eastAsia"/>
          <w:color w:val="auto"/>
          <w:lang w:eastAsia="zh-CN"/>
        </w:rPr>
        <w:t>kPa</w:t>
      </w:r>
      <w:r>
        <w:rPr>
          <w:rFonts w:hint="eastAsia"/>
          <w:color w:val="auto"/>
        </w:rPr>
        <w:t>跳停。</w:t>
      </w:r>
    </w:p>
    <w:p w14:paraId="160437A4">
      <w:pPr>
        <w:bidi w:val="0"/>
        <w:rPr>
          <w:rFonts w:hint="eastAsia"/>
          <w:color w:val="auto"/>
        </w:rPr>
      </w:pPr>
      <w:r>
        <w:rPr>
          <w:rFonts w:hint="eastAsia"/>
          <w:color w:val="auto"/>
        </w:rPr>
        <w:t>3</w:t>
      </w:r>
      <w:r>
        <w:rPr>
          <w:rFonts w:hint="eastAsia"/>
          <w:color w:val="auto"/>
          <w:lang w:val="en-US" w:eastAsia="zh-CN"/>
        </w:rPr>
        <w:t>)</w:t>
      </w:r>
      <w:r>
        <w:rPr>
          <w:rFonts w:hint="eastAsia"/>
          <w:color w:val="auto"/>
        </w:rPr>
        <w:t>螺旋称故障或运行信号丢失自动关闭灰斗气动阀，打开灰斗卸灰阀。</w:t>
      </w:r>
    </w:p>
    <w:p w14:paraId="73AB0E37">
      <w:pPr>
        <w:bidi w:val="0"/>
        <w:rPr>
          <w:rFonts w:hint="eastAsia"/>
          <w:color w:val="auto"/>
        </w:rPr>
      </w:pPr>
      <w:r>
        <w:rPr>
          <w:rFonts w:hint="eastAsia"/>
          <w:color w:val="auto"/>
        </w:rPr>
        <w:t>三、吸收塔系统</w:t>
      </w:r>
    </w:p>
    <w:p w14:paraId="50E0B0E4">
      <w:pPr>
        <w:bidi w:val="0"/>
        <w:rPr>
          <w:rFonts w:hint="eastAsia"/>
          <w:color w:val="auto"/>
        </w:rPr>
      </w:pPr>
      <w:r>
        <w:rPr>
          <w:rFonts w:hint="eastAsia"/>
          <w:color w:val="auto"/>
        </w:rPr>
        <w:t>1</w:t>
      </w:r>
      <w:r>
        <w:rPr>
          <w:rFonts w:hint="eastAsia"/>
          <w:color w:val="auto"/>
          <w:lang w:val="en-US" w:eastAsia="zh-CN"/>
        </w:rPr>
        <w:t>)</w:t>
      </w:r>
      <w:r>
        <w:rPr>
          <w:rFonts w:hint="eastAsia"/>
          <w:color w:val="auto"/>
        </w:rPr>
        <w:t>吸收塔搅拌器：吸收塔液位＞2.2m自动启动，液位高＜2m跳停。</w:t>
      </w:r>
    </w:p>
    <w:p w14:paraId="093AE3CB">
      <w:pPr>
        <w:bidi w:val="0"/>
        <w:rPr>
          <w:rFonts w:hint="eastAsia"/>
          <w:color w:val="auto"/>
        </w:rPr>
      </w:pPr>
      <w:r>
        <w:rPr>
          <w:rFonts w:hint="eastAsia"/>
          <w:color w:val="auto"/>
        </w:rPr>
        <w:t>2</w:t>
      </w:r>
      <w:r>
        <w:rPr>
          <w:rFonts w:hint="eastAsia"/>
          <w:color w:val="auto"/>
          <w:lang w:val="en-US" w:eastAsia="zh-CN"/>
        </w:rPr>
        <w:t>)</w:t>
      </w:r>
      <w:r>
        <w:rPr>
          <w:rFonts w:hint="eastAsia"/>
          <w:color w:val="auto"/>
        </w:rPr>
        <w:t>四台循环泵停止后立即运行其对应的加热器，循环泵运行后停止运行其对应的加热器。</w:t>
      </w:r>
    </w:p>
    <w:p w14:paraId="74B6AD4D">
      <w:pPr>
        <w:bidi w:val="0"/>
        <w:rPr>
          <w:rFonts w:hint="eastAsia"/>
          <w:color w:val="auto"/>
        </w:rPr>
      </w:pPr>
      <w:r>
        <w:rPr>
          <w:rFonts w:hint="eastAsia"/>
          <w:color w:val="auto"/>
        </w:rPr>
        <w:t>3</w:t>
      </w:r>
      <w:r>
        <w:rPr>
          <w:rFonts w:hint="eastAsia"/>
          <w:color w:val="auto"/>
          <w:lang w:val="en-US" w:eastAsia="zh-CN"/>
        </w:rPr>
        <w:t>)</w:t>
      </w:r>
      <w:r>
        <w:rPr>
          <w:rFonts w:hint="eastAsia"/>
          <w:color w:val="auto"/>
        </w:rPr>
        <w:t>除雾器压差大于180Pa，除雾循环自动启动，除雾器压差小于150Pa，除雾循环自动停止；吸收塔液位低于5.5m，除雾循环自动启动（除雾器压差小于150Pa也启动）；吸收塔液位高于6.3m，除雾循环自动停止；计时两个小时（以除雾器冲洗泵未运行时间计时），除雾循环自动启动（吸收塔液位低于6.3m）；除雾器12个电动开关阀循环启动，每个阀启动100秒，间隔100秒。4个循环泵均未运行，强制除雾循环自动启动（不受液位及压差限制）。除雾循环自动停止时先停止除雾器冲洗泵，延时3min关闭除雾器冲洗阀。</w:t>
      </w:r>
    </w:p>
    <w:p w14:paraId="17BD4D5E">
      <w:pPr>
        <w:bidi w:val="0"/>
        <w:rPr>
          <w:rFonts w:hint="eastAsia"/>
          <w:color w:val="auto"/>
        </w:rPr>
      </w:pPr>
      <w:r>
        <w:rPr>
          <w:rFonts w:hint="eastAsia"/>
          <w:color w:val="auto"/>
        </w:rPr>
        <w:t>4</w:t>
      </w:r>
      <w:r>
        <w:rPr>
          <w:rFonts w:hint="eastAsia"/>
          <w:color w:val="auto"/>
          <w:lang w:val="en-US" w:eastAsia="zh-CN"/>
        </w:rPr>
        <w:t>)</w:t>
      </w:r>
      <w:r>
        <w:rPr>
          <w:rFonts w:hint="eastAsia"/>
          <w:color w:val="auto"/>
        </w:rPr>
        <w:t>集水坑搅拌器：集水坑液位＞1.0m自动启动，液位高＜0.8m跳停。</w:t>
      </w:r>
    </w:p>
    <w:p w14:paraId="67B3CAC0">
      <w:pPr>
        <w:bidi w:val="0"/>
        <w:rPr>
          <w:rFonts w:hint="eastAsia"/>
          <w:color w:val="auto"/>
        </w:rPr>
      </w:pPr>
      <w:r>
        <w:rPr>
          <w:rFonts w:hint="eastAsia"/>
          <w:color w:val="auto"/>
        </w:rPr>
        <w:t>5</w:t>
      </w:r>
      <w:r>
        <w:rPr>
          <w:rFonts w:hint="eastAsia"/>
          <w:color w:val="auto"/>
          <w:lang w:val="en-US" w:eastAsia="zh-CN"/>
        </w:rPr>
        <w:t>)</w:t>
      </w:r>
      <w:r>
        <w:rPr>
          <w:rFonts w:hint="eastAsia"/>
          <w:color w:val="auto"/>
        </w:rPr>
        <w:t>集水坑液位设上下限，上限（2.1m）报警，2.0m启动集水坑泵。下限（1.0m）报警，同时停止集水坑泵。吸收塔液位＞6.5m停止集水坑泵，事故浆液箱液位＞10m停止集水坑泵。</w:t>
      </w:r>
    </w:p>
    <w:p w14:paraId="67807E0C">
      <w:pPr>
        <w:bidi w:val="0"/>
        <w:rPr>
          <w:rFonts w:hint="eastAsia"/>
          <w:color w:val="auto"/>
        </w:rPr>
      </w:pPr>
      <w:r>
        <w:rPr>
          <w:rFonts w:hint="eastAsia"/>
          <w:color w:val="auto"/>
        </w:rPr>
        <w:t>四、事故浆液箱系统</w:t>
      </w:r>
    </w:p>
    <w:p w14:paraId="4FE9FD29">
      <w:pPr>
        <w:bidi w:val="0"/>
        <w:rPr>
          <w:rFonts w:hint="eastAsia"/>
          <w:color w:val="auto"/>
        </w:rPr>
      </w:pPr>
      <w:r>
        <w:rPr>
          <w:rFonts w:hint="eastAsia"/>
          <w:color w:val="auto"/>
        </w:rPr>
        <w:t>1</w:t>
      </w:r>
      <w:r>
        <w:rPr>
          <w:rFonts w:hint="eastAsia"/>
          <w:color w:val="auto"/>
          <w:lang w:val="en-US" w:eastAsia="zh-CN"/>
        </w:rPr>
        <w:t>)</w:t>
      </w:r>
      <w:r>
        <w:rPr>
          <w:rFonts w:hint="eastAsia"/>
          <w:color w:val="auto"/>
        </w:rPr>
        <w:t>事故浆液箱搅拌器：事故浆液箱液位＞2.2m启动，液位＜2m跳停。</w:t>
      </w:r>
    </w:p>
    <w:p w14:paraId="6B26D90A">
      <w:pPr>
        <w:bidi w:val="0"/>
        <w:rPr>
          <w:rFonts w:hint="eastAsia"/>
          <w:color w:val="auto"/>
        </w:rPr>
      </w:pPr>
      <w:r>
        <w:rPr>
          <w:rFonts w:hint="eastAsia"/>
          <w:color w:val="auto"/>
        </w:rPr>
        <w:t>2</w:t>
      </w:r>
      <w:r>
        <w:rPr>
          <w:rFonts w:hint="eastAsia"/>
          <w:color w:val="auto"/>
          <w:lang w:val="en-US" w:eastAsia="zh-CN"/>
        </w:rPr>
        <w:t>)</w:t>
      </w:r>
      <w:r>
        <w:rPr>
          <w:rFonts w:hint="eastAsia"/>
          <w:color w:val="auto"/>
        </w:rPr>
        <w:t>事故浆液箱液位低于2.2m，停废液转存泵。</w:t>
      </w:r>
    </w:p>
    <w:p w14:paraId="663D50E1">
      <w:pPr>
        <w:bidi w:val="0"/>
        <w:rPr>
          <w:rFonts w:hint="eastAsia"/>
          <w:color w:val="auto"/>
        </w:rPr>
      </w:pPr>
      <w:r>
        <w:rPr>
          <w:rFonts w:hint="eastAsia"/>
          <w:color w:val="auto"/>
        </w:rPr>
        <w:t>3</w:t>
      </w:r>
      <w:r>
        <w:rPr>
          <w:rFonts w:hint="eastAsia"/>
          <w:color w:val="auto"/>
          <w:lang w:val="en-US" w:eastAsia="zh-CN"/>
        </w:rPr>
        <w:t>)</w:t>
      </w:r>
      <w:r>
        <w:rPr>
          <w:rFonts w:hint="eastAsia"/>
          <w:color w:val="auto"/>
        </w:rPr>
        <w:t>事故浆液返回泵：事故浆液箱液位超过3m，同时吸收塔液位低于6.3m，自动打开事故返回泵入口阀，启动事故返回泵。优先供水到5#吸收塔，如果5#吸收塔液位＞6.3m，则切换往6#吸收塔，事故浆液箱液位低于2.4m或吸收塔液位＞6.3m（临时），停止事故返回泵，关闭事故返回泵入口阀。</w:t>
      </w:r>
    </w:p>
    <w:p w14:paraId="509FA115">
      <w:pPr>
        <w:bidi w:val="0"/>
        <w:rPr>
          <w:rFonts w:hint="eastAsia"/>
          <w:color w:val="auto"/>
        </w:rPr>
      </w:pPr>
      <w:r>
        <w:rPr>
          <w:rFonts w:hint="eastAsia"/>
          <w:color w:val="auto"/>
        </w:rPr>
        <w:t>4</w:t>
      </w:r>
      <w:r>
        <w:rPr>
          <w:rFonts w:hint="eastAsia"/>
          <w:color w:val="auto"/>
          <w:lang w:val="en-US" w:eastAsia="zh-CN"/>
        </w:rPr>
        <w:t>)</w:t>
      </w:r>
      <w:r>
        <w:rPr>
          <w:rFonts w:hint="eastAsia"/>
          <w:color w:val="auto"/>
        </w:rPr>
        <w:t>滤液罐系统：滤液罐液位超2m，同时吸收塔液位低于6.3m，自动打开滤液泵入口阀，启动滤液泵。优先供水到5#吸收塔，如果5#吸收塔液位＞6.3m，则切换往6#吸收塔供水。液位＞1.0m启动搅拌器，液位＜0.8m停止搅拌器。</w:t>
      </w:r>
    </w:p>
    <w:p w14:paraId="069A99B3">
      <w:pPr>
        <w:bidi w:val="0"/>
        <w:rPr>
          <w:rFonts w:hint="eastAsia"/>
          <w:color w:val="auto"/>
        </w:rPr>
      </w:pPr>
      <w:r>
        <w:rPr>
          <w:rFonts w:hint="eastAsia"/>
          <w:color w:val="auto"/>
        </w:rPr>
        <w:t>5</w:t>
      </w:r>
      <w:r>
        <w:rPr>
          <w:rFonts w:hint="eastAsia"/>
          <w:color w:val="auto"/>
          <w:lang w:val="en-US" w:eastAsia="zh-CN"/>
        </w:rPr>
        <w:t>)</w:t>
      </w:r>
      <w:r>
        <w:rPr>
          <w:rFonts w:hint="eastAsia"/>
          <w:color w:val="auto"/>
        </w:rPr>
        <w:t>5#吸收塔、6#吸收塔液位＞6.3m，停掉事故浆液返回泵和滤液泵。</w:t>
      </w:r>
    </w:p>
    <w:p w14:paraId="0D4D4689">
      <w:pPr>
        <w:bidi w:val="0"/>
        <w:rPr>
          <w:rFonts w:hint="eastAsia"/>
          <w:color w:val="auto"/>
        </w:rPr>
      </w:pPr>
      <w:r>
        <w:rPr>
          <w:rFonts w:hint="eastAsia"/>
          <w:color w:val="auto"/>
        </w:rPr>
        <w:t>五、石膏脱水系统</w:t>
      </w:r>
    </w:p>
    <w:p w14:paraId="56620B26">
      <w:pPr>
        <w:bidi w:val="0"/>
        <w:rPr>
          <w:rFonts w:hint="eastAsia"/>
          <w:color w:val="auto"/>
        </w:rPr>
      </w:pPr>
      <w:r>
        <w:rPr>
          <w:rFonts w:hint="eastAsia"/>
          <w:color w:val="auto"/>
        </w:rPr>
        <w:t>1</w:t>
      </w:r>
      <w:r>
        <w:rPr>
          <w:rFonts w:hint="eastAsia"/>
          <w:color w:val="auto"/>
          <w:lang w:val="en-US" w:eastAsia="zh-CN"/>
        </w:rPr>
        <w:t>)</w:t>
      </w:r>
      <w:r>
        <w:rPr>
          <w:rFonts w:hint="eastAsia"/>
          <w:color w:val="auto"/>
        </w:rPr>
        <w:t>当石膏仓料位大于3m时，停“石膏脱水系统”。</w:t>
      </w:r>
    </w:p>
    <w:p w14:paraId="4D50594F">
      <w:pPr>
        <w:bidi w:val="0"/>
        <w:rPr>
          <w:rFonts w:hint="eastAsia"/>
          <w:color w:val="auto"/>
        </w:rPr>
      </w:pPr>
      <w:r>
        <w:rPr>
          <w:rFonts w:hint="eastAsia"/>
          <w:color w:val="auto"/>
        </w:rPr>
        <w:t>2</w:t>
      </w:r>
      <w:r>
        <w:rPr>
          <w:rFonts w:hint="eastAsia"/>
          <w:color w:val="auto"/>
          <w:lang w:val="en-US" w:eastAsia="zh-CN"/>
        </w:rPr>
        <w:t>)</w:t>
      </w:r>
      <w:r>
        <w:rPr>
          <w:rFonts w:hint="eastAsia"/>
          <w:color w:val="auto"/>
        </w:rPr>
        <w:t>当真空泵故障时跳停吸收塔浆液排出泵，真空皮带机正常运行，吸收塔浆液排出泵停止后启动排出泵冲洗过程。</w:t>
      </w:r>
    </w:p>
    <w:p w14:paraId="41FDE170">
      <w:pPr>
        <w:bidi w:val="0"/>
        <w:rPr>
          <w:rFonts w:hint="eastAsia"/>
          <w:color w:val="auto"/>
        </w:rPr>
      </w:pPr>
      <w:r>
        <w:rPr>
          <w:rFonts w:hint="eastAsia"/>
          <w:color w:val="auto"/>
        </w:rPr>
        <w:t>3</w:t>
      </w:r>
      <w:r>
        <w:rPr>
          <w:rFonts w:hint="eastAsia"/>
          <w:color w:val="auto"/>
          <w:lang w:val="en-US" w:eastAsia="zh-CN"/>
        </w:rPr>
        <w:t>)</w:t>
      </w:r>
      <w:r>
        <w:rPr>
          <w:rFonts w:hint="eastAsia"/>
          <w:color w:val="auto"/>
        </w:rPr>
        <w:t>皮带机故障跳停吸收塔浆液排出泵，吸收塔浆液排出泵停止后启动排出泵冲洗过程。</w:t>
      </w:r>
    </w:p>
    <w:p w14:paraId="43E1B392">
      <w:pPr>
        <w:bidi w:val="0"/>
        <w:rPr>
          <w:rFonts w:hint="eastAsia"/>
          <w:color w:val="auto"/>
        </w:rPr>
      </w:pPr>
      <w:r>
        <w:rPr>
          <w:rFonts w:hint="eastAsia"/>
          <w:color w:val="auto"/>
        </w:rPr>
        <w:t>六、废水系统</w:t>
      </w:r>
    </w:p>
    <w:p w14:paraId="5CE55F66">
      <w:pPr>
        <w:bidi w:val="0"/>
        <w:rPr>
          <w:rFonts w:hint="eastAsia"/>
          <w:color w:val="auto"/>
        </w:rPr>
      </w:pPr>
      <w:r>
        <w:rPr>
          <w:rFonts w:hint="eastAsia"/>
          <w:color w:val="auto"/>
        </w:rPr>
        <w:t>1</w:t>
      </w:r>
      <w:r>
        <w:rPr>
          <w:rFonts w:hint="eastAsia"/>
          <w:color w:val="auto"/>
          <w:lang w:val="en-US" w:eastAsia="zh-CN"/>
        </w:rPr>
        <w:t>)</w:t>
      </w:r>
      <w:r>
        <w:rPr>
          <w:rFonts w:hint="eastAsia"/>
          <w:color w:val="auto"/>
        </w:rPr>
        <w:t>废水箱液位＜0.8m，停搅拌器，液位＞1.0m启动搅拌器。</w:t>
      </w:r>
    </w:p>
    <w:p w14:paraId="2C6AE654">
      <w:pPr>
        <w:bidi w:val="0"/>
        <w:rPr>
          <w:rFonts w:hint="eastAsia"/>
          <w:color w:val="auto"/>
        </w:rPr>
      </w:pPr>
      <w:r>
        <w:rPr>
          <w:rFonts w:hint="eastAsia"/>
          <w:color w:val="auto"/>
        </w:rPr>
        <w:t>2</w:t>
      </w:r>
      <w:r>
        <w:rPr>
          <w:rFonts w:hint="eastAsia"/>
          <w:color w:val="auto"/>
          <w:lang w:val="en-US" w:eastAsia="zh-CN"/>
        </w:rPr>
        <w:t>)</w:t>
      </w:r>
      <w:r>
        <w:rPr>
          <w:rFonts w:hint="eastAsia"/>
          <w:color w:val="auto"/>
        </w:rPr>
        <w:t>废水箱液位＜1.3m，停废水泵。</w:t>
      </w:r>
    </w:p>
    <w:p w14:paraId="6B95023B">
      <w:pPr>
        <w:bidi w:val="0"/>
        <w:rPr>
          <w:rFonts w:hint="eastAsia"/>
          <w:color w:val="auto"/>
        </w:rPr>
      </w:pPr>
      <w:r>
        <w:rPr>
          <w:rFonts w:hint="eastAsia"/>
          <w:color w:val="auto"/>
        </w:rPr>
        <w:t>3</w:t>
      </w:r>
      <w:r>
        <w:rPr>
          <w:rFonts w:hint="eastAsia"/>
          <w:color w:val="auto"/>
          <w:lang w:val="en-US" w:eastAsia="zh-CN"/>
        </w:rPr>
        <w:t>)</w:t>
      </w:r>
      <w:r>
        <w:rPr>
          <w:rFonts w:hint="eastAsia"/>
          <w:color w:val="auto"/>
        </w:rPr>
        <w:t>废水箱液位＞2.5m，停废液转存泵。</w:t>
      </w:r>
    </w:p>
    <w:p w14:paraId="21B278CB">
      <w:pPr>
        <w:bidi w:val="0"/>
        <w:rPr>
          <w:rFonts w:hint="eastAsia"/>
          <w:color w:val="auto"/>
        </w:rPr>
      </w:pPr>
      <w:r>
        <w:rPr>
          <w:rFonts w:hint="eastAsia"/>
          <w:color w:val="auto"/>
        </w:rPr>
        <w:t>七、5#工艺水箱：</w:t>
      </w:r>
    </w:p>
    <w:p w14:paraId="09C8ABC6">
      <w:pPr>
        <w:bidi w:val="0"/>
        <w:rPr>
          <w:rFonts w:hint="eastAsia"/>
          <w:color w:val="auto"/>
        </w:rPr>
      </w:pPr>
      <w:r>
        <w:rPr>
          <w:rFonts w:hint="eastAsia"/>
          <w:color w:val="auto"/>
        </w:rPr>
        <w:t>1</w:t>
      </w:r>
      <w:r>
        <w:rPr>
          <w:rFonts w:hint="eastAsia"/>
          <w:color w:val="auto"/>
          <w:lang w:val="en-US" w:eastAsia="zh-CN"/>
        </w:rPr>
        <w:t>)</w:t>
      </w:r>
      <w:r>
        <w:rPr>
          <w:rFonts w:hint="eastAsia"/>
          <w:color w:val="auto"/>
        </w:rPr>
        <w:t>液位L9＜1.5m，补水阀打开（两只补水阀），一个补水泵；液位L9＞2m，补水泵、补水阀关闭。</w:t>
      </w:r>
    </w:p>
    <w:p w14:paraId="73520DF8">
      <w:pPr>
        <w:bidi w:val="0"/>
        <w:rPr>
          <w:rFonts w:hint="eastAsia"/>
          <w:color w:val="auto"/>
        </w:rPr>
      </w:pPr>
      <w:r>
        <w:rPr>
          <w:rFonts w:hint="eastAsia"/>
          <w:color w:val="auto"/>
        </w:rPr>
        <w:t>2</w:t>
      </w:r>
      <w:r>
        <w:rPr>
          <w:rFonts w:hint="eastAsia"/>
          <w:color w:val="auto"/>
          <w:lang w:val="en-US" w:eastAsia="zh-CN"/>
        </w:rPr>
        <w:t>)</w:t>
      </w:r>
      <w:r>
        <w:rPr>
          <w:rFonts w:hint="eastAsia"/>
          <w:color w:val="auto"/>
        </w:rPr>
        <w:t>液位L9＜0.1 m，除雾器系统自动停止。</w:t>
      </w:r>
    </w:p>
    <w:p w14:paraId="664C7482">
      <w:pPr>
        <w:bidi w:val="0"/>
        <w:rPr>
          <w:rFonts w:hint="eastAsia"/>
          <w:color w:val="auto"/>
        </w:rPr>
      </w:pPr>
      <w:r>
        <w:rPr>
          <w:rFonts w:hint="eastAsia"/>
          <w:color w:val="auto"/>
        </w:rPr>
        <w:t>八、其它：</w:t>
      </w:r>
    </w:p>
    <w:p w14:paraId="723A6345">
      <w:pPr>
        <w:bidi w:val="0"/>
        <w:rPr>
          <w:rFonts w:hint="eastAsia"/>
          <w:color w:val="auto"/>
        </w:rPr>
      </w:pPr>
      <w:r>
        <w:rPr>
          <w:rFonts w:hint="eastAsia"/>
          <w:color w:val="auto"/>
        </w:rPr>
        <w:t>1</w:t>
      </w:r>
      <w:r>
        <w:rPr>
          <w:rFonts w:hint="eastAsia"/>
          <w:color w:val="auto"/>
          <w:lang w:val="en-US" w:eastAsia="zh-CN"/>
        </w:rPr>
        <w:t>)</w:t>
      </w:r>
      <w:r>
        <w:rPr>
          <w:rFonts w:hint="eastAsia"/>
          <w:color w:val="auto"/>
        </w:rPr>
        <w:t>氧化风机出口压力设上限值（0.1MPa）报警；出口温度设上限值（70℃）报警。</w:t>
      </w:r>
    </w:p>
    <w:p w14:paraId="2C894D19">
      <w:pPr>
        <w:bidi w:val="0"/>
        <w:rPr>
          <w:rFonts w:hint="eastAsia"/>
          <w:color w:val="auto"/>
        </w:rPr>
      </w:pPr>
      <w:r>
        <w:rPr>
          <w:rFonts w:hint="eastAsia"/>
          <w:color w:val="auto"/>
        </w:rPr>
        <w:t>2</w:t>
      </w:r>
      <w:r>
        <w:rPr>
          <w:rFonts w:hint="eastAsia"/>
          <w:color w:val="auto"/>
          <w:lang w:val="en-US" w:eastAsia="zh-CN"/>
        </w:rPr>
        <w:t>)</w:t>
      </w:r>
      <w:r>
        <w:rPr>
          <w:rFonts w:hint="eastAsia"/>
          <w:color w:val="auto"/>
        </w:rPr>
        <w:t>声音报警、弹出报警画面：</w:t>
      </w:r>
    </w:p>
    <w:p w14:paraId="05013051">
      <w:pPr>
        <w:bidi w:val="0"/>
        <w:rPr>
          <w:rFonts w:hint="eastAsia"/>
          <w:color w:val="auto"/>
        </w:rPr>
      </w:pPr>
      <w:r>
        <w:rPr>
          <w:rFonts w:hint="eastAsia"/>
          <w:color w:val="auto"/>
        </w:rPr>
        <w:t>（1）四台循环水泵和两台氧化风机：前后轴承温度达到80℃报警（黄色）同时弹出报警画面，90℃跳停；绕组温度80℃报警。</w:t>
      </w:r>
    </w:p>
    <w:p w14:paraId="1984C7F0">
      <w:pPr>
        <w:bidi w:val="0"/>
        <w:rPr>
          <w:rFonts w:hint="eastAsia"/>
          <w:color w:val="auto"/>
        </w:rPr>
      </w:pPr>
      <w:r>
        <w:rPr>
          <w:rFonts w:hint="eastAsia"/>
          <w:color w:val="auto"/>
        </w:rPr>
        <w:t>（2）5#吸收塔浆液密度值大于1150Kg/m</w:t>
      </w:r>
      <w:r>
        <w:rPr>
          <w:rFonts w:hint="eastAsia"/>
          <w:color w:val="auto"/>
          <w:vertAlign w:val="superscript"/>
        </w:rPr>
        <w:t>3</w:t>
      </w:r>
      <w:r>
        <w:rPr>
          <w:rFonts w:hint="eastAsia"/>
          <w:color w:val="auto"/>
        </w:rPr>
        <w:t>声音报警、弹出报警画面。</w:t>
      </w:r>
    </w:p>
    <w:p w14:paraId="09541D9A">
      <w:pPr>
        <w:bidi w:val="0"/>
        <w:rPr>
          <w:rFonts w:hint="eastAsia"/>
          <w:color w:val="auto"/>
        </w:rPr>
      </w:pPr>
      <w:r>
        <w:rPr>
          <w:rFonts w:hint="eastAsia"/>
          <w:color w:val="auto"/>
        </w:rPr>
        <w:t>（3）5#吸收塔浆液PH值大于4.5声音报警、弹出报警画面。</w:t>
      </w:r>
    </w:p>
    <w:p w14:paraId="3B9EA0E3">
      <w:pPr>
        <w:bidi w:val="0"/>
        <w:rPr>
          <w:rFonts w:hint="eastAsia"/>
          <w:color w:val="auto"/>
        </w:rPr>
      </w:pPr>
      <w:r>
        <w:rPr>
          <w:rFonts w:hint="eastAsia"/>
          <w:color w:val="auto"/>
        </w:rPr>
        <w:t>（4）5#吸收塔液位小于4m声音报警、弹出报警画面。</w:t>
      </w:r>
    </w:p>
    <w:p w14:paraId="34E4B6BF">
      <w:pPr>
        <w:bidi w:val="0"/>
        <w:rPr>
          <w:rFonts w:hint="eastAsia"/>
          <w:color w:val="auto"/>
        </w:rPr>
      </w:pPr>
      <w:r>
        <w:rPr>
          <w:rFonts w:hint="eastAsia"/>
          <w:color w:val="auto"/>
        </w:rPr>
        <w:t>（5）5#吸收塔液位大于6.5m声音报警、弹出报警画面。</w:t>
      </w:r>
    </w:p>
    <w:p w14:paraId="303F4C26">
      <w:pPr>
        <w:bidi w:val="0"/>
        <w:rPr>
          <w:rFonts w:hint="eastAsia"/>
          <w:color w:val="auto"/>
        </w:rPr>
      </w:pPr>
      <w:r>
        <w:rPr>
          <w:rFonts w:hint="eastAsia"/>
          <w:color w:val="auto"/>
        </w:rPr>
        <w:t>（6）5#工艺水箱液位小于0.3m声音报警、弹出报警画面。</w:t>
      </w:r>
    </w:p>
    <w:p w14:paraId="48C0F962">
      <w:pPr>
        <w:bidi w:val="0"/>
        <w:rPr>
          <w:rFonts w:hint="eastAsia"/>
          <w:color w:val="auto"/>
        </w:rPr>
      </w:pPr>
      <w:r>
        <w:rPr>
          <w:rFonts w:hint="eastAsia"/>
          <w:color w:val="auto"/>
        </w:rPr>
        <w:t>（7）5#工艺水箱液位大于2.3m声音报警、弹出报警画面。</w:t>
      </w:r>
    </w:p>
    <w:p w14:paraId="2D2FDAC7">
      <w:pPr>
        <w:bidi w:val="0"/>
        <w:rPr>
          <w:rFonts w:hint="eastAsia"/>
          <w:color w:val="auto"/>
        </w:rPr>
      </w:pPr>
      <w:r>
        <w:rPr>
          <w:rFonts w:hint="eastAsia"/>
          <w:color w:val="auto"/>
        </w:rPr>
        <w:t>（8）石膏仓料位大于3.0m声音报警、弹出报警画面。</w:t>
      </w:r>
    </w:p>
    <w:p w14:paraId="46F67CD2">
      <w:pPr>
        <w:bidi w:val="0"/>
        <w:rPr>
          <w:rFonts w:hint="eastAsia"/>
          <w:color w:val="auto"/>
        </w:rPr>
      </w:pPr>
      <w:r>
        <w:rPr>
          <w:rFonts w:hint="eastAsia"/>
          <w:color w:val="auto"/>
        </w:rPr>
        <w:t>（9）事故浆液箱液位大于10m声音报警、弹出报警画面。</w:t>
      </w:r>
    </w:p>
    <w:p w14:paraId="562E5C46">
      <w:pPr>
        <w:bidi w:val="0"/>
        <w:rPr>
          <w:rFonts w:hint="eastAsia"/>
          <w:color w:val="auto"/>
        </w:rPr>
      </w:pPr>
      <w:r>
        <w:rPr>
          <w:rFonts w:hint="eastAsia"/>
          <w:color w:val="auto"/>
        </w:rPr>
        <w:t>（10）集水坑液位大于2.1m声音报警、弹出报警画面。</w:t>
      </w:r>
    </w:p>
    <w:p w14:paraId="4F3EC2EC">
      <w:pPr>
        <w:bidi w:val="0"/>
        <w:rPr>
          <w:rFonts w:hint="eastAsia"/>
          <w:color w:val="auto"/>
        </w:rPr>
      </w:pPr>
      <w:r>
        <w:rPr>
          <w:rFonts w:hint="eastAsia"/>
          <w:color w:val="auto"/>
        </w:rPr>
        <w:t>（11）所有电机故障跳停时均有声音报警。</w:t>
      </w:r>
    </w:p>
    <w:p w14:paraId="4C67CCF8">
      <w:pPr>
        <w:bidi w:val="0"/>
        <w:rPr>
          <w:rFonts w:hint="eastAsia"/>
          <w:color w:val="auto"/>
        </w:rPr>
      </w:pPr>
      <w:r>
        <w:rPr>
          <w:rFonts w:hint="eastAsia"/>
          <w:color w:val="auto"/>
        </w:rPr>
        <w:t>3</w:t>
      </w:r>
      <w:r>
        <w:rPr>
          <w:rFonts w:hint="eastAsia"/>
          <w:color w:val="auto"/>
          <w:lang w:val="en-US" w:eastAsia="zh-CN"/>
        </w:rPr>
        <w:t>)</w:t>
      </w:r>
      <w:r>
        <w:rPr>
          <w:rFonts w:hint="eastAsia"/>
          <w:color w:val="auto"/>
        </w:rPr>
        <w:t>氧化风机停止时启动其对应的加热器，氧化风机运行后停止其对应的加热器。</w:t>
      </w:r>
    </w:p>
    <w:p w14:paraId="671F9FF8">
      <w:pPr>
        <w:bidi w:val="0"/>
        <w:rPr>
          <w:color w:val="auto"/>
        </w:rPr>
      </w:pPr>
      <w:r>
        <w:rPr>
          <w:rFonts w:hint="eastAsia"/>
          <w:color w:val="auto"/>
        </w:rPr>
        <w:t>4</w:t>
      </w:r>
      <w:r>
        <w:rPr>
          <w:rFonts w:hint="eastAsia"/>
          <w:color w:val="auto"/>
          <w:lang w:val="en-US" w:eastAsia="zh-CN"/>
        </w:rPr>
        <w:t>)</w:t>
      </w:r>
      <w:r>
        <w:rPr>
          <w:rFonts w:hint="eastAsia"/>
          <w:color w:val="auto"/>
        </w:rPr>
        <w:t>塔出口温度高声音报警：大于70℃，80℃。</w:t>
      </w:r>
    </w:p>
    <w:p w14:paraId="5C51CFC3">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8"/>
          <w:lang w:val="en-US" w:eastAsia="zh-CN" w:bidi="ar-SA"/>
        </w:rPr>
        <w:t>2.</w:t>
      </w:r>
      <w:r>
        <w:rPr>
          <w:rFonts w:hint="eastAsia"/>
          <w:color w:val="auto"/>
          <w:lang w:val="en-US" w:eastAsia="zh-CN"/>
        </w:rPr>
        <w:t>火灾自动报警系统</w:t>
      </w:r>
    </w:p>
    <w:p w14:paraId="4116557C">
      <w:pPr>
        <w:bidi w:val="0"/>
        <w:rPr>
          <w:rFonts w:hint="default"/>
          <w:color w:val="auto"/>
          <w:lang w:val="en-US" w:eastAsia="zh-CN"/>
        </w:rPr>
      </w:pPr>
      <w:r>
        <w:rPr>
          <w:rFonts w:hint="default"/>
          <w:color w:val="auto"/>
          <w:lang w:val="en-US" w:eastAsia="zh-CN"/>
        </w:rPr>
        <w:t>本项目在配电室设置火灾自动报警系统，报警控制系统用UPS电源供电。在主要通道、进出口处相关处设置手动报警按钮。</w:t>
      </w:r>
    </w:p>
    <w:p w14:paraId="1E4F28BD">
      <w:pPr>
        <w:bidi w:val="0"/>
        <w:rPr>
          <w:rFonts w:hint="default"/>
          <w:color w:val="auto"/>
          <w:lang w:val="en-US" w:eastAsia="zh-CN"/>
        </w:rPr>
      </w:pPr>
      <w:r>
        <w:rPr>
          <w:rFonts w:hint="default"/>
          <w:color w:val="auto"/>
          <w:lang w:val="en-US" w:eastAsia="zh-CN"/>
        </w:rPr>
        <w:t>当发生火灾时，控制器上有声光报警及地址显示并可打印出发生火灾的时间和地址（房间）；火灾报警信号引入火灾报警联动控制器内。</w:t>
      </w:r>
    </w:p>
    <w:p w14:paraId="76FF61A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en-US" w:eastAsia="zh-CN"/>
        </w:rPr>
      </w:pPr>
      <w:r>
        <w:rPr>
          <w:rFonts w:hint="eastAsia"/>
          <w:color w:val="auto"/>
          <w:lang w:val="en-US" w:eastAsia="zh-CN"/>
        </w:rPr>
        <w:t>表2.9.3-1配电室报警装置一览表</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3096"/>
        <w:gridCol w:w="3096"/>
        <w:gridCol w:w="3096"/>
      </w:tblGrid>
      <w:tr w14:paraId="5C7F35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672372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名称</w:t>
            </w:r>
          </w:p>
        </w:tc>
        <w:tc>
          <w:tcPr>
            <w:tcW w:w="1666" w:type="pct"/>
            <w:tcBorders>
              <w:tl2br w:val="nil"/>
              <w:tr2bl w:val="nil"/>
            </w:tcBorders>
            <w:vAlign w:val="top"/>
          </w:tcPr>
          <w:p w14:paraId="225FD3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单位</w:t>
            </w:r>
          </w:p>
        </w:tc>
        <w:tc>
          <w:tcPr>
            <w:tcW w:w="1666" w:type="pct"/>
            <w:tcBorders>
              <w:tl2br w:val="nil"/>
              <w:tr2bl w:val="nil"/>
            </w:tcBorders>
            <w:vAlign w:val="top"/>
          </w:tcPr>
          <w:p w14:paraId="6281E4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数量</w:t>
            </w:r>
          </w:p>
        </w:tc>
      </w:tr>
      <w:tr w14:paraId="41CB0A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4AC8D9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感烟探测器</w:t>
            </w:r>
          </w:p>
        </w:tc>
        <w:tc>
          <w:tcPr>
            <w:tcW w:w="1666" w:type="pct"/>
            <w:tcBorders>
              <w:tl2br w:val="nil"/>
              <w:tr2bl w:val="nil"/>
            </w:tcBorders>
            <w:vAlign w:val="top"/>
          </w:tcPr>
          <w:p w14:paraId="69DBB6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342422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8</w:t>
            </w:r>
          </w:p>
        </w:tc>
      </w:tr>
      <w:tr w14:paraId="2009F43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257E4A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感温探测器</w:t>
            </w:r>
          </w:p>
        </w:tc>
        <w:tc>
          <w:tcPr>
            <w:tcW w:w="1666" w:type="pct"/>
            <w:tcBorders>
              <w:tl2br w:val="nil"/>
              <w:tr2bl w:val="nil"/>
            </w:tcBorders>
            <w:vAlign w:val="top"/>
          </w:tcPr>
          <w:p w14:paraId="3E6920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3CF654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7</w:t>
            </w:r>
          </w:p>
        </w:tc>
      </w:tr>
      <w:tr w14:paraId="31529A7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0990A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手动报警按钮</w:t>
            </w:r>
          </w:p>
        </w:tc>
        <w:tc>
          <w:tcPr>
            <w:tcW w:w="1666" w:type="pct"/>
            <w:tcBorders>
              <w:tl2br w:val="nil"/>
              <w:tr2bl w:val="nil"/>
            </w:tcBorders>
            <w:vAlign w:val="top"/>
          </w:tcPr>
          <w:p w14:paraId="4EBCC8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7522B1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2</w:t>
            </w:r>
          </w:p>
        </w:tc>
      </w:tr>
      <w:tr w14:paraId="0648B8C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6562B9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声光报警器</w:t>
            </w:r>
          </w:p>
        </w:tc>
        <w:tc>
          <w:tcPr>
            <w:tcW w:w="1666" w:type="pct"/>
            <w:tcBorders>
              <w:tl2br w:val="nil"/>
              <w:tr2bl w:val="nil"/>
            </w:tcBorders>
            <w:vAlign w:val="top"/>
          </w:tcPr>
          <w:p w14:paraId="19D4A0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42EFD7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2</w:t>
            </w:r>
          </w:p>
        </w:tc>
      </w:tr>
    </w:tbl>
    <w:p w14:paraId="15BF8BC3">
      <w:pPr>
        <w:bidi w:val="0"/>
        <w:rPr>
          <w:rFonts w:hint="eastAsia"/>
          <w:color w:val="auto"/>
        </w:rPr>
      </w:pPr>
      <w:r>
        <w:rPr>
          <w:rFonts w:hint="eastAsia"/>
          <w:color w:val="auto"/>
        </w:rPr>
        <w:t>本项目消防控制室设置在中控室，</w:t>
      </w:r>
      <w:r>
        <w:rPr>
          <w:rFonts w:hint="eastAsia"/>
          <w:color w:val="auto"/>
          <w:lang w:val="en-US" w:eastAsia="zh-CN"/>
        </w:rPr>
        <w:t>中控室</w:t>
      </w:r>
      <w:r>
        <w:rPr>
          <w:rFonts w:hint="eastAsia"/>
          <w:color w:val="auto"/>
        </w:rPr>
        <w:t>配置</w:t>
      </w:r>
      <w:r>
        <w:rPr>
          <w:rFonts w:hint="eastAsia"/>
          <w:color w:val="auto"/>
          <w:lang w:val="en-US" w:eastAsia="zh-CN"/>
        </w:rPr>
        <w:t>感烟探测器、感温探测器、手动报警按钮、声光报警器</w:t>
      </w:r>
      <w:r>
        <w:rPr>
          <w:rFonts w:hint="eastAsia"/>
          <w:color w:val="auto"/>
        </w:rPr>
        <w:t>等。</w:t>
      </w:r>
    </w:p>
    <w:p w14:paraId="29BFA51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r>
        <w:rPr>
          <w:rFonts w:hint="eastAsia"/>
          <w:color w:val="auto"/>
        </w:rPr>
        <w:t>表2.9.3</w:t>
      </w:r>
      <w:r>
        <w:rPr>
          <w:rFonts w:hint="eastAsia"/>
          <w:color w:val="auto"/>
          <w:lang w:val="en-US" w:eastAsia="zh-CN"/>
        </w:rPr>
        <w:t>-2中控室</w:t>
      </w:r>
      <w:r>
        <w:rPr>
          <w:rFonts w:hint="eastAsia"/>
          <w:color w:val="auto"/>
        </w:rPr>
        <w:t>报警装置一览表</w:t>
      </w:r>
    </w:p>
    <w:tbl>
      <w:tblPr>
        <w:tblStyle w:val="15"/>
        <w:tblW w:w="5000"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3096"/>
        <w:gridCol w:w="3096"/>
        <w:gridCol w:w="3096"/>
      </w:tblGrid>
      <w:tr w14:paraId="42C8D8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1666" w:type="pct"/>
            <w:tcBorders>
              <w:tl2br w:val="nil"/>
              <w:tr2bl w:val="nil"/>
            </w:tcBorders>
            <w:vAlign w:val="top"/>
          </w:tcPr>
          <w:p w14:paraId="2FC08E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名称</w:t>
            </w:r>
          </w:p>
        </w:tc>
        <w:tc>
          <w:tcPr>
            <w:tcW w:w="1666" w:type="pct"/>
            <w:tcBorders>
              <w:tl2br w:val="nil"/>
              <w:tr2bl w:val="nil"/>
            </w:tcBorders>
            <w:vAlign w:val="top"/>
          </w:tcPr>
          <w:p w14:paraId="1F3EA9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单位</w:t>
            </w:r>
          </w:p>
        </w:tc>
        <w:tc>
          <w:tcPr>
            <w:tcW w:w="1666" w:type="pct"/>
            <w:tcBorders>
              <w:tl2br w:val="nil"/>
              <w:tr2bl w:val="nil"/>
            </w:tcBorders>
            <w:vAlign w:val="top"/>
          </w:tcPr>
          <w:p w14:paraId="113944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数量</w:t>
            </w:r>
          </w:p>
        </w:tc>
      </w:tr>
      <w:tr w14:paraId="6B539A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2130D9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感烟探测器</w:t>
            </w:r>
          </w:p>
        </w:tc>
        <w:tc>
          <w:tcPr>
            <w:tcW w:w="1666" w:type="pct"/>
            <w:tcBorders>
              <w:tl2br w:val="nil"/>
              <w:tr2bl w:val="nil"/>
            </w:tcBorders>
            <w:vAlign w:val="top"/>
          </w:tcPr>
          <w:p w14:paraId="28FEC9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2E3F71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2</w:t>
            </w:r>
          </w:p>
        </w:tc>
      </w:tr>
      <w:tr w14:paraId="6CE2AE2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7CD5D8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感温探测器</w:t>
            </w:r>
          </w:p>
        </w:tc>
        <w:tc>
          <w:tcPr>
            <w:tcW w:w="1666" w:type="pct"/>
            <w:tcBorders>
              <w:tl2br w:val="nil"/>
              <w:tr2bl w:val="nil"/>
            </w:tcBorders>
            <w:vAlign w:val="top"/>
          </w:tcPr>
          <w:p w14:paraId="0A9B1C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52F6EC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1</w:t>
            </w:r>
          </w:p>
        </w:tc>
      </w:tr>
      <w:tr w14:paraId="35D70D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66" w:type="pct"/>
            <w:tcBorders>
              <w:tl2br w:val="nil"/>
              <w:tr2bl w:val="nil"/>
            </w:tcBorders>
            <w:vAlign w:val="top"/>
          </w:tcPr>
          <w:p w14:paraId="1B7081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手动报警按钮</w:t>
            </w:r>
          </w:p>
        </w:tc>
        <w:tc>
          <w:tcPr>
            <w:tcW w:w="1666" w:type="pct"/>
            <w:tcBorders>
              <w:tl2br w:val="nil"/>
              <w:tr2bl w:val="nil"/>
            </w:tcBorders>
            <w:vAlign w:val="top"/>
          </w:tcPr>
          <w:p w14:paraId="0D2450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004E2E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1</w:t>
            </w:r>
          </w:p>
        </w:tc>
      </w:tr>
      <w:tr w14:paraId="7677DA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4" w:hRule="atLeast"/>
        </w:trPr>
        <w:tc>
          <w:tcPr>
            <w:tcW w:w="1666" w:type="pct"/>
            <w:tcBorders>
              <w:tl2br w:val="nil"/>
              <w:tr2bl w:val="nil"/>
            </w:tcBorders>
            <w:vAlign w:val="top"/>
          </w:tcPr>
          <w:p w14:paraId="50FD83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声光报警器</w:t>
            </w:r>
          </w:p>
        </w:tc>
        <w:tc>
          <w:tcPr>
            <w:tcW w:w="1666" w:type="pct"/>
            <w:tcBorders>
              <w:tl2br w:val="nil"/>
              <w:tr2bl w:val="nil"/>
            </w:tcBorders>
            <w:vAlign w:val="top"/>
          </w:tcPr>
          <w:p w14:paraId="3785D6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个</w:t>
            </w:r>
          </w:p>
        </w:tc>
        <w:tc>
          <w:tcPr>
            <w:tcW w:w="1666" w:type="pct"/>
            <w:tcBorders>
              <w:tl2br w:val="nil"/>
              <w:tr2bl w:val="nil"/>
            </w:tcBorders>
            <w:vAlign w:val="top"/>
          </w:tcPr>
          <w:p w14:paraId="0EFAB0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vertAlign w:val="baseline"/>
                <w:lang w:val="en-US" w:eastAsia="zh-CN"/>
              </w:rPr>
            </w:pPr>
            <w:r>
              <w:rPr>
                <w:rFonts w:hint="eastAsia"/>
                <w:color w:val="auto"/>
                <w:vertAlign w:val="baseline"/>
                <w:lang w:val="en-US" w:eastAsia="zh-CN"/>
              </w:rPr>
              <w:t>1</w:t>
            </w:r>
          </w:p>
        </w:tc>
      </w:tr>
    </w:tbl>
    <w:p w14:paraId="64067469">
      <w:pPr>
        <w:pStyle w:val="4"/>
        <w:bidi w:val="0"/>
        <w:rPr>
          <w:rFonts w:hint="eastAsia"/>
          <w:color w:val="auto"/>
        </w:rPr>
      </w:pPr>
      <w:bookmarkStart w:id="44" w:name="_Toc17658"/>
      <w:r>
        <w:rPr>
          <w:rFonts w:hint="eastAsia"/>
          <w:color w:val="auto"/>
        </w:rPr>
        <w:t>2.</w:t>
      </w:r>
      <w:r>
        <w:rPr>
          <w:rFonts w:hint="eastAsia"/>
          <w:color w:val="auto"/>
          <w:lang w:val="en-US" w:eastAsia="zh-CN"/>
        </w:rPr>
        <w:t>9.4</w:t>
      </w:r>
      <w:r>
        <w:rPr>
          <w:rFonts w:hint="eastAsia"/>
          <w:color w:val="auto"/>
        </w:rPr>
        <w:t>管道和阀门系统</w:t>
      </w:r>
      <w:bookmarkEnd w:id="44"/>
    </w:p>
    <w:p w14:paraId="410F0BE3">
      <w:pPr>
        <w:bidi w:val="0"/>
        <w:rPr>
          <w:rFonts w:hint="eastAsia"/>
          <w:color w:val="auto"/>
        </w:rPr>
      </w:pPr>
      <w:r>
        <w:rPr>
          <w:rFonts w:hint="eastAsia"/>
          <w:color w:val="auto"/>
        </w:rPr>
        <w:t>所有净水管道为碳钢镀锌材质，阀门为钢衬UPE材质。</w:t>
      </w:r>
    </w:p>
    <w:p w14:paraId="257C6144">
      <w:pPr>
        <w:bidi w:val="0"/>
        <w:rPr>
          <w:rFonts w:hint="eastAsia"/>
          <w:color w:val="auto"/>
        </w:rPr>
      </w:pPr>
      <w:r>
        <w:rPr>
          <w:rFonts w:hint="eastAsia"/>
          <w:color w:val="auto"/>
        </w:rPr>
        <w:t>所有浆液管道为钢衬UPE材质或FRP材质，阀门为钢衬UPE材质。</w:t>
      </w:r>
    </w:p>
    <w:p w14:paraId="6B713EE7">
      <w:pPr>
        <w:bidi w:val="0"/>
        <w:rPr>
          <w:color w:val="auto"/>
        </w:rPr>
      </w:pPr>
      <w:r>
        <w:rPr>
          <w:rFonts w:hint="eastAsia"/>
          <w:color w:val="auto"/>
        </w:rPr>
        <w:t>风机入口烟道、吸收塔入口烟道均设置</w:t>
      </w:r>
      <w:r>
        <w:rPr>
          <w:color w:val="auto"/>
        </w:rPr>
        <w:t>挡板门</w:t>
      </w:r>
      <w:r>
        <w:rPr>
          <w:rFonts w:hint="eastAsia"/>
          <w:color w:val="auto"/>
        </w:rPr>
        <w:t>，</w:t>
      </w:r>
      <w:r>
        <w:rPr>
          <w:color w:val="auto"/>
        </w:rPr>
        <w:t>烟气系统挡板门具有防止泄漏功能。</w:t>
      </w:r>
    </w:p>
    <w:p w14:paraId="5F85AC48">
      <w:pPr>
        <w:bidi w:val="0"/>
        <w:rPr>
          <w:rFonts w:hint="eastAsia"/>
          <w:color w:val="auto"/>
        </w:rPr>
      </w:pPr>
      <w:r>
        <w:rPr>
          <w:rFonts w:hint="eastAsia"/>
          <w:color w:val="auto"/>
        </w:rPr>
        <w:t>脱硫吸收塔入口烟道可能接触浆液的区域，以及脱硫吸收塔出口至烟囱入口之间的净烟道采用防腐措施。</w:t>
      </w:r>
    </w:p>
    <w:p w14:paraId="623D2884">
      <w:pPr>
        <w:bidi w:val="0"/>
        <w:rPr>
          <w:rFonts w:hint="eastAsia"/>
          <w:color w:val="auto"/>
        </w:rPr>
      </w:pPr>
      <w:r>
        <w:rPr>
          <w:rFonts w:hint="eastAsia"/>
          <w:color w:val="auto"/>
        </w:rPr>
        <w:t>烟道设计满足烟道的强度、刚度和振动在允许范围内。</w:t>
      </w:r>
    </w:p>
    <w:p w14:paraId="48B5A9A1">
      <w:pPr>
        <w:bidi w:val="0"/>
        <w:rPr>
          <w:rFonts w:hint="eastAsia"/>
          <w:color w:val="auto"/>
        </w:rPr>
      </w:pPr>
      <w:r>
        <w:rPr>
          <w:rFonts w:hint="eastAsia"/>
          <w:color w:val="auto"/>
        </w:rPr>
        <w:t>脱硫烟道与连接设备使用补偿器连接，补偿器采用非金属材质。</w:t>
      </w:r>
    </w:p>
    <w:p w14:paraId="4BD3D0B9">
      <w:pPr>
        <w:bidi w:val="0"/>
        <w:rPr>
          <w:rFonts w:hint="eastAsia"/>
          <w:color w:val="auto"/>
        </w:rPr>
      </w:pPr>
      <w:r>
        <w:rPr>
          <w:rFonts w:hint="eastAsia"/>
          <w:color w:val="auto"/>
        </w:rPr>
        <w:t>脱硫烟道在低位点装设自动疏放水系统，烟道低位点疏水和烟囱冷凝水疏水通过脱硫工程回用。</w:t>
      </w:r>
    </w:p>
    <w:p w14:paraId="042FC095">
      <w:pPr>
        <w:pStyle w:val="4"/>
        <w:bidi w:val="0"/>
        <w:rPr>
          <w:color w:val="auto"/>
        </w:rPr>
      </w:pPr>
      <w:bookmarkStart w:id="45" w:name="_Toc31996"/>
      <w:r>
        <w:rPr>
          <w:rFonts w:hint="default"/>
          <w:color w:val="auto"/>
          <w:lang w:val="en-US" w:eastAsia="zh-CN"/>
        </w:rPr>
        <w:t>2.</w:t>
      </w:r>
      <w:r>
        <w:rPr>
          <w:rFonts w:hint="eastAsia"/>
          <w:color w:val="auto"/>
          <w:lang w:val="en-US" w:eastAsia="zh-CN"/>
        </w:rPr>
        <w:t>9.5</w:t>
      </w:r>
      <w:r>
        <w:rPr>
          <w:rFonts w:hint="eastAsia"/>
          <w:color w:val="auto"/>
        </w:rPr>
        <w:t>事故浆液系统</w:t>
      </w:r>
      <w:bookmarkEnd w:id="45"/>
    </w:p>
    <w:p w14:paraId="4D9E7EB1">
      <w:pPr>
        <w:bidi w:val="0"/>
        <w:rPr>
          <w:color w:val="auto"/>
          <w:lang w:val="en-US"/>
        </w:rPr>
      </w:pPr>
      <w:r>
        <w:rPr>
          <w:rFonts w:hint="eastAsia"/>
          <w:color w:val="auto"/>
          <w:lang w:val="en-US"/>
        </w:rPr>
        <w:t>本项目设置事故浆液系统，仅做浆液暂储系统，在紧急情况下或系统维护期间可作为吸收塔浆液和吸收塔排水坑的储存容器，如果吸收塔在检修、停机或其它紧急情况下必须排空，则将吸收塔内的浆液通过排浆泵输送到事故浆液箱内，同时设备和管道的冲洗水也送到事故浆液箱内。检修完成或事故排除，则通过事故浆液泵将浆液送回吸收塔。</w:t>
      </w:r>
    </w:p>
    <w:p w14:paraId="43C5F9EB">
      <w:pPr>
        <w:bidi w:val="0"/>
        <w:rPr>
          <w:color w:val="auto"/>
          <w:szCs w:val="28"/>
          <w:lang w:val="en-US"/>
        </w:rPr>
      </w:pPr>
      <w:r>
        <w:rPr>
          <w:rFonts w:hint="eastAsia"/>
          <w:color w:val="auto"/>
          <w:lang w:val="en-US"/>
        </w:rPr>
        <w:t>事故浆液箱为圆柱形，碳钢制作，内衬玻璃鳞片防腐，配有搅拌器。</w:t>
      </w:r>
    </w:p>
    <w:p w14:paraId="2BCE1637">
      <w:pPr>
        <w:pStyle w:val="4"/>
        <w:bidi w:val="0"/>
        <w:rPr>
          <w:color w:val="auto"/>
        </w:rPr>
      </w:pPr>
      <w:bookmarkStart w:id="46" w:name="_Toc28309"/>
      <w:r>
        <w:rPr>
          <w:rFonts w:hint="default"/>
          <w:color w:val="auto"/>
          <w:lang w:val="en-US" w:eastAsia="zh-CN"/>
        </w:rPr>
        <w:t>2.</w:t>
      </w:r>
      <w:r>
        <w:rPr>
          <w:rFonts w:hint="eastAsia"/>
          <w:color w:val="auto"/>
          <w:lang w:val="en-US" w:eastAsia="zh-CN"/>
        </w:rPr>
        <w:t>9.6</w:t>
      </w:r>
      <w:r>
        <w:rPr>
          <w:rFonts w:hint="eastAsia"/>
          <w:color w:val="auto"/>
        </w:rPr>
        <w:t>供气</w:t>
      </w:r>
      <w:bookmarkEnd w:id="46"/>
    </w:p>
    <w:p w14:paraId="2C4B048D">
      <w:pPr>
        <w:bidi w:val="0"/>
        <w:rPr>
          <w:color w:val="auto"/>
          <w:szCs w:val="28"/>
          <w:lang w:val="en-US"/>
        </w:rPr>
      </w:pPr>
      <w:r>
        <w:rPr>
          <w:rFonts w:hint="eastAsia"/>
          <w:color w:val="auto"/>
          <w:lang w:val="en-US"/>
        </w:rPr>
        <w:t>本项目压缩空气系统依托原有五线空压机室、六线空压机室，各设3台SA160W型螺杆式压缩机（单机性能，Q=27.6</w:t>
      </w:r>
      <w:r>
        <w:rPr>
          <w:rFonts w:hint="eastAsia"/>
          <w:color w:val="auto"/>
          <w:vertAlign w:val="baseline"/>
          <w:lang w:val="en-US"/>
        </w:rPr>
        <w:t>m</w:t>
      </w:r>
      <w:r>
        <w:rPr>
          <w:rFonts w:hint="eastAsia"/>
          <w:color w:val="auto"/>
          <w:vertAlign w:val="superscript"/>
          <w:lang w:val="en-US"/>
        </w:rPr>
        <w:t>3</w:t>
      </w:r>
      <w:r>
        <w:rPr>
          <w:rFonts w:hint="eastAsia"/>
          <w:color w:val="auto"/>
          <w:lang w:val="en-US"/>
        </w:rPr>
        <w:t>/min，P=0.8MPa，电机功率160</w:t>
      </w:r>
      <w:r>
        <w:rPr>
          <w:rFonts w:hint="eastAsia"/>
          <w:color w:val="auto"/>
          <w:lang w:val="en-US" w:eastAsia="zh-CN"/>
        </w:rPr>
        <w:t>k</w:t>
      </w:r>
      <w:r>
        <w:rPr>
          <w:rFonts w:hint="eastAsia"/>
          <w:color w:val="auto"/>
          <w:lang w:val="en-US"/>
        </w:rPr>
        <w:t>W），2开1备，能够满足</w:t>
      </w:r>
      <w:r>
        <w:rPr>
          <w:rFonts w:hint="eastAsia"/>
          <w:color w:val="auto"/>
          <w:lang w:val="en-US" w:eastAsia="zh-CN"/>
        </w:rPr>
        <w:t>本项目仪表供气需求</w:t>
      </w:r>
      <w:r>
        <w:rPr>
          <w:rFonts w:hint="eastAsia"/>
          <w:color w:val="auto"/>
          <w:lang w:val="en-US"/>
        </w:rPr>
        <w:t>。</w:t>
      </w:r>
    </w:p>
    <w:p w14:paraId="1BF5022B">
      <w:pPr>
        <w:pStyle w:val="4"/>
        <w:bidi w:val="0"/>
        <w:rPr>
          <w:color w:val="auto"/>
        </w:rPr>
      </w:pPr>
      <w:bookmarkStart w:id="47" w:name="_Toc3614"/>
      <w:r>
        <w:rPr>
          <w:rFonts w:hint="default"/>
          <w:color w:val="auto"/>
          <w:lang w:val="en-US" w:eastAsia="zh-CN"/>
        </w:rPr>
        <w:t>2.</w:t>
      </w:r>
      <w:r>
        <w:rPr>
          <w:rFonts w:hint="eastAsia"/>
          <w:color w:val="auto"/>
          <w:lang w:val="en-US" w:eastAsia="zh-CN"/>
        </w:rPr>
        <w:t>9.7</w:t>
      </w:r>
      <w:r>
        <w:rPr>
          <w:rFonts w:hint="eastAsia"/>
          <w:color w:val="auto"/>
        </w:rPr>
        <w:t>通风</w:t>
      </w:r>
      <w:bookmarkEnd w:id="47"/>
    </w:p>
    <w:p w14:paraId="705C535F">
      <w:pPr>
        <w:bidi w:val="0"/>
        <w:rPr>
          <w:rFonts w:hint="eastAsia"/>
          <w:color w:val="auto"/>
          <w:lang w:val="en-US"/>
        </w:rPr>
      </w:pPr>
      <w:r>
        <w:rPr>
          <w:rFonts w:hint="eastAsia"/>
          <w:color w:val="auto"/>
          <w:lang w:val="en-US"/>
        </w:rPr>
        <w:t>本项目脱硫系统为露天设备，配电室设置机械通风以排出余热和有害气体。</w:t>
      </w:r>
    </w:p>
    <w:p w14:paraId="7764D923">
      <w:pPr>
        <w:pStyle w:val="4"/>
        <w:bidi w:val="0"/>
        <w:rPr>
          <w:rFonts w:hint="eastAsia"/>
          <w:color w:val="auto"/>
          <w:lang w:val="en-US" w:eastAsia="zh-CN"/>
        </w:rPr>
      </w:pPr>
      <w:bookmarkStart w:id="48" w:name="_Toc20213"/>
      <w:r>
        <w:rPr>
          <w:rFonts w:hint="default"/>
          <w:color w:val="auto"/>
          <w:lang w:val="en-US" w:eastAsia="zh-CN"/>
        </w:rPr>
        <w:t>2.</w:t>
      </w:r>
      <w:r>
        <w:rPr>
          <w:rFonts w:hint="eastAsia"/>
          <w:color w:val="auto"/>
          <w:lang w:val="en-US" w:eastAsia="zh-CN"/>
        </w:rPr>
        <w:t>9.8消防</w:t>
      </w:r>
      <w:bookmarkEnd w:id="48"/>
    </w:p>
    <w:p w14:paraId="0D6C47E2">
      <w:pPr>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原有室外消火栓系统设计流量为40L/S，火灾延续时间为3h，室外消火栓系统一次灭火用水量为432m</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w:t>
      </w:r>
    </w:p>
    <w:p w14:paraId="365D6F22">
      <w:pPr>
        <w:bidi w:val="0"/>
        <w:rPr>
          <w:rFonts w:hint="eastAsia"/>
          <w:color w:val="auto"/>
          <w:lang w:val="en-US"/>
        </w:rPr>
      </w:pPr>
      <w:r>
        <w:rPr>
          <w:rFonts w:hint="eastAsia"/>
          <w:color w:val="auto"/>
          <w:lang w:val="en-US"/>
        </w:rPr>
        <w:t>各建筑物间距按《建筑设计防火规范》的防火间距要求布置。</w:t>
      </w:r>
      <w:r>
        <w:rPr>
          <w:rFonts w:hint="eastAsia"/>
          <w:color w:val="auto"/>
        </w:rPr>
        <w:t>设备设施按照《建筑设计防火规范》的有关规定，保留了安全通道、疏散走道等安全疏散设施。所有疏散门均向疏散方向开</w:t>
      </w:r>
      <w:r>
        <w:rPr>
          <w:rFonts w:hint="eastAsia"/>
          <w:color w:val="auto"/>
          <w:lang w:val="en-US"/>
        </w:rPr>
        <w:t>启。</w:t>
      </w:r>
    </w:p>
    <w:p w14:paraId="54DBAB38">
      <w:pPr>
        <w:bidi w:val="0"/>
        <w:rPr>
          <w:color w:val="auto"/>
        </w:rPr>
      </w:pPr>
      <w:r>
        <w:rPr>
          <w:rFonts w:hint="default"/>
          <w:color w:val="auto"/>
          <w:lang w:val="en-US" w:eastAsia="zh-CN"/>
        </w:rPr>
        <w:t>室外消火栓系统</w:t>
      </w:r>
      <w:r>
        <w:rPr>
          <w:rFonts w:hint="eastAsia"/>
          <w:color w:val="auto"/>
          <w:lang w:val="en-US" w:eastAsia="zh-CN"/>
        </w:rPr>
        <w:t>均利用厂区原有。</w:t>
      </w:r>
      <w:r>
        <w:rPr>
          <w:color w:val="auto"/>
        </w:rPr>
        <w:t>厂区</w:t>
      </w:r>
      <w:r>
        <w:rPr>
          <w:rFonts w:hint="eastAsia"/>
          <w:color w:val="auto"/>
          <w:lang w:val="en-US" w:eastAsia="zh-CN"/>
        </w:rPr>
        <w:t>原有</w:t>
      </w:r>
      <w:r>
        <w:rPr>
          <w:color w:val="auto"/>
        </w:rPr>
        <w:t>消防给水管网布置成环状，室外消火栓均采用地上式，沿道路敷设。</w:t>
      </w:r>
    </w:p>
    <w:p w14:paraId="0214C493">
      <w:pPr>
        <w:bidi w:val="0"/>
        <w:rPr>
          <w:rFonts w:hint="eastAsia"/>
          <w:color w:val="auto"/>
          <w:lang w:val="en-US"/>
        </w:rPr>
      </w:pPr>
      <w:r>
        <w:rPr>
          <w:rFonts w:hint="eastAsia"/>
          <w:color w:val="auto"/>
          <w:lang w:val="en-US"/>
        </w:rPr>
        <w:t>管道、电气线路穿越隔墙时采用防火封堵材料封堵。</w:t>
      </w:r>
    </w:p>
    <w:p w14:paraId="70D7805F">
      <w:pPr>
        <w:bidi w:val="0"/>
        <w:rPr>
          <w:rFonts w:hint="eastAsia"/>
          <w:color w:val="auto"/>
          <w:lang w:val="en-US"/>
        </w:rPr>
      </w:pPr>
      <w:r>
        <w:rPr>
          <w:rFonts w:hint="eastAsia"/>
          <w:color w:val="auto"/>
          <w:lang w:val="en-US"/>
        </w:rPr>
        <w:t>为了确保小规模火灾危险能及时有效得到控制，根据《建筑灭火器配置设计规范》（GB50140-2005），各主要建构筑物按要求配备MF/ABC类手提磷酸铵盐干粉灭火器或二氧化碳灭火器，每处2具，最大保护范围50m，具体数量见表</w:t>
      </w:r>
      <w:r>
        <w:rPr>
          <w:rFonts w:hint="eastAsia"/>
          <w:color w:val="auto"/>
          <w:lang w:val="en-US" w:eastAsia="zh-CN"/>
        </w:rPr>
        <w:t>2.9.8-1</w:t>
      </w:r>
      <w:r>
        <w:rPr>
          <w:rFonts w:hint="eastAsia"/>
          <w:color w:val="auto"/>
          <w:lang w:val="en-US"/>
        </w:rPr>
        <w:t>。</w:t>
      </w:r>
    </w:p>
    <w:p w14:paraId="613E9E5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en-US"/>
        </w:rPr>
      </w:pPr>
      <w:r>
        <w:rPr>
          <w:rFonts w:hint="eastAsia"/>
          <w:color w:val="auto"/>
          <w:lang w:val="en-US"/>
        </w:rPr>
        <w:t>表</w:t>
      </w:r>
      <w:r>
        <w:rPr>
          <w:rFonts w:hint="eastAsia"/>
          <w:color w:val="auto"/>
          <w:lang w:val="en-US" w:eastAsia="zh-CN"/>
        </w:rPr>
        <w:t>2.9.8-1</w:t>
      </w:r>
      <w:r>
        <w:rPr>
          <w:rFonts w:hint="eastAsia"/>
          <w:color w:val="auto"/>
          <w:lang w:val="en-US"/>
        </w:rPr>
        <w:t xml:space="preserve">  各建构筑物内灭火器装备数量一览表</w:t>
      </w:r>
    </w:p>
    <w:tbl>
      <w:tblPr>
        <w:tblStyle w:val="14"/>
        <w:tblW w:w="48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2453"/>
        <w:gridCol w:w="3537"/>
        <w:gridCol w:w="1392"/>
        <w:gridCol w:w="871"/>
      </w:tblGrid>
      <w:tr w14:paraId="387041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2" w:type="pct"/>
            <w:tcBorders>
              <w:tl2br w:val="nil"/>
              <w:tr2bl w:val="nil"/>
            </w:tcBorders>
            <w:vAlign w:val="center"/>
          </w:tcPr>
          <w:p w14:paraId="2275C516">
            <w:pPr>
              <w:adjustRightInd/>
              <w:snapToGrid w:val="0"/>
              <w:spacing w:line="240" w:lineRule="auto"/>
              <w:ind w:firstLine="0" w:firstLineChars="0"/>
              <w:jc w:val="center"/>
              <w:rPr>
                <w:rFonts w:ascii="Times New Roman" w:hAnsi="Times New Roman" w:eastAsia="宋体" w:cs="Times New Roman"/>
                <w:b/>
                <w:bCs/>
                <w:color w:val="auto"/>
                <w:sz w:val="21"/>
                <w:szCs w:val="21"/>
                <w:lang w:val="zh-CN"/>
              </w:rPr>
            </w:pPr>
            <w:r>
              <w:rPr>
                <w:rFonts w:ascii="Times New Roman" w:hAnsi="Times New Roman" w:eastAsia="宋体" w:cs="Times New Roman"/>
                <w:b/>
                <w:bCs/>
                <w:color w:val="auto"/>
                <w:sz w:val="21"/>
                <w:szCs w:val="21"/>
                <w:lang w:val="zh-CN"/>
              </w:rPr>
              <w:t>序号</w:t>
            </w:r>
          </w:p>
        </w:tc>
        <w:tc>
          <w:tcPr>
            <w:tcW w:w="1348" w:type="pct"/>
            <w:tcBorders>
              <w:tl2br w:val="nil"/>
              <w:tr2bl w:val="nil"/>
            </w:tcBorders>
            <w:vAlign w:val="center"/>
          </w:tcPr>
          <w:p w14:paraId="3F52EE48">
            <w:pPr>
              <w:adjustRightInd/>
              <w:snapToGrid w:val="0"/>
              <w:spacing w:line="240" w:lineRule="auto"/>
              <w:ind w:firstLine="0" w:firstLineChars="0"/>
              <w:jc w:val="center"/>
              <w:rPr>
                <w:rFonts w:ascii="Times New Roman" w:hAnsi="Times New Roman" w:eastAsia="宋体" w:cs="Times New Roman"/>
                <w:b/>
                <w:bCs/>
                <w:color w:val="auto"/>
                <w:sz w:val="21"/>
                <w:szCs w:val="21"/>
                <w:lang w:val="zh-CN"/>
              </w:rPr>
            </w:pPr>
            <w:r>
              <w:rPr>
                <w:rFonts w:ascii="Times New Roman" w:hAnsi="Times New Roman" w:eastAsia="宋体" w:cs="Times New Roman"/>
                <w:b/>
                <w:bCs/>
                <w:color w:val="auto"/>
                <w:sz w:val="21"/>
                <w:szCs w:val="21"/>
                <w:lang w:val="zh-CN"/>
              </w:rPr>
              <w:t>建构筑物</w:t>
            </w:r>
          </w:p>
        </w:tc>
        <w:tc>
          <w:tcPr>
            <w:tcW w:w="1944" w:type="pct"/>
            <w:tcBorders>
              <w:tl2br w:val="nil"/>
              <w:tr2bl w:val="nil"/>
            </w:tcBorders>
            <w:vAlign w:val="center"/>
          </w:tcPr>
          <w:p w14:paraId="40C9F191">
            <w:pPr>
              <w:adjustRightInd/>
              <w:snapToGrid w:val="0"/>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火灾类别</w:t>
            </w:r>
          </w:p>
        </w:tc>
        <w:tc>
          <w:tcPr>
            <w:tcW w:w="765" w:type="pct"/>
            <w:tcBorders>
              <w:tl2br w:val="nil"/>
              <w:tr2bl w:val="nil"/>
            </w:tcBorders>
            <w:vAlign w:val="center"/>
          </w:tcPr>
          <w:p w14:paraId="0CDDE2EF">
            <w:pPr>
              <w:adjustRightInd/>
              <w:snapToGrid w:val="0"/>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消防器材</w:t>
            </w:r>
          </w:p>
        </w:tc>
        <w:tc>
          <w:tcPr>
            <w:tcW w:w="479" w:type="pct"/>
            <w:tcBorders>
              <w:tl2br w:val="nil"/>
              <w:tr2bl w:val="nil"/>
            </w:tcBorders>
            <w:vAlign w:val="center"/>
          </w:tcPr>
          <w:p w14:paraId="1733B6FE">
            <w:pPr>
              <w:adjustRightInd/>
              <w:snapToGrid w:val="0"/>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数量</w:t>
            </w:r>
          </w:p>
        </w:tc>
      </w:tr>
      <w:tr w14:paraId="609A94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2" w:type="pct"/>
            <w:tcBorders>
              <w:tl2br w:val="nil"/>
              <w:tr2bl w:val="nil"/>
            </w:tcBorders>
            <w:vAlign w:val="center"/>
          </w:tcPr>
          <w:p w14:paraId="26AC4B1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1348" w:type="pct"/>
            <w:tcBorders>
              <w:tl2br w:val="nil"/>
              <w:tr2bl w:val="nil"/>
            </w:tcBorders>
            <w:vAlign w:val="center"/>
          </w:tcPr>
          <w:p w14:paraId="1F331052">
            <w:pPr>
              <w:widowControl/>
              <w:adjustRightInd/>
              <w:snapToGrid/>
              <w:spacing w:line="280" w:lineRule="exact"/>
              <w:ind w:firstLine="0" w:firstLineChars="0"/>
              <w:jc w:val="center"/>
              <w:textAlignment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kern w:val="0"/>
                <w:sz w:val="21"/>
                <w:szCs w:val="21"/>
              </w:rPr>
              <w:t>5#脱硫装置区</w:t>
            </w:r>
          </w:p>
        </w:tc>
        <w:tc>
          <w:tcPr>
            <w:tcW w:w="1944" w:type="pct"/>
            <w:tcBorders>
              <w:tl2br w:val="nil"/>
              <w:tr2bl w:val="nil"/>
            </w:tcBorders>
            <w:vAlign w:val="center"/>
          </w:tcPr>
          <w:p w14:paraId="65AA779D">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A类</w:t>
            </w:r>
            <w:r>
              <w:rPr>
                <w:rFonts w:hint="eastAsia" w:ascii="Times New Roman" w:hAnsi="Times New Roman" w:eastAsia="宋体" w:cs="Times New Roman"/>
                <w:color w:val="auto"/>
                <w:sz w:val="21"/>
                <w:szCs w:val="21"/>
              </w:rPr>
              <w:t>中</w:t>
            </w:r>
            <w:r>
              <w:rPr>
                <w:rFonts w:ascii="Times New Roman" w:hAnsi="Times New Roman" w:eastAsia="宋体" w:cs="Times New Roman"/>
                <w:color w:val="auto"/>
                <w:sz w:val="21"/>
                <w:szCs w:val="21"/>
              </w:rPr>
              <w:t>危险级</w:t>
            </w:r>
          </w:p>
        </w:tc>
        <w:tc>
          <w:tcPr>
            <w:tcW w:w="765" w:type="pct"/>
            <w:tcBorders>
              <w:tl2br w:val="nil"/>
              <w:tr2bl w:val="nil"/>
            </w:tcBorders>
            <w:vAlign w:val="center"/>
          </w:tcPr>
          <w:p w14:paraId="093F9DA5">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MF</w:t>
            </w:r>
            <w:r>
              <w:rPr>
                <w:rFonts w:hint="eastAsia" w:ascii="Times New Roman" w:hAnsi="Times New Roman" w:eastAsia="宋体" w:cs="Times New Roman"/>
                <w:color w:val="auto"/>
                <w:sz w:val="21"/>
                <w:szCs w:val="21"/>
              </w:rPr>
              <w:t>Z</w:t>
            </w:r>
            <w:r>
              <w:rPr>
                <w:rFonts w:ascii="Times New Roman" w:hAnsi="Times New Roman" w:eastAsia="宋体" w:cs="Times New Roman"/>
                <w:color w:val="auto"/>
                <w:sz w:val="21"/>
                <w:szCs w:val="21"/>
              </w:rPr>
              <w:t>/ABC</w:t>
            </w:r>
            <w:r>
              <w:rPr>
                <w:rFonts w:hint="eastAsia" w:ascii="Times New Roman" w:hAnsi="Times New Roman" w:eastAsia="宋体" w:cs="Times New Roman"/>
                <w:color w:val="auto"/>
                <w:sz w:val="21"/>
                <w:szCs w:val="21"/>
              </w:rPr>
              <w:t>8</w:t>
            </w:r>
          </w:p>
        </w:tc>
        <w:tc>
          <w:tcPr>
            <w:tcW w:w="479" w:type="pct"/>
            <w:tcBorders>
              <w:tl2br w:val="nil"/>
              <w:tr2bl w:val="nil"/>
            </w:tcBorders>
            <w:vAlign w:val="center"/>
          </w:tcPr>
          <w:p w14:paraId="5E084C7C">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r>
              <w:rPr>
                <w:rFonts w:ascii="Times New Roman" w:hAnsi="Times New Roman" w:eastAsia="宋体" w:cs="Times New Roman"/>
                <w:color w:val="auto"/>
                <w:sz w:val="21"/>
                <w:szCs w:val="21"/>
              </w:rPr>
              <w:t>具</w:t>
            </w:r>
          </w:p>
        </w:tc>
      </w:tr>
      <w:tr w14:paraId="58D67E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2" w:type="pct"/>
            <w:tcBorders>
              <w:tl2br w:val="nil"/>
              <w:tr2bl w:val="nil"/>
            </w:tcBorders>
            <w:vAlign w:val="center"/>
          </w:tcPr>
          <w:p w14:paraId="0859607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1348" w:type="pct"/>
            <w:tcBorders>
              <w:tl2br w:val="nil"/>
              <w:tr2bl w:val="nil"/>
            </w:tcBorders>
            <w:vAlign w:val="center"/>
          </w:tcPr>
          <w:p w14:paraId="68BFABB5">
            <w:pPr>
              <w:widowControl/>
              <w:adjustRightInd/>
              <w:snapToGrid/>
              <w:spacing w:line="280" w:lineRule="exact"/>
              <w:ind w:firstLine="0" w:firstLineChars="0"/>
              <w:jc w:val="center"/>
              <w:textAlignment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kern w:val="0"/>
                <w:sz w:val="21"/>
                <w:szCs w:val="21"/>
              </w:rPr>
              <w:t>6#脱硫装置区</w:t>
            </w:r>
          </w:p>
        </w:tc>
        <w:tc>
          <w:tcPr>
            <w:tcW w:w="1944" w:type="pct"/>
            <w:tcBorders>
              <w:tl2br w:val="nil"/>
              <w:tr2bl w:val="nil"/>
            </w:tcBorders>
            <w:vAlign w:val="center"/>
          </w:tcPr>
          <w:p w14:paraId="7195B6BE">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A类</w:t>
            </w:r>
            <w:r>
              <w:rPr>
                <w:rFonts w:hint="eastAsia" w:ascii="Times New Roman" w:hAnsi="Times New Roman" w:eastAsia="宋体" w:cs="Times New Roman"/>
                <w:color w:val="auto"/>
                <w:sz w:val="21"/>
                <w:szCs w:val="21"/>
              </w:rPr>
              <w:t>中</w:t>
            </w:r>
            <w:r>
              <w:rPr>
                <w:rFonts w:ascii="Times New Roman" w:hAnsi="Times New Roman" w:eastAsia="宋体" w:cs="Times New Roman"/>
                <w:color w:val="auto"/>
                <w:sz w:val="21"/>
                <w:szCs w:val="21"/>
              </w:rPr>
              <w:t>危险级</w:t>
            </w:r>
          </w:p>
        </w:tc>
        <w:tc>
          <w:tcPr>
            <w:tcW w:w="765" w:type="pct"/>
            <w:tcBorders>
              <w:tl2br w:val="nil"/>
              <w:tr2bl w:val="nil"/>
            </w:tcBorders>
            <w:vAlign w:val="center"/>
          </w:tcPr>
          <w:p w14:paraId="2E57181A">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MF</w:t>
            </w:r>
            <w:r>
              <w:rPr>
                <w:rFonts w:hint="eastAsia" w:ascii="Times New Roman" w:hAnsi="Times New Roman" w:eastAsia="宋体" w:cs="Times New Roman"/>
                <w:color w:val="auto"/>
                <w:sz w:val="21"/>
                <w:szCs w:val="21"/>
              </w:rPr>
              <w:t>Z</w:t>
            </w:r>
            <w:r>
              <w:rPr>
                <w:rFonts w:ascii="Times New Roman" w:hAnsi="Times New Roman" w:eastAsia="宋体" w:cs="Times New Roman"/>
                <w:color w:val="auto"/>
                <w:sz w:val="21"/>
                <w:szCs w:val="21"/>
              </w:rPr>
              <w:t>/ABC</w:t>
            </w:r>
            <w:r>
              <w:rPr>
                <w:rFonts w:hint="eastAsia" w:ascii="Times New Roman" w:hAnsi="Times New Roman" w:eastAsia="宋体" w:cs="Times New Roman"/>
                <w:color w:val="auto"/>
                <w:sz w:val="21"/>
                <w:szCs w:val="21"/>
              </w:rPr>
              <w:t>8</w:t>
            </w:r>
          </w:p>
        </w:tc>
        <w:tc>
          <w:tcPr>
            <w:tcW w:w="479" w:type="pct"/>
            <w:tcBorders>
              <w:tl2br w:val="nil"/>
              <w:tr2bl w:val="nil"/>
            </w:tcBorders>
            <w:vAlign w:val="center"/>
          </w:tcPr>
          <w:p w14:paraId="19CB5D74">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r>
              <w:rPr>
                <w:rFonts w:ascii="Times New Roman" w:hAnsi="Times New Roman" w:eastAsia="宋体" w:cs="Times New Roman"/>
                <w:color w:val="auto"/>
                <w:sz w:val="21"/>
                <w:szCs w:val="21"/>
              </w:rPr>
              <w:t>具</w:t>
            </w:r>
          </w:p>
        </w:tc>
      </w:tr>
      <w:tr w14:paraId="1A0010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2" w:type="pct"/>
            <w:tcBorders>
              <w:tl2br w:val="nil"/>
              <w:tr2bl w:val="nil"/>
            </w:tcBorders>
            <w:vAlign w:val="center"/>
          </w:tcPr>
          <w:p w14:paraId="3CD672C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1348" w:type="pct"/>
            <w:tcBorders>
              <w:tl2br w:val="nil"/>
              <w:tr2bl w:val="nil"/>
            </w:tcBorders>
            <w:vAlign w:val="center"/>
          </w:tcPr>
          <w:p w14:paraId="5A53CC78">
            <w:pPr>
              <w:widowControl/>
              <w:adjustRightInd/>
              <w:snapToGrid/>
              <w:spacing w:line="280" w:lineRule="exact"/>
              <w:ind w:firstLine="0" w:firstLineChars="0"/>
              <w:jc w:val="center"/>
              <w:textAlignment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配电室</w:t>
            </w:r>
          </w:p>
        </w:tc>
        <w:tc>
          <w:tcPr>
            <w:tcW w:w="1944" w:type="pct"/>
            <w:tcBorders>
              <w:tl2br w:val="nil"/>
              <w:tr2bl w:val="nil"/>
            </w:tcBorders>
            <w:vAlign w:val="center"/>
          </w:tcPr>
          <w:p w14:paraId="23E597A2">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E类中危险级</w:t>
            </w:r>
          </w:p>
        </w:tc>
        <w:tc>
          <w:tcPr>
            <w:tcW w:w="765" w:type="pct"/>
            <w:tcBorders>
              <w:tl2br w:val="nil"/>
              <w:tr2bl w:val="nil"/>
            </w:tcBorders>
            <w:vAlign w:val="center"/>
          </w:tcPr>
          <w:p w14:paraId="462267C2">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MT</w:t>
            </w:r>
            <w:r>
              <w:rPr>
                <w:rFonts w:hint="eastAsia" w:ascii="Times New Roman" w:hAnsi="Times New Roman" w:eastAsia="宋体" w:cs="Times New Roman"/>
                <w:color w:val="auto"/>
                <w:sz w:val="21"/>
                <w:szCs w:val="21"/>
              </w:rPr>
              <w:t>5</w:t>
            </w:r>
          </w:p>
        </w:tc>
        <w:tc>
          <w:tcPr>
            <w:tcW w:w="479" w:type="pct"/>
            <w:tcBorders>
              <w:tl2br w:val="nil"/>
              <w:tr2bl w:val="nil"/>
            </w:tcBorders>
            <w:vAlign w:val="center"/>
          </w:tcPr>
          <w:p w14:paraId="0CC280E6">
            <w:pPr>
              <w:adjustRightInd/>
              <w:snapToGrid w:val="0"/>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r>
              <w:rPr>
                <w:rFonts w:ascii="Times New Roman" w:hAnsi="Times New Roman" w:eastAsia="宋体" w:cs="Times New Roman"/>
                <w:color w:val="auto"/>
                <w:sz w:val="21"/>
                <w:szCs w:val="21"/>
              </w:rPr>
              <w:t>具</w:t>
            </w:r>
          </w:p>
        </w:tc>
      </w:tr>
    </w:tbl>
    <w:p w14:paraId="5E29B2F2">
      <w:pPr>
        <w:bidi w:val="0"/>
        <w:rPr>
          <w:rFonts w:hint="eastAsia"/>
          <w:color w:val="auto"/>
          <w:lang w:val="en-US"/>
        </w:rPr>
      </w:pPr>
    </w:p>
    <w:p w14:paraId="72BDF5CB">
      <w:pPr>
        <w:pStyle w:val="4"/>
        <w:bidi w:val="0"/>
        <w:rPr>
          <w:rFonts w:hint="eastAsia"/>
          <w:color w:val="auto"/>
          <w:lang w:val="en-US" w:eastAsia="zh-CN"/>
        </w:rPr>
      </w:pPr>
      <w:r>
        <w:rPr>
          <w:rFonts w:hint="eastAsia"/>
          <w:color w:val="auto"/>
          <w:lang w:val="en-US" w:eastAsia="zh-CN"/>
        </w:rPr>
        <w:t>2.9.9主要安全设施</w:t>
      </w:r>
    </w:p>
    <w:p w14:paraId="4DF43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表2.9.9主要安全设施一览表</w:t>
      </w:r>
    </w:p>
    <w:tbl>
      <w:tblPr>
        <w:tblStyle w:val="14"/>
        <w:tblW w:w="919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881"/>
        <w:gridCol w:w="806"/>
        <w:gridCol w:w="3242"/>
        <w:gridCol w:w="2529"/>
      </w:tblGrid>
      <w:tr w14:paraId="3AF368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733" w:type="dxa"/>
            <w:tcBorders>
              <w:tl2br w:val="nil"/>
              <w:tr2bl w:val="nil"/>
            </w:tcBorders>
            <w:vAlign w:val="center"/>
          </w:tcPr>
          <w:p w14:paraId="5A3210A7">
            <w:pPr>
              <w:adjustRightInd/>
              <w:snapToGrid/>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序号</w:t>
            </w:r>
          </w:p>
        </w:tc>
        <w:tc>
          <w:tcPr>
            <w:tcW w:w="1881" w:type="dxa"/>
            <w:tcBorders>
              <w:tl2br w:val="nil"/>
              <w:tr2bl w:val="nil"/>
            </w:tcBorders>
            <w:vAlign w:val="center"/>
          </w:tcPr>
          <w:p w14:paraId="6D671811">
            <w:pPr>
              <w:adjustRightInd/>
              <w:snapToGrid/>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安全设施名称</w:t>
            </w:r>
          </w:p>
        </w:tc>
        <w:tc>
          <w:tcPr>
            <w:tcW w:w="806" w:type="dxa"/>
            <w:tcBorders>
              <w:tl2br w:val="nil"/>
              <w:tr2bl w:val="nil"/>
            </w:tcBorders>
            <w:vAlign w:val="center"/>
          </w:tcPr>
          <w:p w14:paraId="546F17EC">
            <w:pPr>
              <w:tabs>
                <w:tab w:val="center" w:pos="4153"/>
                <w:tab w:val="right" w:pos="8306"/>
              </w:tabs>
              <w:adjustRightInd/>
              <w:snapToGrid w:val="0"/>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数量</w:t>
            </w:r>
          </w:p>
        </w:tc>
        <w:tc>
          <w:tcPr>
            <w:tcW w:w="3242" w:type="dxa"/>
            <w:tcBorders>
              <w:tl2br w:val="nil"/>
              <w:tr2bl w:val="nil"/>
            </w:tcBorders>
            <w:vAlign w:val="center"/>
          </w:tcPr>
          <w:p w14:paraId="72B4622B">
            <w:pPr>
              <w:adjustRightInd/>
              <w:snapToGrid/>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设置部位</w:t>
            </w:r>
          </w:p>
        </w:tc>
        <w:tc>
          <w:tcPr>
            <w:tcW w:w="2529" w:type="dxa"/>
            <w:tcBorders>
              <w:tl2br w:val="nil"/>
              <w:tr2bl w:val="nil"/>
            </w:tcBorders>
            <w:vAlign w:val="center"/>
          </w:tcPr>
          <w:p w14:paraId="36ED7570">
            <w:pPr>
              <w:adjustRightInd/>
              <w:snapToGrid/>
              <w:spacing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备注</w:t>
            </w:r>
          </w:p>
        </w:tc>
      </w:tr>
      <w:tr w14:paraId="5AC533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2D75A239">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41BBB607">
            <w:pPr>
              <w:tabs>
                <w:tab w:val="left" w:pos="1004"/>
              </w:tabs>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bCs/>
                <w:color w:val="auto"/>
                <w:sz w:val="21"/>
                <w:szCs w:val="21"/>
              </w:rPr>
              <w:t>压力检测报警</w:t>
            </w:r>
          </w:p>
        </w:tc>
        <w:tc>
          <w:tcPr>
            <w:tcW w:w="806" w:type="dxa"/>
            <w:tcBorders>
              <w:tl2br w:val="nil"/>
              <w:tr2bl w:val="nil"/>
            </w:tcBorders>
            <w:vAlign w:val="center"/>
          </w:tcPr>
          <w:p w14:paraId="082A90BE">
            <w:pPr>
              <w:adjustRightInd/>
              <w:snapToGrid/>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52个</w:t>
            </w:r>
          </w:p>
        </w:tc>
        <w:tc>
          <w:tcPr>
            <w:tcW w:w="3242" w:type="dxa"/>
            <w:tcBorders>
              <w:tl2br w:val="nil"/>
              <w:tr2bl w:val="nil"/>
            </w:tcBorders>
            <w:vAlign w:val="center"/>
          </w:tcPr>
          <w:p w14:paraId="2B2F970C">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5#脱硫装置、6#脱硫装置</w:t>
            </w:r>
          </w:p>
        </w:tc>
        <w:tc>
          <w:tcPr>
            <w:tcW w:w="2529" w:type="dxa"/>
            <w:tcBorders>
              <w:tl2br w:val="nil"/>
              <w:tr2bl w:val="nil"/>
            </w:tcBorders>
            <w:vAlign w:val="center"/>
          </w:tcPr>
          <w:p w14:paraId="4508D6C8">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10938F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733" w:type="dxa"/>
            <w:tcBorders>
              <w:tl2br w:val="nil"/>
              <w:tr2bl w:val="nil"/>
            </w:tcBorders>
            <w:vAlign w:val="center"/>
          </w:tcPr>
          <w:p w14:paraId="308D9C32">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0F14F860">
            <w:pPr>
              <w:tabs>
                <w:tab w:val="left" w:pos="1004"/>
              </w:tabs>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bCs/>
                <w:color w:val="auto"/>
                <w:sz w:val="21"/>
                <w:szCs w:val="21"/>
              </w:rPr>
              <w:t>温度检测报警</w:t>
            </w:r>
          </w:p>
        </w:tc>
        <w:tc>
          <w:tcPr>
            <w:tcW w:w="806" w:type="dxa"/>
            <w:tcBorders>
              <w:tl2br w:val="nil"/>
              <w:tr2bl w:val="nil"/>
            </w:tcBorders>
            <w:vAlign w:val="center"/>
          </w:tcPr>
          <w:p w14:paraId="42831E1A">
            <w:pPr>
              <w:adjustRightInd/>
              <w:snapToGrid/>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3个</w:t>
            </w:r>
          </w:p>
        </w:tc>
        <w:tc>
          <w:tcPr>
            <w:tcW w:w="3242" w:type="dxa"/>
            <w:tcBorders>
              <w:tl2br w:val="nil"/>
              <w:tr2bl w:val="nil"/>
            </w:tcBorders>
            <w:vAlign w:val="center"/>
          </w:tcPr>
          <w:p w14:paraId="3ABA3964">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5#脱硫装置、6#脱硫装置</w:t>
            </w:r>
          </w:p>
        </w:tc>
        <w:tc>
          <w:tcPr>
            <w:tcW w:w="2529" w:type="dxa"/>
            <w:tcBorders>
              <w:tl2br w:val="nil"/>
              <w:tr2bl w:val="nil"/>
            </w:tcBorders>
            <w:vAlign w:val="center"/>
          </w:tcPr>
          <w:p w14:paraId="270F7316">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3805EC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769858FF">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010EEFE9">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bCs/>
                <w:color w:val="auto"/>
                <w:sz w:val="21"/>
                <w:szCs w:val="21"/>
              </w:rPr>
              <w:t>液位检测报警</w:t>
            </w:r>
          </w:p>
        </w:tc>
        <w:tc>
          <w:tcPr>
            <w:tcW w:w="806" w:type="dxa"/>
            <w:tcBorders>
              <w:tl2br w:val="nil"/>
              <w:tr2bl w:val="nil"/>
            </w:tcBorders>
            <w:vAlign w:val="center"/>
          </w:tcPr>
          <w:p w14:paraId="31741995">
            <w:pPr>
              <w:adjustRightInd/>
              <w:snapToGrid/>
              <w:spacing w:line="240" w:lineRule="auto"/>
              <w:ind w:firstLine="0" w:firstLineChars="0"/>
              <w:jc w:val="center"/>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19个</w:t>
            </w:r>
          </w:p>
        </w:tc>
        <w:tc>
          <w:tcPr>
            <w:tcW w:w="3242" w:type="dxa"/>
            <w:tcBorders>
              <w:tl2br w:val="nil"/>
              <w:tr2bl w:val="nil"/>
            </w:tcBorders>
            <w:vAlign w:val="center"/>
          </w:tcPr>
          <w:p w14:paraId="7B3CEF96">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5#脱硫装置、6#脱硫装置</w:t>
            </w:r>
          </w:p>
        </w:tc>
        <w:tc>
          <w:tcPr>
            <w:tcW w:w="2529" w:type="dxa"/>
            <w:tcBorders>
              <w:tl2br w:val="nil"/>
              <w:tr2bl w:val="nil"/>
            </w:tcBorders>
            <w:vAlign w:val="center"/>
          </w:tcPr>
          <w:p w14:paraId="6895B0B4">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1B5B9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79DCBF12">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60AAAF1D">
            <w:pPr>
              <w:adjustRightInd/>
              <w:snapToGrid/>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流量</w:t>
            </w:r>
            <w:r>
              <w:rPr>
                <w:rFonts w:ascii="Times New Roman" w:hAnsi="Times New Roman" w:eastAsia="宋体" w:cs="Times New Roman"/>
                <w:bCs/>
                <w:color w:val="auto"/>
                <w:sz w:val="21"/>
                <w:szCs w:val="21"/>
              </w:rPr>
              <w:t>检测报警</w:t>
            </w:r>
          </w:p>
        </w:tc>
        <w:tc>
          <w:tcPr>
            <w:tcW w:w="806" w:type="dxa"/>
            <w:tcBorders>
              <w:tl2br w:val="nil"/>
              <w:tr2bl w:val="nil"/>
            </w:tcBorders>
            <w:vAlign w:val="center"/>
          </w:tcPr>
          <w:p w14:paraId="2657A3E0">
            <w:pPr>
              <w:adjustRightInd/>
              <w:snapToGrid/>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2个</w:t>
            </w:r>
          </w:p>
        </w:tc>
        <w:tc>
          <w:tcPr>
            <w:tcW w:w="3242" w:type="dxa"/>
            <w:tcBorders>
              <w:tl2br w:val="nil"/>
              <w:tr2bl w:val="nil"/>
            </w:tcBorders>
            <w:vAlign w:val="center"/>
          </w:tcPr>
          <w:p w14:paraId="734BAE98">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5#脱硫装置、6#脱硫装置</w:t>
            </w:r>
          </w:p>
        </w:tc>
        <w:tc>
          <w:tcPr>
            <w:tcW w:w="2529" w:type="dxa"/>
            <w:tcBorders>
              <w:tl2br w:val="nil"/>
              <w:tr2bl w:val="nil"/>
            </w:tcBorders>
            <w:vAlign w:val="center"/>
          </w:tcPr>
          <w:p w14:paraId="03018009">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47E7E5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38ABD14B">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58A003A6">
            <w:pPr>
              <w:adjustRightInd/>
              <w:snapToGrid/>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pH值</w:t>
            </w:r>
            <w:r>
              <w:rPr>
                <w:rFonts w:ascii="Times New Roman" w:hAnsi="Times New Roman" w:eastAsia="宋体" w:cs="Times New Roman"/>
                <w:bCs/>
                <w:color w:val="auto"/>
                <w:sz w:val="21"/>
                <w:szCs w:val="21"/>
              </w:rPr>
              <w:t>检测报警</w:t>
            </w:r>
          </w:p>
        </w:tc>
        <w:tc>
          <w:tcPr>
            <w:tcW w:w="806" w:type="dxa"/>
            <w:tcBorders>
              <w:tl2br w:val="nil"/>
              <w:tr2bl w:val="nil"/>
            </w:tcBorders>
            <w:vAlign w:val="center"/>
          </w:tcPr>
          <w:p w14:paraId="0F4E94B0">
            <w:pPr>
              <w:adjustRightInd/>
              <w:snapToGrid/>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2个</w:t>
            </w:r>
          </w:p>
        </w:tc>
        <w:tc>
          <w:tcPr>
            <w:tcW w:w="3242" w:type="dxa"/>
            <w:tcBorders>
              <w:tl2br w:val="nil"/>
              <w:tr2bl w:val="nil"/>
            </w:tcBorders>
            <w:vAlign w:val="center"/>
          </w:tcPr>
          <w:p w14:paraId="21C244D0">
            <w:pPr>
              <w:tabs>
                <w:tab w:val="left" w:pos="1004"/>
              </w:tabs>
              <w:adjustRightInd/>
              <w:snapToGrid/>
              <w:spacing w:line="240" w:lineRule="auto"/>
              <w:ind w:firstLine="0" w:firstLineChars="0"/>
              <w:jc w:val="center"/>
              <w:rPr>
                <w:rFonts w:ascii="Times New Roman" w:hAnsi="Times New Roman" w:eastAsia="宋体" w:cs="Times New Roman"/>
                <w:bCs/>
                <w:color w:val="auto"/>
                <w:kern w:val="2"/>
                <w:sz w:val="21"/>
                <w:szCs w:val="21"/>
                <w:lang w:val="en-US" w:eastAsia="zh-CN" w:bidi="ar-SA"/>
              </w:rPr>
            </w:pPr>
            <w:r>
              <w:rPr>
                <w:rFonts w:ascii="Times New Roman" w:hAnsi="Times New Roman" w:eastAsia="宋体" w:cs="Times New Roman"/>
                <w:bCs/>
                <w:color w:val="auto"/>
                <w:sz w:val="21"/>
                <w:szCs w:val="21"/>
              </w:rPr>
              <w:t>5#脱硫装置、6#脱硫装置</w:t>
            </w:r>
          </w:p>
        </w:tc>
        <w:tc>
          <w:tcPr>
            <w:tcW w:w="2529" w:type="dxa"/>
            <w:tcBorders>
              <w:tl2br w:val="nil"/>
              <w:tr2bl w:val="nil"/>
            </w:tcBorders>
            <w:vAlign w:val="center"/>
          </w:tcPr>
          <w:p w14:paraId="19499D27">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7F1B63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6EF55E25">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73AAA53A">
            <w:pPr>
              <w:adjustRightInd/>
              <w:snapToGrid/>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密度</w:t>
            </w:r>
            <w:r>
              <w:rPr>
                <w:rFonts w:ascii="Times New Roman" w:hAnsi="Times New Roman" w:eastAsia="宋体" w:cs="Times New Roman"/>
                <w:color w:val="auto"/>
                <w:sz w:val="21"/>
                <w:szCs w:val="21"/>
              </w:rPr>
              <w:t>值</w:t>
            </w:r>
            <w:r>
              <w:rPr>
                <w:rFonts w:ascii="Times New Roman" w:hAnsi="Times New Roman" w:eastAsia="宋体" w:cs="Times New Roman"/>
                <w:bCs/>
                <w:color w:val="auto"/>
                <w:sz w:val="21"/>
                <w:szCs w:val="21"/>
              </w:rPr>
              <w:t>检测报警</w:t>
            </w:r>
          </w:p>
        </w:tc>
        <w:tc>
          <w:tcPr>
            <w:tcW w:w="806" w:type="dxa"/>
            <w:tcBorders>
              <w:tl2br w:val="nil"/>
              <w:tr2bl w:val="nil"/>
            </w:tcBorders>
            <w:vAlign w:val="center"/>
          </w:tcPr>
          <w:p w14:paraId="6BE9C90A">
            <w:pPr>
              <w:adjustRightInd/>
              <w:snapToGrid/>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2个</w:t>
            </w:r>
          </w:p>
        </w:tc>
        <w:tc>
          <w:tcPr>
            <w:tcW w:w="3242" w:type="dxa"/>
            <w:tcBorders>
              <w:tl2br w:val="nil"/>
              <w:tr2bl w:val="nil"/>
            </w:tcBorders>
            <w:vAlign w:val="center"/>
          </w:tcPr>
          <w:p w14:paraId="340A4FD9">
            <w:pPr>
              <w:tabs>
                <w:tab w:val="left" w:pos="1004"/>
              </w:tabs>
              <w:adjustRightInd/>
              <w:snapToGrid/>
              <w:spacing w:line="240" w:lineRule="auto"/>
              <w:ind w:firstLine="0" w:firstLineChars="0"/>
              <w:jc w:val="center"/>
              <w:rPr>
                <w:rFonts w:ascii="Times New Roman" w:hAnsi="Times New Roman" w:eastAsia="宋体" w:cs="Times New Roman"/>
                <w:bCs/>
                <w:color w:val="auto"/>
                <w:kern w:val="2"/>
                <w:sz w:val="21"/>
                <w:szCs w:val="21"/>
                <w:lang w:val="en-US" w:eastAsia="zh-CN" w:bidi="ar-SA"/>
              </w:rPr>
            </w:pPr>
            <w:r>
              <w:rPr>
                <w:rFonts w:ascii="Times New Roman" w:hAnsi="Times New Roman" w:eastAsia="宋体" w:cs="Times New Roman"/>
                <w:bCs/>
                <w:color w:val="auto"/>
                <w:sz w:val="21"/>
                <w:szCs w:val="21"/>
              </w:rPr>
              <w:t>5#脱硫装置、6#脱硫装置</w:t>
            </w:r>
          </w:p>
        </w:tc>
        <w:tc>
          <w:tcPr>
            <w:tcW w:w="2529" w:type="dxa"/>
            <w:tcBorders>
              <w:tl2br w:val="nil"/>
              <w:tr2bl w:val="nil"/>
            </w:tcBorders>
            <w:vAlign w:val="center"/>
          </w:tcPr>
          <w:p w14:paraId="67F5161F">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0F567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0CC35520">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46908FE8">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紧急切断阀</w:t>
            </w:r>
          </w:p>
        </w:tc>
        <w:tc>
          <w:tcPr>
            <w:tcW w:w="806" w:type="dxa"/>
            <w:tcBorders>
              <w:tl2br w:val="nil"/>
              <w:tr2bl w:val="nil"/>
            </w:tcBorders>
            <w:vAlign w:val="center"/>
          </w:tcPr>
          <w:p w14:paraId="11BD8B52">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lang w:val="en-US" w:eastAsia="zh-CN"/>
              </w:rPr>
              <w:t>2</w:t>
            </w:r>
            <w:r>
              <w:rPr>
                <w:rFonts w:ascii="Times New Roman" w:hAnsi="Times New Roman" w:eastAsia="宋体" w:cs="Times New Roman"/>
                <w:bCs/>
                <w:color w:val="auto"/>
                <w:sz w:val="21"/>
                <w:szCs w:val="21"/>
              </w:rPr>
              <w:t>套</w:t>
            </w:r>
          </w:p>
        </w:tc>
        <w:tc>
          <w:tcPr>
            <w:tcW w:w="3242" w:type="dxa"/>
            <w:tcBorders>
              <w:tl2br w:val="nil"/>
              <w:tr2bl w:val="nil"/>
            </w:tcBorders>
            <w:vAlign w:val="center"/>
          </w:tcPr>
          <w:p w14:paraId="11C6991B">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空压管道</w:t>
            </w:r>
          </w:p>
        </w:tc>
        <w:tc>
          <w:tcPr>
            <w:tcW w:w="2529" w:type="dxa"/>
            <w:tcBorders>
              <w:tl2br w:val="nil"/>
              <w:tr2bl w:val="nil"/>
            </w:tcBorders>
            <w:vAlign w:val="center"/>
          </w:tcPr>
          <w:p w14:paraId="5A20C725">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35AAAA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68213182">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4CFF68CF">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防护罩</w:t>
            </w:r>
          </w:p>
        </w:tc>
        <w:tc>
          <w:tcPr>
            <w:tcW w:w="806" w:type="dxa"/>
            <w:tcBorders>
              <w:tl2br w:val="nil"/>
              <w:tr2bl w:val="nil"/>
            </w:tcBorders>
            <w:vAlign w:val="center"/>
          </w:tcPr>
          <w:p w14:paraId="2989AD18">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51A74AA5">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各类旋转机泵和设备</w:t>
            </w:r>
          </w:p>
        </w:tc>
        <w:tc>
          <w:tcPr>
            <w:tcW w:w="2529" w:type="dxa"/>
            <w:tcBorders>
              <w:tl2br w:val="nil"/>
              <w:tr2bl w:val="nil"/>
            </w:tcBorders>
            <w:vAlign w:val="center"/>
          </w:tcPr>
          <w:p w14:paraId="7EB589FD">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部分设备自带</w:t>
            </w:r>
          </w:p>
        </w:tc>
      </w:tr>
      <w:tr w14:paraId="13D893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18D2838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24871E9B">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急停开关</w:t>
            </w:r>
          </w:p>
        </w:tc>
        <w:tc>
          <w:tcPr>
            <w:tcW w:w="806" w:type="dxa"/>
            <w:tcBorders>
              <w:tl2br w:val="nil"/>
              <w:tr2bl w:val="nil"/>
            </w:tcBorders>
            <w:vAlign w:val="center"/>
          </w:tcPr>
          <w:p w14:paraId="421E56DB">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若干</w:t>
            </w:r>
          </w:p>
        </w:tc>
        <w:tc>
          <w:tcPr>
            <w:tcW w:w="3242" w:type="dxa"/>
            <w:tcBorders>
              <w:tl2br w:val="nil"/>
              <w:tr2bl w:val="nil"/>
            </w:tcBorders>
            <w:vAlign w:val="center"/>
          </w:tcPr>
          <w:p w14:paraId="07BC4DA5">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机械设备</w:t>
            </w:r>
          </w:p>
        </w:tc>
        <w:tc>
          <w:tcPr>
            <w:tcW w:w="2529" w:type="dxa"/>
            <w:tcBorders>
              <w:tl2br w:val="nil"/>
              <w:tr2bl w:val="nil"/>
            </w:tcBorders>
            <w:vAlign w:val="center"/>
          </w:tcPr>
          <w:p w14:paraId="24CC4223">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08583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48F461AF">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61DE93C5">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防松装置</w:t>
            </w:r>
          </w:p>
        </w:tc>
        <w:tc>
          <w:tcPr>
            <w:tcW w:w="806" w:type="dxa"/>
            <w:tcBorders>
              <w:tl2br w:val="nil"/>
              <w:tr2bl w:val="nil"/>
            </w:tcBorders>
            <w:vAlign w:val="center"/>
          </w:tcPr>
          <w:p w14:paraId="54DA05E1">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若干</w:t>
            </w:r>
          </w:p>
        </w:tc>
        <w:tc>
          <w:tcPr>
            <w:tcW w:w="3242" w:type="dxa"/>
            <w:tcBorders>
              <w:tl2br w:val="nil"/>
              <w:tr2bl w:val="nil"/>
            </w:tcBorders>
            <w:vAlign w:val="center"/>
          </w:tcPr>
          <w:p w14:paraId="686C8F2B">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各零部件及螺钉、螺栓、螺母等紧固件</w:t>
            </w:r>
          </w:p>
        </w:tc>
        <w:tc>
          <w:tcPr>
            <w:tcW w:w="2529" w:type="dxa"/>
            <w:tcBorders>
              <w:tl2br w:val="nil"/>
              <w:tr2bl w:val="nil"/>
            </w:tcBorders>
            <w:vAlign w:val="center"/>
          </w:tcPr>
          <w:p w14:paraId="077DCC9D">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2D857A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15E701BE">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2D80A19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火灾报警装置</w:t>
            </w:r>
          </w:p>
        </w:tc>
        <w:tc>
          <w:tcPr>
            <w:tcW w:w="806" w:type="dxa"/>
            <w:tcBorders>
              <w:tl2br w:val="nil"/>
              <w:tr2bl w:val="nil"/>
            </w:tcBorders>
            <w:vAlign w:val="center"/>
          </w:tcPr>
          <w:p w14:paraId="73EB8EF3">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1套</w:t>
            </w:r>
          </w:p>
        </w:tc>
        <w:tc>
          <w:tcPr>
            <w:tcW w:w="3242" w:type="dxa"/>
            <w:tcBorders>
              <w:tl2br w:val="nil"/>
              <w:tr2bl w:val="nil"/>
            </w:tcBorders>
            <w:vAlign w:val="center"/>
          </w:tcPr>
          <w:p w14:paraId="2738040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配电室</w:t>
            </w:r>
          </w:p>
        </w:tc>
        <w:tc>
          <w:tcPr>
            <w:tcW w:w="2529" w:type="dxa"/>
            <w:tcBorders>
              <w:tl2br w:val="nil"/>
              <w:tr2bl w:val="nil"/>
            </w:tcBorders>
            <w:vAlign w:val="center"/>
          </w:tcPr>
          <w:p w14:paraId="2177F8FB">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5327F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51869DB2">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39E5B902">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电气防爆设施</w:t>
            </w:r>
          </w:p>
        </w:tc>
        <w:tc>
          <w:tcPr>
            <w:tcW w:w="806" w:type="dxa"/>
            <w:tcBorders>
              <w:tl2br w:val="nil"/>
              <w:tr2bl w:val="nil"/>
            </w:tcBorders>
            <w:vAlign w:val="center"/>
          </w:tcPr>
          <w:p w14:paraId="7A73DD8C">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4B7B64A8">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配电室</w:t>
            </w:r>
          </w:p>
        </w:tc>
        <w:tc>
          <w:tcPr>
            <w:tcW w:w="2529" w:type="dxa"/>
            <w:tcBorders>
              <w:tl2br w:val="nil"/>
              <w:tr2bl w:val="nil"/>
            </w:tcBorders>
            <w:vAlign w:val="center"/>
          </w:tcPr>
          <w:p w14:paraId="6A2BBD0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防爆灯具、防爆电气</w:t>
            </w:r>
          </w:p>
          <w:p w14:paraId="337A8E8F">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防爆等级不低于EXDⅡAT3</w:t>
            </w:r>
          </w:p>
        </w:tc>
      </w:tr>
      <w:tr w14:paraId="1DC1AC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49069A47">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115629C8">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警示作业安全标志</w:t>
            </w:r>
          </w:p>
        </w:tc>
        <w:tc>
          <w:tcPr>
            <w:tcW w:w="806" w:type="dxa"/>
            <w:tcBorders>
              <w:tl2br w:val="nil"/>
              <w:tr2bl w:val="nil"/>
            </w:tcBorders>
            <w:vAlign w:val="center"/>
          </w:tcPr>
          <w:p w14:paraId="475C8349">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17B36FB5">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5#脱硫装置、6#脱硫装置</w:t>
            </w:r>
          </w:p>
        </w:tc>
        <w:tc>
          <w:tcPr>
            <w:tcW w:w="2529" w:type="dxa"/>
            <w:tcBorders>
              <w:tl2br w:val="nil"/>
              <w:tr2bl w:val="nil"/>
            </w:tcBorders>
            <w:vAlign w:val="center"/>
          </w:tcPr>
          <w:p w14:paraId="1EFD83DC">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设置触电危险、高空坠落等警示标志</w:t>
            </w:r>
          </w:p>
        </w:tc>
      </w:tr>
      <w:tr w14:paraId="519B89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464B6BBD">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3ADE223D">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应急照明灯</w:t>
            </w:r>
          </w:p>
        </w:tc>
        <w:tc>
          <w:tcPr>
            <w:tcW w:w="806" w:type="dxa"/>
            <w:tcBorders>
              <w:tl2br w:val="nil"/>
              <w:tr2bl w:val="nil"/>
            </w:tcBorders>
            <w:vAlign w:val="center"/>
          </w:tcPr>
          <w:p w14:paraId="7B4866CD">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7D98396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配电室</w:t>
            </w:r>
          </w:p>
        </w:tc>
        <w:tc>
          <w:tcPr>
            <w:tcW w:w="2529" w:type="dxa"/>
            <w:tcBorders>
              <w:tl2br w:val="nil"/>
              <w:tr2bl w:val="nil"/>
            </w:tcBorders>
            <w:vAlign w:val="center"/>
          </w:tcPr>
          <w:p w14:paraId="49C5CA50">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139A8D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246F2313">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24E848F9">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防雷接地设施</w:t>
            </w:r>
          </w:p>
        </w:tc>
        <w:tc>
          <w:tcPr>
            <w:tcW w:w="806" w:type="dxa"/>
            <w:tcBorders>
              <w:tl2br w:val="nil"/>
              <w:tr2bl w:val="nil"/>
            </w:tcBorders>
            <w:vAlign w:val="center"/>
          </w:tcPr>
          <w:p w14:paraId="6E8D301F">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3套</w:t>
            </w:r>
          </w:p>
        </w:tc>
        <w:tc>
          <w:tcPr>
            <w:tcW w:w="3242" w:type="dxa"/>
            <w:tcBorders>
              <w:tl2br w:val="nil"/>
              <w:tr2bl w:val="nil"/>
            </w:tcBorders>
            <w:vAlign w:val="center"/>
          </w:tcPr>
          <w:p w14:paraId="287ED9C6">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5#脱硫装置、6#脱硫装置、配电室</w:t>
            </w:r>
          </w:p>
        </w:tc>
        <w:tc>
          <w:tcPr>
            <w:tcW w:w="2529" w:type="dxa"/>
            <w:tcBorders>
              <w:tl2br w:val="nil"/>
              <w:tr2bl w:val="nil"/>
            </w:tcBorders>
            <w:vAlign w:val="center"/>
          </w:tcPr>
          <w:p w14:paraId="7FC76DC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接闪带、柱内钢筋、基础内钢筋、人工接地体、自然引下线、专设引下线</w:t>
            </w:r>
          </w:p>
        </w:tc>
      </w:tr>
      <w:tr w14:paraId="1BCD9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3A3A0859">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245165CA">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电器过载保护设施</w:t>
            </w:r>
          </w:p>
        </w:tc>
        <w:tc>
          <w:tcPr>
            <w:tcW w:w="806" w:type="dxa"/>
            <w:tcBorders>
              <w:tl2br w:val="nil"/>
              <w:tr2bl w:val="nil"/>
            </w:tcBorders>
            <w:vAlign w:val="center"/>
          </w:tcPr>
          <w:p w14:paraId="42C7F0B7">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若干</w:t>
            </w:r>
          </w:p>
        </w:tc>
        <w:tc>
          <w:tcPr>
            <w:tcW w:w="3242" w:type="dxa"/>
            <w:tcBorders>
              <w:tl2br w:val="nil"/>
              <w:tr2bl w:val="nil"/>
            </w:tcBorders>
            <w:vAlign w:val="center"/>
          </w:tcPr>
          <w:p w14:paraId="4917EC42">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电机</w:t>
            </w:r>
          </w:p>
        </w:tc>
        <w:tc>
          <w:tcPr>
            <w:tcW w:w="2529" w:type="dxa"/>
            <w:tcBorders>
              <w:tl2br w:val="nil"/>
              <w:tr2bl w:val="nil"/>
            </w:tcBorders>
            <w:vAlign w:val="center"/>
          </w:tcPr>
          <w:p w14:paraId="759D9B00">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587636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4C3B0D98">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5E3C694E">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防噪声、振动设施</w:t>
            </w:r>
          </w:p>
        </w:tc>
        <w:tc>
          <w:tcPr>
            <w:tcW w:w="806" w:type="dxa"/>
            <w:tcBorders>
              <w:tl2br w:val="nil"/>
              <w:tr2bl w:val="nil"/>
            </w:tcBorders>
            <w:vAlign w:val="center"/>
          </w:tcPr>
          <w:p w14:paraId="547E1D9B">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若干</w:t>
            </w:r>
          </w:p>
        </w:tc>
        <w:tc>
          <w:tcPr>
            <w:tcW w:w="3242" w:type="dxa"/>
            <w:tcBorders>
              <w:tl2br w:val="nil"/>
              <w:tr2bl w:val="nil"/>
            </w:tcBorders>
            <w:vAlign w:val="center"/>
          </w:tcPr>
          <w:p w14:paraId="3497FEA0">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水泵</w:t>
            </w:r>
            <w:r>
              <w:rPr>
                <w:rFonts w:ascii="Times New Roman" w:hAnsi="Times New Roman" w:eastAsia="宋体" w:cs="Times New Roman"/>
                <w:bCs/>
                <w:color w:val="auto"/>
                <w:sz w:val="21"/>
                <w:szCs w:val="21"/>
              </w:rPr>
              <w:t>、风机等</w:t>
            </w:r>
          </w:p>
        </w:tc>
        <w:tc>
          <w:tcPr>
            <w:tcW w:w="2529" w:type="dxa"/>
            <w:tcBorders>
              <w:tl2br w:val="nil"/>
              <w:tr2bl w:val="nil"/>
            </w:tcBorders>
            <w:vAlign w:val="center"/>
          </w:tcPr>
          <w:p w14:paraId="59CA4185">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7E97C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647D410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34E0BEAB">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防护栏</w:t>
            </w:r>
          </w:p>
        </w:tc>
        <w:tc>
          <w:tcPr>
            <w:tcW w:w="806" w:type="dxa"/>
            <w:tcBorders>
              <w:tl2br w:val="nil"/>
              <w:tr2bl w:val="nil"/>
            </w:tcBorders>
            <w:vAlign w:val="center"/>
          </w:tcPr>
          <w:p w14:paraId="5896B829">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54A1AFD2">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钢平台、池设置防护栏</w:t>
            </w:r>
          </w:p>
        </w:tc>
        <w:tc>
          <w:tcPr>
            <w:tcW w:w="2529" w:type="dxa"/>
            <w:tcBorders>
              <w:tl2br w:val="nil"/>
              <w:tr2bl w:val="nil"/>
            </w:tcBorders>
            <w:vAlign w:val="center"/>
          </w:tcPr>
          <w:p w14:paraId="3670EABB">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28CE6F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7B23DBB3">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0262054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防滑花纹钢板</w:t>
            </w:r>
          </w:p>
        </w:tc>
        <w:tc>
          <w:tcPr>
            <w:tcW w:w="806" w:type="dxa"/>
            <w:tcBorders>
              <w:tl2br w:val="nil"/>
              <w:tr2bl w:val="nil"/>
            </w:tcBorders>
            <w:vAlign w:val="center"/>
          </w:tcPr>
          <w:p w14:paraId="1775D522">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5A23B1D2">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操作、检修钢平台</w:t>
            </w:r>
          </w:p>
        </w:tc>
        <w:tc>
          <w:tcPr>
            <w:tcW w:w="2529" w:type="dxa"/>
            <w:tcBorders>
              <w:tl2br w:val="nil"/>
              <w:tr2bl w:val="nil"/>
            </w:tcBorders>
            <w:vAlign w:val="center"/>
          </w:tcPr>
          <w:p w14:paraId="1617D9EF">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675B21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2A02CF8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632E083A">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消防管网</w:t>
            </w:r>
          </w:p>
        </w:tc>
        <w:tc>
          <w:tcPr>
            <w:tcW w:w="806" w:type="dxa"/>
            <w:tcBorders>
              <w:tl2br w:val="nil"/>
              <w:tr2bl w:val="nil"/>
            </w:tcBorders>
            <w:vAlign w:val="center"/>
          </w:tcPr>
          <w:p w14:paraId="69F972F3">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30F48DDD">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厂区</w:t>
            </w:r>
          </w:p>
        </w:tc>
        <w:tc>
          <w:tcPr>
            <w:tcW w:w="2529" w:type="dxa"/>
            <w:tcBorders>
              <w:tl2br w:val="nil"/>
              <w:tr2bl w:val="nil"/>
            </w:tcBorders>
            <w:vAlign w:val="center"/>
          </w:tcPr>
          <w:p w14:paraId="69F74E56">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DN150、DN100、DN65</w:t>
            </w:r>
          </w:p>
        </w:tc>
      </w:tr>
      <w:tr w14:paraId="6039E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56F62309">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43072A5D">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室外消火栓</w:t>
            </w:r>
          </w:p>
        </w:tc>
        <w:tc>
          <w:tcPr>
            <w:tcW w:w="806" w:type="dxa"/>
            <w:tcBorders>
              <w:tl2br w:val="nil"/>
              <w:tr2bl w:val="nil"/>
            </w:tcBorders>
            <w:vAlign w:val="center"/>
          </w:tcPr>
          <w:p w14:paraId="71013110">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3</w:t>
            </w:r>
          </w:p>
        </w:tc>
        <w:tc>
          <w:tcPr>
            <w:tcW w:w="3242" w:type="dxa"/>
            <w:tcBorders>
              <w:tl2br w:val="nil"/>
              <w:tr2bl w:val="nil"/>
            </w:tcBorders>
            <w:vAlign w:val="center"/>
          </w:tcPr>
          <w:p w14:paraId="7BCC7402">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本设计范围内</w:t>
            </w:r>
          </w:p>
        </w:tc>
        <w:tc>
          <w:tcPr>
            <w:tcW w:w="2529" w:type="dxa"/>
            <w:tcBorders>
              <w:tl2br w:val="nil"/>
              <w:tr2bl w:val="nil"/>
            </w:tcBorders>
            <w:vAlign w:val="center"/>
          </w:tcPr>
          <w:p w14:paraId="20077886">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DN100/65</w:t>
            </w:r>
          </w:p>
        </w:tc>
      </w:tr>
      <w:tr w14:paraId="0FA859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52550AF3">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53811849">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手提灭火器</w:t>
            </w:r>
          </w:p>
        </w:tc>
        <w:tc>
          <w:tcPr>
            <w:tcW w:w="806" w:type="dxa"/>
            <w:tcBorders>
              <w:tl2br w:val="nil"/>
              <w:tr2bl w:val="nil"/>
            </w:tcBorders>
            <w:vAlign w:val="center"/>
          </w:tcPr>
          <w:p w14:paraId="0BFD33B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20个</w:t>
            </w:r>
          </w:p>
        </w:tc>
        <w:tc>
          <w:tcPr>
            <w:tcW w:w="3242" w:type="dxa"/>
            <w:tcBorders>
              <w:tl2br w:val="nil"/>
              <w:tr2bl w:val="nil"/>
            </w:tcBorders>
            <w:vAlign w:val="center"/>
          </w:tcPr>
          <w:p w14:paraId="0522E380">
            <w:pPr>
              <w:widowControl/>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5#脱硫装置、6#脱硫装置、配电室</w:t>
            </w:r>
          </w:p>
        </w:tc>
        <w:tc>
          <w:tcPr>
            <w:tcW w:w="2529" w:type="dxa"/>
            <w:tcBorders>
              <w:tl2br w:val="nil"/>
              <w:tr2bl w:val="nil"/>
            </w:tcBorders>
            <w:vAlign w:val="center"/>
          </w:tcPr>
          <w:p w14:paraId="1AC20642">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MFZ/ABC8、MT5</w:t>
            </w:r>
          </w:p>
        </w:tc>
      </w:tr>
      <w:tr w14:paraId="5FE666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1A837100">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5D7F88D0">
            <w:pPr>
              <w:tabs>
                <w:tab w:val="left" w:pos="1004"/>
              </w:tabs>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绝缘垫、防小动物挡板</w:t>
            </w:r>
          </w:p>
        </w:tc>
        <w:tc>
          <w:tcPr>
            <w:tcW w:w="806" w:type="dxa"/>
            <w:tcBorders>
              <w:tl2br w:val="nil"/>
              <w:tr2bl w:val="nil"/>
            </w:tcBorders>
            <w:vAlign w:val="center"/>
          </w:tcPr>
          <w:p w14:paraId="0D953634">
            <w:pPr>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color w:val="auto"/>
                <w:sz w:val="21"/>
                <w:szCs w:val="21"/>
              </w:rPr>
              <w:t>1套</w:t>
            </w:r>
          </w:p>
        </w:tc>
        <w:tc>
          <w:tcPr>
            <w:tcW w:w="3242" w:type="dxa"/>
            <w:tcBorders>
              <w:tl2br w:val="nil"/>
              <w:tr2bl w:val="nil"/>
            </w:tcBorders>
            <w:vAlign w:val="center"/>
          </w:tcPr>
          <w:p w14:paraId="50EE9A6D">
            <w:pPr>
              <w:adjustRightInd/>
              <w:snapToGrid/>
              <w:spacing w:line="240" w:lineRule="auto"/>
              <w:ind w:firstLine="0" w:firstLineChars="0"/>
              <w:jc w:val="center"/>
              <w:rPr>
                <w:rFonts w:ascii="Times New Roman" w:hAnsi="Times New Roman" w:eastAsia="宋体" w:cs="Times New Roman"/>
                <w:bCs/>
                <w:color w:val="auto"/>
                <w:sz w:val="21"/>
                <w:szCs w:val="21"/>
              </w:rPr>
            </w:pPr>
            <w:r>
              <w:rPr>
                <w:rFonts w:ascii="Times New Roman" w:hAnsi="Times New Roman" w:eastAsia="宋体" w:cs="Times New Roman"/>
                <w:color w:val="auto"/>
                <w:sz w:val="21"/>
                <w:szCs w:val="21"/>
              </w:rPr>
              <w:t>配电室</w:t>
            </w:r>
          </w:p>
        </w:tc>
        <w:tc>
          <w:tcPr>
            <w:tcW w:w="2529" w:type="dxa"/>
            <w:tcBorders>
              <w:tl2br w:val="nil"/>
              <w:tr2bl w:val="nil"/>
            </w:tcBorders>
            <w:vAlign w:val="center"/>
          </w:tcPr>
          <w:p w14:paraId="6A16AC30">
            <w:pPr>
              <w:widowControl w:val="0"/>
              <w:spacing w:before="65" w:line="228" w:lineRule="auto"/>
              <w:ind w:left="201"/>
              <w:jc w:val="center"/>
              <w:rPr>
                <w:rFonts w:ascii="Times New Roman" w:hAnsi="Times New Roman" w:eastAsia="宋体" w:cs="Times New Roman"/>
                <w:color w:val="auto"/>
                <w:kern w:val="2"/>
                <w:sz w:val="21"/>
                <w:szCs w:val="21"/>
                <w:lang w:val="en-US" w:eastAsia="zh-CN" w:bidi="ar-SA"/>
              </w:rPr>
            </w:pPr>
          </w:p>
        </w:tc>
      </w:tr>
      <w:tr w14:paraId="224D11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194906DC">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00417417">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安全出口指示牌</w:t>
            </w:r>
          </w:p>
        </w:tc>
        <w:tc>
          <w:tcPr>
            <w:tcW w:w="806" w:type="dxa"/>
            <w:tcBorders>
              <w:tl2br w:val="nil"/>
              <w:tr2bl w:val="nil"/>
            </w:tcBorders>
            <w:vAlign w:val="center"/>
          </w:tcPr>
          <w:p w14:paraId="4BE6ECCE">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1套</w:t>
            </w:r>
          </w:p>
        </w:tc>
        <w:tc>
          <w:tcPr>
            <w:tcW w:w="3242" w:type="dxa"/>
            <w:tcBorders>
              <w:tl2br w:val="nil"/>
              <w:tr2bl w:val="nil"/>
            </w:tcBorders>
            <w:vAlign w:val="center"/>
          </w:tcPr>
          <w:p w14:paraId="387DA69E">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配电室</w:t>
            </w:r>
          </w:p>
        </w:tc>
        <w:tc>
          <w:tcPr>
            <w:tcW w:w="2529" w:type="dxa"/>
            <w:tcBorders>
              <w:tl2br w:val="nil"/>
              <w:tr2bl w:val="nil"/>
            </w:tcBorders>
            <w:vAlign w:val="center"/>
          </w:tcPr>
          <w:p w14:paraId="14B802A9">
            <w:pPr>
              <w:adjustRightInd/>
              <w:snapToGrid/>
              <w:spacing w:line="240" w:lineRule="auto"/>
              <w:ind w:firstLine="0" w:firstLineChars="0"/>
              <w:jc w:val="center"/>
              <w:rPr>
                <w:rFonts w:ascii="Times New Roman" w:hAnsi="Times New Roman" w:eastAsia="宋体" w:cs="Times New Roman"/>
                <w:color w:val="auto"/>
                <w:sz w:val="21"/>
                <w:szCs w:val="21"/>
              </w:rPr>
            </w:pPr>
          </w:p>
        </w:tc>
      </w:tr>
      <w:tr w14:paraId="64EFAD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3" w:type="dxa"/>
            <w:tcBorders>
              <w:tl2br w:val="nil"/>
              <w:tr2bl w:val="nil"/>
            </w:tcBorders>
            <w:vAlign w:val="center"/>
          </w:tcPr>
          <w:p w14:paraId="7F760AA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eastAsia="宋体" w:cs="Times New Roman"/>
                <w:color w:val="auto"/>
                <w:sz w:val="21"/>
                <w:szCs w:val="21"/>
              </w:rPr>
            </w:pPr>
          </w:p>
        </w:tc>
        <w:tc>
          <w:tcPr>
            <w:tcW w:w="1881" w:type="dxa"/>
            <w:tcBorders>
              <w:tl2br w:val="nil"/>
              <w:tr2bl w:val="nil"/>
            </w:tcBorders>
            <w:vAlign w:val="center"/>
          </w:tcPr>
          <w:p w14:paraId="120E33F3">
            <w:pPr>
              <w:adjustRightInd/>
              <w:snapToGrid/>
              <w:spacing w:line="240" w:lineRule="auto"/>
              <w:ind w:firstLine="0" w:firstLineChars="0"/>
              <w:jc w:val="center"/>
              <w:rPr>
                <w:rFonts w:ascii="Times New Roman" w:hAnsi="Times New Roman" w:eastAsia="宋体" w:cs="Times New Roman"/>
                <w:color w:val="auto"/>
                <w:sz w:val="21"/>
                <w:szCs w:val="21"/>
              </w:rPr>
            </w:pPr>
          </w:p>
          <w:p w14:paraId="0C8B6636">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个体防护装备的配备</w:t>
            </w:r>
          </w:p>
        </w:tc>
        <w:tc>
          <w:tcPr>
            <w:tcW w:w="806" w:type="dxa"/>
            <w:tcBorders>
              <w:tl2br w:val="nil"/>
              <w:tr2bl w:val="nil"/>
            </w:tcBorders>
            <w:vAlign w:val="center"/>
          </w:tcPr>
          <w:p w14:paraId="232B625E">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若干</w:t>
            </w:r>
          </w:p>
        </w:tc>
        <w:tc>
          <w:tcPr>
            <w:tcW w:w="3242" w:type="dxa"/>
            <w:tcBorders>
              <w:tl2br w:val="nil"/>
              <w:tr2bl w:val="nil"/>
            </w:tcBorders>
            <w:vAlign w:val="center"/>
          </w:tcPr>
          <w:p w14:paraId="62D52A6D">
            <w:pPr>
              <w:adjustRightInd/>
              <w:snapToGrid/>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棉质手套2双/月/人；棉质劳保工作服1套/2年/人；防刺穿劳保鞋1双/年/人；防尘口罩4只/6月/人；耳塞1只/天/人；安全帽1只/人；安全带5条；护目眼镜1副/人；绝缘手套1副/人；绝缘鞋1双/年/人。</w:t>
            </w:r>
          </w:p>
        </w:tc>
        <w:tc>
          <w:tcPr>
            <w:tcW w:w="2529" w:type="dxa"/>
            <w:tcBorders>
              <w:tl2br w:val="nil"/>
              <w:tr2bl w:val="nil"/>
            </w:tcBorders>
            <w:vAlign w:val="center"/>
          </w:tcPr>
          <w:p w14:paraId="7C5C0B39">
            <w:pPr>
              <w:adjustRightInd/>
              <w:snapToGrid/>
              <w:spacing w:line="240" w:lineRule="auto"/>
              <w:ind w:firstLine="0" w:firstLineChars="0"/>
              <w:jc w:val="center"/>
              <w:rPr>
                <w:rFonts w:ascii="Times New Roman" w:hAnsi="Times New Roman" w:eastAsia="宋体" w:cs="Times New Roman"/>
                <w:color w:val="auto"/>
                <w:sz w:val="21"/>
                <w:szCs w:val="21"/>
              </w:rPr>
            </w:pPr>
          </w:p>
        </w:tc>
      </w:tr>
    </w:tbl>
    <w:p w14:paraId="63584A18">
      <w:pPr>
        <w:pStyle w:val="4"/>
        <w:bidi w:val="0"/>
        <w:rPr>
          <w:color w:val="auto"/>
        </w:rPr>
      </w:pPr>
      <w:bookmarkStart w:id="49" w:name="_Toc30921"/>
      <w:r>
        <w:rPr>
          <w:rFonts w:hint="eastAsia"/>
          <w:color w:val="auto"/>
          <w:lang w:val="en-US" w:eastAsia="zh-CN"/>
        </w:rPr>
        <w:t>2.9.10</w:t>
      </w:r>
      <w:r>
        <w:rPr>
          <w:rFonts w:hint="eastAsia"/>
          <w:color w:val="auto"/>
        </w:rPr>
        <w:t>维修</w:t>
      </w:r>
      <w:bookmarkEnd w:id="49"/>
    </w:p>
    <w:p w14:paraId="1C410A29">
      <w:pPr>
        <w:adjustRightInd w:val="0"/>
        <w:snapToGrid w:val="0"/>
        <w:spacing w:line="360" w:lineRule="auto"/>
        <w:ind w:firstLine="480"/>
        <w:jc w:val="left"/>
        <w:rPr>
          <w:rFonts w:hint="eastAsia"/>
          <w:color w:val="auto"/>
        </w:rPr>
      </w:pPr>
      <w:r>
        <w:rPr>
          <w:rFonts w:hint="eastAsia" w:cs="宋体"/>
          <w:color w:val="auto"/>
        </w:rPr>
        <w:t>本</w:t>
      </w:r>
      <w:r>
        <w:rPr>
          <w:rFonts w:hint="eastAsia"/>
          <w:color w:val="auto"/>
        </w:rPr>
        <w:t>项目</w:t>
      </w:r>
      <w:r>
        <w:rPr>
          <w:rFonts w:hint="eastAsia"/>
          <w:color w:val="auto"/>
          <w:lang w:val="en-US" w:eastAsia="zh-CN"/>
        </w:rPr>
        <w:t>利用厂区原有</w:t>
      </w:r>
      <w:r>
        <w:rPr>
          <w:rFonts w:hint="eastAsia"/>
          <w:color w:val="auto"/>
        </w:rPr>
        <w:t>维修人员</w:t>
      </w:r>
      <w:r>
        <w:rPr>
          <w:rFonts w:hint="eastAsia"/>
          <w:color w:val="auto"/>
          <w:lang w:val="en-US" w:eastAsia="zh-CN"/>
        </w:rPr>
        <w:t>进行</w:t>
      </w:r>
      <w:r>
        <w:rPr>
          <w:rFonts w:hint="eastAsia"/>
          <w:color w:val="auto"/>
        </w:rPr>
        <w:t>日常维护保养及定期全面检修。大型部件、设备的加工及维修任务以外协为主。</w:t>
      </w:r>
    </w:p>
    <w:p w14:paraId="043292BB">
      <w:pPr>
        <w:pStyle w:val="4"/>
        <w:bidi w:val="0"/>
        <w:rPr>
          <w:rFonts w:hint="eastAsia"/>
          <w:color w:val="auto"/>
        </w:rPr>
      </w:pPr>
      <w:bookmarkStart w:id="50" w:name="_Toc5687"/>
      <w:r>
        <w:rPr>
          <w:rFonts w:hint="eastAsia"/>
          <w:color w:val="auto"/>
        </w:rPr>
        <w:t>2.</w:t>
      </w:r>
      <w:r>
        <w:rPr>
          <w:rFonts w:hint="eastAsia"/>
          <w:color w:val="auto"/>
          <w:lang w:val="en-US" w:eastAsia="zh-CN"/>
        </w:rPr>
        <w:t>9.11</w:t>
      </w:r>
      <w:r>
        <w:rPr>
          <w:rFonts w:hint="eastAsia"/>
          <w:color w:val="auto"/>
        </w:rPr>
        <w:t>三废处理</w:t>
      </w:r>
      <w:bookmarkEnd w:id="50"/>
    </w:p>
    <w:p w14:paraId="543274BE">
      <w:pPr>
        <w:adjustRightInd w:val="0"/>
        <w:snapToGrid w:val="0"/>
        <w:spacing w:line="360" w:lineRule="auto"/>
        <w:ind w:firstLine="480"/>
        <w:jc w:val="left"/>
        <w:rPr>
          <w:rFonts w:hint="eastAsia"/>
          <w:color w:val="auto"/>
        </w:rPr>
      </w:pPr>
      <w:r>
        <w:rPr>
          <w:rFonts w:hint="eastAsia"/>
          <w:color w:val="auto"/>
        </w:rPr>
        <w:t>1</w:t>
      </w:r>
      <w:r>
        <w:rPr>
          <w:rFonts w:hint="eastAsia"/>
          <w:color w:val="auto"/>
          <w:lang w:val="en-US" w:eastAsia="zh-CN"/>
        </w:rPr>
        <w:t>.</w:t>
      </w:r>
      <w:r>
        <w:rPr>
          <w:rFonts w:hint="eastAsia"/>
          <w:color w:val="auto"/>
        </w:rPr>
        <w:t>废水主要污染源、污染物处理和排放情况</w:t>
      </w:r>
    </w:p>
    <w:p w14:paraId="31178C3A">
      <w:pPr>
        <w:adjustRightInd w:val="0"/>
        <w:snapToGrid w:val="0"/>
        <w:spacing w:line="360" w:lineRule="auto"/>
        <w:ind w:firstLine="480"/>
        <w:jc w:val="left"/>
        <w:rPr>
          <w:rFonts w:hint="eastAsia"/>
          <w:color w:val="auto"/>
        </w:rPr>
      </w:pPr>
      <w:r>
        <w:rPr>
          <w:rFonts w:hint="eastAsia"/>
          <w:color w:val="auto"/>
        </w:rPr>
        <w:t>（1）废水主要来源：本次技改项目不新增员工，不增加员工生活污水；故本项目废水主要来源于5#～6#生产线新增石灰石-石膏湿法烟气脱硫系统中吸收塔浆池、除雾器冲洗、脱硫岛场地冲洗排放的废水，所有浆液输送设备、输送管路、贮存箱的冲洗和脱硫系统辅助机械冷却、密封排放的废水，以及石膏脱水滤液、石膏脱水区冲洗产生的废水。</w:t>
      </w:r>
    </w:p>
    <w:p w14:paraId="0D8E9B69">
      <w:pPr>
        <w:adjustRightInd w:val="0"/>
        <w:snapToGrid w:val="0"/>
        <w:spacing w:line="360" w:lineRule="auto"/>
        <w:ind w:firstLine="480"/>
        <w:jc w:val="left"/>
        <w:rPr>
          <w:rFonts w:hint="eastAsia"/>
          <w:color w:val="auto"/>
        </w:rPr>
      </w:pPr>
      <w:r>
        <w:rPr>
          <w:rFonts w:hint="eastAsia"/>
          <w:color w:val="auto"/>
        </w:rPr>
        <w:t>（2）处理措施：项目产生生产废水全部由管道收集进入积水坑中，并定期返回吸收塔/石灰石浆液箱中循环使用，不外排。</w:t>
      </w:r>
    </w:p>
    <w:p w14:paraId="0D425D25">
      <w:pPr>
        <w:adjustRightInd w:val="0"/>
        <w:snapToGrid w:val="0"/>
        <w:spacing w:line="360" w:lineRule="auto"/>
        <w:ind w:firstLine="480"/>
        <w:jc w:val="left"/>
        <w:rPr>
          <w:rFonts w:hint="eastAsia"/>
          <w:color w:val="auto"/>
        </w:rPr>
      </w:pPr>
      <w:r>
        <w:rPr>
          <w:rFonts w:hint="eastAsia"/>
          <w:color w:val="auto"/>
        </w:rPr>
        <w:t>2</w:t>
      </w:r>
      <w:r>
        <w:rPr>
          <w:rFonts w:hint="eastAsia"/>
          <w:color w:val="auto"/>
          <w:lang w:val="en-US" w:eastAsia="zh-CN"/>
        </w:rPr>
        <w:t>.</w:t>
      </w:r>
      <w:r>
        <w:rPr>
          <w:rFonts w:hint="eastAsia"/>
          <w:color w:val="auto"/>
        </w:rPr>
        <w:t>废气主要污染源、污染物处理和排放情况</w:t>
      </w:r>
    </w:p>
    <w:p w14:paraId="7767A450">
      <w:pPr>
        <w:adjustRightInd w:val="0"/>
        <w:snapToGrid w:val="0"/>
        <w:spacing w:line="360" w:lineRule="auto"/>
        <w:ind w:firstLine="480"/>
        <w:jc w:val="left"/>
        <w:rPr>
          <w:rFonts w:hint="eastAsia"/>
          <w:color w:val="auto"/>
        </w:rPr>
      </w:pPr>
      <w:r>
        <w:rPr>
          <w:rFonts w:hint="eastAsia"/>
          <w:color w:val="auto"/>
        </w:rPr>
        <w:t>（1）废气主要来源：本项目为脱硫设施技改项目，本身不产生污染物，主要对5</w:t>
      </w:r>
      <w:r>
        <w:rPr>
          <w:rFonts w:hint="eastAsia"/>
          <w:color w:val="auto"/>
          <w:lang w:val="en-US" w:eastAsia="zh-CN"/>
        </w:rPr>
        <w:t>#</w:t>
      </w:r>
      <w:r>
        <w:rPr>
          <w:rFonts w:hint="eastAsia"/>
          <w:color w:val="auto"/>
        </w:rPr>
        <w:t>～6#生产线窑尾废气二氧化硫进行处理，本项目建设几乎不会对窑尾废气产生量、浓度产生影响。</w:t>
      </w:r>
    </w:p>
    <w:p w14:paraId="7A7683B3">
      <w:pPr>
        <w:adjustRightInd w:val="0"/>
        <w:snapToGrid w:val="0"/>
        <w:spacing w:line="360" w:lineRule="auto"/>
        <w:ind w:firstLine="480"/>
        <w:jc w:val="left"/>
        <w:rPr>
          <w:rFonts w:hint="eastAsia" w:eastAsia="宋体"/>
          <w:color w:val="auto"/>
          <w:lang w:eastAsia="zh-CN"/>
        </w:rPr>
      </w:pPr>
      <w:r>
        <w:rPr>
          <w:rFonts w:hint="eastAsia"/>
          <w:color w:val="auto"/>
        </w:rPr>
        <w:t>（2）处理措施：本项目对5</w:t>
      </w:r>
      <w:r>
        <w:rPr>
          <w:rFonts w:hint="eastAsia"/>
          <w:color w:val="auto"/>
          <w:lang w:val="en-US" w:eastAsia="zh-CN"/>
        </w:rPr>
        <w:t>#</w:t>
      </w:r>
      <w:r>
        <w:rPr>
          <w:rFonts w:hint="eastAsia"/>
          <w:color w:val="auto"/>
          <w:lang w:eastAsia="zh-CN"/>
        </w:rPr>
        <w:t>、</w:t>
      </w:r>
      <w:r>
        <w:rPr>
          <w:rFonts w:hint="eastAsia"/>
          <w:color w:val="auto"/>
        </w:rPr>
        <w:t>6#水泥熟料生产线回转窑的烟气出口新增石灰石-石膏湿法脱硫系统，完成后可降低水泥窑烟气中SO</w:t>
      </w:r>
      <w:r>
        <w:rPr>
          <w:rFonts w:hint="eastAsia"/>
          <w:color w:val="auto"/>
          <w:vertAlign w:val="subscript"/>
        </w:rPr>
        <w:t>2</w:t>
      </w:r>
      <w:r>
        <w:rPr>
          <w:rFonts w:hint="eastAsia"/>
          <w:color w:val="auto"/>
        </w:rPr>
        <w:t>浓度，并消减部分颗粒物排放浓度</w:t>
      </w:r>
      <w:r>
        <w:rPr>
          <w:rFonts w:hint="eastAsia"/>
          <w:color w:val="auto"/>
          <w:lang w:eastAsia="zh-CN"/>
        </w:rPr>
        <w:t>。</w:t>
      </w:r>
    </w:p>
    <w:p w14:paraId="0318C325">
      <w:pPr>
        <w:adjustRightInd w:val="0"/>
        <w:snapToGrid w:val="0"/>
        <w:spacing w:line="360" w:lineRule="auto"/>
        <w:ind w:firstLine="480"/>
        <w:jc w:val="left"/>
        <w:rPr>
          <w:rFonts w:hint="eastAsia"/>
          <w:color w:val="auto"/>
        </w:rPr>
      </w:pPr>
      <w:r>
        <w:rPr>
          <w:rFonts w:hint="eastAsia"/>
          <w:color w:val="auto"/>
        </w:rPr>
        <w:t>3</w:t>
      </w:r>
      <w:r>
        <w:rPr>
          <w:rFonts w:hint="eastAsia"/>
          <w:color w:val="auto"/>
          <w:lang w:val="en-US" w:eastAsia="zh-CN"/>
        </w:rPr>
        <w:t>.</w:t>
      </w:r>
      <w:r>
        <w:rPr>
          <w:rFonts w:hint="eastAsia"/>
          <w:color w:val="auto"/>
        </w:rPr>
        <w:t>噪声</w:t>
      </w:r>
    </w:p>
    <w:p w14:paraId="793CA405">
      <w:pPr>
        <w:adjustRightInd w:val="0"/>
        <w:snapToGrid w:val="0"/>
        <w:spacing w:line="360" w:lineRule="auto"/>
        <w:ind w:firstLine="480"/>
        <w:jc w:val="left"/>
        <w:rPr>
          <w:rFonts w:hint="eastAsia"/>
          <w:color w:val="auto"/>
        </w:rPr>
      </w:pPr>
      <w:r>
        <w:rPr>
          <w:rFonts w:hint="eastAsia"/>
          <w:color w:val="auto"/>
        </w:rPr>
        <w:t>（1）噪声主要来源：本项目噪声主要来源于水泵、给料机、风机、脱水机等设备运行时的生产噪声。</w:t>
      </w:r>
    </w:p>
    <w:p w14:paraId="502A2120">
      <w:pPr>
        <w:adjustRightInd w:val="0"/>
        <w:snapToGrid w:val="0"/>
        <w:spacing w:line="360" w:lineRule="auto"/>
        <w:ind w:firstLine="480"/>
        <w:jc w:val="left"/>
        <w:rPr>
          <w:rFonts w:hint="eastAsia"/>
          <w:color w:val="auto"/>
        </w:rPr>
      </w:pPr>
      <w:r>
        <w:rPr>
          <w:rFonts w:hint="eastAsia"/>
          <w:color w:val="auto"/>
        </w:rPr>
        <w:t>（2）处理措施：通过设置防振基础，选用低噪声设备，利用厂房隔声等措施，在厂区周边植树绿化，通过距离衰减降低对周边环境的影响。</w:t>
      </w:r>
    </w:p>
    <w:p w14:paraId="5364DC35">
      <w:pPr>
        <w:adjustRightInd w:val="0"/>
        <w:snapToGrid w:val="0"/>
        <w:spacing w:line="360" w:lineRule="auto"/>
        <w:ind w:firstLine="480"/>
        <w:jc w:val="left"/>
        <w:rPr>
          <w:rFonts w:hint="eastAsia"/>
          <w:color w:val="auto"/>
        </w:rPr>
      </w:pPr>
      <w:r>
        <w:rPr>
          <w:rFonts w:hint="eastAsia"/>
          <w:color w:val="auto"/>
        </w:rPr>
        <w:t>4</w:t>
      </w:r>
      <w:r>
        <w:rPr>
          <w:rFonts w:hint="eastAsia"/>
          <w:color w:val="auto"/>
          <w:lang w:val="en-US" w:eastAsia="zh-CN"/>
        </w:rPr>
        <w:t>.</w:t>
      </w:r>
      <w:r>
        <w:rPr>
          <w:rFonts w:hint="eastAsia"/>
          <w:color w:val="auto"/>
        </w:rPr>
        <w:t>固体废物</w:t>
      </w:r>
    </w:p>
    <w:p w14:paraId="18899FBF">
      <w:pPr>
        <w:adjustRightInd w:val="0"/>
        <w:snapToGrid w:val="0"/>
        <w:spacing w:line="360" w:lineRule="auto"/>
        <w:ind w:firstLine="480"/>
        <w:jc w:val="left"/>
        <w:rPr>
          <w:rFonts w:hint="eastAsia"/>
          <w:color w:val="auto"/>
        </w:rPr>
      </w:pPr>
      <w:r>
        <w:rPr>
          <w:rFonts w:hint="eastAsia"/>
          <w:color w:val="auto"/>
        </w:rPr>
        <w:t>（1）本项目产生的固体废物主要为脱硫石膏。</w:t>
      </w:r>
    </w:p>
    <w:p w14:paraId="24E740C6">
      <w:pPr>
        <w:adjustRightInd w:val="0"/>
        <w:snapToGrid w:val="0"/>
        <w:spacing w:line="360" w:lineRule="auto"/>
        <w:ind w:firstLine="480"/>
        <w:jc w:val="left"/>
        <w:rPr>
          <w:rFonts w:hint="default" w:eastAsia="宋体"/>
          <w:color w:val="auto"/>
          <w:lang w:val="en-US" w:eastAsia="zh-CN"/>
        </w:rPr>
      </w:pPr>
      <w:r>
        <w:rPr>
          <w:rFonts w:hint="eastAsia"/>
          <w:color w:val="auto"/>
        </w:rPr>
        <w:t>（2）处置措施：项目脱硫石膏产生量约为2000t/a，脱水后的石膏进入石膏料仓</w:t>
      </w:r>
      <w:r>
        <w:rPr>
          <w:rFonts w:hint="eastAsia"/>
          <w:color w:val="auto"/>
          <w:lang w:eastAsia="zh-CN"/>
        </w:rPr>
        <w:t>，</w:t>
      </w:r>
      <w:r>
        <w:rPr>
          <w:rFonts w:hint="eastAsia"/>
          <w:color w:val="auto"/>
        </w:rPr>
        <w:t>储存至三分之二时，使用相关车辆将石膏定期运送至现有厂区水泥石膏堆场，与外购石膏一起通过入料皮带输送入水泥磨中使用，不外排。</w:t>
      </w:r>
      <w:r>
        <w:rPr>
          <w:rFonts w:hint="eastAsia"/>
          <w:color w:val="0000FF"/>
          <w:lang w:val="en-US" w:eastAsia="zh-CN"/>
        </w:rPr>
        <w:t>经企业介绍，本项目产生的石膏能够完全被企业内部自行消耗。</w:t>
      </w:r>
    </w:p>
    <w:p w14:paraId="463D44B2">
      <w:pPr>
        <w:pStyle w:val="4"/>
        <w:bidi w:val="0"/>
        <w:rPr>
          <w:rFonts w:ascii="Times New Roman" w:hAnsi="Times New Roman" w:eastAsiaTheme="minorEastAsia" w:cstheme="minorBidi"/>
          <w:color w:val="auto"/>
          <w:lang w:val="zh-CN"/>
        </w:rPr>
      </w:pPr>
      <w:bookmarkStart w:id="51" w:name="_Toc3423"/>
      <w:r>
        <w:rPr>
          <w:rFonts w:hint="default"/>
          <w:color w:val="auto"/>
          <w:lang w:val="zh-CN" w:eastAsia="zh-CN"/>
        </w:rPr>
        <w:t>2.</w:t>
      </w:r>
      <w:r>
        <w:rPr>
          <w:rFonts w:hint="eastAsia"/>
          <w:color w:val="auto"/>
          <w:lang w:val="en-US" w:eastAsia="zh-CN"/>
        </w:rPr>
        <w:t>9.12</w:t>
      </w:r>
      <w:r>
        <w:rPr>
          <w:rFonts w:hint="eastAsia"/>
          <w:color w:val="auto"/>
          <w:lang w:val="zh-CN"/>
        </w:rPr>
        <w:t>组织机构与劳动定员</w:t>
      </w:r>
      <w:bookmarkEnd w:id="51"/>
    </w:p>
    <w:p w14:paraId="2455A956">
      <w:pPr>
        <w:bidi w:val="0"/>
        <w:rPr>
          <w:rFonts w:hint="eastAsia"/>
          <w:color w:val="auto"/>
          <w:lang w:val="zh-CN"/>
        </w:rPr>
      </w:pPr>
      <w:r>
        <w:rPr>
          <w:rFonts w:hint="eastAsia"/>
          <w:color w:val="auto"/>
        </w:rPr>
        <w:t>本</w:t>
      </w:r>
      <w:r>
        <w:rPr>
          <w:rFonts w:hint="eastAsia"/>
          <w:color w:val="auto"/>
          <w:lang w:val="zh-CN"/>
        </w:rPr>
        <w:t>项目生产部门采用四班三倒的工作制度，管理人员采用普通班</w:t>
      </w:r>
      <w:r>
        <w:rPr>
          <w:rFonts w:hint="eastAsia"/>
          <w:color w:val="auto"/>
        </w:rPr>
        <w:t>，每班8h</w:t>
      </w:r>
      <w:r>
        <w:rPr>
          <w:rFonts w:hint="eastAsia"/>
          <w:color w:val="auto"/>
          <w:lang w:val="zh-CN"/>
        </w:rPr>
        <w:t>，</w:t>
      </w:r>
      <w:r>
        <w:rPr>
          <w:rFonts w:hint="eastAsia"/>
          <w:color w:val="auto"/>
        </w:rPr>
        <w:t>年工作3</w:t>
      </w:r>
      <w:r>
        <w:rPr>
          <w:rFonts w:hint="eastAsia"/>
          <w:color w:val="auto"/>
          <w:lang w:val="en-US" w:eastAsia="zh-CN"/>
        </w:rPr>
        <w:t>2</w:t>
      </w:r>
      <w:r>
        <w:rPr>
          <w:rFonts w:hint="eastAsia"/>
          <w:color w:val="auto"/>
        </w:rPr>
        <w:t>0天</w:t>
      </w:r>
      <w:r>
        <w:rPr>
          <w:rFonts w:hint="eastAsia"/>
          <w:color w:val="auto"/>
          <w:lang w:val="zh-CN"/>
        </w:rPr>
        <w:t>。职工由</w:t>
      </w:r>
      <w:r>
        <w:rPr>
          <w:rFonts w:hint="eastAsia"/>
          <w:color w:val="auto"/>
          <w:lang w:val="en-US" w:eastAsia="zh-CN"/>
        </w:rPr>
        <w:t>从厂区现有人员中</w:t>
      </w:r>
      <w:r>
        <w:rPr>
          <w:rFonts w:hint="eastAsia"/>
          <w:color w:val="auto"/>
          <w:lang w:val="zh-CN"/>
        </w:rPr>
        <w:t>调配，不新增员工。</w:t>
      </w:r>
    </w:p>
    <w:p w14:paraId="1FC9529B">
      <w:pPr>
        <w:bidi w:val="0"/>
        <w:rPr>
          <w:rFonts w:hint="eastAsia"/>
          <w:color w:val="auto"/>
        </w:rPr>
      </w:pPr>
      <w:r>
        <w:rPr>
          <w:rFonts w:hint="eastAsia"/>
          <w:color w:val="auto"/>
          <w:lang w:val="en-US" w:eastAsia="zh-CN"/>
        </w:rPr>
        <w:t>1.</w:t>
      </w:r>
      <w:r>
        <w:rPr>
          <w:rFonts w:hint="eastAsia"/>
          <w:color w:val="auto"/>
        </w:rPr>
        <w:t>安全管理机构</w:t>
      </w:r>
    </w:p>
    <w:p w14:paraId="18A254AB">
      <w:pPr>
        <w:bidi w:val="0"/>
        <w:rPr>
          <w:rFonts w:hint="eastAsia"/>
          <w:color w:val="auto"/>
          <w:lang w:val="en-US" w:eastAsia="zh-CN"/>
        </w:rPr>
      </w:pPr>
      <w:r>
        <w:rPr>
          <w:rFonts w:hint="eastAsia"/>
          <w:color w:val="auto"/>
          <w:lang w:val="en-US" w:eastAsia="zh-CN"/>
        </w:rPr>
        <w:t>公司已成立有安全生产委员会，主要包括主任委员1人、副主任委员3人员和有关车间、部门负责人和员工代表、相关方代表。总经理担任安委会主任委员，副董事长特别助理、副总经理任副主任委员。</w:t>
      </w:r>
    </w:p>
    <w:p w14:paraId="37E4F756">
      <w:pPr>
        <w:bidi w:val="0"/>
        <w:rPr>
          <w:rFonts w:hint="eastAsia"/>
          <w:color w:val="auto"/>
        </w:rPr>
      </w:pPr>
      <w:r>
        <w:rPr>
          <w:rFonts w:hint="eastAsia"/>
          <w:color w:val="auto"/>
          <w:lang w:val="en-US" w:eastAsia="zh-CN"/>
        </w:rPr>
        <w:t>公司设立了安全生产管理部门，配备专职安全员6名。主要生产车间的生产班组设有兼职安全员，在安全管理体上形成较为完善的安全管理网络。本项目主要负责人1人，安全管理人员6人，均经瑞昌市工贸行业负责人和安全管理人员安全知识培训班培训合格后取证。公司各类特种作业人员均经过相关部门组织特种作业培训并经考试合格取得资格证书。本项目</w:t>
      </w:r>
      <w:r>
        <w:rPr>
          <w:rFonts w:hint="eastAsia"/>
          <w:color w:val="auto"/>
        </w:rPr>
        <w:t>主要负责人、安全管理人员取证情况见表</w:t>
      </w:r>
      <w:r>
        <w:rPr>
          <w:rFonts w:hint="eastAsia"/>
          <w:color w:val="auto"/>
          <w:lang w:val="en-US" w:eastAsia="zh-CN"/>
        </w:rPr>
        <w:t>2.9.12-1</w:t>
      </w:r>
      <w:r>
        <w:rPr>
          <w:rFonts w:hint="eastAsia"/>
          <w:color w:val="auto"/>
        </w:rPr>
        <w:t>。</w:t>
      </w:r>
    </w:p>
    <w:p w14:paraId="6508FE5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rPr>
      </w:pPr>
      <w:r>
        <w:rPr>
          <w:rFonts w:hint="eastAsia"/>
          <w:color w:val="auto"/>
          <w:lang w:val="en-US" w:eastAsia="zh-CN"/>
        </w:rPr>
        <w:t>2.9.12-1公司主要负责人、安全管理人员取证情况表</w:t>
      </w:r>
    </w:p>
    <w:tbl>
      <w:tblPr>
        <w:tblStyle w:val="14"/>
        <w:tblW w:w="934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7"/>
        <w:gridCol w:w="966"/>
        <w:gridCol w:w="1795"/>
        <w:gridCol w:w="2307"/>
        <w:gridCol w:w="3605"/>
      </w:tblGrid>
      <w:tr w14:paraId="5A5C9B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 w:hRule="atLeast"/>
        </w:trPr>
        <w:tc>
          <w:tcPr>
            <w:tcW w:w="667" w:type="dxa"/>
            <w:noWrap w:val="0"/>
            <w:vAlign w:val="center"/>
          </w:tcPr>
          <w:p w14:paraId="6FE1B7A4">
            <w:pPr>
              <w:pStyle w:val="21"/>
              <w:bidi w:val="0"/>
              <w:spacing w:line="240" w:lineRule="auto"/>
              <w:rPr>
                <w:color w:val="auto"/>
              </w:rPr>
            </w:pPr>
            <w:r>
              <w:rPr>
                <w:color w:val="auto"/>
              </w:rPr>
              <w:t>序号</w:t>
            </w:r>
          </w:p>
        </w:tc>
        <w:tc>
          <w:tcPr>
            <w:tcW w:w="966" w:type="dxa"/>
            <w:noWrap w:val="0"/>
            <w:vAlign w:val="center"/>
          </w:tcPr>
          <w:p w14:paraId="418BB5DC">
            <w:pPr>
              <w:pStyle w:val="21"/>
              <w:bidi w:val="0"/>
              <w:spacing w:line="240" w:lineRule="auto"/>
              <w:rPr>
                <w:color w:val="auto"/>
              </w:rPr>
            </w:pPr>
            <w:r>
              <w:rPr>
                <w:color w:val="auto"/>
              </w:rPr>
              <w:t>姓名</w:t>
            </w:r>
          </w:p>
        </w:tc>
        <w:tc>
          <w:tcPr>
            <w:tcW w:w="1795" w:type="dxa"/>
            <w:noWrap w:val="0"/>
            <w:vAlign w:val="center"/>
          </w:tcPr>
          <w:p w14:paraId="5A83C901">
            <w:pPr>
              <w:pStyle w:val="21"/>
              <w:bidi w:val="0"/>
              <w:spacing w:line="240" w:lineRule="auto"/>
              <w:rPr>
                <w:color w:val="auto"/>
              </w:rPr>
            </w:pPr>
            <w:r>
              <w:rPr>
                <w:color w:val="auto"/>
              </w:rPr>
              <w:t>职称</w:t>
            </w:r>
          </w:p>
        </w:tc>
        <w:tc>
          <w:tcPr>
            <w:tcW w:w="2307" w:type="dxa"/>
            <w:noWrap w:val="0"/>
            <w:vAlign w:val="center"/>
          </w:tcPr>
          <w:p w14:paraId="4358786F">
            <w:pPr>
              <w:pStyle w:val="21"/>
              <w:bidi w:val="0"/>
              <w:spacing w:line="240" w:lineRule="auto"/>
              <w:rPr>
                <w:color w:val="auto"/>
              </w:rPr>
            </w:pPr>
            <w:r>
              <w:rPr>
                <w:color w:val="auto"/>
              </w:rPr>
              <w:t>证</w:t>
            </w:r>
            <w:r>
              <w:rPr>
                <w:rFonts w:hint="eastAsia"/>
                <w:color w:val="auto"/>
                <w:lang w:val="en-US" w:eastAsia="zh-CN"/>
              </w:rPr>
              <w:t>书编</w:t>
            </w:r>
            <w:r>
              <w:rPr>
                <w:color w:val="auto"/>
              </w:rPr>
              <w:t>号</w:t>
            </w:r>
          </w:p>
        </w:tc>
        <w:tc>
          <w:tcPr>
            <w:tcW w:w="3605" w:type="dxa"/>
            <w:noWrap w:val="0"/>
            <w:vAlign w:val="center"/>
          </w:tcPr>
          <w:p w14:paraId="1CADD0E2">
            <w:pPr>
              <w:pStyle w:val="21"/>
              <w:bidi w:val="0"/>
              <w:spacing w:line="240" w:lineRule="auto"/>
              <w:rPr>
                <w:color w:val="auto"/>
              </w:rPr>
            </w:pPr>
            <w:r>
              <w:rPr>
                <w:color w:val="auto"/>
              </w:rPr>
              <w:t>发证单位及有效期</w:t>
            </w:r>
          </w:p>
        </w:tc>
      </w:tr>
      <w:tr w14:paraId="02F01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667" w:type="dxa"/>
            <w:noWrap w:val="0"/>
            <w:vAlign w:val="center"/>
          </w:tcPr>
          <w:p w14:paraId="63552F99">
            <w:pPr>
              <w:pStyle w:val="20"/>
              <w:bidi w:val="0"/>
              <w:rPr>
                <w:rFonts w:hint="eastAsia"/>
                <w:color w:val="auto"/>
              </w:rPr>
            </w:pPr>
            <w:r>
              <w:rPr>
                <w:rFonts w:hint="eastAsia"/>
                <w:color w:val="auto"/>
              </w:rPr>
              <w:t>1</w:t>
            </w:r>
          </w:p>
        </w:tc>
        <w:tc>
          <w:tcPr>
            <w:tcW w:w="966" w:type="dxa"/>
            <w:noWrap w:val="0"/>
            <w:vAlign w:val="center"/>
          </w:tcPr>
          <w:p w14:paraId="7C85F28B">
            <w:pPr>
              <w:pStyle w:val="20"/>
              <w:bidi w:val="0"/>
              <w:rPr>
                <w:rFonts w:hint="default"/>
                <w:color w:val="auto"/>
                <w:lang w:val="en-US" w:eastAsia="zh-CN"/>
              </w:rPr>
            </w:pPr>
            <w:r>
              <w:rPr>
                <w:rFonts w:hint="eastAsia"/>
                <w:color w:val="auto"/>
                <w:lang w:val="en-US" w:eastAsia="zh-CN"/>
              </w:rPr>
              <w:t>田隆</w:t>
            </w:r>
          </w:p>
        </w:tc>
        <w:tc>
          <w:tcPr>
            <w:tcW w:w="1795" w:type="dxa"/>
            <w:noWrap w:val="0"/>
            <w:vAlign w:val="center"/>
          </w:tcPr>
          <w:p w14:paraId="1D3A436C">
            <w:pPr>
              <w:pStyle w:val="20"/>
              <w:bidi w:val="0"/>
              <w:rPr>
                <w:rFonts w:hint="eastAsia"/>
                <w:color w:val="auto"/>
              </w:rPr>
            </w:pPr>
            <w:r>
              <w:rPr>
                <w:rFonts w:hint="eastAsia"/>
                <w:color w:val="auto"/>
              </w:rPr>
              <w:t>主要负责人</w:t>
            </w:r>
          </w:p>
        </w:tc>
        <w:tc>
          <w:tcPr>
            <w:tcW w:w="2307" w:type="dxa"/>
            <w:noWrap w:val="0"/>
            <w:vAlign w:val="center"/>
          </w:tcPr>
          <w:p w14:paraId="1A8B7498">
            <w:pPr>
              <w:pStyle w:val="20"/>
              <w:bidi w:val="0"/>
              <w:rPr>
                <w:rFonts w:hint="default"/>
                <w:color w:val="auto"/>
                <w:lang w:val="en-US" w:eastAsia="zh-CN"/>
              </w:rPr>
            </w:pPr>
            <w:r>
              <w:rPr>
                <w:rFonts w:hint="eastAsia"/>
                <w:color w:val="auto"/>
                <w:lang w:val="en-US" w:eastAsia="zh-CN"/>
              </w:rPr>
              <w:t>20220142</w:t>
            </w:r>
          </w:p>
        </w:tc>
        <w:tc>
          <w:tcPr>
            <w:tcW w:w="3605" w:type="dxa"/>
            <w:noWrap w:val="0"/>
            <w:vAlign w:val="center"/>
          </w:tcPr>
          <w:p w14:paraId="03E5B642">
            <w:pPr>
              <w:pStyle w:val="20"/>
              <w:bidi w:val="0"/>
              <w:rPr>
                <w:rFonts w:hint="eastAsia"/>
                <w:color w:val="auto"/>
              </w:rPr>
            </w:pPr>
            <w:r>
              <w:rPr>
                <w:rFonts w:hint="eastAsia"/>
                <w:color w:val="auto"/>
              </w:rPr>
              <w:t>瑞昌市工贸行业负责人和安全管理人员安全知识培训班</w:t>
            </w:r>
          </w:p>
          <w:p w14:paraId="67DC232E">
            <w:pPr>
              <w:pStyle w:val="20"/>
              <w:bidi w:val="0"/>
              <w:rPr>
                <w:rFonts w:hint="default"/>
                <w:color w:val="auto"/>
                <w:lang w:val="en-US" w:eastAsia="zh-CN"/>
              </w:rPr>
            </w:pPr>
            <w:r>
              <w:rPr>
                <w:rFonts w:hint="eastAsia"/>
                <w:color w:val="auto"/>
              </w:rPr>
              <w:t>有效期限：202</w:t>
            </w:r>
            <w:r>
              <w:rPr>
                <w:rFonts w:hint="eastAsia"/>
                <w:color w:val="auto"/>
                <w:lang w:val="en-US" w:eastAsia="zh-CN"/>
              </w:rPr>
              <w:t>2-8-31</w:t>
            </w:r>
            <w:r>
              <w:rPr>
                <w:rFonts w:hint="eastAsia"/>
                <w:color w:val="auto"/>
              </w:rPr>
              <w:t>至202</w:t>
            </w:r>
            <w:r>
              <w:rPr>
                <w:rFonts w:hint="eastAsia"/>
                <w:color w:val="auto"/>
                <w:lang w:val="en-US" w:eastAsia="zh-CN"/>
              </w:rPr>
              <w:t>6-8-30</w:t>
            </w:r>
          </w:p>
        </w:tc>
      </w:tr>
      <w:tr w14:paraId="5DFA51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667" w:type="dxa"/>
            <w:noWrap w:val="0"/>
            <w:vAlign w:val="center"/>
          </w:tcPr>
          <w:p w14:paraId="2BEE5876">
            <w:pPr>
              <w:pStyle w:val="20"/>
              <w:bidi w:val="0"/>
              <w:rPr>
                <w:rFonts w:hint="eastAsia"/>
                <w:color w:val="auto"/>
                <w:lang w:eastAsia="zh-CN"/>
              </w:rPr>
            </w:pPr>
            <w:r>
              <w:rPr>
                <w:rFonts w:hint="eastAsia"/>
                <w:color w:val="auto"/>
                <w:lang w:val="en-US" w:eastAsia="zh-CN"/>
              </w:rPr>
              <w:t>2</w:t>
            </w:r>
          </w:p>
        </w:tc>
        <w:tc>
          <w:tcPr>
            <w:tcW w:w="966" w:type="dxa"/>
            <w:noWrap w:val="0"/>
            <w:vAlign w:val="center"/>
          </w:tcPr>
          <w:p w14:paraId="3940979D">
            <w:pPr>
              <w:pStyle w:val="20"/>
              <w:bidi w:val="0"/>
              <w:rPr>
                <w:rFonts w:hint="eastAsia"/>
                <w:color w:val="auto"/>
                <w:lang w:eastAsia="zh-CN"/>
              </w:rPr>
            </w:pPr>
            <w:r>
              <w:rPr>
                <w:rFonts w:hint="eastAsia"/>
                <w:color w:val="auto"/>
                <w:lang w:val="en-US" w:eastAsia="zh-CN"/>
              </w:rPr>
              <w:t>李栋才</w:t>
            </w:r>
          </w:p>
        </w:tc>
        <w:tc>
          <w:tcPr>
            <w:tcW w:w="1795" w:type="dxa"/>
            <w:noWrap w:val="0"/>
            <w:vAlign w:val="center"/>
          </w:tcPr>
          <w:p w14:paraId="1FCE2ACC">
            <w:pPr>
              <w:pStyle w:val="20"/>
              <w:bidi w:val="0"/>
              <w:rPr>
                <w:rFonts w:hint="eastAsia"/>
                <w:color w:val="auto"/>
              </w:rPr>
            </w:pPr>
            <w:r>
              <w:rPr>
                <w:rFonts w:hint="eastAsia"/>
                <w:color w:val="auto"/>
              </w:rPr>
              <w:t>安全管理人员</w:t>
            </w:r>
          </w:p>
        </w:tc>
        <w:tc>
          <w:tcPr>
            <w:tcW w:w="2307" w:type="dxa"/>
            <w:noWrap w:val="0"/>
            <w:vAlign w:val="center"/>
          </w:tcPr>
          <w:p w14:paraId="59EB32EE">
            <w:pPr>
              <w:pStyle w:val="20"/>
              <w:bidi w:val="0"/>
              <w:rPr>
                <w:rFonts w:hint="default"/>
                <w:color w:val="auto"/>
                <w:lang w:val="en-US" w:eastAsia="zh-CN"/>
              </w:rPr>
            </w:pPr>
            <w:r>
              <w:rPr>
                <w:rFonts w:hint="eastAsia"/>
                <w:color w:val="auto"/>
                <w:lang w:val="en-US" w:eastAsia="zh-CN"/>
              </w:rPr>
              <w:t>20210358</w:t>
            </w:r>
          </w:p>
        </w:tc>
        <w:tc>
          <w:tcPr>
            <w:tcW w:w="3605" w:type="dxa"/>
            <w:noWrap w:val="0"/>
            <w:vAlign w:val="center"/>
          </w:tcPr>
          <w:p w14:paraId="1F5100DF">
            <w:pPr>
              <w:pStyle w:val="20"/>
              <w:bidi w:val="0"/>
              <w:rPr>
                <w:rFonts w:hint="eastAsia"/>
                <w:color w:val="auto"/>
              </w:rPr>
            </w:pPr>
            <w:r>
              <w:rPr>
                <w:rFonts w:hint="eastAsia"/>
                <w:color w:val="auto"/>
              </w:rPr>
              <w:t>瑞昌市工贸行业负责人和安全管理人员安全知识培训班</w:t>
            </w:r>
          </w:p>
          <w:p w14:paraId="0D6E42D7">
            <w:pPr>
              <w:pStyle w:val="20"/>
              <w:bidi w:val="0"/>
              <w:rPr>
                <w:rFonts w:hint="eastAsia"/>
                <w:color w:val="auto"/>
              </w:rPr>
            </w:pPr>
            <w:r>
              <w:rPr>
                <w:rFonts w:hint="eastAsia"/>
                <w:color w:val="auto"/>
              </w:rPr>
              <w:t>有效期限：2021-</w:t>
            </w:r>
            <w:r>
              <w:rPr>
                <w:rFonts w:hint="eastAsia"/>
                <w:color w:val="auto"/>
                <w:lang w:val="en-US" w:eastAsia="zh-CN"/>
              </w:rPr>
              <w:t>8</w:t>
            </w:r>
            <w:r>
              <w:rPr>
                <w:rFonts w:hint="eastAsia"/>
                <w:color w:val="auto"/>
              </w:rPr>
              <w:t>-</w:t>
            </w:r>
            <w:r>
              <w:rPr>
                <w:rFonts w:hint="eastAsia"/>
                <w:color w:val="auto"/>
                <w:lang w:val="en-US" w:eastAsia="zh-CN"/>
              </w:rPr>
              <w:t>31</w:t>
            </w:r>
            <w:r>
              <w:rPr>
                <w:rFonts w:hint="eastAsia"/>
                <w:color w:val="auto"/>
              </w:rPr>
              <w:t>至202</w:t>
            </w:r>
            <w:r>
              <w:rPr>
                <w:rFonts w:hint="eastAsia"/>
                <w:color w:val="auto"/>
                <w:lang w:val="en-US" w:eastAsia="zh-CN"/>
              </w:rPr>
              <w:t>5</w:t>
            </w:r>
            <w:r>
              <w:rPr>
                <w:rFonts w:hint="eastAsia"/>
                <w:color w:val="auto"/>
              </w:rPr>
              <w:t>-</w:t>
            </w:r>
            <w:r>
              <w:rPr>
                <w:rFonts w:hint="eastAsia"/>
                <w:color w:val="auto"/>
                <w:lang w:val="en-US" w:eastAsia="zh-CN"/>
              </w:rPr>
              <w:t>8</w:t>
            </w:r>
            <w:r>
              <w:rPr>
                <w:rFonts w:hint="eastAsia"/>
                <w:color w:val="auto"/>
              </w:rPr>
              <w:t>-</w:t>
            </w:r>
            <w:r>
              <w:rPr>
                <w:rFonts w:hint="eastAsia"/>
                <w:color w:val="auto"/>
                <w:lang w:val="en-US" w:eastAsia="zh-CN"/>
              </w:rPr>
              <w:t>30</w:t>
            </w:r>
          </w:p>
        </w:tc>
      </w:tr>
      <w:tr w14:paraId="04311C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trPr>
        <w:tc>
          <w:tcPr>
            <w:tcW w:w="667" w:type="dxa"/>
            <w:noWrap w:val="0"/>
            <w:vAlign w:val="center"/>
          </w:tcPr>
          <w:p w14:paraId="56FED11C">
            <w:pPr>
              <w:pStyle w:val="20"/>
              <w:bidi w:val="0"/>
              <w:rPr>
                <w:rFonts w:hint="eastAsia"/>
                <w:color w:val="auto"/>
                <w:lang w:eastAsia="zh-CN"/>
              </w:rPr>
            </w:pPr>
            <w:r>
              <w:rPr>
                <w:rFonts w:hint="eastAsia"/>
                <w:color w:val="auto"/>
                <w:lang w:val="en-US" w:eastAsia="zh-CN"/>
              </w:rPr>
              <w:t>3</w:t>
            </w:r>
          </w:p>
        </w:tc>
        <w:tc>
          <w:tcPr>
            <w:tcW w:w="966" w:type="dxa"/>
            <w:noWrap w:val="0"/>
            <w:vAlign w:val="center"/>
          </w:tcPr>
          <w:p w14:paraId="75FE135C">
            <w:pPr>
              <w:pStyle w:val="20"/>
              <w:bidi w:val="0"/>
              <w:rPr>
                <w:rFonts w:hint="default"/>
                <w:color w:val="auto"/>
                <w:lang w:val="en-US" w:eastAsia="zh-CN"/>
              </w:rPr>
            </w:pPr>
            <w:r>
              <w:rPr>
                <w:rFonts w:hint="eastAsia"/>
                <w:color w:val="auto"/>
                <w:lang w:val="en-US" w:eastAsia="zh-CN"/>
              </w:rPr>
              <w:t>万长春</w:t>
            </w:r>
          </w:p>
        </w:tc>
        <w:tc>
          <w:tcPr>
            <w:tcW w:w="1795" w:type="dxa"/>
            <w:noWrap w:val="0"/>
            <w:vAlign w:val="center"/>
          </w:tcPr>
          <w:p w14:paraId="177046B2">
            <w:pPr>
              <w:pStyle w:val="20"/>
              <w:bidi w:val="0"/>
              <w:rPr>
                <w:rFonts w:hint="eastAsia"/>
                <w:color w:val="auto"/>
              </w:rPr>
            </w:pPr>
            <w:r>
              <w:rPr>
                <w:rFonts w:hint="eastAsia"/>
                <w:color w:val="auto"/>
              </w:rPr>
              <w:t>安全管理人员</w:t>
            </w:r>
          </w:p>
        </w:tc>
        <w:tc>
          <w:tcPr>
            <w:tcW w:w="2307" w:type="dxa"/>
            <w:noWrap w:val="0"/>
            <w:vAlign w:val="center"/>
          </w:tcPr>
          <w:p w14:paraId="2756C0DE">
            <w:pPr>
              <w:pStyle w:val="20"/>
              <w:bidi w:val="0"/>
              <w:rPr>
                <w:rFonts w:hint="default"/>
                <w:color w:val="auto"/>
                <w:lang w:val="en-US" w:eastAsia="zh-CN"/>
              </w:rPr>
            </w:pPr>
            <w:r>
              <w:rPr>
                <w:rFonts w:hint="eastAsia"/>
                <w:color w:val="auto"/>
                <w:lang w:val="en-US" w:eastAsia="zh-CN"/>
              </w:rPr>
              <w:t>20210359</w:t>
            </w:r>
          </w:p>
        </w:tc>
        <w:tc>
          <w:tcPr>
            <w:tcW w:w="3605" w:type="dxa"/>
            <w:noWrap w:val="0"/>
            <w:vAlign w:val="center"/>
          </w:tcPr>
          <w:p w14:paraId="77C2840A">
            <w:pPr>
              <w:pStyle w:val="20"/>
              <w:bidi w:val="0"/>
              <w:rPr>
                <w:rFonts w:hint="eastAsia"/>
                <w:color w:val="auto"/>
              </w:rPr>
            </w:pPr>
            <w:r>
              <w:rPr>
                <w:rFonts w:hint="eastAsia"/>
                <w:color w:val="auto"/>
              </w:rPr>
              <w:t>瑞昌市工贸行业负责人和安全管理人员安全知识培训班</w:t>
            </w:r>
          </w:p>
          <w:p w14:paraId="22A63EB3">
            <w:pPr>
              <w:pStyle w:val="20"/>
              <w:bidi w:val="0"/>
              <w:rPr>
                <w:rFonts w:hint="eastAsia"/>
                <w:color w:val="auto"/>
              </w:rPr>
            </w:pPr>
            <w:r>
              <w:rPr>
                <w:rFonts w:hint="eastAsia"/>
                <w:color w:val="auto"/>
              </w:rPr>
              <w:t>有效期限：2021-</w:t>
            </w:r>
            <w:r>
              <w:rPr>
                <w:rFonts w:hint="eastAsia"/>
                <w:color w:val="auto"/>
                <w:lang w:val="en-US" w:eastAsia="zh-CN"/>
              </w:rPr>
              <w:t>8</w:t>
            </w:r>
            <w:r>
              <w:rPr>
                <w:rFonts w:hint="eastAsia"/>
                <w:color w:val="auto"/>
              </w:rPr>
              <w:t>-</w:t>
            </w:r>
            <w:r>
              <w:rPr>
                <w:rFonts w:hint="eastAsia"/>
                <w:color w:val="auto"/>
                <w:lang w:val="en-US" w:eastAsia="zh-CN"/>
              </w:rPr>
              <w:t>31</w:t>
            </w:r>
            <w:r>
              <w:rPr>
                <w:rFonts w:hint="eastAsia"/>
                <w:color w:val="auto"/>
              </w:rPr>
              <w:t>至202</w:t>
            </w:r>
            <w:r>
              <w:rPr>
                <w:rFonts w:hint="eastAsia"/>
                <w:color w:val="auto"/>
                <w:lang w:val="en-US" w:eastAsia="zh-CN"/>
              </w:rPr>
              <w:t>5</w:t>
            </w:r>
            <w:r>
              <w:rPr>
                <w:rFonts w:hint="eastAsia"/>
                <w:color w:val="auto"/>
              </w:rPr>
              <w:t>-</w:t>
            </w:r>
            <w:r>
              <w:rPr>
                <w:rFonts w:hint="eastAsia"/>
                <w:color w:val="auto"/>
                <w:lang w:val="en-US" w:eastAsia="zh-CN"/>
              </w:rPr>
              <w:t>8</w:t>
            </w:r>
            <w:r>
              <w:rPr>
                <w:rFonts w:hint="eastAsia"/>
                <w:color w:val="auto"/>
              </w:rPr>
              <w:t>-</w:t>
            </w:r>
            <w:r>
              <w:rPr>
                <w:rFonts w:hint="eastAsia"/>
                <w:color w:val="auto"/>
                <w:lang w:val="en-US" w:eastAsia="zh-CN"/>
              </w:rPr>
              <w:t>30</w:t>
            </w:r>
          </w:p>
        </w:tc>
      </w:tr>
      <w:tr w14:paraId="6FCCA0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trPr>
        <w:tc>
          <w:tcPr>
            <w:tcW w:w="667" w:type="dxa"/>
            <w:noWrap w:val="0"/>
            <w:vAlign w:val="center"/>
          </w:tcPr>
          <w:p w14:paraId="53DB7DC5">
            <w:pPr>
              <w:pStyle w:val="20"/>
              <w:bidi w:val="0"/>
              <w:rPr>
                <w:rFonts w:hint="eastAsia"/>
                <w:color w:val="auto"/>
                <w:lang w:val="en-US" w:eastAsia="zh-CN"/>
              </w:rPr>
            </w:pPr>
            <w:r>
              <w:rPr>
                <w:rFonts w:hint="eastAsia"/>
                <w:color w:val="auto"/>
                <w:lang w:val="en-US" w:eastAsia="zh-CN"/>
              </w:rPr>
              <w:t>4</w:t>
            </w:r>
          </w:p>
        </w:tc>
        <w:tc>
          <w:tcPr>
            <w:tcW w:w="966" w:type="dxa"/>
            <w:noWrap w:val="0"/>
            <w:vAlign w:val="center"/>
          </w:tcPr>
          <w:p w14:paraId="4535130C">
            <w:pPr>
              <w:pStyle w:val="20"/>
              <w:bidi w:val="0"/>
              <w:rPr>
                <w:rFonts w:hint="default"/>
                <w:color w:val="auto"/>
                <w:lang w:val="en-US" w:eastAsia="zh-CN"/>
              </w:rPr>
            </w:pPr>
            <w:r>
              <w:rPr>
                <w:rFonts w:hint="eastAsia"/>
                <w:color w:val="auto"/>
                <w:lang w:val="en-US" w:eastAsia="zh-CN"/>
              </w:rPr>
              <w:t>周鹏飞</w:t>
            </w:r>
          </w:p>
        </w:tc>
        <w:tc>
          <w:tcPr>
            <w:tcW w:w="1795" w:type="dxa"/>
            <w:noWrap w:val="0"/>
            <w:vAlign w:val="center"/>
          </w:tcPr>
          <w:p w14:paraId="4AA6C460">
            <w:pPr>
              <w:pStyle w:val="20"/>
              <w:bidi w:val="0"/>
              <w:rPr>
                <w:rFonts w:hint="eastAsia"/>
                <w:color w:val="auto"/>
                <w:lang w:val="en-US" w:eastAsia="zh-CN"/>
              </w:rPr>
            </w:pPr>
            <w:r>
              <w:rPr>
                <w:rFonts w:hint="eastAsia"/>
                <w:color w:val="auto"/>
                <w:lang w:val="en-US" w:eastAsia="zh-CN"/>
              </w:rPr>
              <w:t>安全管理人员</w:t>
            </w:r>
          </w:p>
        </w:tc>
        <w:tc>
          <w:tcPr>
            <w:tcW w:w="2307" w:type="dxa"/>
            <w:noWrap w:val="0"/>
            <w:vAlign w:val="center"/>
          </w:tcPr>
          <w:p w14:paraId="1AEB23C3">
            <w:pPr>
              <w:pStyle w:val="20"/>
              <w:bidi w:val="0"/>
              <w:rPr>
                <w:rFonts w:hint="default"/>
                <w:color w:val="auto"/>
                <w:lang w:val="en-US" w:eastAsia="zh-CN"/>
              </w:rPr>
            </w:pPr>
            <w:r>
              <w:rPr>
                <w:rFonts w:hint="eastAsia"/>
                <w:color w:val="auto"/>
                <w:lang w:val="en-US" w:eastAsia="zh-CN"/>
              </w:rPr>
              <w:t>20210360</w:t>
            </w:r>
          </w:p>
        </w:tc>
        <w:tc>
          <w:tcPr>
            <w:tcW w:w="3605" w:type="dxa"/>
            <w:noWrap w:val="0"/>
            <w:vAlign w:val="center"/>
          </w:tcPr>
          <w:p w14:paraId="6B9530C9">
            <w:pPr>
              <w:pStyle w:val="20"/>
              <w:bidi w:val="0"/>
              <w:rPr>
                <w:rFonts w:hint="eastAsia"/>
                <w:color w:val="auto"/>
              </w:rPr>
            </w:pPr>
            <w:r>
              <w:rPr>
                <w:rFonts w:hint="eastAsia"/>
                <w:color w:val="auto"/>
              </w:rPr>
              <w:t>瑞昌市工贸行业负责人和安全管理人员安全知识培训班</w:t>
            </w:r>
          </w:p>
          <w:p w14:paraId="0ADFD2C1">
            <w:pPr>
              <w:pStyle w:val="20"/>
              <w:bidi w:val="0"/>
              <w:rPr>
                <w:rFonts w:hint="eastAsia"/>
                <w:color w:val="auto"/>
              </w:rPr>
            </w:pPr>
            <w:r>
              <w:rPr>
                <w:rFonts w:hint="eastAsia"/>
                <w:color w:val="auto"/>
              </w:rPr>
              <w:t>有效期限：2021-</w:t>
            </w:r>
            <w:r>
              <w:rPr>
                <w:rFonts w:hint="eastAsia"/>
                <w:color w:val="auto"/>
                <w:lang w:val="en-US" w:eastAsia="zh-CN"/>
              </w:rPr>
              <w:t>8</w:t>
            </w:r>
            <w:r>
              <w:rPr>
                <w:rFonts w:hint="eastAsia"/>
                <w:color w:val="auto"/>
              </w:rPr>
              <w:t>-</w:t>
            </w:r>
            <w:r>
              <w:rPr>
                <w:rFonts w:hint="eastAsia"/>
                <w:color w:val="auto"/>
                <w:lang w:val="en-US" w:eastAsia="zh-CN"/>
              </w:rPr>
              <w:t>31</w:t>
            </w:r>
            <w:r>
              <w:rPr>
                <w:rFonts w:hint="eastAsia"/>
                <w:color w:val="auto"/>
              </w:rPr>
              <w:t>至202</w:t>
            </w:r>
            <w:r>
              <w:rPr>
                <w:rFonts w:hint="eastAsia"/>
                <w:color w:val="auto"/>
                <w:lang w:val="en-US" w:eastAsia="zh-CN"/>
              </w:rPr>
              <w:t>5</w:t>
            </w:r>
            <w:r>
              <w:rPr>
                <w:rFonts w:hint="eastAsia"/>
                <w:color w:val="auto"/>
              </w:rPr>
              <w:t>-</w:t>
            </w:r>
            <w:r>
              <w:rPr>
                <w:rFonts w:hint="eastAsia"/>
                <w:color w:val="auto"/>
                <w:lang w:val="en-US" w:eastAsia="zh-CN"/>
              </w:rPr>
              <w:t>8</w:t>
            </w:r>
            <w:r>
              <w:rPr>
                <w:rFonts w:hint="eastAsia"/>
                <w:color w:val="auto"/>
              </w:rPr>
              <w:t>-</w:t>
            </w:r>
            <w:r>
              <w:rPr>
                <w:rFonts w:hint="eastAsia"/>
                <w:color w:val="auto"/>
                <w:lang w:val="en-US" w:eastAsia="zh-CN"/>
              </w:rPr>
              <w:t>30</w:t>
            </w:r>
          </w:p>
        </w:tc>
      </w:tr>
      <w:tr w14:paraId="14466C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trPr>
        <w:tc>
          <w:tcPr>
            <w:tcW w:w="667" w:type="dxa"/>
            <w:noWrap w:val="0"/>
            <w:vAlign w:val="center"/>
          </w:tcPr>
          <w:p w14:paraId="55EEA80A">
            <w:pPr>
              <w:pStyle w:val="20"/>
              <w:bidi w:val="0"/>
              <w:rPr>
                <w:rFonts w:hint="default"/>
                <w:color w:val="auto"/>
                <w:lang w:val="en-US" w:eastAsia="zh-CN"/>
              </w:rPr>
            </w:pPr>
            <w:r>
              <w:rPr>
                <w:rFonts w:hint="eastAsia"/>
                <w:color w:val="auto"/>
                <w:lang w:val="en-US" w:eastAsia="zh-CN"/>
              </w:rPr>
              <w:t>5</w:t>
            </w:r>
          </w:p>
        </w:tc>
        <w:tc>
          <w:tcPr>
            <w:tcW w:w="966" w:type="dxa"/>
            <w:noWrap w:val="0"/>
            <w:vAlign w:val="center"/>
          </w:tcPr>
          <w:p w14:paraId="50BCA592">
            <w:pPr>
              <w:pStyle w:val="20"/>
              <w:bidi w:val="0"/>
              <w:rPr>
                <w:rFonts w:hint="default"/>
                <w:color w:val="auto"/>
                <w:lang w:val="en-US" w:eastAsia="zh-CN"/>
              </w:rPr>
            </w:pPr>
            <w:r>
              <w:rPr>
                <w:rFonts w:hint="eastAsia"/>
                <w:color w:val="auto"/>
                <w:lang w:val="en-US" w:eastAsia="zh-CN"/>
              </w:rPr>
              <w:t>魏巍</w:t>
            </w:r>
          </w:p>
        </w:tc>
        <w:tc>
          <w:tcPr>
            <w:tcW w:w="1795" w:type="dxa"/>
            <w:noWrap w:val="0"/>
            <w:vAlign w:val="center"/>
          </w:tcPr>
          <w:p w14:paraId="60633B30">
            <w:pPr>
              <w:pStyle w:val="20"/>
              <w:bidi w:val="0"/>
              <w:rPr>
                <w:rFonts w:hint="default"/>
                <w:color w:val="auto"/>
                <w:lang w:val="en-US" w:eastAsia="zh-CN"/>
              </w:rPr>
            </w:pPr>
            <w:r>
              <w:rPr>
                <w:rFonts w:hint="eastAsia"/>
                <w:color w:val="auto"/>
                <w:lang w:val="en-US" w:eastAsia="zh-CN"/>
              </w:rPr>
              <w:t>安全管理人员</w:t>
            </w:r>
          </w:p>
        </w:tc>
        <w:tc>
          <w:tcPr>
            <w:tcW w:w="2307" w:type="dxa"/>
            <w:noWrap w:val="0"/>
            <w:vAlign w:val="center"/>
          </w:tcPr>
          <w:p w14:paraId="11367DA6">
            <w:pPr>
              <w:pStyle w:val="20"/>
              <w:bidi w:val="0"/>
              <w:rPr>
                <w:rFonts w:hint="default"/>
                <w:color w:val="auto"/>
                <w:lang w:val="en-US" w:eastAsia="zh-CN"/>
              </w:rPr>
            </w:pPr>
            <w:r>
              <w:rPr>
                <w:rFonts w:hint="eastAsia"/>
                <w:color w:val="auto"/>
                <w:lang w:val="en-US" w:eastAsia="zh-CN"/>
              </w:rPr>
              <w:t>20210381</w:t>
            </w:r>
          </w:p>
        </w:tc>
        <w:tc>
          <w:tcPr>
            <w:tcW w:w="3605" w:type="dxa"/>
            <w:noWrap w:val="0"/>
            <w:vAlign w:val="center"/>
          </w:tcPr>
          <w:p w14:paraId="3A466A08">
            <w:pPr>
              <w:pStyle w:val="20"/>
              <w:bidi w:val="0"/>
              <w:rPr>
                <w:rFonts w:hint="eastAsia"/>
                <w:color w:val="auto"/>
              </w:rPr>
            </w:pPr>
            <w:r>
              <w:rPr>
                <w:rFonts w:hint="eastAsia"/>
                <w:color w:val="auto"/>
              </w:rPr>
              <w:t>瑞昌市工贸行业负责人和安全管理人员安全知识培训班</w:t>
            </w:r>
          </w:p>
          <w:p w14:paraId="0C3C28B9">
            <w:pPr>
              <w:pStyle w:val="20"/>
              <w:bidi w:val="0"/>
              <w:rPr>
                <w:rFonts w:hint="eastAsia"/>
                <w:color w:val="auto"/>
              </w:rPr>
            </w:pPr>
            <w:r>
              <w:rPr>
                <w:rFonts w:hint="eastAsia"/>
                <w:color w:val="auto"/>
              </w:rPr>
              <w:t>有效期限：2021-</w:t>
            </w:r>
            <w:r>
              <w:rPr>
                <w:rFonts w:hint="eastAsia"/>
                <w:color w:val="auto"/>
                <w:lang w:val="en-US" w:eastAsia="zh-CN"/>
              </w:rPr>
              <w:t>8</w:t>
            </w:r>
            <w:r>
              <w:rPr>
                <w:rFonts w:hint="eastAsia"/>
                <w:color w:val="auto"/>
              </w:rPr>
              <w:t>-</w:t>
            </w:r>
            <w:r>
              <w:rPr>
                <w:rFonts w:hint="eastAsia"/>
                <w:color w:val="auto"/>
                <w:lang w:val="en-US" w:eastAsia="zh-CN"/>
              </w:rPr>
              <w:t>31</w:t>
            </w:r>
            <w:r>
              <w:rPr>
                <w:rFonts w:hint="eastAsia"/>
                <w:color w:val="auto"/>
              </w:rPr>
              <w:t>至202</w:t>
            </w:r>
            <w:r>
              <w:rPr>
                <w:rFonts w:hint="eastAsia"/>
                <w:color w:val="auto"/>
                <w:lang w:val="en-US" w:eastAsia="zh-CN"/>
              </w:rPr>
              <w:t>5</w:t>
            </w:r>
            <w:r>
              <w:rPr>
                <w:rFonts w:hint="eastAsia"/>
                <w:color w:val="auto"/>
              </w:rPr>
              <w:t>-</w:t>
            </w:r>
            <w:r>
              <w:rPr>
                <w:rFonts w:hint="eastAsia"/>
                <w:color w:val="auto"/>
                <w:lang w:val="en-US" w:eastAsia="zh-CN"/>
              </w:rPr>
              <w:t>8</w:t>
            </w:r>
            <w:r>
              <w:rPr>
                <w:rFonts w:hint="eastAsia"/>
                <w:color w:val="auto"/>
              </w:rPr>
              <w:t>-</w:t>
            </w:r>
            <w:r>
              <w:rPr>
                <w:rFonts w:hint="eastAsia"/>
                <w:color w:val="auto"/>
                <w:lang w:val="en-US" w:eastAsia="zh-CN"/>
              </w:rPr>
              <w:t>30</w:t>
            </w:r>
          </w:p>
        </w:tc>
      </w:tr>
      <w:tr w14:paraId="7DE458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trPr>
        <w:tc>
          <w:tcPr>
            <w:tcW w:w="667" w:type="dxa"/>
            <w:noWrap w:val="0"/>
            <w:vAlign w:val="center"/>
          </w:tcPr>
          <w:p w14:paraId="06B1DE06">
            <w:pPr>
              <w:pStyle w:val="20"/>
              <w:bidi w:val="0"/>
              <w:rPr>
                <w:rFonts w:hint="default"/>
                <w:color w:val="auto"/>
                <w:lang w:val="en-US" w:eastAsia="zh-CN"/>
              </w:rPr>
            </w:pPr>
            <w:r>
              <w:rPr>
                <w:rFonts w:hint="eastAsia"/>
                <w:color w:val="auto"/>
                <w:lang w:val="en-US" w:eastAsia="zh-CN"/>
              </w:rPr>
              <w:t>6</w:t>
            </w:r>
          </w:p>
        </w:tc>
        <w:tc>
          <w:tcPr>
            <w:tcW w:w="966" w:type="dxa"/>
            <w:noWrap w:val="0"/>
            <w:vAlign w:val="center"/>
          </w:tcPr>
          <w:p w14:paraId="67A2FB37">
            <w:pPr>
              <w:pStyle w:val="20"/>
              <w:bidi w:val="0"/>
              <w:rPr>
                <w:rFonts w:hint="default"/>
                <w:color w:val="auto"/>
                <w:lang w:val="en-US" w:eastAsia="zh-CN"/>
              </w:rPr>
            </w:pPr>
            <w:r>
              <w:rPr>
                <w:rFonts w:hint="eastAsia"/>
                <w:color w:val="auto"/>
                <w:lang w:val="en-US" w:eastAsia="zh-CN"/>
              </w:rPr>
              <w:t>宋剑</w:t>
            </w:r>
          </w:p>
        </w:tc>
        <w:tc>
          <w:tcPr>
            <w:tcW w:w="1795" w:type="dxa"/>
            <w:noWrap w:val="0"/>
            <w:vAlign w:val="center"/>
          </w:tcPr>
          <w:p w14:paraId="4E2AD5B3">
            <w:pPr>
              <w:pStyle w:val="20"/>
              <w:bidi w:val="0"/>
              <w:rPr>
                <w:rFonts w:hint="default"/>
                <w:color w:val="auto"/>
                <w:lang w:val="en-US" w:eastAsia="zh-CN"/>
              </w:rPr>
            </w:pPr>
            <w:r>
              <w:rPr>
                <w:rFonts w:hint="eastAsia"/>
                <w:color w:val="auto"/>
                <w:lang w:val="en-US" w:eastAsia="zh-CN"/>
              </w:rPr>
              <w:t>安全管理人员</w:t>
            </w:r>
          </w:p>
        </w:tc>
        <w:tc>
          <w:tcPr>
            <w:tcW w:w="2307" w:type="dxa"/>
            <w:noWrap w:val="0"/>
            <w:vAlign w:val="center"/>
          </w:tcPr>
          <w:p w14:paraId="68D0ACC4">
            <w:pPr>
              <w:pStyle w:val="20"/>
              <w:bidi w:val="0"/>
              <w:rPr>
                <w:rFonts w:hint="default"/>
                <w:color w:val="auto"/>
                <w:lang w:val="en-US" w:eastAsia="zh-CN"/>
              </w:rPr>
            </w:pPr>
            <w:r>
              <w:rPr>
                <w:rFonts w:hint="eastAsia"/>
                <w:color w:val="auto"/>
                <w:lang w:val="en-US" w:eastAsia="zh-CN"/>
              </w:rPr>
              <w:t>20210361</w:t>
            </w:r>
          </w:p>
        </w:tc>
        <w:tc>
          <w:tcPr>
            <w:tcW w:w="3605" w:type="dxa"/>
            <w:noWrap w:val="0"/>
            <w:vAlign w:val="center"/>
          </w:tcPr>
          <w:p w14:paraId="49583EAF">
            <w:pPr>
              <w:pStyle w:val="20"/>
              <w:bidi w:val="0"/>
              <w:rPr>
                <w:rFonts w:hint="eastAsia"/>
                <w:color w:val="auto"/>
              </w:rPr>
            </w:pPr>
            <w:r>
              <w:rPr>
                <w:rFonts w:hint="eastAsia"/>
                <w:color w:val="auto"/>
              </w:rPr>
              <w:t>瑞昌市工贸行业负责人和安全管理人员安全知识培训班</w:t>
            </w:r>
          </w:p>
          <w:p w14:paraId="6EE8FD05">
            <w:pPr>
              <w:pStyle w:val="20"/>
              <w:bidi w:val="0"/>
              <w:rPr>
                <w:rFonts w:hint="eastAsia"/>
                <w:color w:val="auto"/>
              </w:rPr>
            </w:pPr>
            <w:r>
              <w:rPr>
                <w:rFonts w:hint="eastAsia"/>
                <w:color w:val="auto"/>
              </w:rPr>
              <w:t>有效期限：2021-</w:t>
            </w:r>
            <w:r>
              <w:rPr>
                <w:rFonts w:hint="eastAsia"/>
                <w:color w:val="auto"/>
                <w:lang w:val="en-US" w:eastAsia="zh-CN"/>
              </w:rPr>
              <w:t>8</w:t>
            </w:r>
            <w:r>
              <w:rPr>
                <w:rFonts w:hint="eastAsia"/>
                <w:color w:val="auto"/>
              </w:rPr>
              <w:t>-</w:t>
            </w:r>
            <w:r>
              <w:rPr>
                <w:rFonts w:hint="eastAsia"/>
                <w:color w:val="auto"/>
                <w:lang w:val="en-US" w:eastAsia="zh-CN"/>
              </w:rPr>
              <w:t>31</w:t>
            </w:r>
            <w:r>
              <w:rPr>
                <w:rFonts w:hint="eastAsia"/>
                <w:color w:val="auto"/>
              </w:rPr>
              <w:t>至202</w:t>
            </w:r>
            <w:r>
              <w:rPr>
                <w:rFonts w:hint="eastAsia"/>
                <w:color w:val="auto"/>
                <w:lang w:val="en-US" w:eastAsia="zh-CN"/>
              </w:rPr>
              <w:t>5</w:t>
            </w:r>
            <w:r>
              <w:rPr>
                <w:rFonts w:hint="eastAsia"/>
                <w:color w:val="auto"/>
              </w:rPr>
              <w:t>-</w:t>
            </w:r>
            <w:r>
              <w:rPr>
                <w:rFonts w:hint="eastAsia"/>
                <w:color w:val="auto"/>
                <w:lang w:val="en-US" w:eastAsia="zh-CN"/>
              </w:rPr>
              <w:t>8</w:t>
            </w:r>
            <w:r>
              <w:rPr>
                <w:rFonts w:hint="eastAsia"/>
                <w:color w:val="auto"/>
              </w:rPr>
              <w:t>-</w:t>
            </w:r>
            <w:r>
              <w:rPr>
                <w:rFonts w:hint="eastAsia"/>
                <w:color w:val="auto"/>
                <w:lang w:val="en-US" w:eastAsia="zh-CN"/>
              </w:rPr>
              <w:t>30</w:t>
            </w:r>
          </w:p>
        </w:tc>
      </w:tr>
      <w:tr w14:paraId="602FB9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trPr>
        <w:tc>
          <w:tcPr>
            <w:tcW w:w="667" w:type="dxa"/>
            <w:noWrap w:val="0"/>
            <w:vAlign w:val="center"/>
          </w:tcPr>
          <w:p w14:paraId="18D7197C">
            <w:pPr>
              <w:pStyle w:val="20"/>
              <w:bidi w:val="0"/>
              <w:rPr>
                <w:rFonts w:hint="default"/>
                <w:color w:val="auto"/>
                <w:lang w:val="en-US" w:eastAsia="zh-CN"/>
              </w:rPr>
            </w:pPr>
            <w:r>
              <w:rPr>
                <w:rFonts w:hint="eastAsia"/>
                <w:color w:val="auto"/>
                <w:lang w:val="en-US" w:eastAsia="zh-CN"/>
              </w:rPr>
              <w:t>7</w:t>
            </w:r>
          </w:p>
        </w:tc>
        <w:tc>
          <w:tcPr>
            <w:tcW w:w="966" w:type="dxa"/>
            <w:noWrap w:val="0"/>
            <w:vAlign w:val="center"/>
          </w:tcPr>
          <w:p w14:paraId="6D717863">
            <w:pPr>
              <w:pStyle w:val="20"/>
              <w:bidi w:val="0"/>
              <w:rPr>
                <w:rFonts w:hint="default"/>
                <w:color w:val="auto"/>
                <w:lang w:val="en-US" w:eastAsia="zh-CN"/>
              </w:rPr>
            </w:pPr>
            <w:r>
              <w:rPr>
                <w:rFonts w:hint="eastAsia"/>
                <w:color w:val="auto"/>
                <w:lang w:val="en-US" w:eastAsia="zh-CN"/>
              </w:rPr>
              <w:t>施龙林</w:t>
            </w:r>
          </w:p>
        </w:tc>
        <w:tc>
          <w:tcPr>
            <w:tcW w:w="1795" w:type="dxa"/>
            <w:noWrap w:val="0"/>
            <w:vAlign w:val="center"/>
          </w:tcPr>
          <w:p w14:paraId="1E8E5865">
            <w:pPr>
              <w:pStyle w:val="20"/>
              <w:bidi w:val="0"/>
              <w:rPr>
                <w:rFonts w:hint="default"/>
                <w:color w:val="auto"/>
                <w:lang w:val="en-US" w:eastAsia="zh-CN"/>
              </w:rPr>
            </w:pPr>
            <w:r>
              <w:rPr>
                <w:rFonts w:hint="eastAsia"/>
                <w:color w:val="auto"/>
                <w:lang w:val="en-US" w:eastAsia="zh-CN"/>
              </w:rPr>
              <w:t>安全管理人员</w:t>
            </w:r>
          </w:p>
        </w:tc>
        <w:tc>
          <w:tcPr>
            <w:tcW w:w="2307" w:type="dxa"/>
            <w:noWrap w:val="0"/>
            <w:vAlign w:val="center"/>
          </w:tcPr>
          <w:p w14:paraId="24BB4474">
            <w:pPr>
              <w:pStyle w:val="20"/>
              <w:bidi w:val="0"/>
              <w:rPr>
                <w:rFonts w:hint="default"/>
                <w:color w:val="auto"/>
                <w:lang w:val="en-US" w:eastAsia="zh-CN"/>
              </w:rPr>
            </w:pPr>
            <w:r>
              <w:rPr>
                <w:rFonts w:hint="eastAsia"/>
                <w:color w:val="auto"/>
                <w:lang w:val="en-US" w:eastAsia="zh-CN"/>
              </w:rPr>
              <w:t>20210382</w:t>
            </w:r>
          </w:p>
        </w:tc>
        <w:tc>
          <w:tcPr>
            <w:tcW w:w="3605" w:type="dxa"/>
            <w:noWrap w:val="0"/>
            <w:vAlign w:val="center"/>
          </w:tcPr>
          <w:p w14:paraId="19EDC375">
            <w:pPr>
              <w:pStyle w:val="20"/>
              <w:bidi w:val="0"/>
              <w:rPr>
                <w:rFonts w:hint="eastAsia"/>
                <w:color w:val="auto"/>
              </w:rPr>
            </w:pPr>
            <w:r>
              <w:rPr>
                <w:rFonts w:hint="eastAsia"/>
                <w:color w:val="auto"/>
              </w:rPr>
              <w:t>瑞昌市工贸行业负责人和安全管理人员安全知识培训班</w:t>
            </w:r>
          </w:p>
          <w:p w14:paraId="5D6B9608">
            <w:pPr>
              <w:pStyle w:val="20"/>
              <w:bidi w:val="0"/>
              <w:rPr>
                <w:rFonts w:hint="eastAsia"/>
                <w:color w:val="auto"/>
              </w:rPr>
            </w:pPr>
            <w:r>
              <w:rPr>
                <w:rFonts w:hint="eastAsia"/>
                <w:color w:val="auto"/>
              </w:rPr>
              <w:t>有效期限：2021-</w:t>
            </w:r>
            <w:r>
              <w:rPr>
                <w:rFonts w:hint="eastAsia"/>
                <w:color w:val="auto"/>
                <w:lang w:val="en-US" w:eastAsia="zh-CN"/>
              </w:rPr>
              <w:t>8</w:t>
            </w:r>
            <w:r>
              <w:rPr>
                <w:rFonts w:hint="eastAsia"/>
                <w:color w:val="auto"/>
              </w:rPr>
              <w:t>-</w:t>
            </w:r>
            <w:r>
              <w:rPr>
                <w:rFonts w:hint="eastAsia"/>
                <w:color w:val="auto"/>
                <w:lang w:val="en-US" w:eastAsia="zh-CN"/>
              </w:rPr>
              <w:t>31</w:t>
            </w:r>
            <w:r>
              <w:rPr>
                <w:rFonts w:hint="eastAsia"/>
                <w:color w:val="auto"/>
              </w:rPr>
              <w:t>至202</w:t>
            </w:r>
            <w:r>
              <w:rPr>
                <w:rFonts w:hint="eastAsia"/>
                <w:color w:val="auto"/>
                <w:lang w:val="en-US" w:eastAsia="zh-CN"/>
              </w:rPr>
              <w:t>5</w:t>
            </w:r>
            <w:r>
              <w:rPr>
                <w:rFonts w:hint="eastAsia"/>
                <w:color w:val="auto"/>
              </w:rPr>
              <w:t>-</w:t>
            </w:r>
            <w:r>
              <w:rPr>
                <w:rFonts w:hint="eastAsia"/>
                <w:color w:val="auto"/>
                <w:lang w:val="en-US" w:eastAsia="zh-CN"/>
              </w:rPr>
              <w:t>8</w:t>
            </w:r>
            <w:r>
              <w:rPr>
                <w:rFonts w:hint="eastAsia"/>
                <w:color w:val="auto"/>
              </w:rPr>
              <w:t>-</w:t>
            </w:r>
            <w:r>
              <w:rPr>
                <w:rFonts w:hint="eastAsia"/>
                <w:color w:val="auto"/>
                <w:lang w:val="en-US" w:eastAsia="zh-CN"/>
              </w:rPr>
              <w:t>30</w:t>
            </w:r>
          </w:p>
        </w:tc>
      </w:tr>
    </w:tbl>
    <w:p w14:paraId="7DBBDB9B">
      <w:pPr>
        <w:bidi w:val="0"/>
        <w:rPr>
          <w:rFonts w:hint="eastAsia"/>
          <w:color w:val="auto"/>
          <w:lang w:val="en-US" w:eastAsia="zh-CN"/>
        </w:rPr>
      </w:pPr>
      <w:r>
        <w:rPr>
          <w:rFonts w:hint="eastAsia"/>
          <w:color w:val="auto"/>
          <w:lang w:val="en-US" w:eastAsia="zh-CN"/>
        </w:rPr>
        <w:t>2.</w:t>
      </w:r>
      <w:r>
        <w:rPr>
          <w:rFonts w:hint="eastAsia"/>
          <w:color w:val="auto"/>
        </w:rPr>
        <w:t>安全</w:t>
      </w:r>
      <w:r>
        <w:rPr>
          <w:rFonts w:hint="eastAsia"/>
          <w:color w:val="auto"/>
          <w:lang w:val="en-US" w:eastAsia="zh-CN"/>
        </w:rPr>
        <w:t>生产管理规章制度</w:t>
      </w:r>
    </w:p>
    <w:p w14:paraId="61672B02">
      <w:pPr>
        <w:bidi w:val="0"/>
        <w:rPr>
          <w:rFonts w:hint="eastAsia"/>
          <w:color w:val="auto"/>
          <w:lang w:val="en-US" w:eastAsia="zh-CN"/>
        </w:rPr>
      </w:pPr>
      <w:r>
        <w:rPr>
          <w:rFonts w:hint="eastAsia"/>
          <w:color w:val="auto"/>
          <w:lang w:val="en-US" w:eastAsia="zh-CN"/>
        </w:rPr>
        <w:t>江西亚东水泥有限公司制定了各个部门、各级人员的安全生产责任制，编订的部门职责主要有采购处职责、会计处职责、秘书处职责、业务处职责、稽核处职责、环保工安室职责、原料处职责、制造一厂各部门职责、制造二厂各部门职责、航务处职责等；人员职责有公司领导及人员职责、部门领导及人员职责、其他人员职责。</w:t>
      </w:r>
    </w:p>
    <w:p w14:paraId="76D9AD92">
      <w:pPr>
        <w:bidi w:val="0"/>
        <w:rPr>
          <w:rFonts w:hint="eastAsia"/>
          <w:color w:val="auto"/>
          <w:lang w:val="en-US" w:eastAsia="zh-CN"/>
        </w:rPr>
      </w:pPr>
      <w:r>
        <w:rPr>
          <w:rFonts w:hint="eastAsia"/>
          <w:color w:val="auto"/>
          <w:lang w:val="en-US" w:eastAsia="zh-CN"/>
        </w:rPr>
        <w:t>江西亚东水泥有限公司制定了各岗位和生产设备操作规程，包括石灰石大仓作业标准、煤仓作业标准、煤磨研磨系统管制作业标准、煤粉研磨系统重要参数及温度设定作业标准、煤粉研磨系统设备运转开机作业标准、煤粉斗清库作业标准、煤磨收尘袋更换作业标准、煤磨研磨系统安全作业标准、煤磨磨机回料箱清理作业标准、煤磨研磨系统磨房部份作业标准、原煤进厂验收作业标准、5、6#生料磨研磨系统磨二作业标准、5、6#生料磨研磨系统作业标准、联合仓堆取料机作业标准、熟料烧成预热机部份作业标准、熟料烧成窑维护部份作业标准、熟料烧成冷却机部份作业标准、中控室操作员生料熟料及煤磨部份作业标准等。（此处仅列出部分生产设备操作规程，详见相关材料）。</w:t>
      </w:r>
    </w:p>
    <w:p w14:paraId="1FBCE999">
      <w:pPr>
        <w:bidi w:val="0"/>
        <w:rPr>
          <w:rFonts w:hint="eastAsia"/>
          <w:color w:val="auto"/>
          <w:lang w:val="en-US" w:eastAsia="zh-CN"/>
        </w:rPr>
      </w:pPr>
      <w:r>
        <w:rPr>
          <w:rFonts w:hint="eastAsia"/>
          <w:color w:val="auto"/>
          <w:lang w:val="zh-CN"/>
        </w:rPr>
        <w:t>公司</w:t>
      </w:r>
      <w:r>
        <w:rPr>
          <w:rFonts w:hint="eastAsia"/>
          <w:color w:val="auto"/>
        </w:rPr>
        <w:t>制定有劳动防护用品配备标准，为从业人员提供符合国家标准或者行业标准的劳动防护用品，并监督、教育从业人员按照使用规则佩戴、使用。</w:t>
      </w:r>
      <w:r>
        <w:rPr>
          <w:rFonts w:hint="eastAsia"/>
          <w:color w:val="auto"/>
          <w:lang w:val="en-US" w:eastAsia="zh-CN"/>
        </w:rPr>
        <w:t>配备的劳动防护用品情况如下：</w:t>
      </w:r>
    </w:p>
    <w:p w14:paraId="7F31823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eastAsia="zh-CN"/>
        </w:rPr>
      </w:pPr>
      <w:r>
        <w:rPr>
          <w:rFonts w:hint="eastAsia"/>
          <w:color w:val="auto"/>
          <w:lang w:val="en-US" w:eastAsia="zh-CN"/>
        </w:rPr>
        <w:t>2.9.12-2</w:t>
      </w:r>
      <w:r>
        <w:rPr>
          <w:rFonts w:hint="default"/>
          <w:color w:val="auto"/>
          <w:lang w:val="en-US" w:eastAsia="zh-CN"/>
        </w:rPr>
        <w:t>劳动防护用品的配备情况一览表</w:t>
      </w:r>
    </w:p>
    <w:tbl>
      <w:tblPr>
        <w:tblStyle w:val="14"/>
        <w:tblW w:w="485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1172"/>
        <w:gridCol w:w="5772"/>
        <w:gridCol w:w="1483"/>
      </w:tblGrid>
      <w:tr w14:paraId="05AA2C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7" w:type="pct"/>
            <w:tcBorders>
              <w:tl2br w:val="nil"/>
              <w:tr2bl w:val="nil"/>
            </w:tcBorders>
            <w:vAlign w:val="center"/>
          </w:tcPr>
          <w:p w14:paraId="616BCB14">
            <w:pPr>
              <w:pStyle w:val="23"/>
              <w:ind w:left="0" w:firstLine="0" w:firstLineChars="0"/>
              <w:rPr>
                <w:rFonts w:eastAsiaTheme="minorEastAsia"/>
                <w:b/>
                <w:color w:val="auto"/>
                <w:sz w:val="21"/>
              </w:rPr>
            </w:pPr>
            <w:r>
              <w:rPr>
                <w:rFonts w:eastAsiaTheme="minorEastAsia"/>
                <w:b/>
                <w:color w:val="auto"/>
                <w:sz w:val="21"/>
              </w:rPr>
              <w:t>序号</w:t>
            </w:r>
          </w:p>
        </w:tc>
        <w:tc>
          <w:tcPr>
            <w:tcW w:w="650" w:type="pct"/>
            <w:tcBorders>
              <w:tl2br w:val="nil"/>
              <w:tr2bl w:val="nil"/>
            </w:tcBorders>
            <w:vAlign w:val="center"/>
          </w:tcPr>
          <w:p w14:paraId="55F1958A">
            <w:pPr>
              <w:pStyle w:val="23"/>
              <w:ind w:left="0" w:firstLine="0" w:firstLineChars="0"/>
              <w:rPr>
                <w:rFonts w:eastAsiaTheme="minorEastAsia"/>
                <w:b/>
                <w:color w:val="auto"/>
                <w:sz w:val="21"/>
              </w:rPr>
            </w:pPr>
            <w:r>
              <w:rPr>
                <w:rFonts w:eastAsiaTheme="minorEastAsia"/>
                <w:b/>
                <w:color w:val="auto"/>
                <w:sz w:val="21"/>
              </w:rPr>
              <w:t>设置位置</w:t>
            </w:r>
          </w:p>
        </w:tc>
        <w:tc>
          <w:tcPr>
            <w:tcW w:w="3200" w:type="pct"/>
            <w:tcBorders>
              <w:tl2br w:val="nil"/>
              <w:tr2bl w:val="nil"/>
            </w:tcBorders>
            <w:vAlign w:val="center"/>
          </w:tcPr>
          <w:p w14:paraId="53042F52">
            <w:pPr>
              <w:pStyle w:val="23"/>
              <w:ind w:left="0" w:firstLine="0" w:firstLineChars="0"/>
              <w:rPr>
                <w:rFonts w:eastAsiaTheme="minorEastAsia"/>
                <w:b/>
                <w:color w:val="auto"/>
                <w:sz w:val="21"/>
              </w:rPr>
            </w:pPr>
            <w:r>
              <w:rPr>
                <w:rFonts w:eastAsiaTheme="minorEastAsia"/>
                <w:b/>
                <w:color w:val="auto"/>
                <w:sz w:val="21"/>
              </w:rPr>
              <w:t>每人次防护用品</w:t>
            </w:r>
          </w:p>
        </w:tc>
        <w:tc>
          <w:tcPr>
            <w:tcW w:w="822" w:type="pct"/>
            <w:tcBorders>
              <w:tl2br w:val="nil"/>
              <w:tr2bl w:val="nil"/>
            </w:tcBorders>
            <w:vAlign w:val="center"/>
          </w:tcPr>
          <w:p w14:paraId="7A699188">
            <w:pPr>
              <w:pStyle w:val="23"/>
              <w:ind w:left="0" w:firstLine="0" w:firstLineChars="0"/>
              <w:rPr>
                <w:rFonts w:eastAsiaTheme="minorEastAsia"/>
                <w:b/>
                <w:color w:val="auto"/>
                <w:sz w:val="21"/>
              </w:rPr>
            </w:pPr>
            <w:r>
              <w:rPr>
                <w:rFonts w:eastAsiaTheme="minorEastAsia"/>
                <w:b/>
                <w:color w:val="auto"/>
                <w:sz w:val="21"/>
              </w:rPr>
              <w:t>配置的防护用品</w:t>
            </w:r>
          </w:p>
        </w:tc>
      </w:tr>
      <w:tr w14:paraId="121AE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327" w:type="pct"/>
            <w:tcBorders>
              <w:tl2br w:val="nil"/>
              <w:tr2bl w:val="nil"/>
            </w:tcBorders>
            <w:vAlign w:val="center"/>
          </w:tcPr>
          <w:p w14:paraId="63A98F7C">
            <w:pPr>
              <w:pStyle w:val="23"/>
              <w:ind w:left="0" w:firstLine="0" w:firstLineChars="0"/>
              <w:rPr>
                <w:rFonts w:eastAsiaTheme="minorEastAsia"/>
                <w:color w:val="auto"/>
                <w:sz w:val="21"/>
              </w:rPr>
            </w:pPr>
            <w:r>
              <w:rPr>
                <w:rFonts w:eastAsiaTheme="minorEastAsia"/>
                <w:color w:val="auto"/>
                <w:sz w:val="21"/>
              </w:rPr>
              <w:t>1</w:t>
            </w:r>
          </w:p>
        </w:tc>
        <w:tc>
          <w:tcPr>
            <w:tcW w:w="650" w:type="pct"/>
            <w:tcBorders>
              <w:tl2br w:val="nil"/>
              <w:tr2bl w:val="nil"/>
            </w:tcBorders>
            <w:vAlign w:val="center"/>
          </w:tcPr>
          <w:p w14:paraId="709BFEFD">
            <w:pPr>
              <w:pStyle w:val="23"/>
              <w:ind w:left="0" w:firstLine="0" w:firstLineChars="0"/>
              <w:rPr>
                <w:rFonts w:eastAsiaTheme="minorEastAsia"/>
                <w:color w:val="auto"/>
                <w:sz w:val="21"/>
              </w:rPr>
            </w:pPr>
            <w:r>
              <w:rPr>
                <w:rFonts w:eastAsiaTheme="minorEastAsia"/>
                <w:color w:val="auto"/>
                <w:sz w:val="21"/>
              </w:rPr>
              <w:t>生产区</w:t>
            </w:r>
          </w:p>
        </w:tc>
        <w:tc>
          <w:tcPr>
            <w:tcW w:w="3200" w:type="pct"/>
            <w:tcBorders>
              <w:tl2br w:val="nil"/>
              <w:tr2bl w:val="nil"/>
            </w:tcBorders>
            <w:vAlign w:val="center"/>
          </w:tcPr>
          <w:p w14:paraId="61AC5823">
            <w:pPr>
              <w:pStyle w:val="23"/>
              <w:ind w:left="0" w:firstLine="0" w:firstLineChars="0"/>
              <w:rPr>
                <w:rFonts w:eastAsiaTheme="minorEastAsia"/>
                <w:color w:val="auto"/>
                <w:sz w:val="21"/>
              </w:rPr>
            </w:pPr>
            <w:r>
              <w:rPr>
                <w:rFonts w:eastAsiaTheme="minorEastAsia"/>
                <w:color w:val="auto"/>
                <w:sz w:val="21"/>
              </w:rPr>
              <w:t>手套若干（2双/月）；棉质劳保工作服（1套/2年）；防刺穿劳保鞋（1双/6月）；防尘口罩若干（4个/6月）；耳塞若干（1个/天）；</w:t>
            </w:r>
          </w:p>
        </w:tc>
        <w:tc>
          <w:tcPr>
            <w:tcW w:w="822" w:type="pct"/>
            <w:tcBorders>
              <w:tl2br w:val="nil"/>
              <w:tr2bl w:val="nil"/>
            </w:tcBorders>
            <w:vAlign w:val="center"/>
          </w:tcPr>
          <w:p w14:paraId="55388289">
            <w:pPr>
              <w:pStyle w:val="23"/>
              <w:ind w:left="0" w:firstLine="0" w:firstLineChars="0"/>
              <w:rPr>
                <w:rFonts w:eastAsiaTheme="minorEastAsia"/>
                <w:color w:val="auto"/>
                <w:sz w:val="21"/>
              </w:rPr>
            </w:pPr>
            <w:r>
              <w:rPr>
                <w:rFonts w:eastAsiaTheme="minorEastAsia"/>
                <w:color w:val="auto"/>
                <w:sz w:val="21"/>
              </w:rPr>
              <w:t>劳动护肤剂等</w:t>
            </w:r>
          </w:p>
        </w:tc>
      </w:tr>
      <w:tr w14:paraId="1ED7E6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7" w:type="pct"/>
            <w:tcBorders>
              <w:tl2br w:val="nil"/>
              <w:tr2bl w:val="nil"/>
            </w:tcBorders>
            <w:vAlign w:val="center"/>
          </w:tcPr>
          <w:p w14:paraId="2971BD10">
            <w:pPr>
              <w:pStyle w:val="23"/>
              <w:ind w:left="0" w:firstLine="0" w:firstLineChars="0"/>
              <w:rPr>
                <w:rFonts w:eastAsiaTheme="minorEastAsia"/>
                <w:color w:val="auto"/>
                <w:sz w:val="21"/>
              </w:rPr>
            </w:pPr>
            <w:r>
              <w:rPr>
                <w:rFonts w:eastAsiaTheme="minorEastAsia"/>
                <w:color w:val="auto"/>
                <w:sz w:val="21"/>
              </w:rPr>
              <w:t>2</w:t>
            </w:r>
          </w:p>
        </w:tc>
        <w:tc>
          <w:tcPr>
            <w:tcW w:w="650" w:type="pct"/>
            <w:tcBorders>
              <w:tl2br w:val="nil"/>
              <w:tr2bl w:val="nil"/>
            </w:tcBorders>
            <w:vAlign w:val="center"/>
          </w:tcPr>
          <w:p w14:paraId="76523454">
            <w:pPr>
              <w:pStyle w:val="23"/>
              <w:ind w:left="0" w:firstLine="0" w:firstLineChars="0"/>
              <w:rPr>
                <w:rFonts w:eastAsiaTheme="minorEastAsia"/>
                <w:color w:val="auto"/>
                <w:sz w:val="21"/>
              </w:rPr>
            </w:pPr>
            <w:r>
              <w:rPr>
                <w:rFonts w:eastAsiaTheme="minorEastAsia"/>
                <w:color w:val="auto"/>
                <w:sz w:val="21"/>
              </w:rPr>
              <w:t>高处作业</w:t>
            </w:r>
          </w:p>
        </w:tc>
        <w:tc>
          <w:tcPr>
            <w:tcW w:w="3200" w:type="pct"/>
            <w:tcBorders>
              <w:tl2br w:val="nil"/>
              <w:tr2bl w:val="nil"/>
            </w:tcBorders>
            <w:vAlign w:val="center"/>
          </w:tcPr>
          <w:p w14:paraId="7C0297B8">
            <w:pPr>
              <w:pStyle w:val="23"/>
              <w:ind w:left="0" w:firstLine="0" w:firstLineChars="0"/>
              <w:rPr>
                <w:rFonts w:eastAsiaTheme="minorEastAsia"/>
                <w:color w:val="auto"/>
                <w:sz w:val="21"/>
              </w:rPr>
            </w:pPr>
            <w:r>
              <w:rPr>
                <w:rFonts w:eastAsiaTheme="minorEastAsia"/>
                <w:color w:val="auto"/>
                <w:sz w:val="21"/>
              </w:rPr>
              <w:t>安全帽若干（1个/3年）；安全带10条；防刺穿劳保鞋；</w:t>
            </w:r>
          </w:p>
        </w:tc>
        <w:tc>
          <w:tcPr>
            <w:tcW w:w="822" w:type="pct"/>
            <w:tcBorders>
              <w:tl2br w:val="nil"/>
              <w:tr2bl w:val="nil"/>
            </w:tcBorders>
            <w:vAlign w:val="center"/>
          </w:tcPr>
          <w:p w14:paraId="48269697">
            <w:pPr>
              <w:pStyle w:val="23"/>
              <w:ind w:left="0" w:firstLine="0" w:firstLineChars="0"/>
              <w:rPr>
                <w:rFonts w:eastAsiaTheme="minorEastAsia"/>
                <w:color w:val="auto"/>
                <w:sz w:val="21"/>
              </w:rPr>
            </w:pPr>
            <w:r>
              <w:rPr>
                <w:rFonts w:eastAsiaTheme="minorEastAsia"/>
                <w:color w:val="auto"/>
                <w:sz w:val="21"/>
              </w:rPr>
              <w:t>安全网</w:t>
            </w:r>
          </w:p>
        </w:tc>
      </w:tr>
      <w:tr w14:paraId="10A6F9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7" w:type="pct"/>
            <w:tcBorders>
              <w:tl2br w:val="nil"/>
              <w:tr2bl w:val="nil"/>
            </w:tcBorders>
            <w:vAlign w:val="center"/>
          </w:tcPr>
          <w:p w14:paraId="61BB52ED">
            <w:pPr>
              <w:pStyle w:val="23"/>
              <w:ind w:left="0" w:firstLine="0" w:firstLineChars="0"/>
              <w:rPr>
                <w:rFonts w:eastAsiaTheme="minorEastAsia"/>
                <w:color w:val="auto"/>
                <w:sz w:val="21"/>
              </w:rPr>
            </w:pPr>
            <w:r>
              <w:rPr>
                <w:rFonts w:eastAsiaTheme="minorEastAsia"/>
                <w:color w:val="auto"/>
                <w:sz w:val="21"/>
              </w:rPr>
              <w:t>3</w:t>
            </w:r>
          </w:p>
        </w:tc>
        <w:tc>
          <w:tcPr>
            <w:tcW w:w="650" w:type="pct"/>
            <w:tcBorders>
              <w:tl2br w:val="nil"/>
              <w:tr2bl w:val="nil"/>
            </w:tcBorders>
            <w:vAlign w:val="center"/>
          </w:tcPr>
          <w:p w14:paraId="2EBC516B">
            <w:pPr>
              <w:pStyle w:val="23"/>
              <w:ind w:left="0" w:firstLine="0" w:firstLineChars="0"/>
              <w:rPr>
                <w:rFonts w:eastAsiaTheme="minorEastAsia"/>
                <w:color w:val="auto"/>
                <w:sz w:val="21"/>
              </w:rPr>
            </w:pPr>
            <w:r>
              <w:rPr>
                <w:rFonts w:eastAsiaTheme="minorEastAsia"/>
                <w:color w:val="auto"/>
                <w:sz w:val="21"/>
              </w:rPr>
              <w:t>变配电作业</w:t>
            </w:r>
          </w:p>
        </w:tc>
        <w:tc>
          <w:tcPr>
            <w:tcW w:w="3200" w:type="pct"/>
            <w:tcBorders>
              <w:tl2br w:val="nil"/>
              <w:tr2bl w:val="nil"/>
            </w:tcBorders>
            <w:vAlign w:val="center"/>
          </w:tcPr>
          <w:p w14:paraId="6CBDB166">
            <w:pPr>
              <w:pStyle w:val="23"/>
              <w:ind w:left="0" w:firstLine="0" w:firstLineChars="0"/>
              <w:rPr>
                <w:rFonts w:eastAsiaTheme="minorEastAsia"/>
                <w:color w:val="auto"/>
                <w:sz w:val="21"/>
              </w:rPr>
            </w:pPr>
            <w:r>
              <w:rPr>
                <w:rFonts w:eastAsiaTheme="minorEastAsia"/>
                <w:color w:val="auto"/>
                <w:sz w:val="21"/>
              </w:rPr>
              <w:t>安全帽若干；绝缘手套10套；绝缘鞋</w:t>
            </w:r>
          </w:p>
        </w:tc>
        <w:tc>
          <w:tcPr>
            <w:tcW w:w="822" w:type="pct"/>
            <w:tcBorders>
              <w:tl2br w:val="nil"/>
              <w:tr2bl w:val="nil"/>
            </w:tcBorders>
            <w:vAlign w:val="center"/>
          </w:tcPr>
          <w:p w14:paraId="1582E70A">
            <w:pPr>
              <w:pStyle w:val="23"/>
              <w:ind w:left="0" w:firstLine="0" w:firstLineChars="0"/>
              <w:rPr>
                <w:rFonts w:eastAsiaTheme="minorEastAsia"/>
                <w:color w:val="auto"/>
                <w:sz w:val="21"/>
              </w:rPr>
            </w:pPr>
            <w:r>
              <w:rPr>
                <w:rFonts w:eastAsiaTheme="minorEastAsia"/>
                <w:color w:val="auto"/>
                <w:sz w:val="21"/>
              </w:rPr>
              <w:t>防电弧服</w:t>
            </w:r>
          </w:p>
        </w:tc>
      </w:tr>
    </w:tbl>
    <w:p w14:paraId="6F110160">
      <w:pPr>
        <w:bidi w:val="0"/>
        <w:rPr>
          <w:rFonts w:hint="eastAsia"/>
          <w:color w:val="auto"/>
          <w:lang w:val="en-US" w:eastAsia="zh-CN"/>
        </w:rPr>
      </w:pPr>
      <w:r>
        <w:rPr>
          <w:rFonts w:hint="eastAsia"/>
          <w:color w:val="auto"/>
          <w:lang w:val="en-US" w:eastAsia="zh-CN"/>
        </w:rPr>
        <w:t>3.安全教育培训</w:t>
      </w:r>
    </w:p>
    <w:p w14:paraId="04B33509">
      <w:pPr>
        <w:bidi w:val="0"/>
        <w:rPr>
          <w:rFonts w:hint="eastAsia"/>
          <w:color w:val="auto"/>
        </w:rPr>
      </w:pPr>
      <w:r>
        <w:rPr>
          <w:rFonts w:hint="eastAsia"/>
          <w:color w:val="auto"/>
        </w:rPr>
        <w:t>根据相关管理规定的要</w:t>
      </w:r>
      <w:r>
        <w:rPr>
          <w:rFonts w:hint="eastAsia"/>
          <w:color w:val="auto"/>
          <w:lang w:val="en-US" w:eastAsia="zh-CN"/>
        </w:rPr>
        <w:t>求</w:t>
      </w:r>
      <w:r>
        <w:rPr>
          <w:rFonts w:hint="eastAsia"/>
          <w:color w:val="auto"/>
        </w:rPr>
        <w:t>，该公司每年均组织相关人员进行安全培训，培训对象主要为新员工的安全培训、外包单位的安全培训以及对全厂特定人员的安全标准化及安全生产知识讲座、安全生产法律法规宣贯等，企业进厂员工经三级安全教育，考核合格后上岗。</w:t>
      </w:r>
    </w:p>
    <w:p w14:paraId="4AA3E27D">
      <w:pPr>
        <w:bidi w:val="0"/>
        <w:rPr>
          <w:rFonts w:hint="eastAsia"/>
          <w:color w:val="auto"/>
          <w:lang w:val="en-US" w:eastAsia="zh-CN"/>
        </w:rPr>
      </w:pPr>
      <w:r>
        <w:rPr>
          <w:rFonts w:hint="eastAsia"/>
          <w:color w:val="auto"/>
          <w:lang w:val="en-US" w:eastAsia="zh-CN"/>
        </w:rPr>
        <w:t>4.事故应急管理</w:t>
      </w:r>
    </w:p>
    <w:p w14:paraId="3955F761">
      <w:pPr>
        <w:bidi w:val="0"/>
        <w:rPr>
          <w:rFonts w:hint="default"/>
          <w:color w:val="auto"/>
          <w:lang w:val="en-US" w:eastAsia="zh-CN"/>
        </w:rPr>
      </w:pPr>
      <w:r>
        <w:rPr>
          <w:rFonts w:hint="eastAsia"/>
          <w:color w:val="auto"/>
          <w:lang w:val="en-US" w:eastAsia="zh-CN"/>
        </w:rPr>
        <w:t>江西亚东水泥有限公司制定了生产安全应急事故预案，已于2024年2月19日在九江市应急管理局备案，备案编号：3604002024021。公司编制了2024年度安全、环境、职业健康、特种设备应急演练计划表，内容包括专项预案名称、演练时间、计划编制单位、参演单位、类别等。2024年4月30日，公司进行了防汛演练并记录。</w:t>
      </w:r>
    </w:p>
    <w:p w14:paraId="7EFEF487">
      <w:pPr>
        <w:bidi w:val="0"/>
        <w:rPr>
          <w:rFonts w:hint="eastAsia"/>
          <w:color w:val="auto"/>
          <w:lang w:val="en-US" w:eastAsia="zh-CN"/>
        </w:rPr>
      </w:pPr>
      <w:r>
        <w:rPr>
          <w:rFonts w:hint="eastAsia"/>
          <w:color w:val="auto"/>
          <w:lang w:val="en-US" w:eastAsia="zh-CN"/>
        </w:rPr>
        <w:t>5.双重预防机制建设</w:t>
      </w:r>
    </w:p>
    <w:p w14:paraId="4F19B260">
      <w:pPr>
        <w:bidi w:val="0"/>
        <w:rPr>
          <w:rFonts w:hint="default"/>
          <w:color w:val="auto"/>
          <w:lang w:val="en-US" w:eastAsia="zh-CN"/>
        </w:rPr>
      </w:pPr>
      <w:r>
        <w:rPr>
          <w:rFonts w:hint="default"/>
          <w:color w:val="auto"/>
          <w:lang w:val="en-US" w:eastAsia="zh-CN"/>
        </w:rPr>
        <w:t>江西</w:t>
      </w:r>
      <w:r>
        <w:rPr>
          <w:rFonts w:hint="eastAsia"/>
          <w:color w:val="auto"/>
          <w:lang w:val="en-US" w:eastAsia="zh-CN"/>
        </w:rPr>
        <w:t>亚东水泥</w:t>
      </w:r>
      <w:r>
        <w:rPr>
          <w:rFonts w:hint="default"/>
          <w:color w:val="auto"/>
          <w:lang w:val="en-US" w:eastAsia="zh-CN"/>
        </w:rPr>
        <w:t>有限公司按照安全风险分级采取相应的管控措施，定期进行隐患排查，采取技术、管理措施，及时发现并消除事故隐患。事故隐患排查治理情况如实记录，并向从业人员通报。</w:t>
      </w:r>
    </w:p>
    <w:p w14:paraId="5664DF54">
      <w:pPr>
        <w:bidi w:val="0"/>
        <w:rPr>
          <w:rFonts w:hint="eastAsia"/>
          <w:color w:val="auto"/>
          <w:lang w:val="en-US" w:eastAsia="zh-CN"/>
        </w:rPr>
      </w:pPr>
      <w:r>
        <w:rPr>
          <w:rFonts w:hint="eastAsia"/>
          <w:color w:val="auto"/>
          <w:lang w:val="en-US" w:eastAsia="zh-CN"/>
        </w:rPr>
        <w:t>6.工伤保险</w:t>
      </w:r>
    </w:p>
    <w:p w14:paraId="496E1F6B">
      <w:pPr>
        <w:bidi w:val="0"/>
        <w:rPr>
          <w:color w:val="auto"/>
        </w:rPr>
      </w:pPr>
      <w:r>
        <w:rPr>
          <w:color w:val="auto"/>
        </w:rPr>
        <w:t>根据《安全生产法》</w:t>
      </w:r>
      <w:r>
        <w:rPr>
          <w:rFonts w:hint="eastAsia"/>
          <w:color w:val="auto"/>
        </w:rPr>
        <w:t>第五十一条</w:t>
      </w:r>
      <w:r>
        <w:rPr>
          <w:color w:val="auto"/>
        </w:rPr>
        <w:t>规定，该公司依法参加了工伤保险，为从业人员缴纳保险费。</w:t>
      </w:r>
    </w:p>
    <w:p w14:paraId="200D0655">
      <w:pPr>
        <w:pStyle w:val="4"/>
        <w:bidi w:val="0"/>
        <w:rPr>
          <w:rFonts w:hint="eastAsia"/>
          <w:color w:val="auto"/>
          <w:lang w:val="en-US" w:eastAsia="zh-CN"/>
        </w:rPr>
      </w:pPr>
      <w:bookmarkStart w:id="52" w:name="_Toc6402"/>
      <w:r>
        <w:rPr>
          <w:rFonts w:hint="eastAsia"/>
          <w:color w:val="auto"/>
          <w:lang w:val="en-US" w:eastAsia="zh-CN"/>
        </w:rPr>
        <w:t>2.9.13试运行情况</w:t>
      </w:r>
      <w:bookmarkEnd w:id="52"/>
    </w:p>
    <w:p w14:paraId="0AC46C39">
      <w:pPr>
        <w:rPr>
          <w:rFonts w:hint="eastAsia" w:cs="Times New Roman"/>
          <w:color w:val="auto"/>
          <w:kern w:val="2"/>
          <w:sz w:val="28"/>
          <w:szCs w:val="28"/>
          <w:lang w:val="en-US" w:eastAsia="zh-CN" w:bidi="ar-SA"/>
        </w:rPr>
      </w:pPr>
      <w:r>
        <w:rPr>
          <w:rFonts w:hint="eastAsia" w:cs="Times New Roman"/>
          <w:color w:val="auto"/>
          <w:kern w:val="2"/>
          <w:sz w:val="28"/>
          <w:szCs w:val="28"/>
          <w:lang w:val="en-US" w:eastAsia="zh-CN" w:bidi="ar-SA"/>
        </w:rPr>
        <w:t>江西亚东水泥有限公司五六窑脱硫系统按计划进行了72小时连续运行性能测试工作，出具了《江西亚东水泥有限公司五六号窑脱硫系统连续运行72小时性能测试总结》。测试结果如下</w:t>
      </w:r>
    </w:p>
    <w:p w14:paraId="2716783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2"/>
          <w:sz w:val="28"/>
          <w:szCs w:val="28"/>
          <w:lang w:val="en-US" w:eastAsia="zh-CN" w:bidi="ar-SA"/>
        </w:rPr>
      </w:pPr>
      <w:r>
        <w:rPr>
          <w:rFonts w:hint="eastAsia" w:cs="Times New Roman"/>
          <w:color w:val="auto"/>
          <w:kern w:val="2"/>
          <w:sz w:val="28"/>
          <w:szCs w:val="28"/>
          <w:lang w:val="en-US" w:eastAsia="zh-CN" w:bidi="ar-SA"/>
        </w:rPr>
        <w:t>表2.9.13-1  5#6#脱硫系统72小时性能测试考核表</w:t>
      </w:r>
    </w:p>
    <w:tbl>
      <w:tblPr>
        <w:tblStyle w:val="18"/>
        <w:tblW w:w="512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590"/>
        <w:gridCol w:w="2056"/>
        <w:gridCol w:w="433"/>
        <w:gridCol w:w="690"/>
        <w:gridCol w:w="368"/>
        <w:gridCol w:w="1097"/>
        <w:gridCol w:w="1142"/>
        <w:gridCol w:w="2954"/>
      </w:tblGrid>
      <w:tr w14:paraId="1EDE67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00" w:hRule="atLeast"/>
        </w:trPr>
        <w:tc>
          <w:tcPr>
            <w:tcW w:w="5000" w:type="pct"/>
            <w:gridSpan w:val="8"/>
            <w:tcBorders>
              <w:tl2br w:val="nil"/>
              <w:tr2bl w:val="nil"/>
            </w:tcBorders>
            <w:shd w:val="clear" w:color="auto" w:fill="auto"/>
            <w:vAlign w:val="top"/>
          </w:tcPr>
          <w:p w14:paraId="16AC0EAE">
            <w:pPr>
              <w:pStyle w:val="25"/>
              <w:keepNext w:val="0"/>
              <w:keepLines w:val="0"/>
              <w:pageBreakBefore w:val="0"/>
              <w:widowControl w:val="0"/>
              <w:kinsoku/>
              <w:wordWrap/>
              <w:overflowPunct/>
              <w:topLinePunct w:val="0"/>
              <w:autoSpaceDE/>
              <w:autoSpaceDN/>
              <w:bidi w:val="0"/>
              <w:adjustRightInd w:val="0"/>
              <w:snapToGrid w:val="0"/>
              <w:spacing w:before="191" w:line="219" w:lineRule="auto"/>
              <w:ind w:left="2848" w:firstLine="0" w:firstLineChars="0"/>
              <w:textAlignment w:val="auto"/>
              <w:rPr>
                <w:color w:val="auto"/>
                <w:sz w:val="25"/>
                <w:szCs w:val="25"/>
              </w:rPr>
            </w:pPr>
            <w:r>
              <w:rPr>
                <w:b/>
                <w:bCs/>
                <w:color w:val="auto"/>
                <w:spacing w:val="-4"/>
                <w:sz w:val="25"/>
                <w:szCs w:val="25"/>
              </w:rPr>
              <w:t>5#6#脱硫系统72小时性能测试考核表</w:t>
            </w:r>
          </w:p>
        </w:tc>
      </w:tr>
      <w:tr w14:paraId="774AA0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316" w:type="pct"/>
            <w:tcBorders>
              <w:tl2br w:val="nil"/>
              <w:tr2bl w:val="nil"/>
            </w:tcBorders>
            <w:shd w:val="clear" w:color="auto" w:fill="auto"/>
            <w:vAlign w:val="center"/>
          </w:tcPr>
          <w:p w14:paraId="0EB5C831">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序号</w:t>
            </w:r>
          </w:p>
        </w:tc>
        <w:tc>
          <w:tcPr>
            <w:tcW w:w="1102" w:type="pct"/>
            <w:tcBorders>
              <w:tl2br w:val="nil"/>
              <w:tr2bl w:val="nil"/>
            </w:tcBorders>
            <w:shd w:val="clear" w:color="auto" w:fill="auto"/>
            <w:vAlign w:val="center"/>
          </w:tcPr>
          <w:p w14:paraId="6F28A444">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项目名称</w:t>
            </w:r>
          </w:p>
        </w:tc>
        <w:tc>
          <w:tcPr>
            <w:tcW w:w="602" w:type="pct"/>
            <w:gridSpan w:val="2"/>
            <w:tcBorders>
              <w:tl2br w:val="nil"/>
              <w:tr2bl w:val="nil"/>
            </w:tcBorders>
            <w:shd w:val="clear" w:color="auto" w:fill="auto"/>
            <w:vAlign w:val="center"/>
          </w:tcPr>
          <w:p w14:paraId="12F8535A">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保证值</w:t>
            </w:r>
          </w:p>
        </w:tc>
        <w:tc>
          <w:tcPr>
            <w:tcW w:w="785" w:type="pct"/>
            <w:gridSpan w:val="2"/>
            <w:tcBorders>
              <w:tl2br w:val="nil"/>
              <w:tr2bl w:val="nil"/>
            </w:tcBorders>
            <w:shd w:val="clear" w:color="auto" w:fill="auto"/>
            <w:vAlign w:val="top"/>
          </w:tcPr>
          <w:p w14:paraId="08BE09B1">
            <w:pPr>
              <w:pStyle w:val="25"/>
              <w:keepNext w:val="0"/>
              <w:keepLines w:val="0"/>
              <w:pageBreakBefore w:val="0"/>
              <w:widowControl w:val="0"/>
              <w:kinsoku/>
              <w:wordWrap/>
              <w:overflowPunct/>
              <w:topLinePunct w:val="0"/>
              <w:autoSpaceDE/>
              <w:autoSpaceDN/>
              <w:bidi w:val="0"/>
              <w:adjustRightInd w:val="0"/>
              <w:snapToGrid w:val="0"/>
              <w:spacing w:before="98" w:line="260" w:lineRule="exact"/>
              <w:ind w:left="64"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五号线实际值</w:t>
            </w:r>
          </w:p>
        </w:tc>
        <w:tc>
          <w:tcPr>
            <w:tcW w:w="612" w:type="pct"/>
            <w:tcBorders>
              <w:tl2br w:val="nil"/>
              <w:tr2bl w:val="nil"/>
            </w:tcBorders>
            <w:shd w:val="clear" w:color="auto" w:fill="auto"/>
            <w:vAlign w:val="top"/>
          </w:tcPr>
          <w:p w14:paraId="572FF0FE">
            <w:pPr>
              <w:pStyle w:val="25"/>
              <w:keepNext w:val="0"/>
              <w:keepLines w:val="0"/>
              <w:pageBreakBefore w:val="0"/>
              <w:widowControl w:val="0"/>
              <w:kinsoku/>
              <w:wordWrap/>
              <w:overflowPunct/>
              <w:topLinePunct w:val="0"/>
              <w:autoSpaceDE/>
              <w:autoSpaceDN/>
              <w:bidi w:val="0"/>
              <w:adjustRightInd w:val="0"/>
              <w:snapToGrid w:val="0"/>
              <w:spacing w:before="98" w:line="260" w:lineRule="exact"/>
              <w:ind w:left="95"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六号线实际值</w:t>
            </w:r>
          </w:p>
        </w:tc>
        <w:tc>
          <w:tcPr>
            <w:tcW w:w="1580" w:type="pct"/>
            <w:tcBorders>
              <w:tl2br w:val="nil"/>
              <w:tr2bl w:val="nil"/>
            </w:tcBorders>
            <w:shd w:val="clear" w:color="auto" w:fill="auto"/>
            <w:vAlign w:val="top"/>
          </w:tcPr>
          <w:p w14:paraId="4310712F">
            <w:pPr>
              <w:pStyle w:val="25"/>
              <w:keepNext w:val="0"/>
              <w:keepLines w:val="0"/>
              <w:pageBreakBefore w:val="0"/>
              <w:widowControl w:val="0"/>
              <w:kinsoku/>
              <w:wordWrap/>
              <w:overflowPunct/>
              <w:topLinePunct w:val="0"/>
              <w:autoSpaceDE/>
              <w:autoSpaceDN/>
              <w:bidi w:val="0"/>
              <w:adjustRightInd w:val="0"/>
              <w:snapToGrid w:val="0"/>
              <w:spacing w:before="98" w:line="260" w:lineRule="exact"/>
              <w:ind w:left="1357" w:firstLine="0" w:firstLineChars="0"/>
              <w:jc w:val="left"/>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备注</w:t>
            </w:r>
          </w:p>
        </w:tc>
      </w:tr>
      <w:tr w14:paraId="7556AE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316" w:type="pct"/>
            <w:tcBorders>
              <w:tl2br w:val="nil"/>
              <w:tr2bl w:val="nil"/>
            </w:tcBorders>
            <w:shd w:val="clear" w:color="auto" w:fill="auto"/>
            <w:vAlign w:val="center"/>
          </w:tcPr>
          <w:p w14:paraId="5AF5D41F">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1</w:t>
            </w:r>
          </w:p>
        </w:tc>
        <w:tc>
          <w:tcPr>
            <w:tcW w:w="1102" w:type="pct"/>
            <w:tcBorders>
              <w:tl2br w:val="nil"/>
              <w:tr2bl w:val="nil"/>
            </w:tcBorders>
            <w:shd w:val="clear" w:color="auto" w:fill="auto"/>
            <w:vAlign w:val="top"/>
          </w:tcPr>
          <w:p w14:paraId="7E1D5E57">
            <w:pPr>
              <w:pStyle w:val="25"/>
              <w:keepNext w:val="0"/>
              <w:keepLines w:val="0"/>
              <w:pageBreakBefore w:val="0"/>
              <w:widowControl w:val="0"/>
              <w:kinsoku/>
              <w:wordWrap/>
              <w:overflowPunct/>
              <w:topLinePunct w:val="0"/>
              <w:autoSpaceDE/>
              <w:autoSpaceDN/>
              <w:bidi w:val="0"/>
              <w:adjustRightInd w:val="0"/>
              <w:snapToGrid w:val="0"/>
              <w:spacing w:before="109"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脱硫系统与窑同步运转率</w:t>
            </w:r>
          </w:p>
        </w:tc>
        <w:tc>
          <w:tcPr>
            <w:tcW w:w="602" w:type="pct"/>
            <w:gridSpan w:val="2"/>
            <w:tcBorders>
              <w:tl2br w:val="nil"/>
              <w:tr2bl w:val="nil"/>
            </w:tcBorders>
            <w:shd w:val="clear" w:color="auto" w:fill="auto"/>
            <w:vAlign w:val="center"/>
          </w:tcPr>
          <w:p w14:paraId="15BA70C8">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0.995</w:t>
            </w:r>
          </w:p>
        </w:tc>
        <w:tc>
          <w:tcPr>
            <w:tcW w:w="785" w:type="pct"/>
            <w:gridSpan w:val="2"/>
            <w:tcBorders>
              <w:tl2br w:val="nil"/>
              <w:tr2bl w:val="nil"/>
            </w:tcBorders>
            <w:shd w:val="clear" w:color="auto" w:fill="auto"/>
            <w:vAlign w:val="center"/>
          </w:tcPr>
          <w:p w14:paraId="58144603">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测试期间100%</w:t>
            </w:r>
          </w:p>
        </w:tc>
        <w:tc>
          <w:tcPr>
            <w:tcW w:w="612" w:type="pct"/>
            <w:tcBorders>
              <w:tl2br w:val="nil"/>
              <w:tr2bl w:val="nil"/>
            </w:tcBorders>
            <w:shd w:val="clear" w:color="auto" w:fill="auto"/>
            <w:vAlign w:val="center"/>
          </w:tcPr>
          <w:p w14:paraId="062AAC6A">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测试期间100%</w:t>
            </w:r>
          </w:p>
        </w:tc>
        <w:tc>
          <w:tcPr>
            <w:tcW w:w="1580" w:type="pct"/>
            <w:tcBorders>
              <w:tl2br w:val="nil"/>
              <w:tr2bl w:val="nil"/>
            </w:tcBorders>
            <w:shd w:val="clear" w:color="auto" w:fill="auto"/>
            <w:vAlign w:val="center"/>
          </w:tcPr>
          <w:p w14:paraId="751AD25E">
            <w:pPr>
              <w:pStyle w:val="25"/>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达标</w:t>
            </w:r>
          </w:p>
        </w:tc>
      </w:tr>
      <w:tr w14:paraId="1E4238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316" w:type="pct"/>
            <w:tcBorders>
              <w:tl2br w:val="nil"/>
              <w:tr2bl w:val="nil"/>
            </w:tcBorders>
            <w:shd w:val="clear" w:color="auto" w:fill="auto"/>
            <w:vAlign w:val="center"/>
          </w:tcPr>
          <w:p w14:paraId="62E2C256">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2</w:t>
            </w:r>
          </w:p>
        </w:tc>
        <w:tc>
          <w:tcPr>
            <w:tcW w:w="1102" w:type="pct"/>
            <w:tcBorders>
              <w:tl2br w:val="nil"/>
              <w:tr2bl w:val="nil"/>
            </w:tcBorders>
            <w:shd w:val="clear" w:color="auto" w:fill="auto"/>
            <w:vAlign w:val="top"/>
          </w:tcPr>
          <w:p w14:paraId="539A5EE7">
            <w:pPr>
              <w:pStyle w:val="25"/>
              <w:keepNext w:val="0"/>
              <w:keepLines w:val="0"/>
              <w:pageBreakBefore w:val="0"/>
              <w:widowControl w:val="0"/>
              <w:kinsoku/>
              <w:wordWrap/>
              <w:overflowPunct/>
              <w:topLinePunct w:val="0"/>
              <w:autoSpaceDE/>
              <w:autoSpaceDN/>
              <w:bidi w:val="0"/>
              <w:adjustRightInd w:val="0"/>
              <w:snapToGrid w:val="0"/>
              <w:spacing w:before="99"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脱硫主体装置使用寿命</w:t>
            </w:r>
          </w:p>
        </w:tc>
        <w:tc>
          <w:tcPr>
            <w:tcW w:w="602" w:type="pct"/>
            <w:gridSpan w:val="2"/>
            <w:tcBorders>
              <w:tl2br w:val="nil"/>
              <w:tr2bl w:val="nil"/>
            </w:tcBorders>
            <w:shd w:val="clear" w:color="auto" w:fill="auto"/>
            <w:vAlign w:val="center"/>
          </w:tcPr>
          <w:p w14:paraId="06E7E8D7">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30年</w:t>
            </w:r>
          </w:p>
        </w:tc>
        <w:tc>
          <w:tcPr>
            <w:tcW w:w="785" w:type="pct"/>
            <w:gridSpan w:val="2"/>
            <w:tcBorders>
              <w:tl2br w:val="nil"/>
              <w:tr2bl w:val="nil"/>
            </w:tcBorders>
            <w:shd w:val="clear" w:color="auto" w:fill="auto"/>
            <w:vAlign w:val="center"/>
          </w:tcPr>
          <w:p w14:paraId="5DA1504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tc>
        <w:tc>
          <w:tcPr>
            <w:tcW w:w="612" w:type="pct"/>
            <w:tcBorders>
              <w:tl2br w:val="nil"/>
              <w:tr2bl w:val="nil"/>
            </w:tcBorders>
            <w:shd w:val="clear" w:color="auto" w:fill="auto"/>
            <w:vAlign w:val="center"/>
          </w:tcPr>
          <w:p w14:paraId="1BE35BF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tc>
        <w:tc>
          <w:tcPr>
            <w:tcW w:w="1580" w:type="pct"/>
            <w:tcBorders>
              <w:tl2br w:val="nil"/>
              <w:tr2bl w:val="nil"/>
            </w:tcBorders>
            <w:shd w:val="clear" w:color="auto" w:fill="auto"/>
            <w:vAlign w:val="center"/>
          </w:tcPr>
          <w:p w14:paraId="4F4E8480">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p>
        </w:tc>
      </w:tr>
      <w:tr w14:paraId="0E0037C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1" w:hRule="atLeast"/>
        </w:trPr>
        <w:tc>
          <w:tcPr>
            <w:tcW w:w="316" w:type="pct"/>
            <w:tcBorders>
              <w:tl2br w:val="nil"/>
              <w:tr2bl w:val="nil"/>
            </w:tcBorders>
            <w:shd w:val="clear" w:color="auto" w:fill="auto"/>
            <w:vAlign w:val="center"/>
          </w:tcPr>
          <w:p w14:paraId="4D56C64C">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3</w:t>
            </w:r>
          </w:p>
        </w:tc>
        <w:tc>
          <w:tcPr>
            <w:tcW w:w="1102" w:type="pct"/>
            <w:tcBorders>
              <w:tl2br w:val="nil"/>
              <w:tr2bl w:val="nil"/>
            </w:tcBorders>
            <w:shd w:val="clear" w:color="auto" w:fill="auto"/>
            <w:vAlign w:val="top"/>
          </w:tcPr>
          <w:p w14:paraId="16F3C27B">
            <w:pPr>
              <w:pStyle w:val="25"/>
              <w:keepNext w:val="0"/>
              <w:keepLines w:val="0"/>
              <w:pageBreakBefore w:val="0"/>
              <w:widowControl w:val="0"/>
              <w:kinsoku/>
              <w:wordWrap/>
              <w:overflowPunct/>
              <w:topLinePunct w:val="0"/>
              <w:autoSpaceDE/>
              <w:autoSpaceDN/>
              <w:bidi w:val="0"/>
              <w:adjustRightInd w:val="0"/>
              <w:snapToGrid w:val="0"/>
              <w:spacing w:before="210"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9"/>
                <w:sz w:val="18"/>
                <w:szCs w:val="18"/>
              </w:rPr>
              <w:t>烟囱出口</w:t>
            </w:r>
            <w:r>
              <w:rPr>
                <w:rFonts w:hint="eastAsia" w:ascii="宋体" w:hAnsi="宋体" w:eastAsia="宋体" w:cs="宋体"/>
                <w:b w:val="0"/>
                <w:bCs w:val="0"/>
                <w:color w:val="auto"/>
                <w:sz w:val="18"/>
                <w:szCs w:val="18"/>
              </w:rPr>
              <w:t>SO</w:t>
            </w:r>
            <w:r>
              <w:rPr>
                <w:rFonts w:hint="eastAsia" w:ascii="宋体" w:hAnsi="宋体" w:eastAsia="宋体" w:cs="宋体"/>
                <w:b w:val="0"/>
                <w:bCs w:val="0"/>
                <w:color w:val="auto"/>
                <w:spacing w:val="9"/>
                <w:sz w:val="18"/>
                <w:szCs w:val="18"/>
              </w:rPr>
              <w:t>₂排放浓度(</w:t>
            </w:r>
            <w:r>
              <w:rPr>
                <w:rFonts w:hint="eastAsia" w:ascii="宋体" w:hAnsi="宋体" w:eastAsia="宋体" w:cs="宋体"/>
                <w:b w:val="0"/>
                <w:bCs w:val="0"/>
                <w:color w:val="auto"/>
                <w:sz w:val="18"/>
                <w:szCs w:val="18"/>
              </w:rPr>
              <w:t>RM</w:t>
            </w:r>
            <w:r>
              <w:rPr>
                <w:rFonts w:hint="eastAsia" w:ascii="宋体" w:hAnsi="宋体" w:eastAsia="宋体" w:cs="宋体"/>
                <w:b w:val="0"/>
                <w:bCs w:val="0"/>
                <w:color w:val="auto"/>
                <w:spacing w:val="9"/>
                <w:sz w:val="18"/>
                <w:szCs w:val="18"/>
              </w:rPr>
              <w:t>停磨时)</w:t>
            </w:r>
          </w:p>
        </w:tc>
        <w:tc>
          <w:tcPr>
            <w:tcW w:w="602" w:type="pct"/>
            <w:gridSpan w:val="2"/>
            <w:tcBorders>
              <w:tl2br w:val="nil"/>
              <w:tr2bl w:val="nil"/>
            </w:tcBorders>
            <w:shd w:val="clear" w:color="auto" w:fill="auto"/>
            <w:vAlign w:val="center"/>
          </w:tcPr>
          <w:p w14:paraId="67C30C65">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&lt;50mg/Nm³</w:t>
            </w:r>
          </w:p>
        </w:tc>
        <w:tc>
          <w:tcPr>
            <w:tcW w:w="785" w:type="pct"/>
            <w:gridSpan w:val="2"/>
            <w:tcBorders>
              <w:tl2br w:val="nil"/>
              <w:tr2bl w:val="nil"/>
            </w:tcBorders>
            <w:shd w:val="clear" w:color="auto" w:fill="auto"/>
            <w:vAlign w:val="center"/>
          </w:tcPr>
          <w:p w14:paraId="441932A0">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3.7mg/Nm³</w:t>
            </w:r>
          </w:p>
        </w:tc>
        <w:tc>
          <w:tcPr>
            <w:tcW w:w="612" w:type="pct"/>
            <w:tcBorders>
              <w:tl2br w:val="nil"/>
              <w:tr2bl w:val="nil"/>
            </w:tcBorders>
            <w:shd w:val="clear" w:color="auto" w:fill="auto"/>
            <w:vAlign w:val="center"/>
          </w:tcPr>
          <w:p w14:paraId="031D945E">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1.4mg/Nm³</w:t>
            </w:r>
          </w:p>
        </w:tc>
        <w:tc>
          <w:tcPr>
            <w:tcW w:w="1580" w:type="pct"/>
            <w:tcBorders>
              <w:tl2br w:val="nil"/>
              <w:tr2bl w:val="nil"/>
            </w:tcBorders>
            <w:shd w:val="clear" w:color="auto" w:fill="auto"/>
            <w:vAlign w:val="center"/>
          </w:tcPr>
          <w:p w14:paraId="7C0B1EC8">
            <w:pPr>
              <w:pStyle w:val="25"/>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6"/>
                <w:sz w:val="18"/>
                <w:szCs w:val="18"/>
              </w:rPr>
              <w:t>五号</w:t>
            </w:r>
            <w:r>
              <w:rPr>
                <w:rFonts w:hint="eastAsia" w:ascii="宋体" w:hAnsi="宋体" w:eastAsia="宋体" w:cs="宋体"/>
                <w:b w:val="0"/>
                <w:bCs w:val="0"/>
                <w:color w:val="auto"/>
                <w:sz w:val="18"/>
                <w:szCs w:val="18"/>
              </w:rPr>
              <w:t>SO</w:t>
            </w:r>
            <w:r>
              <w:rPr>
                <w:rFonts w:hint="eastAsia" w:ascii="宋体" w:hAnsi="宋体" w:eastAsia="宋体" w:cs="宋体"/>
                <w:b w:val="0"/>
                <w:bCs w:val="0"/>
                <w:color w:val="auto"/>
                <w:spacing w:val="16"/>
                <w:sz w:val="18"/>
                <w:szCs w:val="18"/>
              </w:rPr>
              <w:t>₂本底浓度：531</w:t>
            </w:r>
            <w:r>
              <w:rPr>
                <w:rFonts w:hint="eastAsia" w:ascii="宋体" w:hAnsi="宋体" w:eastAsia="宋体" w:cs="宋体"/>
                <w:b w:val="0"/>
                <w:bCs w:val="0"/>
                <w:color w:val="auto"/>
                <w:sz w:val="18"/>
                <w:szCs w:val="18"/>
              </w:rPr>
              <w:t>mg</w:t>
            </w:r>
            <w:r>
              <w:rPr>
                <w:rFonts w:hint="eastAsia" w:ascii="宋体" w:hAnsi="宋体" w:eastAsia="宋体" w:cs="宋体"/>
                <w:b w:val="0"/>
                <w:bCs w:val="0"/>
                <w:color w:val="auto"/>
                <w:spacing w:val="16"/>
                <w:sz w:val="18"/>
                <w:szCs w:val="18"/>
              </w:rPr>
              <w:t>/</w:t>
            </w:r>
            <w:r>
              <w:rPr>
                <w:rFonts w:hint="eastAsia" w:ascii="宋体" w:hAnsi="宋体" w:eastAsia="宋体" w:cs="宋体"/>
                <w:b w:val="0"/>
                <w:bCs w:val="0"/>
                <w:color w:val="auto"/>
                <w:sz w:val="18"/>
                <w:szCs w:val="18"/>
              </w:rPr>
              <w:t>Nm</w:t>
            </w:r>
            <w:r>
              <w:rPr>
                <w:rFonts w:hint="eastAsia" w:ascii="宋体" w:hAnsi="宋体" w:eastAsia="宋体" w:cs="宋体"/>
                <w:b w:val="0"/>
                <w:bCs w:val="0"/>
                <w:color w:val="auto"/>
                <w:spacing w:val="16"/>
                <w:sz w:val="18"/>
                <w:szCs w:val="18"/>
              </w:rPr>
              <w:t>³</w:t>
            </w:r>
          </w:p>
          <w:p w14:paraId="7BF518E3">
            <w:pPr>
              <w:pStyle w:val="25"/>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6"/>
                <w:sz w:val="18"/>
                <w:szCs w:val="18"/>
              </w:rPr>
              <w:t>六号</w:t>
            </w:r>
            <w:r>
              <w:rPr>
                <w:rFonts w:hint="eastAsia" w:ascii="宋体" w:hAnsi="宋体" w:eastAsia="宋体" w:cs="宋体"/>
                <w:b w:val="0"/>
                <w:bCs w:val="0"/>
                <w:color w:val="auto"/>
                <w:sz w:val="18"/>
                <w:szCs w:val="18"/>
              </w:rPr>
              <w:t>SO</w:t>
            </w:r>
            <w:r>
              <w:rPr>
                <w:rFonts w:hint="eastAsia" w:ascii="宋体" w:hAnsi="宋体" w:eastAsia="宋体" w:cs="宋体"/>
                <w:b w:val="0"/>
                <w:bCs w:val="0"/>
                <w:color w:val="auto"/>
                <w:spacing w:val="16"/>
                <w:sz w:val="18"/>
                <w:szCs w:val="18"/>
              </w:rPr>
              <w:t>₂本底浓度：352</w:t>
            </w:r>
            <w:r>
              <w:rPr>
                <w:rFonts w:hint="eastAsia" w:ascii="宋体" w:hAnsi="宋体" w:eastAsia="宋体" w:cs="宋体"/>
                <w:b w:val="0"/>
                <w:bCs w:val="0"/>
                <w:color w:val="auto"/>
                <w:sz w:val="18"/>
                <w:szCs w:val="18"/>
              </w:rPr>
              <w:t>mg</w:t>
            </w:r>
            <w:r>
              <w:rPr>
                <w:rFonts w:hint="eastAsia" w:ascii="宋体" w:hAnsi="宋体" w:eastAsia="宋体" w:cs="宋体"/>
                <w:b w:val="0"/>
                <w:bCs w:val="0"/>
                <w:color w:val="auto"/>
                <w:spacing w:val="16"/>
                <w:sz w:val="18"/>
                <w:szCs w:val="18"/>
              </w:rPr>
              <w:t>/</w:t>
            </w:r>
            <w:r>
              <w:rPr>
                <w:rFonts w:hint="eastAsia" w:ascii="宋体" w:hAnsi="宋体" w:eastAsia="宋体" w:cs="宋体"/>
                <w:b w:val="0"/>
                <w:bCs w:val="0"/>
                <w:color w:val="auto"/>
                <w:sz w:val="18"/>
                <w:szCs w:val="18"/>
              </w:rPr>
              <w:t>Nm</w:t>
            </w:r>
            <w:r>
              <w:rPr>
                <w:rFonts w:hint="eastAsia" w:ascii="宋体" w:hAnsi="宋体" w:eastAsia="宋体" w:cs="宋体"/>
                <w:b w:val="0"/>
                <w:bCs w:val="0"/>
                <w:color w:val="auto"/>
                <w:spacing w:val="16"/>
                <w:sz w:val="18"/>
                <w:szCs w:val="18"/>
              </w:rPr>
              <w:t>³</w:t>
            </w:r>
          </w:p>
        </w:tc>
      </w:tr>
      <w:tr w14:paraId="2C217A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316" w:type="pct"/>
            <w:tcBorders>
              <w:tl2br w:val="nil"/>
              <w:tr2bl w:val="nil"/>
            </w:tcBorders>
            <w:shd w:val="clear" w:color="auto" w:fill="auto"/>
            <w:vAlign w:val="center"/>
          </w:tcPr>
          <w:p w14:paraId="160A0806">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4</w:t>
            </w:r>
          </w:p>
        </w:tc>
        <w:tc>
          <w:tcPr>
            <w:tcW w:w="1102" w:type="pct"/>
            <w:tcBorders>
              <w:tl2br w:val="nil"/>
              <w:tr2bl w:val="nil"/>
            </w:tcBorders>
            <w:shd w:val="clear" w:color="auto" w:fill="auto"/>
            <w:vAlign w:val="top"/>
          </w:tcPr>
          <w:p w14:paraId="1BEA9A2B">
            <w:pPr>
              <w:pStyle w:val="25"/>
              <w:keepNext w:val="0"/>
              <w:keepLines w:val="0"/>
              <w:pageBreakBefore w:val="0"/>
              <w:widowControl w:val="0"/>
              <w:kinsoku/>
              <w:wordWrap/>
              <w:overflowPunct/>
              <w:topLinePunct w:val="0"/>
              <w:autoSpaceDE/>
              <w:autoSpaceDN/>
              <w:bidi w:val="0"/>
              <w:adjustRightInd w:val="0"/>
              <w:snapToGrid w:val="0"/>
              <w:spacing w:before="171"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烟囱出口雾滴排放浓度</w:t>
            </w:r>
          </w:p>
        </w:tc>
        <w:tc>
          <w:tcPr>
            <w:tcW w:w="602" w:type="pct"/>
            <w:gridSpan w:val="2"/>
            <w:tcBorders>
              <w:tl2br w:val="nil"/>
              <w:tr2bl w:val="nil"/>
            </w:tcBorders>
            <w:shd w:val="clear" w:color="auto" w:fill="auto"/>
            <w:vAlign w:val="center"/>
          </w:tcPr>
          <w:p w14:paraId="38AF514D">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&lt;50mg/Nm³</w:t>
            </w:r>
          </w:p>
        </w:tc>
        <w:tc>
          <w:tcPr>
            <w:tcW w:w="785" w:type="pct"/>
            <w:gridSpan w:val="2"/>
            <w:tcBorders>
              <w:tl2br w:val="nil"/>
              <w:tr2bl w:val="nil"/>
            </w:tcBorders>
            <w:shd w:val="clear" w:color="auto" w:fill="auto"/>
            <w:vAlign w:val="center"/>
          </w:tcPr>
          <w:p w14:paraId="5BB78F99">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39.3mg/Nm</w:t>
            </w:r>
          </w:p>
        </w:tc>
        <w:tc>
          <w:tcPr>
            <w:tcW w:w="612" w:type="pct"/>
            <w:tcBorders>
              <w:tl2br w:val="nil"/>
              <w:tr2bl w:val="nil"/>
            </w:tcBorders>
            <w:shd w:val="clear" w:color="auto" w:fill="auto"/>
            <w:vAlign w:val="center"/>
          </w:tcPr>
          <w:p w14:paraId="40E2FE60">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41.2mg/Nm</w:t>
            </w:r>
          </w:p>
        </w:tc>
        <w:tc>
          <w:tcPr>
            <w:tcW w:w="1580" w:type="pct"/>
            <w:tcBorders>
              <w:tl2br w:val="nil"/>
              <w:tr2bl w:val="nil"/>
            </w:tcBorders>
            <w:shd w:val="clear" w:color="auto" w:fill="auto"/>
            <w:vAlign w:val="center"/>
          </w:tcPr>
          <w:p w14:paraId="18D921D1">
            <w:pPr>
              <w:pStyle w:val="25"/>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详如”江西亚东水泥有限公司五六号窑尾</w:t>
            </w:r>
            <w:r>
              <w:rPr>
                <w:rFonts w:hint="eastAsia" w:ascii="宋体" w:hAnsi="宋体" w:eastAsia="宋体" w:cs="宋体"/>
                <w:b w:val="0"/>
                <w:bCs w:val="0"/>
                <w:color w:val="auto"/>
                <w:spacing w:val="8"/>
                <w:sz w:val="18"/>
                <w:szCs w:val="18"/>
              </w:rPr>
              <w:t xml:space="preserve"> </w:t>
            </w:r>
            <w:r>
              <w:rPr>
                <w:rFonts w:hint="eastAsia" w:ascii="宋体" w:hAnsi="宋体" w:eastAsia="宋体" w:cs="宋体"/>
                <w:b w:val="0"/>
                <w:bCs w:val="0"/>
                <w:color w:val="auto"/>
                <w:spacing w:val="1"/>
                <w:sz w:val="18"/>
                <w:szCs w:val="18"/>
              </w:rPr>
              <w:t>烟囱雾滴浓度检测试验报告“</w:t>
            </w:r>
          </w:p>
        </w:tc>
      </w:tr>
      <w:tr w14:paraId="54AA09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316" w:type="pct"/>
            <w:tcBorders>
              <w:tl2br w:val="nil"/>
              <w:tr2bl w:val="nil"/>
            </w:tcBorders>
            <w:shd w:val="clear" w:color="auto" w:fill="auto"/>
            <w:vAlign w:val="center"/>
          </w:tcPr>
          <w:p w14:paraId="5708F859">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5</w:t>
            </w:r>
          </w:p>
        </w:tc>
        <w:tc>
          <w:tcPr>
            <w:tcW w:w="1102" w:type="pct"/>
            <w:tcBorders>
              <w:tl2br w:val="nil"/>
              <w:tr2bl w:val="nil"/>
            </w:tcBorders>
            <w:shd w:val="clear" w:color="auto" w:fill="auto"/>
            <w:vAlign w:val="top"/>
          </w:tcPr>
          <w:p w14:paraId="75AA2D58">
            <w:pPr>
              <w:pStyle w:val="25"/>
              <w:keepNext w:val="0"/>
              <w:keepLines w:val="0"/>
              <w:pageBreakBefore w:val="0"/>
              <w:widowControl w:val="0"/>
              <w:kinsoku/>
              <w:wordWrap/>
              <w:overflowPunct/>
              <w:topLinePunct w:val="0"/>
              <w:autoSpaceDE/>
              <w:autoSpaceDN/>
              <w:bidi w:val="0"/>
              <w:adjustRightInd w:val="0"/>
              <w:snapToGrid w:val="0"/>
              <w:spacing w:before="102"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烟囱出口粉尘排放浓度</w:t>
            </w:r>
          </w:p>
        </w:tc>
        <w:tc>
          <w:tcPr>
            <w:tcW w:w="602" w:type="pct"/>
            <w:gridSpan w:val="2"/>
            <w:tcBorders>
              <w:tl2br w:val="nil"/>
              <w:tr2bl w:val="nil"/>
            </w:tcBorders>
            <w:shd w:val="clear" w:color="auto" w:fill="auto"/>
            <w:vAlign w:val="center"/>
          </w:tcPr>
          <w:p w14:paraId="2DCF9703">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&lt;10mg/Nm³</w:t>
            </w:r>
          </w:p>
        </w:tc>
        <w:tc>
          <w:tcPr>
            <w:tcW w:w="785" w:type="pct"/>
            <w:gridSpan w:val="2"/>
            <w:tcBorders>
              <w:tl2br w:val="nil"/>
              <w:tr2bl w:val="nil"/>
            </w:tcBorders>
            <w:shd w:val="clear" w:color="auto" w:fill="auto"/>
            <w:vAlign w:val="center"/>
          </w:tcPr>
          <w:p w14:paraId="1A0C1141">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4mg/Nm³</w:t>
            </w:r>
          </w:p>
        </w:tc>
        <w:tc>
          <w:tcPr>
            <w:tcW w:w="612" w:type="pct"/>
            <w:tcBorders>
              <w:tl2br w:val="nil"/>
              <w:tr2bl w:val="nil"/>
            </w:tcBorders>
            <w:shd w:val="clear" w:color="auto" w:fill="auto"/>
            <w:vAlign w:val="center"/>
          </w:tcPr>
          <w:p w14:paraId="436A43C7">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2mg/Nm³</w:t>
            </w:r>
          </w:p>
        </w:tc>
        <w:tc>
          <w:tcPr>
            <w:tcW w:w="1580" w:type="pct"/>
            <w:tcBorders>
              <w:tl2br w:val="nil"/>
              <w:tr2bl w:val="nil"/>
            </w:tcBorders>
            <w:shd w:val="clear" w:color="auto" w:fill="auto"/>
            <w:vAlign w:val="center"/>
          </w:tcPr>
          <w:p w14:paraId="78F2690E">
            <w:pPr>
              <w:pStyle w:val="25"/>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达标</w:t>
            </w:r>
          </w:p>
        </w:tc>
      </w:tr>
      <w:tr w14:paraId="16F944D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316" w:type="pct"/>
            <w:tcBorders>
              <w:tl2br w:val="nil"/>
              <w:tr2bl w:val="nil"/>
            </w:tcBorders>
            <w:shd w:val="clear" w:color="auto" w:fill="auto"/>
            <w:vAlign w:val="center"/>
          </w:tcPr>
          <w:p w14:paraId="11DE7BBC">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6</w:t>
            </w:r>
          </w:p>
        </w:tc>
        <w:tc>
          <w:tcPr>
            <w:tcW w:w="1102" w:type="pct"/>
            <w:tcBorders>
              <w:tl2br w:val="nil"/>
              <w:tr2bl w:val="nil"/>
            </w:tcBorders>
            <w:shd w:val="clear" w:color="auto" w:fill="auto"/>
            <w:vAlign w:val="top"/>
          </w:tcPr>
          <w:p w14:paraId="774CFF35">
            <w:pPr>
              <w:pStyle w:val="25"/>
              <w:keepNext w:val="0"/>
              <w:keepLines w:val="0"/>
              <w:pageBreakBefore w:val="0"/>
              <w:widowControl w:val="0"/>
              <w:kinsoku/>
              <w:wordWrap/>
              <w:overflowPunct/>
              <w:topLinePunct w:val="0"/>
              <w:autoSpaceDE/>
              <w:autoSpaceDN/>
              <w:bidi w:val="0"/>
              <w:adjustRightInd w:val="0"/>
              <w:snapToGrid w:val="0"/>
              <w:spacing w:before="103"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石育品质：石育含水率</w:t>
            </w:r>
          </w:p>
        </w:tc>
        <w:tc>
          <w:tcPr>
            <w:tcW w:w="602" w:type="pct"/>
            <w:gridSpan w:val="2"/>
            <w:tcBorders>
              <w:tl2br w:val="nil"/>
              <w:tr2bl w:val="nil"/>
            </w:tcBorders>
            <w:shd w:val="clear" w:color="auto" w:fill="auto"/>
            <w:vAlign w:val="center"/>
          </w:tcPr>
          <w:p w14:paraId="59EE03EE">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&lt;15%</w:t>
            </w:r>
          </w:p>
        </w:tc>
        <w:tc>
          <w:tcPr>
            <w:tcW w:w="785" w:type="pct"/>
            <w:gridSpan w:val="2"/>
            <w:tcBorders>
              <w:tl2br w:val="nil"/>
              <w:tr2bl w:val="nil"/>
            </w:tcBorders>
            <w:shd w:val="clear" w:color="auto" w:fill="auto"/>
            <w:vAlign w:val="center"/>
          </w:tcPr>
          <w:p w14:paraId="2DDC89C2">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13.80%</w:t>
            </w:r>
          </w:p>
        </w:tc>
        <w:tc>
          <w:tcPr>
            <w:tcW w:w="612" w:type="pct"/>
            <w:tcBorders>
              <w:tl2br w:val="nil"/>
              <w:tr2bl w:val="nil"/>
            </w:tcBorders>
            <w:shd w:val="clear" w:color="auto" w:fill="auto"/>
            <w:vAlign w:val="center"/>
          </w:tcPr>
          <w:p w14:paraId="25C2A941">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14.70%</w:t>
            </w:r>
          </w:p>
        </w:tc>
        <w:tc>
          <w:tcPr>
            <w:tcW w:w="1580" w:type="pct"/>
            <w:tcBorders>
              <w:tl2br w:val="nil"/>
              <w:tr2bl w:val="nil"/>
            </w:tcBorders>
            <w:shd w:val="clear" w:color="auto" w:fill="auto"/>
            <w:vAlign w:val="center"/>
          </w:tcPr>
          <w:p w14:paraId="48DD51A5">
            <w:pPr>
              <w:pStyle w:val="25"/>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达标</w:t>
            </w:r>
          </w:p>
        </w:tc>
      </w:tr>
      <w:tr w14:paraId="251D3E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981" w:hRule="atLeast"/>
        </w:trPr>
        <w:tc>
          <w:tcPr>
            <w:tcW w:w="316" w:type="pct"/>
            <w:tcBorders>
              <w:tl2br w:val="nil"/>
              <w:tr2bl w:val="nil"/>
            </w:tcBorders>
            <w:shd w:val="clear" w:color="auto" w:fill="auto"/>
            <w:vAlign w:val="center"/>
          </w:tcPr>
          <w:p w14:paraId="208BE21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3D16338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694546B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3D0C48CE">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7</w:t>
            </w:r>
          </w:p>
        </w:tc>
        <w:tc>
          <w:tcPr>
            <w:tcW w:w="1102" w:type="pct"/>
            <w:tcBorders>
              <w:tl2br w:val="nil"/>
              <w:tr2bl w:val="nil"/>
            </w:tcBorders>
            <w:shd w:val="clear" w:color="auto" w:fill="auto"/>
            <w:vAlign w:val="top"/>
          </w:tcPr>
          <w:p w14:paraId="0C6D35F6">
            <w:pPr>
              <w:keepNext w:val="0"/>
              <w:keepLines w:val="0"/>
              <w:pageBreakBefore w:val="0"/>
              <w:widowControl w:val="0"/>
              <w:kinsoku/>
              <w:wordWrap/>
              <w:overflowPunct/>
              <w:topLinePunct w:val="0"/>
              <w:autoSpaceDE/>
              <w:autoSpaceDN/>
              <w:bidi w:val="0"/>
              <w:adjustRightInd w:val="0"/>
              <w:snapToGrid w:val="0"/>
              <w:spacing w:line="260" w:lineRule="exact"/>
              <w:ind w:firstLine="0" w:firstLineChars="0"/>
              <w:jc w:val="center"/>
              <w:textAlignment w:val="auto"/>
              <w:rPr>
                <w:rFonts w:hint="eastAsia" w:ascii="宋体" w:hAnsi="宋体" w:eastAsia="宋体" w:cs="宋体"/>
                <w:b w:val="0"/>
                <w:bCs w:val="0"/>
                <w:color w:val="auto"/>
                <w:sz w:val="18"/>
                <w:szCs w:val="18"/>
              </w:rPr>
            </w:pPr>
          </w:p>
          <w:p w14:paraId="45387DC4">
            <w:pPr>
              <w:keepNext w:val="0"/>
              <w:keepLines w:val="0"/>
              <w:pageBreakBefore w:val="0"/>
              <w:widowControl w:val="0"/>
              <w:kinsoku/>
              <w:wordWrap/>
              <w:overflowPunct/>
              <w:topLinePunct w:val="0"/>
              <w:autoSpaceDE/>
              <w:autoSpaceDN/>
              <w:bidi w:val="0"/>
              <w:adjustRightInd w:val="0"/>
              <w:snapToGrid w:val="0"/>
              <w:spacing w:line="260" w:lineRule="exact"/>
              <w:ind w:firstLine="0" w:firstLineChars="0"/>
              <w:jc w:val="center"/>
              <w:textAlignment w:val="auto"/>
              <w:rPr>
                <w:rFonts w:hint="eastAsia" w:ascii="宋体" w:hAnsi="宋体" w:eastAsia="宋体" w:cs="宋体"/>
                <w:b w:val="0"/>
                <w:bCs w:val="0"/>
                <w:color w:val="auto"/>
                <w:sz w:val="18"/>
                <w:szCs w:val="18"/>
              </w:rPr>
            </w:pPr>
          </w:p>
          <w:p w14:paraId="27C9DF4C">
            <w:pPr>
              <w:pStyle w:val="25"/>
              <w:keepNext w:val="0"/>
              <w:keepLines w:val="0"/>
              <w:pageBreakBefore w:val="0"/>
              <w:widowControl w:val="0"/>
              <w:kinsoku/>
              <w:wordWrap/>
              <w:overflowPunct/>
              <w:topLinePunct w:val="0"/>
              <w:autoSpaceDE/>
              <w:autoSpaceDN/>
              <w:bidi w:val="0"/>
              <w:adjustRightInd w:val="0"/>
              <w:snapToGrid w:val="0"/>
              <w:spacing w:before="55" w:line="260" w:lineRule="exact"/>
              <w:ind w:left="3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设备噪声(离设备1米处的值)</w:t>
            </w:r>
          </w:p>
        </w:tc>
        <w:tc>
          <w:tcPr>
            <w:tcW w:w="602" w:type="pct"/>
            <w:gridSpan w:val="2"/>
            <w:tcBorders>
              <w:tl2br w:val="nil"/>
              <w:tr2bl w:val="nil"/>
            </w:tcBorders>
            <w:shd w:val="clear" w:color="auto" w:fill="auto"/>
            <w:vAlign w:val="center"/>
          </w:tcPr>
          <w:p w14:paraId="3F12596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749E210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26B59BE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10550DC9">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&lt;80dBA</w:t>
            </w:r>
          </w:p>
        </w:tc>
        <w:tc>
          <w:tcPr>
            <w:tcW w:w="785" w:type="pct"/>
            <w:gridSpan w:val="2"/>
            <w:tcBorders>
              <w:tl2br w:val="nil"/>
              <w:tr2bl w:val="nil"/>
            </w:tcBorders>
            <w:shd w:val="clear" w:color="auto" w:fill="auto"/>
            <w:vAlign w:val="center"/>
          </w:tcPr>
          <w:p w14:paraId="3F22C4A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4135898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56E495F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17B8266F">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75~90dB</w:t>
            </w:r>
          </w:p>
        </w:tc>
        <w:tc>
          <w:tcPr>
            <w:tcW w:w="612" w:type="pct"/>
            <w:tcBorders>
              <w:tl2br w:val="nil"/>
              <w:tr2bl w:val="nil"/>
            </w:tcBorders>
            <w:shd w:val="clear" w:color="auto" w:fill="auto"/>
            <w:vAlign w:val="center"/>
          </w:tcPr>
          <w:p w14:paraId="560B408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507D4D5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08CEDE9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p>
          <w:p w14:paraId="6AA81222">
            <w:pPr>
              <w:pStyle w:val="25"/>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75~90dB</w:t>
            </w:r>
          </w:p>
        </w:tc>
        <w:tc>
          <w:tcPr>
            <w:tcW w:w="1580" w:type="pct"/>
            <w:tcBorders>
              <w:tl2br w:val="nil"/>
              <w:tr2bl w:val="nil"/>
            </w:tcBorders>
            <w:shd w:val="clear" w:color="auto" w:fill="auto"/>
            <w:vAlign w:val="center"/>
          </w:tcPr>
          <w:p w14:paraId="2C6A7572">
            <w:pPr>
              <w:pStyle w:val="25"/>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根据GB12348-2008《工业企业厂界环境</w:t>
            </w:r>
            <w:r>
              <w:rPr>
                <w:rFonts w:hint="eastAsia" w:ascii="宋体" w:hAnsi="宋体" w:eastAsia="宋体" w:cs="宋体"/>
                <w:b w:val="0"/>
                <w:bCs w:val="0"/>
                <w:color w:val="auto"/>
                <w:spacing w:val="7"/>
                <w:sz w:val="18"/>
                <w:szCs w:val="18"/>
              </w:rPr>
              <w:t xml:space="preserve">  </w:t>
            </w:r>
            <w:r>
              <w:rPr>
                <w:rFonts w:hint="eastAsia" w:ascii="宋体" w:hAnsi="宋体" w:eastAsia="宋体" w:cs="宋体"/>
                <w:b w:val="0"/>
                <w:bCs w:val="0"/>
                <w:color w:val="auto"/>
                <w:spacing w:val="1"/>
                <w:sz w:val="18"/>
                <w:szCs w:val="18"/>
              </w:rPr>
              <w:t>噪声排放标准》,脱硫场地附近的脱硫设</w:t>
            </w:r>
            <w:r>
              <w:rPr>
                <w:rFonts w:hint="eastAsia" w:ascii="宋体" w:hAnsi="宋体" w:eastAsia="宋体" w:cs="宋体"/>
                <w:b w:val="0"/>
                <w:bCs w:val="0"/>
                <w:color w:val="auto"/>
                <w:spacing w:val="13"/>
                <w:sz w:val="18"/>
                <w:szCs w:val="18"/>
              </w:rPr>
              <w:t xml:space="preserve"> </w:t>
            </w:r>
            <w:r>
              <w:rPr>
                <w:rFonts w:hint="eastAsia" w:ascii="宋体" w:hAnsi="宋体" w:eastAsia="宋体" w:cs="宋体"/>
                <w:b w:val="0"/>
                <w:bCs w:val="0"/>
                <w:color w:val="auto"/>
                <w:spacing w:val="-1"/>
                <w:sz w:val="18"/>
                <w:szCs w:val="18"/>
              </w:rPr>
              <w:t>备噪音检测受脱硫场地附近水泥生产线噪</w:t>
            </w:r>
            <w:r>
              <w:rPr>
                <w:rFonts w:hint="eastAsia" w:ascii="宋体" w:hAnsi="宋体" w:eastAsia="宋体" w:cs="宋体"/>
                <w:b w:val="0"/>
                <w:bCs w:val="0"/>
                <w:color w:val="auto"/>
                <w:spacing w:val="8"/>
                <w:sz w:val="18"/>
                <w:szCs w:val="18"/>
              </w:rPr>
              <w:t xml:space="preserve"> </w:t>
            </w:r>
            <w:r>
              <w:rPr>
                <w:rFonts w:hint="eastAsia" w:ascii="宋体" w:hAnsi="宋体" w:eastAsia="宋体" w:cs="宋体"/>
                <w:b w:val="0"/>
                <w:bCs w:val="0"/>
                <w:color w:val="auto"/>
                <w:spacing w:val="-1"/>
                <w:sz w:val="18"/>
                <w:szCs w:val="18"/>
              </w:rPr>
              <w:t>音影响，我们认为目前现场条件下的测试</w:t>
            </w:r>
            <w:r>
              <w:rPr>
                <w:rFonts w:hint="eastAsia" w:ascii="宋体" w:hAnsi="宋体" w:eastAsia="宋体" w:cs="宋体"/>
                <w:b w:val="0"/>
                <w:bCs w:val="0"/>
                <w:color w:val="auto"/>
                <w:spacing w:val="9"/>
                <w:sz w:val="18"/>
                <w:szCs w:val="18"/>
              </w:rPr>
              <w:t xml:space="preserve"> </w:t>
            </w:r>
            <w:r>
              <w:rPr>
                <w:rFonts w:hint="eastAsia" w:ascii="宋体" w:hAnsi="宋体" w:eastAsia="宋体" w:cs="宋体"/>
                <w:b w:val="0"/>
                <w:bCs w:val="0"/>
                <w:color w:val="auto"/>
                <w:spacing w:val="-1"/>
                <w:sz w:val="18"/>
                <w:szCs w:val="18"/>
              </w:rPr>
              <w:t>数据不能代表脱硫设备实际噪音值。我们</w:t>
            </w:r>
            <w:r>
              <w:rPr>
                <w:rFonts w:hint="eastAsia" w:ascii="宋体" w:hAnsi="宋体" w:eastAsia="宋体" w:cs="宋体"/>
                <w:b w:val="0"/>
                <w:bCs w:val="0"/>
                <w:color w:val="auto"/>
                <w:spacing w:val="9"/>
                <w:sz w:val="18"/>
                <w:szCs w:val="18"/>
              </w:rPr>
              <w:t xml:space="preserve"> </w:t>
            </w:r>
            <w:r>
              <w:rPr>
                <w:rFonts w:hint="eastAsia" w:ascii="宋体" w:hAnsi="宋体" w:eastAsia="宋体" w:cs="宋体"/>
                <w:b w:val="0"/>
                <w:bCs w:val="0"/>
                <w:color w:val="auto"/>
                <w:spacing w:val="-1"/>
                <w:sz w:val="18"/>
                <w:szCs w:val="18"/>
              </w:rPr>
              <w:t>建议请专业的第三方噪音检测单位进行测</w:t>
            </w:r>
            <w:r>
              <w:rPr>
                <w:rFonts w:hint="eastAsia" w:ascii="宋体" w:hAnsi="宋体" w:eastAsia="宋体" w:cs="宋体"/>
                <w:b w:val="0"/>
                <w:bCs w:val="0"/>
                <w:color w:val="auto"/>
                <w:spacing w:val="8"/>
                <w:sz w:val="18"/>
                <w:szCs w:val="18"/>
              </w:rPr>
              <w:t xml:space="preserve"> </w:t>
            </w:r>
            <w:r>
              <w:rPr>
                <w:rFonts w:hint="eastAsia" w:ascii="宋体" w:hAnsi="宋体" w:eastAsia="宋体" w:cs="宋体"/>
                <w:b w:val="0"/>
                <w:bCs w:val="0"/>
                <w:color w:val="auto"/>
                <w:sz w:val="18"/>
                <w:szCs w:val="18"/>
              </w:rPr>
              <w:t>试，或者在停窑时单独测试设备噪音。</w:t>
            </w:r>
          </w:p>
        </w:tc>
      </w:tr>
      <w:tr w14:paraId="1E1F7E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16" w:type="pct"/>
            <w:tcBorders>
              <w:tl2br w:val="nil"/>
              <w:tr2bl w:val="nil"/>
            </w:tcBorders>
            <w:shd w:val="clear" w:color="auto" w:fill="auto"/>
            <w:vAlign w:val="top"/>
          </w:tcPr>
          <w:p w14:paraId="00097DA1">
            <w:pPr>
              <w:pStyle w:val="25"/>
              <w:keepNext w:val="0"/>
              <w:keepLines w:val="0"/>
              <w:pageBreakBefore w:val="0"/>
              <w:widowControl w:val="0"/>
              <w:kinsoku/>
              <w:wordWrap/>
              <w:overflowPunct/>
              <w:topLinePunct w:val="0"/>
              <w:autoSpaceDE/>
              <w:autoSpaceDN/>
              <w:bidi w:val="0"/>
              <w:adjustRightInd w:val="0"/>
              <w:snapToGrid w:val="0"/>
              <w:spacing w:before="169" w:line="183" w:lineRule="auto"/>
              <w:ind w:left="265" w:firstLine="0" w:firstLineChars="0"/>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8</w:t>
            </w:r>
          </w:p>
        </w:tc>
        <w:tc>
          <w:tcPr>
            <w:tcW w:w="1334" w:type="pct"/>
            <w:gridSpan w:val="2"/>
            <w:tcBorders>
              <w:tl2br w:val="nil"/>
              <w:tr2bl w:val="nil"/>
            </w:tcBorders>
            <w:shd w:val="clear" w:color="auto" w:fill="auto"/>
            <w:vAlign w:val="top"/>
          </w:tcPr>
          <w:p w14:paraId="5FA863FD">
            <w:pPr>
              <w:pStyle w:val="25"/>
              <w:keepNext w:val="0"/>
              <w:keepLines w:val="0"/>
              <w:pageBreakBefore w:val="0"/>
              <w:widowControl w:val="0"/>
              <w:kinsoku/>
              <w:wordWrap/>
              <w:overflowPunct/>
              <w:topLinePunct w:val="0"/>
              <w:autoSpaceDE/>
              <w:autoSpaceDN/>
              <w:bidi w:val="0"/>
              <w:adjustRightInd w:val="0"/>
              <w:snapToGrid w:val="0"/>
              <w:spacing w:before="124" w:line="219" w:lineRule="auto"/>
              <w:ind w:left="30" w:firstLine="0" w:firstLineChars="0"/>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运行成本(</w:t>
            </w:r>
            <w:r>
              <w:rPr>
                <w:rFonts w:hint="eastAsia" w:ascii="宋体" w:hAnsi="宋体" w:eastAsia="宋体" w:cs="宋体"/>
                <w:b w:val="0"/>
                <w:bCs w:val="0"/>
                <w:color w:val="auto"/>
                <w:sz w:val="18"/>
                <w:szCs w:val="18"/>
              </w:rPr>
              <w:t>RMB</w:t>
            </w:r>
            <w:r>
              <w:rPr>
                <w:rFonts w:hint="eastAsia" w:ascii="宋体" w:hAnsi="宋体" w:eastAsia="宋体" w:cs="宋体"/>
                <w:b w:val="0"/>
                <w:bCs w:val="0"/>
                <w:color w:val="auto"/>
                <w:spacing w:val="3"/>
                <w:sz w:val="18"/>
                <w:szCs w:val="18"/>
              </w:rPr>
              <w:t>/单位熟料)</w:t>
            </w:r>
          </w:p>
        </w:tc>
        <w:tc>
          <w:tcPr>
            <w:tcW w:w="567" w:type="pct"/>
            <w:gridSpan w:val="2"/>
            <w:tcBorders>
              <w:tl2br w:val="nil"/>
              <w:tr2bl w:val="nil"/>
            </w:tcBorders>
            <w:shd w:val="clear" w:color="auto" w:fill="auto"/>
            <w:vAlign w:val="top"/>
          </w:tcPr>
          <w:p w14:paraId="284BF95F">
            <w:pPr>
              <w:pStyle w:val="25"/>
              <w:keepNext w:val="0"/>
              <w:keepLines w:val="0"/>
              <w:pageBreakBefore w:val="0"/>
              <w:widowControl w:val="0"/>
              <w:kinsoku/>
              <w:wordWrap/>
              <w:overflowPunct/>
              <w:topLinePunct w:val="0"/>
              <w:autoSpaceDE/>
              <w:autoSpaceDN/>
              <w:bidi w:val="0"/>
              <w:adjustRightInd w:val="0"/>
              <w:snapToGrid w:val="0"/>
              <w:spacing w:before="167" w:line="186" w:lineRule="auto"/>
              <w:ind w:left="343" w:firstLine="0" w:firstLineChars="0"/>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&lt;2.38</w:t>
            </w:r>
          </w:p>
        </w:tc>
        <w:tc>
          <w:tcPr>
            <w:tcW w:w="588" w:type="pct"/>
            <w:tcBorders>
              <w:tl2br w:val="nil"/>
              <w:tr2bl w:val="nil"/>
            </w:tcBorders>
            <w:shd w:val="clear" w:color="auto" w:fill="auto"/>
            <w:vAlign w:val="top"/>
          </w:tcPr>
          <w:p w14:paraId="490F2D76">
            <w:pPr>
              <w:pStyle w:val="25"/>
              <w:keepNext w:val="0"/>
              <w:keepLines w:val="0"/>
              <w:pageBreakBefore w:val="0"/>
              <w:widowControl w:val="0"/>
              <w:kinsoku/>
              <w:wordWrap/>
              <w:overflowPunct/>
              <w:topLinePunct w:val="0"/>
              <w:autoSpaceDE/>
              <w:autoSpaceDN/>
              <w:bidi w:val="0"/>
              <w:adjustRightInd w:val="0"/>
              <w:snapToGrid w:val="0"/>
              <w:spacing w:before="168" w:line="184" w:lineRule="auto"/>
              <w:ind w:left="325" w:firstLine="0" w:firstLineChars="0"/>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1.3864</w:t>
            </w:r>
          </w:p>
        </w:tc>
        <w:tc>
          <w:tcPr>
            <w:tcW w:w="612" w:type="pct"/>
            <w:tcBorders>
              <w:tl2br w:val="nil"/>
              <w:tr2bl w:val="nil"/>
            </w:tcBorders>
            <w:shd w:val="clear" w:color="auto" w:fill="auto"/>
            <w:vAlign w:val="top"/>
          </w:tcPr>
          <w:p w14:paraId="3C967B5F">
            <w:pPr>
              <w:pStyle w:val="25"/>
              <w:keepNext w:val="0"/>
              <w:keepLines w:val="0"/>
              <w:pageBreakBefore w:val="0"/>
              <w:widowControl w:val="0"/>
              <w:kinsoku/>
              <w:wordWrap/>
              <w:overflowPunct/>
              <w:topLinePunct w:val="0"/>
              <w:autoSpaceDE/>
              <w:autoSpaceDN/>
              <w:bidi w:val="0"/>
              <w:adjustRightInd w:val="0"/>
              <w:snapToGrid w:val="0"/>
              <w:spacing w:before="168" w:line="184" w:lineRule="auto"/>
              <w:ind w:left="346" w:firstLine="0" w:firstLineChars="0"/>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3"/>
                <w:sz w:val="18"/>
                <w:szCs w:val="18"/>
              </w:rPr>
              <w:t>1.2921</w:t>
            </w:r>
          </w:p>
        </w:tc>
        <w:tc>
          <w:tcPr>
            <w:tcW w:w="1580" w:type="pct"/>
            <w:tcBorders>
              <w:tl2br w:val="nil"/>
              <w:tr2bl w:val="nil"/>
            </w:tcBorders>
            <w:shd w:val="clear" w:color="auto" w:fill="auto"/>
            <w:vAlign w:val="center"/>
          </w:tcPr>
          <w:p w14:paraId="3B9450F7">
            <w:pPr>
              <w:pStyle w:val="25"/>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达标</w:t>
            </w:r>
          </w:p>
        </w:tc>
      </w:tr>
      <w:tr w14:paraId="23A586B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316" w:type="pct"/>
            <w:tcBorders>
              <w:tl2br w:val="nil"/>
              <w:tr2bl w:val="nil"/>
            </w:tcBorders>
            <w:shd w:val="clear" w:color="auto" w:fill="auto"/>
            <w:vAlign w:val="top"/>
          </w:tcPr>
          <w:p w14:paraId="216A358E">
            <w:pPr>
              <w:pStyle w:val="25"/>
              <w:keepNext w:val="0"/>
              <w:keepLines w:val="0"/>
              <w:pageBreakBefore w:val="0"/>
              <w:widowControl w:val="0"/>
              <w:kinsoku/>
              <w:wordWrap/>
              <w:overflowPunct/>
              <w:topLinePunct w:val="0"/>
              <w:autoSpaceDE/>
              <w:autoSpaceDN/>
              <w:bidi w:val="0"/>
              <w:adjustRightInd w:val="0"/>
              <w:snapToGrid w:val="0"/>
              <w:spacing w:before="186" w:line="221" w:lineRule="auto"/>
              <w:ind w:left="44" w:firstLine="0" w:firstLineChars="0"/>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2"/>
                <w:sz w:val="18"/>
                <w:szCs w:val="18"/>
              </w:rPr>
              <w:t>要求：</w:t>
            </w:r>
          </w:p>
        </w:tc>
        <w:tc>
          <w:tcPr>
            <w:tcW w:w="4683" w:type="pct"/>
            <w:gridSpan w:val="7"/>
            <w:tcBorders>
              <w:tl2br w:val="nil"/>
              <w:tr2bl w:val="nil"/>
            </w:tcBorders>
            <w:shd w:val="clear" w:color="auto" w:fill="auto"/>
            <w:vAlign w:val="top"/>
          </w:tcPr>
          <w:p w14:paraId="5F561A33">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left"/>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auto"/>
                <w:spacing w:val="1"/>
                <w:sz w:val="18"/>
                <w:szCs w:val="18"/>
              </w:rPr>
              <w:t>需保证生产线在性能测试时需满足以下条件：脱硫塔进口二氧化硫(本底值)≤2500</w:t>
            </w:r>
            <w:r>
              <w:rPr>
                <w:rFonts w:hint="eastAsia" w:ascii="宋体" w:hAnsi="宋体" w:eastAsia="宋体" w:cs="宋体"/>
                <w:b w:val="0"/>
                <w:bCs w:val="0"/>
                <w:color w:val="auto"/>
                <w:sz w:val="18"/>
                <w:szCs w:val="18"/>
              </w:rPr>
              <w:t>mg</w:t>
            </w:r>
            <w:r>
              <w:rPr>
                <w:rFonts w:hint="eastAsia" w:ascii="宋体" w:hAnsi="宋体" w:eastAsia="宋体" w:cs="宋体"/>
                <w:b w:val="0"/>
                <w:bCs w:val="0"/>
                <w:color w:val="auto"/>
                <w:spacing w:val="1"/>
                <w:sz w:val="18"/>
                <w:szCs w:val="18"/>
              </w:rPr>
              <w:t>/m³,脱硫系统进口粉尘浓度≤10</w:t>
            </w:r>
            <w:r>
              <w:rPr>
                <w:rFonts w:hint="eastAsia" w:ascii="宋体" w:hAnsi="宋体" w:eastAsia="宋体" w:cs="宋体"/>
                <w:b w:val="0"/>
                <w:bCs w:val="0"/>
                <w:color w:val="auto"/>
                <w:sz w:val="18"/>
                <w:szCs w:val="18"/>
              </w:rPr>
              <w:t>mg</w:t>
            </w:r>
            <w:r>
              <w:rPr>
                <w:rFonts w:hint="eastAsia" w:ascii="宋体" w:hAnsi="宋体" w:eastAsia="宋体" w:cs="宋体"/>
                <w:b w:val="0"/>
                <w:bCs w:val="0"/>
                <w:color w:val="auto"/>
                <w:spacing w:val="1"/>
                <w:sz w:val="18"/>
                <w:szCs w:val="18"/>
              </w:rPr>
              <w:t>/m³</w:t>
            </w:r>
          </w:p>
        </w:tc>
      </w:tr>
    </w:tbl>
    <w:p w14:paraId="106128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2"/>
          <w:sz w:val="28"/>
          <w:szCs w:val="28"/>
          <w:lang w:val="en-US" w:eastAsia="zh-CN" w:bidi="ar-SA"/>
        </w:rPr>
      </w:pPr>
      <w:r>
        <w:rPr>
          <w:rFonts w:hint="eastAsia" w:cs="Times New Roman"/>
          <w:color w:val="auto"/>
          <w:kern w:val="2"/>
          <w:sz w:val="28"/>
          <w:szCs w:val="28"/>
          <w:lang w:val="en-US" w:eastAsia="zh-CN" w:bidi="ar-SA"/>
        </w:rPr>
        <w:t>表2.9.13-2第二次噪音测试</w:t>
      </w:r>
    </w:p>
    <w:tbl>
      <w:tblPr>
        <w:tblStyle w:val="18"/>
        <w:tblW w:w="5014"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590"/>
        <w:gridCol w:w="2420"/>
        <w:gridCol w:w="1026"/>
        <w:gridCol w:w="1125"/>
        <w:gridCol w:w="1145"/>
        <w:gridCol w:w="2821"/>
      </w:tblGrid>
      <w:tr w14:paraId="0CAF08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0" w:hRule="atLeast"/>
          <w:jc w:val="center"/>
        </w:trPr>
        <w:tc>
          <w:tcPr>
            <w:tcW w:w="323" w:type="pct"/>
            <w:tcBorders>
              <w:tl2br w:val="nil"/>
              <w:tr2bl w:val="nil"/>
            </w:tcBorders>
            <w:shd w:val="clear" w:color="auto" w:fill="auto"/>
            <w:vAlign w:val="top"/>
          </w:tcPr>
          <w:p w14:paraId="557968A5">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序号</w:t>
            </w:r>
          </w:p>
        </w:tc>
        <w:tc>
          <w:tcPr>
            <w:tcW w:w="1325" w:type="pct"/>
            <w:tcBorders>
              <w:tl2br w:val="nil"/>
              <w:tr2bl w:val="nil"/>
            </w:tcBorders>
            <w:shd w:val="clear" w:color="auto" w:fill="auto"/>
            <w:vAlign w:val="top"/>
          </w:tcPr>
          <w:p w14:paraId="5853068E">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项目名称</w:t>
            </w:r>
          </w:p>
        </w:tc>
        <w:tc>
          <w:tcPr>
            <w:tcW w:w="562" w:type="pct"/>
            <w:tcBorders>
              <w:tl2br w:val="nil"/>
              <w:tr2bl w:val="nil"/>
            </w:tcBorders>
            <w:shd w:val="clear" w:color="auto" w:fill="auto"/>
            <w:vAlign w:val="top"/>
          </w:tcPr>
          <w:p w14:paraId="114A2767">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保证值</w:t>
            </w:r>
          </w:p>
        </w:tc>
        <w:tc>
          <w:tcPr>
            <w:tcW w:w="616" w:type="pct"/>
            <w:tcBorders>
              <w:tl2br w:val="nil"/>
              <w:tr2bl w:val="nil"/>
            </w:tcBorders>
            <w:shd w:val="clear" w:color="auto" w:fill="auto"/>
            <w:vAlign w:val="top"/>
          </w:tcPr>
          <w:p w14:paraId="15E01C77">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五号线实际值</w:t>
            </w:r>
          </w:p>
        </w:tc>
        <w:tc>
          <w:tcPr>
            <w:tcW w:w="627" w:type="pct"/>
            <w:tcBorders>
              <w:tl2br w:val="nil"/>
              <w:tr2bl w:val="nil"/>
            </w:tcBorders>
            <w:shd w:val="clear" w:color="auto" w:fill="auto"/>
            <w:vAlign w:val="top"/>
          </w:tcPr>
          <w:p w14:paraId="2883881D">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六号线实际值</w:t>
            </w:r>
          </w:p>
        </w:tc>
        <w:tc>
          <w:tcPr>
            <w:tcW w:w="1545" w:type="pct"/>
            <w:tcBorders>
              <w:tl2br w:val="nil"/>
              <w:tr2bl w:val="nil"/>
            </w:tcBorders>
            <w:shd w:val="clear" w:color="auto" w:fill="auto"/>
            <w:vAlign w:val="top"/>
          </w:tcPr>
          <w:p w14:paraId="3EE239BA">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备注</w:t>
            </w:r>
          </w:p>
        </w:tc>
      </w:tr>
      <w:tr w14:paraId="58FF1E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89" w:hRule="atLeast"/>
          <w:jc w:val="center"/>
        </w:trPr>
        <w:tc>
          <w:tcPr>
            <w:tcW w:w="323" w:type="pct"/>
            <w:tcBorders>
              <w:tl2br w:val="nil"/>
              <w:tr2bl w:val="nil"/>
            </w:tcBorders>
            <w:shd w:val="clear" w:color="auto" w:fill="auto"/>
            <w:vAlign w:val="top"/>
          </w:tcPr>
          <w:p w14:paraId="2E1F92C6">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7</w:t>
            </w:r>
          </w:p>
        </w:tc>
        <w:tc>
          <w:tcPr>
            <w:tcW w:w="1325" w:type="pct"/>
            <w:tcBorders>
              <w:tl2br w:val="nil"/>
              <w:tr2bl w:val="nil"/>
            </w:tcBorders>
            <w:shd w:val="clear" w:color="auto" w:fill="auto"/>
            <w:vAlign w:val="top"/>
          </w:tcPr>
          <w:p w14:paraId="30304EC4">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设备噪声(离设备1米处的值)</w:t>
            </w:r>
          </w:p>
        </w:tc>
        <w:tc>
          <w:tcPr>
            <w:tcW w:w="562" w:type="pct"/>
            <w:tcBorders>
              <w:tl2br w:val="nil"/>
              <w:tr2bl w:val="nil"/>
            </w:tcBorders>
            <w:shd w:val="clear" w:color="auto" w:fill="auto"/>
            <w:vAlign w:val="center"/>
          </w:tcPr>
          <w:p w14:paraId="6B34D9EF">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&lt;80dBA</w:t>
            </w:r>
          </w:p>
        </w:tc>
        <w:tc>
          <w:tcPr>
            <w:tcW w:w="616" w:type="pct"/>
            <w:tcBorders>
              <w:tl2br w:val="nil"/>
              <w:tr2bl w:val="nil"/>
            </w:tcBorders>
            <w:shd w:val="clear" w:color="auto" w:fill="auto"/>
            <w:vAlign w:val="center"/>
          </w:tcPr>
          <w:p w14:paraId="4BC6ACCE">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75~79dB</w:t>
            </w:r>
          </w:p>
        </w:tc>
        <w:tc>
          <w:tcPr>
            <w:tcW w:w="627" w:type="pct"/>
            <w:tcBorders>
              <w:tl2br w:val="nil"/>
              <w:tr2bl w:val="nil"/>
            </w:tcBorders>
            <w:shd w:val="clear" w:color="auto" w:fill="auto"/>
            <w:vAlign w:val="center"/>
          </w:tcPr>
          <w:p w14:paraId="4B870766">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74~79dB</w:t>
            </w:r>
          </w:p>
        </w:tc>
        <w:tc>
          <w:tcPr>
            <w:tcW w:w="1545" w:type="pct"/>
            <w:tcBorders>
              <w:tl2br w:val="nil"/>
              <w:tr2bl w:val="nil"/>
            </w:tcBorders>
            <w:shd w:val="clear" w:color="auto" w:fill="auto"/>
            <w:vAlign w:val="top"/>
          </w:tcPr>
          <w:p w14:paraId="7D4D0E7D">
            <w:pPr>
              <w:pStyle w:val="25"/>
              <w:keepNext w:val="0"/>
              <w:keepLines w:val="0"/>
              <w:pageBreakBefore w:val="0"/>
              <w:widowControl w:val="0"/>
              <w:kinsoku/>
              <w:wordWrap/>
              <w:overflowPunct/>
              <w:topLinePunct w:val="0"/>
              <w:autoSpaceDE/>
              <w:autoSpaceDN/>
              <w:bidi w:val="0"/>
              <w:adjustRightInd w:val="0"/>
              <w:snapToGrid w:val="0"/>
              <w:spacing w:before="180" w:line="214" w:lineRule="auto"/>
              <w:ind w:firstLine="0" w:firstLineChars="0"/>
              <w:jc w:val="center"/>
              <w:textAlignment w:val="auto"/>
              <w:rPr>
                <w:rFonts w:hint="eastAsia" w:ascii="宋体" w:hAnsi="宋体" w:eastAsia="宋体" w:cs="宋体"/>
                <w:b w:val="0"/>
                <w:bCs w:val="0"/>
                <w:color w:val="auto"/>
                <w:spacing w:val="1"/>
                <w:sz w:val="18"/>
                <w:szCs w:val="18"/>
              </w:rPr>
            </w:pPr>
            <w:r>
              <w:rPr>
                <w:rFonts w:hint="eastAsia" w:ascii="宋体" w:hAnsi="宋体" w:eastAsia="宋体" w:cs="宋体"/>
                <w:b w:val="0"/>
                <w:bCs w:val="0"/>
                <w:color w:val="auto"/>
                <w:spacing w:val="1"/>
                <w:sz w:val="18"/>
                <w:szCs w:val="18"/>
              </w:rPr>
              <w:t>本次测试将五六号生料磨机砂岩磨停机。</w:t>
            </w:r>
          </w:p>
        </w:tc>
      </w:tr>
    </w:tbl>
    <w:p w14:paraId="1CD5DCDF">
      <w:pPr>
        <w:rPr>
          <w:rFonts w:hint="eastAsia" w:cs="Times New Roman"/>
          <w:color w:val="auto"/>
          <w:kern w:val="2"/>
          <w:sz w:val="28"/>
          <w:szCs w:val="28"/>
          <w:lang w:val="en-US" w:eastAsia="zh-CN" w:bidi="ar-SA"/>
        </w:rPr>
      </w:pPr>
      <w:r>
        <w:rPr>
          <w:rFonts w:hint="eastAsia" w:cs="Times New Roman"/>
          <w:color w:val="auto"/>
          <w:kern w:val="2"/>
          <w:sz w:val="28"/>
          <w:szCs w:val="28"/>
          <w:lang w:val="en-US" w:eastAsia="zh-CN" w:bidi="ar-SA"/>
        </w:rPr>
        <w:t>依据该总结报告，整套脱硫装置窑运转同步率、脱硫后二氧化硫排放浓度(生料磨停磨时)、烟囱出口粉尘排放量、石膏品质、设备噪声、运行成本、烟囱出口雾滴浓度等指标达到要求。</w:t>
      </w:r>
    </w:p>
    <w:p w14:paraId="0CD3E49D">
      <w:pPr>
        <w:pStyle w:val="4"/>
        <w:bidi w:val="0"/>
        <w:rPr>
          <w:color w:val="auto"/>
        </w:rPr>
      </w:pPr>
      <w:bookmarkStart w:id="53" w:name="_Toc17522"/>
      <w:r>
        <w:rPr>
          <w:rFonts w:hint="eastAsia"/>
          <w:color w:val="auto"/>
          <w:lang w:val="en-US" w:eastAsia="zh-CN"/>
        </w:rPr>
        <w:t>2.9.14</w:t>
      </w:r>
      <w:r>
        <w:rPr>
          <w:color w:val="auto"/>
        </w:rPr>
        <w:t>安全生产投入情况</w:t>
      </w:r>
      <w:bookmarkEnd w:id="53"/>
    </w:p>
    <w:p w14:paraId="46520D79">
      <w:pPr>
        <w:spacing w:line="360" w:lineRule="auto"/>
        <w:ind w:firstLine="560" w:firstLineChars="200"/>
        <w:rPr>
          <w:rFonts w:hint="eastAsia"/>
          <w:color w:val="auto"/>
          <w:lang w:val="en-US" w:eastAsia="zh-CN"/>
        </w:rPr>
      </w:pPr>
      <w:r>
        <w:rPr>
          <w:rFonts w:hint="eastAsia"/>
          <w:bCs/>
          <w:color w:val="auto"/>
        </w:rPr>
        <w:t>江西亚东水泥有限公司降低二氧化硫排放项目（2*6000t/d与4*4200t/d）</w:t>
      </w:r>
      <w:r>
        <w:rPr>
          <w:bCs/>
          <w:color w:val="auto"/>
        </w:rPr>
        <w:t>报批总投资为</w:t>
      </w:r>
      <w:r>
        <w:rPr>
          <w:rFonts w:hint="eastAsia"/>
          <w:bCs/>
          <w:color w:val="auto"/>
        </w:rPr>
        <w:t>3600万</w:t>
      </w:r>
      <w:r>
        <w:rPr>
          <w:bCs/>
          <w:color w:val="auto"/>
        </w:rPr>
        <w:t>元，</w:t>
      </w:r>
      <w:r>
        <w:rPr>
          <w:rFonts w:hint="eastAsia"/>
          <w:bCs/>
          <w:color w:val="auto"/>
          <w:lang w:val="en-US" w:eastAsia="zh-CN"/>
        </w:rPr>
        <w:t>其中</w:t>
      </w:r>
      <w:r>
        <w:rPr>
          <w:rFonts w:hint="eastAsia"/>
          <w:color w:val="auto"/>
        </w:rPr>
        <w:t>建设项目安全设施</w:t>
      </w:r>
      <w:r>
        <w:rPr>
          <w:rFonts w:hint="eastAsia"/>
          <w:color w:val="auto"/>
          <w:lang w:val="en-US" w:eastAsia="zh-CN"/>
        </w:rPr>
        <w:t>总</w:t>
      </w:r>
      <w:r>
        <w:rPr>
          <w:rFonts w:hint="eastAsia"/>
          <w:color w:val="auto"/>
        </w:rPr>
        <w:t>投资</w:t>
      </w:r>
      <w:r>
        <w:rPr>
          <w:rFonts w:hint="eastAsia"/>
          <w:color w:val="auto"/>
          <w:lang w:val="en-US" w:eastAsia="zh-CN"/>
        </w:rPr>
        <w:t>125万。</w:t>
      </w:r>
    </w:p>
    <w:p w14:paraId="70F63821">
      <w:pPr>
        <w:rPr>
          <w:rFonts w:hint="default" w:ascii="Times New Roman" w:hAnsi="Times New Roman" w:eastAsia="宋体" w:cs="Times New Roman"/>
          <w:b/>
          <w:color w:val="auto"/>
          <w:kern w:val="44"/>
          <w:sz w:val="32"/>
          <w:szCs w:val="28"/>
          <w:lang w:val="en-US" w:eastAsia="zh-CN" w:bidi="ar-SA"/>
        </w:rPr>
      </w:pPr>
      <w:r>
        <w:rPr>
          <w:rFonts w:hint="default" w:ascii="Times New Roman" w:hAnsi="Times New Roman" w:eastAsia="宋体" w:cs="Times New Roman"/>
          <w:b/>
          <w:color w:val="auto"/>
          <w:kern w:val="44"/>
          <w:sz w:val="32"/>
          <w:szCs w:val="28"/>
          <w:lang w:val="en-US" w:eastAsia="zh-CN" w:bidi="ar-SA"/>
        </w:rPr>
        <w:br w:type="page"/>
      </w:r>
    </w:p>
    <w:p w14:paraId="64C7156C">
      <w:pPr>
        <w:pStyle w:val="2"/>
        <w:numPr>
          <w:ilvl w:val="0"/>
          <w:numId w:val="0"/>
        </w:numPr>
        <w:bidi w:val="0"/>
        <w:ind w:firstLine="0" w:firstLineChars="0"/>
        <w:rPr>
          <w:rFonts w:hint="default"/>
          <w:color w:val="auto"/>
          <w:lang w:val="en-US" w:eastAsia="zh-CN"/>
        </w:rPr>
      </w:pPr>
      <w:bookmarkStart w:id="54" w:name="_Toc12805"/>
      <w:r>
        <w:rPr>
          <w:rFonts w:hint="default" w:ascii="Times New Roman" w:hAnsi="Times New Roman" w:eastAsia="宋体" w:cs="Times New Roman"/>
          <w:b/>
          <w:color w:val="auto"/>
          <w:kern w:val="44"/>
          <w:sz w:val="32"/>
          <w:szCs w:val="28"/>
          <w:lang w:val="en-US" w:eastAsia="zh-CN" w:bidi="ar-SA"/>
        </w:rPr>
        <w:t>3.</w:t>
      </w:r>
      <w:r>
        <w:rPr>
          <w:rFonts w:hint="default"/>
          <w:color w:val="auto"/>
          <w:lang w:val="en-US" w:eastAsia="zh-CN"/>
        </w:rPr>
        <w:t>主要危险、有害因素辨识与分析</w:t>
      </w:r>
      <w:bookmarkEnd w:id="54"/>
    </w:p>
    <w:p w14:paraId="1E048A92">
      <w:pPr>
        <w:pStyle w:val="3"/>
        <w:bidi w:val="0"/>
        <w:rPr>
          <w:rFonts w:hint="eastAsia" w:ascii="Times New Roman" w:hAnsi="Times New Roman"/>
          <w:color w:val="auto"/>
        </w:rPr>
      </w:pPr>
      <w:bookmarkStart w:id="55" w:name="_Toc18645"/>
      <w:r>
        <w:rPr>
          <w:rFonts w:hint="eastAsia" w:ascii="Times New Roman" w:hAnsi="Times New Roman"/>
          <w:color w:val="auto"/>
        </w:rPr>
        <w:t>3.1</w:t>
      </w:r>
      <w:r>
        <w:rPr>
          <w:rFonts w:hint="eastAsia" w:ascii="Times New Roman" w:hAnsi="Times New Roman"/>
          <w:color w:val="auto"/>
          <w:lang w:val="en-US" w:eastAsia="zh-CN"/>
        </w:rPr>
        <w:t xml:space="preserve"> </w:t>
      </w:r>
      <w:r>
        <w:rPr>
          <w:rFonts w:hint="eastAsia" w:ascii="Times New Roman" w:hAnsi="Times New Roman"/>
          <w:color w:val="auto"/>
        </w:rPr>
        <w:t>主要危险、有害因素辨识概述</w:t>
      </w:r>
      <w:bookmarkEnd w:id="55"/>
    </w:p>
    <w:p w14:paraId="16F32976">
      <w:pPr>
        <w:bidi w:val="0"/>
        <w:rPr>
          <w:rFonts w:hint="eastAsia" w:ascii="Times New Roman" w:hAnsi="Times New Roman" w:eastAsia="宋体"/>
          <w:color w:val="auto"/>
        </w:rPr>
      </w:pPr>
      <w:r>
        <w:rPr>
          <w:rFonts w:hint="eastAsia" w:ascii="Times New Roman" w:hAnsi="Times New Roman" w:eastAsia="宋体"/>
          <w:color w:val="auto"/>
        </w:rPr>
        <w:t>危险因素是指能对人造成伤亡或对物造成突发性损坏的因素。有害因素是指能影响人的身体健康、导致疾病或对物造成慢性损害的因素。所有的危险、有害因素尽管其表现形式不同</w:t>
      </w:r>
      <w:r>
        <w:rPr>
          <w:rFonts w:hint="eastAsia" w:ascii="Times New Roman" w:hAnsi="Times New Roman" w:eastAsia="宋体"/>
          <w:color w:val="auto"/>
          <w:lang w:eastAsia="zh-CN"/>
        </w:rPr>
        <w:t>，</w:t>
      </w:r>
      <w:r>
        <w:rPr>
          <w:rFonts w:hint="eastAsia" w:ascii="Times New Roman" w:hAnsi="Times New Roman" w:eastAsia="宋体"/>
          <w:color w:val="auto"/>
        </w:rPr>
        <w:t>但从本质上讲，之所以能造成危险、有害的后果，都归结为存在危险有害物质、能量和危险有害物质、能量失去控制两方面因素的综合作用，并导致危险有害物质的泄漏、散发和能量的意外释放。因此，存在危险有害物质，能量和危险有害物质、能量失去控制是危险、有害因素转为事故的根本原因。</w:t>
      </w:r>
    </w:p>
    <w:p w14:paraId="54D2B102">
      <w:pPr>
        <w:bidi w:val="0"/>
        <w:rPr>
          <w:rFonts w:hint="eastAsia" w:ascii="Times New Roman" w:hAnsi="Times New Roman" w:eastAsia="宋体" w:cs="Times New Roman"/>
          <w:color w:val="auto"/>
          <w:kern w:val="2"/>
          <w:szCs w:val="28"/>
          <w:lang w:val="en-US" w:eastAsia="zh-CN" w:bidi="ar-SA"/>
        </w:rPr>
      </w:pPr>
      <w:r>
        <w:rPr>
          <w:rFonts w:hint="eastAsia"/>
          <w:color w:val="auto"/>
          <w:lang w:val="en-US" w:eastAsia="zh-CN"/>
        </w:rPr>
        <w:t>触发因素分为人为因素和自然因素。人为因素包括个人因素(如操作失误、不正确操作、粗心大意、漫不经心及心理因素等)和管理因素(如不正确的管理、不正确的训练指挥失误、决策判断失误、设计差错及错误安排等)。自然因素是指能引起危险有害因素转化的各种自然条件及其变化，如气候条件参数(气温、气压、湿度、大气风速)变化、雷电、风雪及地震等。</w:t>
      </w:r>
    </w:p>
    <w:p w14:paraId="5AA21379">
      <w:pPr>
        <w:bidi w:val="0"/>
        <w:rPr>
          <w:rFonts w:hint="eastAsia"/>
          <w:color w:val="auto"/>
        </w:rPr>
      </w:pPr>
      <w:r>
        <w:rPr>
          <w:rFonts w:hint="eastAsia"/>
          <w:color w:val="auto"/>
          <w:lang w:val="en-US" w:eastAsia="zh-CN"/>
        </w:rPr>
        <w:t>对本项目的危险、有害因素进行辨识，依据《生产过程危险和有害因素分类与代码》GB/T13861-2022和《企业职工伤亡事故分类》GB6441-1986的同时，通过对本项目的厂址、平面布局、建（构）筑物、物质、生产工艺及设备、辅助生产设施（含公用工程）等方面进行分析而得出</w:t>
      </w:r>
      <w:r>
        <w:rPr>
          <w:rFonts w:hint="eastAsia"/>
          <w:color w:val="auto"/>
        </w:rPr>
        <w:t>。</w:t>
      </w:r>
    </w:p>
    <w:p w14:paraId="032AEB7F">
      <w:pPr>
        <w:pStyle w:val="3"/>
        <w:bidi w:val="0"/>
        <w:rPr>
          <w:rFonts w:ascii="Times New Roman" w:hAnsi="Times New Roman"/>
          <w:color w:val="auto"/>
        </w:rPr>
      </w:pPr>
      <w:bookmarkStart w:id="56" w:name="_Toc6199"/>
      <w:r>
        <w:rPr>
          <w:rFonts w:hint="eastAsia" w:ascii="Times New Roman" w:hAnsi="Times New Roman"/>
          <w:color w:val="auto"/>
          <w:lang w:val="en-US" w:eastAsia="zh-CN"/>
        </w:rPr>
        <w:t>3.2生产过程中主要</w:t>
      </w:r>
      <w:r>
        <w:rPr>
          <w:rFonts w:hint="eastAsia" w:ascii="Times New Roman" w:hAnsi="Times New Roman"/>
          <w:color w:val="auto"/>
        </w:rPr>
        <w:t>危险因素</w:t>
      </w:r>
      <w:r>
        <w:rPr>
          <w:rFonts w:ascii="Times New Roman" w:hAnsi="Times New Roman"/>
          <w:color w:val="auto"/>
        </w:rPr>
        <w:t>分析</w:t>
      </w:r>
      <w:bookmarkEnd w:id="56"/>
    </w:p>
    <w:p w14:paraId="104A1FB2">
      <w:pPr>
        <w:pStyle w:val="4"/>
        <w:bidi w:val="0"/>
        <w:rPr>
          <w:rFonts w:hint="eastAsia"/>
          <w:color w:val="auto"/>
        </w:rPr>
      </w:pPr>
      <w:bookmarkStart w:id="57" w:name="_Toc5962"/>
      <w:r>
        <w:rPr>
          <w:rFonts w:hint="eastAsia"/>
          <w:color w:val="auto"/>
        </w:rPr>
        <w:t>3.</w:t>
      </w:r>
      <w:r>
        <w:rPr>
          <w:rFonts w:hint="eastAsia"/>
          <w:color w:val="auto"/>
          <w:lang w:val="en-US" w:eastAsia="zh-CN"/>
        </w:rPr>
        <w:t>2</w:t>
      </w:r>
      <w:r>
        <w:rPr>
          <w:rFonts w:hint="eastAsia"/>
          <w:color w:val="auto"/>
        </w:rPr>
        <w:t>.1火灾、爆炸</w:t>
      </w:r>
      <w:bookmarkEnd w:id="57"/>
    </w:p>
    <w:p w14:paraId="70FEED0B">
      <w:pPr>
        <w:bidi w:val="0"/>
        <w:rPr>
          <w:rFonts w:hint="eastAsia"/>
          <w:color w:val="auto"/>
          <w:lang w:eastAsia="zh-CN"/>
        </w:rPr>
      </w:pPr>
      <w:r>
        <w:rPr>
          <w:rFonts w:hint="eastAsia"/>
          <w:color w:val="auto"/>
          <w:lang w:val="en-US" w:eastAsia="zh-CN"/>
        </w:rPr>
        <w:t>火灾</w:t>
      </w:r>
      <w:r>
        <w:rPr>
          <w:color w:val="auto"/>
        </w:rPr>
        <w:t>是指</w:t>
      </w:r>
      <w:r>
        <w:rPr>
          <w:rFonts w:hint="default"/>
          <w:color w:val="auto"/>
        </w:rPr>
        <w:t>在时间或空间上失去控制的</w:t>
      </w:r>
      <w:r>
        <w:rPr>
          <w:rFonts w:hint="default"/>
          <w:color w:val="auto"/>
        </w:rPr>
        <w:fldChar w:fldCharType="begin"/>
      </w:r>
      <w:r>
        <w:rPr>
          <w:rFonts w:hint="default"/>
          <w:color w:val="auto"/>
        </w:rPr>
        <w:instrText xml:space="preserve"> HYPERLINK "https://baike.sogou.com/lemma/ShowInnerLink.htm?lemmaId=101492244" \t "https://baike.sogou.com/_blank" </w:instrText>
      </w:r>
      <w:r>
        <w:rPr>
          <w:rFonts w:hint="default"/>
          <w:color w:val="auto"/>
        </w:rPr>
        <w:fldChar w:fldCharType="separate"/>
      </w:r>
      <w:r>
        <w:rPr>
          <w:rFonts w:hint="default"/>
          <w:color w:val="auto"/>
        </w:rPr>
        <w:t>燃烧</w:t>
      </w:r>
      <w:r>
        <w:rPr>
          <w:rFonts w:hint="default"/>
          <w:color w:val="auto"/>
        </w:rPr>
        <w:fldChar w:fldCharType="end"/>
      </w:r>
      <w:r>
        <w:rPr>
          <w:rFonts w:hint="default"/>
          <w:color w:val="auto"/>
        </w:rPr>
        <w:t>所造成的灾害</w:t>
      </w:r>
      <w:r>
        <w:rPr>
          <w:rFonts w:hint="eastAsia"/>
          <w:color w:val="auto"/>
          <w:lang w:eastAsia="zh-CN"/>
        </w:rPr>
        <w:t>。</w:t>
      </w:r>
    </w:p>
    <w:p w14:paraId="58E3CE82">
      <w:pPr>
        <w:bidi w:val="0"/>
        <w:rPr>
          <w:rFonts w:hint="eastAsia"/>
          <w:color w:val="auto"/>
          <w:lang w:val="en-US" w:eastAsia="zh-CN"/>
        </w:rPr>
      </w:pPr>
      <w:r>
        <w:rPr>
          <w:rFonts w:hint="eastAsia"/>
          <w:color w:val="auto"/>
          <w:lang w:val="en-US" w:eastAsia="zh-CN"/>
        </w:rPr>
        <w:t>本项目易发生火灾的场所主要为配电室及其旁边的变压器室和DCS室等。油浸式变压器、配电柜等用电设备质量不合格、长时间超负荷运转导致温度升高、接头连接不良、油质劣化时，均可能发生火灾。</w:t>
      </w:r>
    </w:p>
    <w:p w14:paraId="35C41EB0">
      <w:pPr>
        <w:bidi w:val="0"/>
        <w:rPr>
          <w:color w:val="auto"/>
        </w:rPr>
      </w:pPr>
      <w:r>
        <w:rPr>
          <w:color w:val="auto"/>
        </w:rPr>
        <w:t>电缆敷设不规范，布置不整齐，任意交叉，制作电缆终端头和中间接头不按规范要求，接触不良或封闭绝缘不良，电阻增大，或安装时电缆的曲率半径过小，使绝缘损坏造成短路</w:t>
      </w:r>
      <w:r>
        <w:rPr>
          <w:rFonts w:hint="eastAsia"/>
          <w:color w:val="auto"/>
          <w:lang w:val="en-US" w:eastAsia="zh-CN"/>
        </w:rPr>
        <w:t>也可能引发火灾</w:t>
      </w:r>
      <w:r>
        <w:rPr>
          <w:color w:val="auto"/>
        </w:rPr>
        <w:t>。</w:t>
      </w:r>
    </w:p>
    <w:p w14:paraId="3468EA88">
      <w:pPr>
        <w:bidi w:val="0"/>
        <w:rPr>
          <w:rFonts w:hint="default" w:eastAsia="宋体"/>
          <w:color w:val="auto"/>
          <w:lang w:val="en-US" w:eastAsia="zh-CN"/>
        </w:rPr>
      </w:pPr>
      <w:r>
        <w:rPr>
          <w:rFonts w:hint="eastAsia"/>
          <w:color w:val="auto"/>
          <w:lang w:val="en-US" w:eastAsia="zh-CN"/>
        </w:rPr>
        <w:t>本项目</w:t>
      </w:r>
      <w:r>
        <w:rPr>
          <w:rFonts w:hint="eastAsia"/>
          <w:color w:val="auto"/>
        </w:rPr>
        <w:t>配电设施在运行中还可能因短路而导致爆炸事故</w:t>
      </w:r>
      <w:r>
        <w:rPr>
          <w:rFonts w:hint="eastAsia"/>
          <w:color w:val="auto"/>
          <w:lang w:val="en-US" w:eastAsia="zh-CN"/>
        </w:rPr>
        <w:t>。</w:t>
      </w:r>
    </w:p>
    <w:p w14:paraId="55CCE3E3">
      <w:pPr>
        <w:pStyle w:val="4"/>
        <w:bidi w:val="0"/>
        <w:rPr>
          <w:rFonts w:hint="eastAsia"/>
          <w:color w:val="auto"/>
          <w:lang w:val="en-US" w:eastAsia="zh-CN"/>
        </w:rPr>
      </w:pPr>
      <w:bookmarkStart w:id="58" w:name="_Toc6233"/>
      <w:r>
        <w:rPr>
          <w:rFonts w:hint="eastAsia"/>
          <w:color w:val="auto"/>
          <w:lang w:val="en-US" w:eastAsia="zh-CN"/>
        </w:rPr>
        <w:t>3.2.2机械伤害</w:t>
      </w:r>
      <w:bookmarkEnd w:id="58"/>
    </w:p>
    <w:p w14:paraId="3F1F0ED8">
      <w:pPr>
        <w:rPr>
          <w:color w:val="auto"/>
          <w:sz w:val="28"/>
          <w:szCs w:val="28"/>
        </w:rPr>
      </w:pPr>
      <w:r>
        <w:rPr>
          <w:color w:val="auto"/>
          <w:sz w:val="28"/>
          <w:szCs w:val="28"/>
        </w:rPr>
        <w:t>机械伤害是指机械设备运动部件、工具、加工件直接与人体接触引起的夹击、碰撞、剪切、卷入、绞、碾、割、刺等伤害。</w:t>
      </w:r>
    </w:p>
    <w:p w14:paraId="41C44320">
      <w:pPr>
        <w:rPr>
          <w:rFonts w:hint="eastAsia"/>
          <w:color w:val="auto"/>
          <w:sz w:val="28"/>
          <w:szCs w:val="28"/>
          <w:lang w:val="en-US" w:eastAsia="zh-CN"/>
        </w:rPr>
      </w:pPr>
      <w:r>
        <w:rPr>
          <w:rFonts w:hint="eastAsia"/>
          <w:color w:val="auto"/>
          <w:sz w:val="28"/>
          <w:szCs w:val="28"/>
          <w:lang w:val="en-US" w:eastAsia="zh-CN"/>
        </w:rPr>
        <w:t>本</w:t>
      </w:r>
      <w:r>
        <w:rPr>
          <w:rFonts w:hint="default"/>
          <w:color w:val="auto"/>
          <w:sz w:val="28"/>
          <w:szCs w:val="28"/>
          <w:lang w:val="en-US" w:eastAsia="zh-CN"/>
        </w:rPr>
        <w:t>项目</w:t>
      </w:r>
      <w:r>
        <w:rPr>
          <w:rFonts w:hint="eastAsia"/>
          <w:color w:val="auto"/>
          <w:sz w:val="28"/>
          <w:szCs w:val="28"/>
          <w:lang w:val="en-US" w:eastAsia="zh-CN"/>
        </w:rPr>
        <w:t>的</w:t>
      </w:r>
      <w:r>
        <w:rPr>
          <w:color w:val="auto"/>
        </w:rPr>
        <w:t>水泵、风机</w:t>
      </w:r>
      <w:r>
        <w:rPr>
          <w:rFonts w:hint="default"/>
          <w:color w:val="auto"/>
          <w:sz w:val="28"/>
          <w:szCs w:val="28"/>
          <w:lang w:val="en-US" w:eastAsia="zh-CN"/>
        </w:rPr>
        <w:t>等转动机械的外露传动部</w:t>
      </w:r>
      <w:r>
        <w:rPr>
          <w:rFonts w:hint="eastAsia"/>
          <w:color w:val="auto"/>
          <w:sz w:val="28"/>
          <w:szCs w:val="28"/>
          <w:lang w:val="en-US" w:eastAsia="zh-CN"/>
        </w:rPr>
        <w:t>分都有可能对</w:t>
      </w:r>
      <w:r>
        <w:rPr>
          <w:rFonts w:hint="default"/>
          <w:color w:val="auto"/>
          <w:sz w:val="28"/>
          <w:szCs w:val="28"/>
          <w:lang w:val="en-US" w:eastAsia="zh-CN"/>
        </w:rPr>
        <w:t>人体造成机械伤害。如果防护不</w:t>
      </w:r>
      <w:r>
        <w:rPr>
          <w:rFonts w:hint="eastAsia"/>
          <w:color w:val="auto"/>
          <w:sz w:val="28"/>
          <w:szCs w:val="28"/>
          <w:lang w:val="en-US" w:eastAsia="zh-CN"/>
        </w:rPr>
        <w:t>当或在</w:t>
      </w:r>
      <w:r>
        <w:rPr>
          <w:rFonts w:hint="default"/>
          <w:color w:val="auto"/>
          <w:sz w:val="28"/>
          <w:szCs w:val="28"/>
          <w:lang w:val="en-US" w:eastAsia="zh-CN"/>
        </w:rPr>
        <w:t>在检修时误启动</w:t>
      </w:r>
      <w:r>
        <w:rPr>
          <w:rFonts w:hint="eastAsia"/>
          <w:color w:val="auto"/>
          <w:sz w:val="28"/>
          <w:szCs w:val="28"/>
          <w:lang w:val="en-US" w:eastAsia="zh-CN"/>
        </w:rPr>
        <w:t>等，均可能造成机械伤害事故。</w:t>
      </w:r>
    </w:p>
    <w:p w14:paraId="381FF630">
      <w:pPr>
        <w:pStyle w:val="4"/>
        <w:bidi w:val="0"/>
        <w:rPr>
          <w:color w:val="auto"/>
        </w:rPr>
      </w:pPr>
      <w:bookmarkStart w:id="59" w:name="_Toc2187"/>
      <w:r>
        <w:rPr>
          <w:rFonts w:hint="eastAsia"/>
          <w:color w:val="auto"/>
          <w:lang w:val="en-US" w:eastAsia="zh-CN"/>
        </w:rPr>
        <w:t>3.2.3</w:t>
      </w:r>
      <w:r>
        <w:rPr>
          <w:color w:val="auto"/>
        </w:rPr>
        <w:t>触电</w:t>
      </w:r>
      <w:bookmarkEnd w:id="59"/>
    </w:p>
    <w:p w14:paraId="36CE8DE5">
      <w:pPr>
        <w:bidi w:val="0"/>
        <w:rPr>
          <w:rFonts w:hint="eastAsia"/>
          <w:color w:val="auto"/>
        </w:rPr>
      </w:pPr>
      <w:r>
        <w:rPr>
          <w:rFonts w:hint="eastAsia"/>
          <w:color w:val="auto"/>
        </w:rPr>
        <w:t>触电是指当生物(主要指人类)与电有直接的接触时，因此感受到疼痛或甚至受到伤害的意外事故。</w:t>
      </w:r>
    </w:p>
    <w:p w14:paraId="436AE37F">
      <w:pPr>
        <w:bidi w:val="0"/>
        <w:rPr>
          <w:rFonts w:hint="eastAsia"/>
          <w:color w:val="auto"/>
        </w:rPr>
      </w:pPr>
      <w:r>
        <w:rPr>
          <w:rFonts w:hint="eastAsia"/>
          <w:color w:val="auto"/>
        </w:rPr>
        <w:t>本项目</w:t>
      </w:r>
      <w:r>
        <w:rPr>
          <w:rFonts w:hint="eastAsia"/>
          <w:color w:val="auto"/>
          <w:lang w:val="en-US" w:eastAsia="zh-CN"/>
        </w:rPr>
        <w:t>所涉及的</w:t>
      </w:r>
      <w:r>
        <w:rPr>
          <w:rFonts w:hint="eastAsia"/>
          <w:color w:val="auto"/>
        </w:rPr>
        <w:t>电气设备，如防护设施缺陷或不严格遵守操作规程，或者开关线路等电气材料本身存在缺陷、绝缘性能下降、设备保护接地失效、作业人员违章作业、个人防护缺陷等，都会发生人员触电事故。此外，带负荷拉、合闸时，若不遵守安全操作规程，</w:t>
      </w:r>
      <w:r>
        <w:rPr>
          <w:rFonts w:hint="eastAsia"/>
          <w:color w:val="auto"/>
          <w:lang w:val="en-US" w:eastAsia="zh-CN"/>
        </w:rPr>
        <w:t>也</w:t>
      </w:r>
      <w:r>
        <w:rPr>
          <w:rFonts w:hint="eastAsia"/>
          <w:color w:val="auto"/>
        </w:rPr>
        <w:t>有可能造成触电事故。</w:t>
      </w:r>
    </w:p>
    <w:p w14:paraId="5E83B341">
      <w:pPr>
        <w:pStyle w:val="4"/>
        <w:bidi w:val="0"/>
        <w:rPr>
          <w:rFonts w:hint="eastAsia"/>
          <w:color w:val="auto"/>
        </w:rPr>
      </w:pPr>
      <w:bookmarkStart w:id="60" w:name="_Toc21320"/>
      <w:r>
        <w:rPr>
          <w:rFonts w:hint="eastAsia"/>
          <w:color w:val="auto"/>
          <w:lang w:val="en-US" w:eastAsia="zh-CN"/>
        </w:rPr>
        <w:t>3.2.4</w:t>
      </w:r>
      <w:r>
        <w:rPr>
          <w:rFonts w:hint="eastAsia"/>
          <w:color w:val="auto"/>
        </w:rPr>
        <w:t>高处坠落</w:t>
      </w:r>
      <w:bookmarkEnd w:id="60"/>
    </w:p>
    <w:p w14:paraId="122C60E2">
      <w:pPr>
        <w:rPr>
          <w:rFonts w:hint="eastAsia"/>
          <w:color w:val="auto"/>
          <w:sz w:val="28"/>
          <w:szCs w:val="28"/>
        </w:rPr>
      </w:pPr>
      <w:r>
        <w:rPr>
          <w:rFonts w:hint="eastAsia"/>
          <w:color w:val="auto"/>
          <w:sz w:val="28"/>
          <w:szCs w:val="28"/>
        </w:rPr>
        <w:t>高处坠落又叫高空坠落，是指在高处作业中发生坠落造成的伤亡事故。高处作业是指凡在坠落高度基准面2m以上(含2m)有可能坠落的高处进行的作业。</w:t>
      </w:r>
    </w:p>
    <w:p w14:paraId="033C231A">
      <w:pPr>
        <w:rPr>
          <w:rFonts w:hint="eastAsia"/>
          <w:color w:val="auto"/>
          <w:sz w:val="28"/>
          <w:szCs w:val="28"/>
          <w:lang w:val="en-US" w:eastAsia="zh-CN"/>
        </w:rPr>
      </w:pPr>
      <w:r>
        <w:rPr>
          <w:rFonts w:hint="eastAsia"/>
          <w:color w:val="auto"/>
          <w:sz w:val="28"/>
          <w:szCs w:val="28"/>
          <w:lang w:val="en-US" w:eastAsia="zh-CN"/>
        </w:rPr>
        <w:t>1.生产作业人员和维修人员对高处设备、设施等进行检查、清扫、故障处理更换零部件等作业时，可能存在违反登高作业规程；扶梯、工作平台、防护栏杆、安全盖板等安全防护措施不健全；梯子、平台和易滑倒的操作通道、地面无防滑措施；如果防护不当或大意不慎，或工具摆放不妥，有可能发生人员、物体高处坠落事故；</w:t>
      </w:r>
    </w:p>
    <w:p w14:paraId="61942F0D">
      <w:pPr>
        <w:rPr>
          <w:rFonts w:hint="eastAsia"/>
          <w:color w:val="auto"/>
          <w:sz w:val="28"/>
          <w:szCs w:val="28"/>
          <w:lang w:val="en-US" w:eastAsia="zh-CN"/>
        </w:rPr>
      </w:pPr>
      <w:r>
        <w:rPr>
          <w:rFonts w:hint="eastAsia"/>
          <w:color w:val="auto"/>
          <w:sz w:val="28"/>
          <w:szCs w:val="28"/>
          <w:lang w:val="en-US" w:eastAsia="zh-CN"/>
        </w:rPr>
        <w:t>2.高处作业时没有采取安全措施或安全防护设施损坏，作业平台不牢固；作业人员工作责任心不强，疏忽大意、主观判断失误；疲劳过度或有生理疾患，均可能造成高处坠落事故。</w:t>
      </w:r>
    </w:p>
    <w:p w14:paraId="20369CDE">
      <w:pPr>
        <w:rPr>
          <w:rFonts w:hint="eastAsia"/>
          <w:color w:val="auto"/>
          <w:sz w:val="28"/>
          <w:szCs w:val="28"/>
          <w:lang w:val="en-US" w:eastAsia="zh-CN"/>
        </w:rPr>
      </w:pPr>
      <w:r>
        <w:rPr>
          <w:rFonts w:hint="eastAsia"/>
          <w:color w:val="auto"/>
          <w:sz w:val="28"/>
          <w:szCs w:val="28"/>
          <w:lang w:val="en-US" w:eastAsia="zh-CN"/>
        </w:rPr>
        <w:t>3.梯子、走台、平台等若无防滑脚踏板；边缘无护栏杆、护笼或防护高度不够，作业时可能发生人员跌倒、坠落事故。</w:t>
      </w:r>
    </w:p>
    <w:p w14:paraId="30C3BCA1">
      <w:pPr>
        <w:pStyle w:val="4"/>
        <w:bidi w:val="0"/>
        <w:rPr>
          <w:rFonts w:hint="eastAsia"/>
          <w:color w:val="auto"/>
          <w:lang w:val="en-US" w:eastAsia="zh-CN"/>
        </w:rPr>
      </w:pPr>
      <w:bookmarkStart w:id="61" w:name="_Toc198"/>
      <w:r>
        <w:rPr>
          <w:rFonts w:hint="eastAsia"/>
          <w:color w:val="auto"/>
          <w:lang w:val="en-US" w:eastAsia="zh-CN"/>
        </w:rPr>
        <w:t>3.2.5灼烫</w:t>
      </w:r>
      <w:bookmarkEnd w:id="61"/>
    </w:p>
    <w:p w14:paraId="0DDD25C3">
      <w:pPr>
        <w:rPr>
          <w:rFonts w:hint="eastAsia"/>
          <w:color w:val="auto"/>
          <w:sz w:val="28"/>
        </w:rPr>
      </w:pPr>
      <w:r>
        <w:rPr>
          <w:rFonts w:hint="eastAsia"/>
          <w:color w:val="auto"/>
          <w:sz w:val="28"/>
          <w:lang w:val="en-US" w:eastAsia="zh-CN"/>
        </w:rPr>
        <w:t>灼烫</w:t>
      </w:r>
      <w:r>
        <w:rPr>
          <w:rFonts w:hint="eastAsia"/>
          <w:color w:val="auto"/>
          <w:sz w:val="28"/>
        </w:rPr>
        <w:t>是指火焰烧伤、高温物体烫伤、化学灼伤(酸、碱、盐、有机物引起的体内外的灼伤)、物理灼伤(光、放射性物质引起的体内外的灼伤)、。不包括电灼伤和火灾引起的烧伤。</w:t>
      </w:r>
    </w:p>
    <w:p w14:paraId="7537A3DD">
      <w:pPr>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lang w:val="en-US" w:eastAsia="zh-CN"/>
        </w:rPr>
        <w:t>本项目的烟气管道</w:t>
      </w:r>
      <w:r>
        <w:rPr>
          <w:rFonts w:hint="eastAsia" w:ascii="Times New Roman" w:hAnsi="Times New Roman" w:eastAsia="宋体" w:cs="Times New Roman"/>
          <w:color w:val="auto"/>
          <w:sz w:val="28"/>
        </w:rPr>
        <w:t>如缺少隔热措施或表面隔热层隔热效果不良、无警示标志，造成人体直接接触到高温设备、管道的表面，或内部高温介质泄漏接触到人体，可能造成灼烫事故。</w:t>
      </w:r>
    </w:p>
    <w:p w14:paraId="6C327A88">
      <w:pPr>
        <w:pStyle w:val="4"/>
        <w:bidi w:val="0"/>
        <w:rPr>
          <w:color w:val="auto"/>
        </w:rPr>
      </w:pPr>
      <w:bookmarkStart w:id="62" w:name="_Toc28705"/>
      <w:r>
        <w:rPr>
          <w:rFonts w:hint="eastAsia" w:ascii="Times New Roman" w:hAnsi="Times New Roman" w:eastAsia="宋体" w:cs="Times New Roman"/>
          <w:color w:val="auto"/>
          <w:sz w:val="28"/>
          <w:lang w:val="en-US" w:eastAsia="zh-CN"/>
        </w:rPr>
        <w:t>3.2.6</w:t>
      </w:r>
      <w:r>
        <w:rPr>
          <w:color w:val="auto"/>
        </w:rPr>
        <w:t>中毒</w:t>
      </w:r>
      <w:r>
        <w:rPr>
          <w:rFonts w:hint="eastAsia"/>
          <w:color w:val="auto"/>
        </w:rPr>
        <w:t>和</w:t>
      </w:r>
      <w:r>
        <w:rPr>
          <w:color w:val="auto"/>
        </w:rPr>
        <w:t>窒息</w:t>
      </w:r>
      <w:bookmarkEnd w:id="62"/>
    </w:p>
    <w:p w14:paraId="24C30B19">
      <w:pPr>
        <w:bidi w:val="0"/>
        <w:rPr>
          <w:rFonts w:hint="default"/>
          <w:color w:val="auto"/>
          <w:lang w:val="en-US" w:eastAsia="zh-CN"/>
        </w:rPr>
      </w:pPr>
      <w:r>
        <w:rPr>
          <w:rFonts w:hint="default"/>
          <w:color w:val="auto"/>
          <w:lang w:val="en-US" w:eastAsia="zh-CN"/>
        </w:rPr>
        <w:t>中毒</w:t>
      </w:r>
      <w:r>
        <w:rPr>
          <w:rFonts w:hint="eastAsia"/>
          <w:color w:val="auto"/>
          <w:lang w:val="en-US" w:eastAsia="zh-CN"/>
        </w:rPr>
        <w:t>是指</w:t>
      </w:r>
      <w:r>
        <w:rPr>
          <w:rFonts w:hint="default"/>
          <w:color w:val="auto"/>
          <w:lang w:val="en-US" w:eastAsia="zh-CN"/>
        </w:rPr>
        <w:t>机体过量或大量接触化学毒物，引发组织结构和功能损害、代谢障碍而发生疾病或死亡</w:t>
      </w:r>
      <w:r>
        <w:rPr>
          <w:rFonts w:hint="eastAsia"/>
          <w:color w:val="auto"/>
          <w:lang w:val="en-US" w:eastAsia="zh-CN"/>
        </w:rPr>
        <w:t>。</w:t>
      </w:r>
    </w:p>
    <w:p w14:paraId="4560F84A">
      <w:pPr>
        <w:bidi w:val="0"/>
        <w:rPr>
          <w:rFonts w:hint="eastAsia"/>
          <w:color w:val="auto"/>
          <w:lang w:val="en-US" w:eastAsia="zh-CN"/>
        </w:rPr>
      </w:pPr>
      <w:r>
        <w:rPr>
          <w:rFonts w:hint="default"/>
          <w:color w:val="auto"/>
          <w:lang w:val="en-US" w:eastAsia="zh-CN"/>
        </w:rPr>
        <w:t>室息</w:t>
      </w:r>
      <w:r>
        <w:rPr>
          <w:rFonts w:hint="eastAsia"/>
          <w:color w:val="auto"/>
          <w:lang w:val="en-US" w:eastAsia="zh-CN"/>
        </w:rPr>
        <w:t>是指</w:t>
      </w:r>
      <w:r>
        <w:rPr>
          <w:rFonts w:hint="default"/>
          <w:color w:val="auto"/>
          <w:lang w:val="en-US" w:eastAsia="zh-CN"/>
        </w:rPr>
        <w:t>因外界氧气不是或其他气体过多或者呼吸系统发生障碍而呼吸困难甚至停止呼吸</w:t>
      </w:r>
      <w:r>
        <w:rPr>
          <w:rFonts w:hint="eastAsia"/>
          <w:color w:val="auto"/>
          <w:lang w:val="en-US" w:eastAsia="zh-CN"/>
        </w:rPr>
        <w:t>。</w:t>
      </w:r>
    </w:p>
    <w:p w14:paraId="0CB52D70">
      <w:pPr>
        <w:bidi w:val="0"/>
        <w:rPr>
          <w:rFonts w:hint="eastAsia"/>
          <w:color w:val="auto"/>
          <w:lang w:val="en-US" w:eastAsia="zh-CN"/>
        </w:rPr>
      </w:pPr>
      <w:r>
        <w:rPr>
          <w:rFonts w:hint="eastAsia"/>
          <w:color w:val="auto"/>
          <w:lang w:val="en-US" w:eastAsia="zh-CN"/>
        </w:rPr>
        <w:t>本项目处理的废气中含有二氧化硫气体，若烟气管道年久失修产生破损等情况，从而发生气体泄露，工作人员经过时若不注意可能发生中毒和窒息。</w:t>
      </w:r>
    </w:p>
    <w:p w14:paraId="0DF4B1B9">
      <w:pPr>
        <w:bidi w:val="0"/>
        <w:rPr>
          <w:rFonts w:hint="eastAsia"/>
          <w:color w:val="auto"/>
        </w:rPr>
      </w:pPr>
      <w:r>
        <w:rPr>
          <w:rFonts w:hint="eastAsia"/>
          <w:color w:val="auto"/>
        </w:rPr>
        <w:t>有限空间</w:t>
      </w:r>
      <w:r>
        <w:rPr>
          <w:rFonts w:hint="eastAsia"/>
          <w:color w:val="auto"/>
          <w:lang w:val="en-US" w:eastAsia="zh-CN"/>
        </w:rPr>
        <w:t>如吸收塔等</w:t>
      </w:r>
      <w:r>
        <w:rPr>
          <w:rFonts w:hint="eastAsia"/>
          <w:color w:val="auto"/>
        </w:rPr>
        <w:t>进行检维修作业</w:t>
      </w:r>
      <w:r>
        <w:rPr>
          <w:rFonts w:hint="eastAsia"/>
          <w:color w:val="auto"/>
          <w:lang w:val="en-US" w:eastAsia="zh-CN"/>
        </w:rPr>
        <w:t>时</w:t>
      </w:r>
      <w:r>
        <w:rPr>
          <w:rFonts w:hint="eastAsia"/>
          <w:color w:val="auto"/>
        </w:rPr>
        <w:t>，没有申报批准、没有佩带呼吸器等安全防护器材、没有专人现场监护、设备没有进行化验分析并合格，违章进入有限空间内作业，有发生作业人员中毒和窒息的危险。本项目维修人员进入</w:t>
      </w:r>
      <w:r>
        <w:rPr>
          <w:rFonts w:hint="eastAsia"/>
          <w:color w:val="auto"/>
          <w:lang w:val="en-US" w:eastAsia="zh-CN"/>
        </w:rPr>
        <w:t>有限空间作业时</w:t>
      </w:r>
      <w:r>
        <w:rPr>
          <w:color w:val="auto"/>
        </w:rPr>
        <w:t>，存在有限空间作业危险，若设备和管道未置换或置换不彻底，未经取样分析合格，进入容器作业时未采取安全措施，取样分析时作业人员站在下风向，检修人员未佩戴安全防护用具即进入设备内作业，作业时现场无人监护，都可能造成人员中毒窒息</w:t>
      </w:r>
      <w:r>
        <w:rPr>
          <w:rFonts w:hint="eastAsia"/>
          <w:color w:val="auto"/>
        </w:rPr>
        <w:t>。</w:t>
      </w:r>
    </w:p>
    <w:p w14:paraId="26D67F6F">
      <w:pPr>
        <w:pStyle w:val="4"/>
        <w:bidi w:val="0"/>
        <w:rPr>
          <w:color w:val="auto"/>
        </w:rPr>
      </w:pPr>
      <w:bookmarkStart w:id="63" w:name="_Toc6078"/>
      <w:r>
        <w:rPr>
          <w:rFonts w:hint="eastAsia"/>
          <w:color w:val="auto"/>
          <w:lang w:val="en-US" w:eastAsia="zh-CN"/>
        </w:rPr>
        <w:t>3.2.7</w:t>
      </w:r>
      <w:r>
        <w:rPr>
          <w:color w:val="auto"/>
        </w:rPr>
        <w:t>物体打击</w:t>
      </w:r>
      <w:bookmarkEnd w:id="63"/>
    </w:p>
    <w:p w14:paraId="1A0C9FCE">
      <w:pPr>
        <w:spacing w:line="540" w:lineRule="exact"/>
        <w:ind w:firstLine="560" w:firstLineChars="200"/>
        <w:rPr>
          <w:rFonts w:ascii="Times New Roman" w:hAnsi="Times New Roman"/>
          <w:color w:val="auto"/>
          <w:sz w:val="28"/>
          <w:szCs w:val="28"/>
        </w:rPr>
      </w:pPr>
      <w:r>
        <w:rPr>
          <w:rFonts w:ascii="Times New Roman" w:hAnsi="Times New Roman"/>
          <w:color w:val="auto"/>
          <w:sz w:val="28"/>
          <w:szCs w:val="28"/>
        </w:rPr>
        <w:t>物体打击伤害，是指由失控物体的重力或惯性力引起的伤害，但不包因机械设备、车辆、起重机械、坍塌等引发的物体打击。</w:t>
      </w:r>
    </w:p>
    <w:p w14:paraId="0366C7B7">
      <w:pPr>
        <w:spacing w:line="540" w:lineRule="exact"/>
        <w:ind w:firstLine="560" w:firstLineChars="200"/>
        <w:rPr>
          <w:rFonts w:ascii="Times New Roman" w:hAnsi="Times New Roman"/>
          <w:color w:val="auto"/>
          <w:sz w:val="28"/>
          <w:szCs w:val="28"/>
        </w:rPr>
      </w:pPr>
      <w:r>
        <w:rPr>
          <w:rFonts w:ascii="Times New Roman" w:hAnsi="Times New Roman"/>
          <w:color w:val="auto"/>
          <w:sz w:val="28"/>
          <w:szCs w:val="28"/>
        </w:rPr>
        <w:t>物体打击的打击物主要有落下物、飞来物、崩块等，例如工具等从高处落下，高速旋转的机器部件因脱落飞出伤人，高处设备的零部件因安装不牢而坠落伤人，打桩、锤击造成的碎物飞溅等。</w:t>
      </w:r>
    </w:p>
    <w:p w14:paraId="5B47E5B7">
      <w:pPr>
        <w:spacing w:line="540" w:lineRule="exact"/>
        <w:ind w:firstLine="560" w:firstLineChars="200"/>
        <w:rPr>
          <w:rFonts w:ascii="Times New Roman" w:hAnsi="Times New Roman"/>
          <w:color w:val="auto"/>
          <w:sz w:val="28"/>
          <w:szCs w:val="28"/>
        </w:rPr>
      </w:pPr>
      <w:r>
        <w:rPr>
          <w:rFonts w:ascii="Times New Roman" w:hAnsi="Times New Roman"/>
          <w:color w:val="auto"/>
          <w:sz w:val="28"/>
          <w:szCs w:val="28"/>
        </w:rPr>
        <w:t>易造成物体打击伤害事故发生的因素主要有：</w:t>
      </w:r>
    </w:p>
    <w:p w14:paraId="0CEFDC04">
      <w:pPr>
        <w:spacing w:line="540" w:lineRule="exact"/>
        <w:ind w:firstLine="560" w:firstLineChars="200"/>
        <w:rPr>
          <w:rFonts w:ascii="Times New Roman" w:hAnsi="Times New Roman"/>
          <w:color w:val="auto"/>
          <w:sz w:val="28"/>
          <w:szCs w:val="28"/>
        </w:rPr>
      </w:pPr>
      <w:r>
        <w:rPr>
          <w:rFonts w:ascii="Times New Roman" w:hAnsi="Times New Roman"/>
          <w:color w:val="auto"/>
          <w:sz w:val="28"/>
          <w:szCs w:val="28"/>
        </w:rPr>
        <w:t>1</w:t>
      </w:r>
      <w:r>
        <w:rPr>
          <w:rFonts w:hint="eastAsia"/>
          <w:color w:val="auto"/>
          <w:sz w:val="28"/>
          <w:szCs w:val="28"/>
          <w:lang w:val="en-US" w:eastAsia="zh-CN"/>
        </w:rPr>
        <w:t>.</w:t>
      </w:r>
      <w:r>
        <w:rPr>
          <w:rFonts w:ascii="Times New Roman" w:hAnsi="Times New Roman"/>
          <w:color w:val="auto"/>
          <w:sz w:val="28"/>
          <w:szCs w:val="28"/>
        </w:rPr>
        <w:t>高处设备及设施及其零部件安装不牢固；</w:t>
      </w:r>
    </w:p>
    <w:p w14:paraId="6153B94F">
      <w:pPr>
        <w:spacing w:line="540" w:lineRule="exact"/>
        <w:ind w:firstLine="560" w:firstLineChars="200"/>
        <w:rPr>
          <w:rFonts w:ascii="Times New Roman" w:hAnsi="Times New Roman"/>
          <w:color w:val="auto"/>
          <w:sz w:val="28"/>
          <w:szCs w:val="28"/>
        </w:rPr>
      </w:pPr>
      <w:r>
        <w:rPr>
          <w:rFonts w:ascii="Times New Roman" w:hAnsi="Times New Roman"/>
          <w:color w:val="auto"/>
          <w:sz w:val="28"/>
          <w:szCs w:val="28"/>
        </w:rPr>
        <w:t>2</w:t>
      </w:r>
      <w:r>
        <w:rPr>
          <w:rFonts w:hint="eastAsia"/>
          <w:color w:val="auto"/>
          <w:sz w:val="28"/>
          <w:szCs w:val="28"/>
          <w:lang w:val="en-US" w:eastAsia="zh-CN"/>
        </w:rPr>
        <w:t>.</w:t>
      </w:r>
      <w:r>
        <w:rPr>
          <w:rFonts w:ascii="Times New Roman" w:hAnsi="Times New Roman"/>
          <w:color w:val="auto"/>
          <w:sz w:val="28"/>
          <w:szCs w:val="28"/>
        </w:rPr>
        <w:t>在垂直方向上同时进行双层作业；</w:t>
      </w:r>
    </w:p>
    <w:p w14:paraId="2095EF59">
      <w:pPr>
        <w:spacing w:line="540" w:lineRule="exact"/>
        <w:ind w:firstLine="560" w:firstLineChars="200"/>
        <w:rPr>
          <w:rFonts w:hint="eastAsia" w:ascii="Times New Roman" w:hAnsi="Times New Roman" w:eastAsia="宋体"/>
          <w:color w:val="auto"/>
          <w:sz w:val="28"/>
          <w:szCs w:val="28"/>
          <w:lang w:eastAsia="zh-CN"/>
        </w:rPr>
      </w:pPr>
      <w:r>
        <w:rPr>
          <w:rFonts w:ascii="Times New Roman" w:hAnsi="Times New Roman"/>
          <w:color w:val="auto"/>
          <w:sz w:val="28"/>
          <w:szCs w:val="28"/>
        </w:rPr>
        <w:t>3</w:t>
      </w:r>
      <w:r>
        <w:rPr>
          <w:rFonts w:hint="eastAsia"/>
          <w:color w:val="auto"/>
          <w:sz w:val="28"/>
          <w:szCs w:val="28"/>
          <w:lang w:val="en-US" w:eastAsia="zh-CN"/>
        </w:rPr>
        <w:t>.</w:t>
      </w:r>
      <w:r>
        <w:rPr>
          <w:rFonts w:ascii="Times New Roman" w:hAnsi="Times New Roman"/>
          <w:color w:val="auto"/>
          <w:sz w:val="28"/>
          <w:szCs w:val="28"/>
        </w:rPr>
        <w:t>安全意识淡薄，不按规定</w:t>
      </w:r>
      <w:r>
        <w:rPr>
          <w:rFonts w:hint="eastAsia" w:ascii="Times New Roman" w:hAnsi="Times New Roman"/>
          <w:color w:val="auto"/>
          <w:sz w:val="28"/>
          <w:szCs w:val="28"/>
        </w:rPr>
        <w:t>佩戴</w:t>
      </w:r>
      <w:r>
        <w:rPr>
          <w:rFonts w:ascii="Times New Roman" w:hAnsi="Times New Roman"/>
          <w:color w:val="auto"/>
          <w:sz w:val="28"/>
          <w:szCs w:val="28"/>
        </w:rPr>
        <w:t>安全帽</w:t>
      </w:r>
      <w:r>
        <w:rPr>
          <w:rFonts w:hint="eastAsia"/>
          <w:color w:val="auto"/>
          <w:sz w:val="28"/>
          <w:szCs w:val="28"/>
          <w:lang w:eastAsia="zh-CN"/>
        </w:rPr>
        <w:t>。</w:t>
      </w:r>
    </w:p>
    <w:p w14:paraId="30794A3C">
      <w:pPr>
        <w:tabs>
          <w:tab w:val="center" w:pos="4535"/>
          <w:tab w:val="left" w:pos="6705"/>
        </w:tabs>
        <w:spacing w:line="600" w:lineRule="exact"/>
        <w:ind w:firstLine="560" w:firstLineChars="200"/>
        <w:rPr>
          <w:color w:val="auto"/>
          <w:sz w:val="28"/>
          <w:szCs w:val="28"/>
        </w:rPr>
      </w:pPr>
      <w:r>
        <w:rPr>
          <w:rFonts w:hint="eastAsia"/>
          <w:color w:val="auto"/>
          <w:sz w:val="28"/>
          <w:szCs w:val="28"/>
          <w:lang w:val="en-US" w:eastAsia="zh-CN"/>
        </w:rPr>
        <w:t>本项目工作人员或维修人员在</w:t>
      </w:r>
      <w:r>
        <w:rPr>
          <w:color w:val="auto"/>
          <w:sz w:val="28"/>
          <w:szCs w:val="28"/>
        </w:rPr>
        <w:t>高处平台上作业时，工具及材料使用时放置不当或平台踢脚线失效而坠落，加上人员暴露在危险区域而防护不良等，可造成人员受到物体打击事故。</w:t>
      </w:r>
    </w:p>
    <w:p w14:paraId="64074451">
      <w:pPr>
        <w:pStyle w:val="4"/>
        <w:bidi w:val="0"/>
        <w:rPr>
          <w:rFonts w:hint="eastAsia"/>
          <w:lang w:val="en-US" w:eastAsia="zh-CN"/>
        </w:rPr>
      </w:pPr>
      <w:r>
        <w:rPr>
          <w:rFonts w:hint="eastAsia"/>
          <w:lang w:val="en-US" w:eastAsia="zh-CN"/>
        </w:rPr>
        <w:t>3.2.8淹溺</w:t>
      </w:r>
    </w:p>
    <w:p w14:paraId="1D4B6092">
      <w:pPr>
        <w:autoSpaceDE w:val="0"/>
        <w:autoSpaceDN w:val="0"/>
        <w:adjustRightInd w:val="0"/>
        <w:snapToGrid w:val="0"/>
        <w:spacing w:line="600" w:lineRule="exact"/>
        <w:ind w:firstLine="560" w:firstLineChars="200"/>
        <w:rPr>
          <w:color w:val="auto"/>
          <w:sz w:val="28"/>
          <w:szCs w:val="28"/>
        </w:rPr>
      </w:pPr>
      <w:r>
        <w:rPr>
          <w:color w:val="auto"/>
          <w:sz w:val="28"/>
          <w:szCs w:val="28"/>
        </w:rPr>
        <w:t>淹溺是指人淹没于水中，由于水吸入肺内（湿淹溺</w:t>
      </w:r>
      <w:r>
        <w:rPr>
          <w:rFonts w:hint="eastAsia"/>
          <w:color w:val="auto"/>
          <w:sz w:val="28"/>
          <w:szCs w:val="28"/>
        </w:rPr>
        <w:t>9</w:t>
      </w:r>
      <w:r>
        <w:rPr>
          <w:color w:val="auto"/>
          <w:sz w:val="28"/>
          <w:szCs w:val="28"/>
        </w:rPr>
        <w:t>0%）或喉挛（干淹溺</w:t>
      </w:r>
      <w:r>
        <w:rPr>
          <w:rFonts w:hint="eastAsia"/>
          <w:color w:val="auto"/>
          <w:sz w:val="28"/>
          <w:szCs w:val="28"/>
        </w:rPr>
        <w:t>1</w:t>
      </w:r>
      <w:r>
        <w:rPr>
          <w:color w:val="auto"/>
          <w:sz w:val="28"/>
          <w:szCs w:val="28"/>
        </w:rPr>
        <w:t>00</w:t>
      </w:r>
      <w:r>
        <w:rPr>
          <w:rFonts w:hint="eastAsia"/>
          <w:color w:val="auto"/>
          <w:sz w:val="28"/>
          <w:szCs w:val="28"/>
        </w:rPr>
        <w:t>%</w:t>
      </w:r>
      <w:r>
        <w:rPr>
          <w:color w:val="auto"/>
          <w:sz w:val="28"/>
          <w:szCs w:val="28"/>
        </w:rPr>
        <w:t>）</w:t>
      </w:r>
      <w:r>
        <w:rPr>
          <w:rFonts w:hint="eastAsia"/>
          <w:color w:val="auto"/>
          <w:sz w:val="28"/>
          <w:szCs w:val="28"/>
        </w:rPr>
        <w:t>所致</w:t>
      </w:r>
      <w:r>
        <w:rPr>
          <w:color w:val="auto"/>
          <w:sz w:val="28"/>
          <w:szCs w:val="28"/>
        </w:rPr>
        <w:t>窒息。淡水淹溺时，低渗水可从肺泡渗入血管中引起血液稀释，血容量增加和溶血，血钾增高，使钠、氮化物及血浆蛋白下降，可使心脏骤停。肺部进入污水可发生肺部感染。在病程演变过程中可发生呼吸急速，低氧血症、播散性血管内凝血、急性肾功能衰竭等</w:t>
      </w:r>
      <w:r>
        <w:rPr>
          <w:rFonts w:hint="eastAsia"/>
          <w:color w:val="auto"/>
          <w:sz w:val="28"/>
          <w:szCs w:val="28"/>
        </w:rPr>
        <w:t>并发</w:t>
      </w:r>
      <w:r>
        <w:rPr>
          <w:color w:val="auto"/>
          <w:sz w:val="28"/>
          <w:szCs w:val="28"/>
        </w:rPr>
        <w:t>症。此外还有化学物引起的中毒作用。</w:t>
      </w:r>
    </w:p>
    <w:p w14:paraId="45490B4E">
      <w:pPr>
        <w:rPr>
          <w:rFonts w:hint="default"/>
          <w:lang w:val="en-US" w:eastAsia="zh-CN"/>
        </w:rPr>
      </w:pPr>
      <w:r>
        <w:rPr>
          <w:rFonts w:hint="eastAsia"/>
          <w:color w:val="auto"/>
          <w:sz w:val="28"/>
          <w:szCs w:val="28"/>
        </w:rPr>
        <w:t>本项目作业人员</w:t>
      </w:r>
      <w:r>
        <w:rPr>
          <w:rFonts w:hint="eastAsia"/>
          <w:color w:val="auto"/>
          <w:sz w:val="28"/>
          <w:szCs w:val="28"/>
          <w:lang w:val="en-US" w:eastAsia="zh-CN"/>
        </w:rPr>
        <w:t>可能因</w:t>
      </w:r>
      <w:r>
        <w:rPr>
          <w:rFonts w:hint="eastAsia"/>
          <w:color w:val="auto"/>
          <w:sz w:val="28"/>
          <w:szCs w:val="28"/>
        </w:rPr>
        <w:t>注意力不集中、作业场所照明及视线不清等原因发生淹溺事故。</w:t>
      </w:r>
    </w:p>
    <w:p w14:paraId="4CB0A718">
      <w:pPr>
        <w:pStyle w:val="4"/>
        <w:bidi w:val="0"/>
        <w:rPr>
          <w:rFonts w:hint="eastAsia"/>
          <w:color w:val="auto"/>
          <w:lang w:val="en-US" w:eastAsia="zh-CN"/>
        </w:rPr>
      </w:pPr>
      <w:bookmarkStart w:id="64" w:name="_Toc26698"/>
      <w:r>
        <w:rPr>
          <w:rFonts w:hint="eastAsia"/>
          <w:color w:val="auto"/>
          <w:lang w:val="en-US" w:eastAsia="zh-CN"/>
        </w:rPr>
        <w:t>3.2.9坍塌</w:t>
      </w:r>
      <w:bookmarkEnd w:id="64"/>
    </w:p>
    <w:p w14:paraId="553C35C6">
      <w:pPr>
        <w:bidi w:val="0"/>
        <w:rPr>
          <w:rFonts w:hint="eastAsia"/>
          <w:color w:val="auto"/>
          <w:lang w:val="en-US" w:eastAsia="zh-CN"/>
        </w:rPr>
      </w:pPr>
      <w:r>
        <w:rPr>
          <w:rFonts w:hint="eastAsia"/>
          <w:color w:val="auto"/>
          <w:lang w:val="en-US" w:eastAsia="zh-CN"/>
        </w:rPr>
        <w:t>物体在外力或重力用下，超过自身的强度极限或因结构稳定性破坏而造成的陷落和倒塌事故。</w:t>
      </w:r>
    </w:p>
    <w:p w14:paraId="6D1FA99F">
      <w:pPr>
        <w:bidi w:val="0"/>
        <w:rPr>
          <w:color w:val="auto"/>
        </w:rPr>
      </w:pPr>
      <w:r>
        <w:rPr>
          <w:rFonts w:hint="eastAsia"/>
          <w:color w:val="auto"/>
          <w:lang w:val="en-US" w:eastAsia="zh-CN"/>
        </w:rPr>
        <w:t>本项目中的烟囱、烟气管道、吸收塔等设备体积较大、高度较高，</w:t>
      </w:r>
      <w:r>
        <w:rPr>
          <w:color w:val="auto"/>
        </w:rPr>
        <w:t>如果基础不牢固，或重心不稳，结构失衡，可能造成高大设备坍塌。</w:t>
      </w:r>
    </w:p>
    <w:p w14:paraId="2E37238F">
      <w:pPr>
        <w:pStyle w:val="4"/>
        <w:bidi w:val="0"/>
        <w:rPr>
          <w:color w:val="auto"/>
        </w:rPr>
      </w:pPr>
      <w:bookmarkStart w:id="65" w:name="_Toc26417"/>
      <w:r>
        <w:rPr>
          <w:rFonts w:hint="eastAsia"/>
          <w:color w:val="auto"/>
        </w:rPr>
        <w:t>3.</w:t>
      </w:r>
      <w:r>
        <w:rPr>
          <w:rFonts w:hint="eastAsia"/>
          <w:color w:val="auto"/>
          <w:lang w:val="en-US" w:eastAsia="zh-CN"/>
        </w:rPr>
        <w:t>2</w:t>
      </w:r>
      <w:r>
        <w:rPr>
          <w:rFonts w:hint="eastAsia"/>
          <w:color w:val="auto"/>
        </w:rPr>
        <w:t>.</w:t>
      </w:r>
      <w:r>
        <w:rPr>
          <w:rFonts w:hint="eastAsia"/>
          <w:color w:val="auto"/>
          <w:lang w:val="en-US" w:eastAsia="zh-CN"/>
        </w:rPr>
        <w:t>10</w:t>
      </w:r>
      <w:r>
        <w:rPr>
          <w:color w:val="auto"/>
        </w:rPr>
        <w:t>车辆伤害</w:t>
      </w:r>
      <w:bookmarkEnd w:id="65"/>
    </w:p>
    <w:p w14:paraId="16CAE660">
      <w:pPr>
        <w:tabs>
          <w:tab w:val="center" w:pos="4535"/>
          <w:tab w:val="left" w:pos="6705"/>
        </w:tabs>
        <w:spacing w:line="600" w:lineRule="exact"/>
        <w:ind w:firstLine="560" w:firstLineChars="200"/>
        <w:rPr>
          <w:color w:val="auto"/>
          <w:sz w:val="28"/>
          <w:szCs w:val="28"/>
        </w:rPr>
      </w:pPr>
      <w:r>
        <w:rPr>
          <w:color w:val="auto"/>
          <w:sz w:val="28"/>
          <w:szCs w:val="28"/>
        </w:rPr>
        <w:t>车辆伤害是指企业机动车辆在行驶中引起的人体坠落和物体倒塌、飞落、挤压伤亡事故，不包括起重设备提升、牵引车辆和车辆停驶时发生的事故。</w:t>
      </w:r>
    </w:p>
    <w:p w14:paraId="0592831B">
      <w:pPr>
        <w:tabs>
          <w:tab w:val="center" w:pos="4535"/>
          <w:tab w:val="left" w:pos="6705"/>
        </w:tabs>
        <w:spacing w:line="600" w:lineRule="exact"/>
        <w:ind w:firstLine="560" w:firstLineChars="200"/>
        <w:rPr>
          <w:rFonts w:hint="eastAsia"/>
          <w:color w:val="auto"/>
          <w:sz w:val="28"/>
          <w:szCs w:val="28"/>
        </w:rPr>
      </w:pPr>
      <w:r>
        <w:rPr>
          <w:rFonts w:hint="eastAsia"/>
          <w:color w:val="auto"/>
          <w:sz w:val="28"/>
          <w:szCs w:val="28"/>
        </w:rPr>
        <w:t>本项目</w:t>
      </w:r>
      <w:r>
        <w:rPr>
          <w:rFonts w:hint="eastAsia"/>
          <w:color w:val="auto"/>
          <w:sz w:val="28"/>
          <w:szCs w:val="28"/>
          <w:lang w:val="en-US" w:eastAsia="zh-CN"/>
        </w:rPr>
        <w:t>的石膏料仓储存至三分之二时，需要使用相关车辆</w:t>
      </w:r>
      <w:r>
        <w:rPr>
          <w:rFonts w:hint="eastAsia"/>
          <w:color w:val="auto"/>
          <w:sz w:val="28"/>
          <w:szCs w:val="28"/>
        </w:rPr>
        <w:t>。这些车辆在运行中可因厂内道路因素（转弯半径、视距、路面平整程度等）、车辆安全状况、驾驶人员素质、工作环境、安全警示等的缺陷发生车辆伤害事故，也有可能因车辆违章行驶造成车辆伤害。</w:t>
      </w:r>
    </w:p>
    <w:p w14:paraId="45231ED0">
      <w:pPr>
        <w:pStyle w:val="3"/>
        <w:bidi w:val="0"/>
        <w:rPr>
          <w:rFonts w:ascii="Times New Roman" w:hAnsi="Times New Roman"/>
          <w:color w:val="auto"/>
          <w:lang w:val="en-US" w:eastAsia="zh-CN"/>
        </w:rPr>
      </w:pPr>
      <w:bookmarkStart w:id="66" w:name="_Toc1229"/>
      <w:r>
        <w:rPr>
          <w:rFonts w:hint="eastAsia" w:ascii="Times New Roman" w:hAnsi="Times New Roman"/>
          <w:color w:val="auto"/>
          <w:lang w:val="en-US" w:eastAsia="zh-CN"/>
        </w:rPr>
        <w:t>3.3生产过程中</w:t>
      </w:r>
      <w:r>
        <w:rPr>
          <w:rFonts w:ascii="Times New Roman" w:hAnsi="Times New Roman"/>
          <w:color w:val="auto"/>
          <w:lang w:val="en-US" w:eastAsia="zh-CN"/>
        </w:rPr>
        <w:t>有害因素分析</w:t>
      </w:r>
      <w:bookmarkEnd w:id="66"/>
    </w:p>
    <w:p w14:paraId="61452124">
      <w:pPr>
        <w:bidi w:val="0"/>
        <w:rPr>
          <w:color w:val="auto"/>
        </w:rPr>
      </w:pPr>
      <w:r>
        <w:rPr>
          <w:color w:val="auto"/>
        </w:rPr>
        <w:t>本项目生产过程存在的主要职业有害因素为粉尘</w:t>
      </w:r>
      <w:r>
        <w:rPr>
          <w:rFonts w:hint="eastAsia"/>
          <w:color w:val="auto"/>
        </w:rPr>
        <w:t>、高温</w:t>
      </w:r>
      <w:r>
        <w:rPr>
          <w:color w:val="auto"/>
        </w:rPr>
        <w:t>、噪声。</w:t>
      </w:r>
    </w:p>
    <w:p w14:paraId="66CCF05C">
      <w:pPr>
        <w:bidi w:val="0"/>
        <w:ind w:left="0" w:leftChars="0" w:firstLine="0" w:firstLineChars="0"/>
        <w:rPr>
          <w:color w:val="auto"/>
        </w:rPr>
      </w:pPr>
      <w:r>
        <w:rPr>
          <w:color w:val="auto"/>
        </w:rPr>
        <w:t>具体分析情况如下：</w:t>
      </w:r>
    </w:p>
    <w:p w14:paraId="201A65DE">
      <w:pPr>
        <w:pStyle w:val="4"/>
        <w:bidi w:val="0"/>
        <w:rPr>
          <w:rFonts w:hint="eastAsia"/>
          <w:color w:val="auto"/>
          <w:lang w:val="en-US" w:eastAsia="zh-CN"/>
        </w:rPr>
      </w:pPr>
      <w:bookmarkStart w:id="67" w:name="_Toc22836"/>
      <w:r>
        <w:rPr>
          <w:rFonts w:hint="eastAsia"/>
          <w:color w:val="auto"/>
          <w:lang w:val="en-US" w:eastAsia="zh-CN"/>
        </w:rPr>
        <w:t>3.3.1粉尘</w:t>
      </w:r>
      <w:bookmarkEnd w:id="67"/>
    </w:p>
    <w:p w14:paraId="377287F5">
      <w:pPr>
        <w:spacing w:line="360" w:lineRule="auto"/>
        <w:ind w:firstLine="560" w:firstLineChars="200"/>
        <w:rPr>
          <w:color w:val="auto"/>
        </w:rPr>
      </w:pPr>
      <w:r>
        <w:rPr>
          <w:rFonts w:hint="eastAsia" w:ascii="Times New Roman" w:hAnsi="Times New Roman"/>
          <w:color w:val="auto"/>
          <w:lang w:val="en-US" w:eastAsia="zh-CN"/>
        </w:rPr>
        <w:t>本项目</w:t>
      </w:r>
      <w:r>
        <w:rPr>
          <w:rFonts w:hint="eastAsia" w:ascii="宋体" w:hAnsi="宋体" w:cs="宋体"/>
          <w:color w:val="auto"/>
          <w:kern w:val="0"/>
          <w:lang w:val="zh-CN"/>
        </w:rPr>
        <w:t>的</w:t>
      </w:r>
      <w:r>
        <w:rPr>
          <w:rFonts w:hint="eastAsia" w:ascii="宋体" w:hAnsi="宋体" w:cs="宋体"/>
          <w:color w:val="auto"/>
          <w:kern w:val="0"/>
          <w:lang w:val="en-US" w:eastAsia="zh-CN"/>
        </w:rPr>
        <w:t>石膏脱水</w:t>
      </w:r>
      <w:r>
        <w:rPr>
          <w:rFonts w:hint="eastAsia" w:ascii="宋体" w:hAnsi="宋体" w:cs="宋体"/>
          <w:color w:val="auto"/>
          <w:kern w:val="0"/>
          <w:lang w:val="zh-CN"/>
        </w:rPr>
        <w:t>系统等工序在生产过程中</w:t>
      </w:r>
      <w:r>
        <w:rPr>
          <w:rFonts w:hint="eastAsia" w:ascii="宋体" w:hAnsi="宋体" w:cs="宋体"/>
          <w:color w:val="auto"/>
          <w:kern w:val="0"/>
          <w:lang w:val="en-US" w:eastAsia="zh-CN"/>
        </w:rPr>
        <w:t>可能</w:t>
      </w:r>
      <w:r>
        <w:rPr>
          <w:rFonts w:hint="eastAsia" w:ascii="宋体" w:hAnsi="宋体" w:cs="宋体"/>
          <w:color w:val="auto"/>
          <w:kern w:val="0"/>
          <w:lang w:val="zh-CN"/>
        </w:rPr>
        <w:t>会产生粉尘，人员长期接触会危害健康，如累计到一定的量，可引起肺病。具有致癌性的粉尘对健康的危害就更严重。</w:t>
      </w:r>
      <w:r>
        <w:rPr>
          <w:rFonts w:hint="eastAsia" w:ascii="宋体" w:hAnsi="宋体" w:cs="宋体"/>
          <w:color w:val="auto"/>
          <w:kern w:val="0"/>
          <w:lang w:val="en-US" w:eastAsia="zh-CN"/>
        </w:rPr>
        <w:t>若</w:t>
      </w:r>
      <w:r>
        <w:rPr>
          <w:rFonts w:hint="eastAsia" w:ascii="宋体" w:hAnsi="宋体" w:cs="宋体"/>
          <w:color w:val="auto"/>
          <w:kern w:val="0"/>
          <w:lang w:val="zh-CN"/>
        </w:rPr>
        <w:t>通风、排尘不良，除尘设施发生故障加之个人防护不当，就可能造成作业人员吸入粉尘，对健康造成伤害。</w:t>
      </w:r>
    </w:p>
    <w:p w14:paraId="4C58190B">
      <w:pPr>
        <w:pStyle w:val="4"/>
        <w:bidi w:val="0"/>
        <w:rPr>
          <w:rFonts w:hint="eastAsia"/>
          <w:color w:val="auto"/>
          <w:lang w:val="en-US" w:eastAsia="zh-CN"/>
        </w:rPr>
      </w:pPr>
      <w:bookmarkStart w:id="68" w:name="_Toc8124"/>
      <w:r>
        <w:rPr>
          <w:rFonts w:hint="eastAsia"/>
          <w:color w:val="auto"/>
          <w:lang w:val="en-US" w:eastAsia="zh-CN"/>
        </w:rPr>
        <w:t>3.3.2高温</w:t>
      </w:r>
      <w:bookmarkEnd w:id="68"/>
    </w:p>
    <w:p w14:paraId="453E8AB9">
      <w:pPr>
        <w:rPr>
          <w:rFonts w:hint="eastAsia" w:ascii="Times New Roman" w:hAnsi="Times New Roman"/>
          <w:color w:val="auto"/>
          <w:lang w:val="en-US" w:eastAsia="zh-CN"/>
        </w:rPr>
      </w:pPr>
      <w:r>
        <w:rPr>
          <w:rFonts w:hint="eastAsia" w:ascii="Times New Roman" w:hAnsi="Times New Roman"/>
          <w:color w:val="auto"/>
          <w:lang w:val="en-US" w:eastAsia="zh-CN"/>
        </w:rPr>
        <w:t>该地区夏季温度较高，如不做好降温措施，亦有可能影响工人身体健康。</w:t>
      </w:r>
    </w:p>
    <w:p w14:paraId="575127B1">
      <w:pPr>
        <w:rPr>
          <w:rFonts w:hint="eastAsia" w:ascii="Times New Roman" w:hAnsi="Times New Roman"/>
          <w:color w:val="auto"/>
          <w:lang w:val="en-US" w:eastAsia="zh-CN"/>
        </w:rPr>
      </w:pPr>
      <w:r>
        <w:rPr>
          <w:rFonts w:hint="eastAsia" w:ascii="Times New Roman" w:hAnsi="Times New Roman"/>
          <w:color w:val="auto"/>
          <w:lang w:val="en-US" w:eastAsia="zh-CN"/>
        </w:rPr>
        <w:t>1</w:t>
      </w:r>
      <w:r>
        <w:rPr>
          <w:rFonts w:hint="eastAsia"/>
          <w:color w:val="auto"/>
          <w:lang w:val="en-US" w:eastAsia="zh-CN"/>
        </w:rPr>
        <w:t>.</w:t>
      </w:r>
      <w:r>
        <w:rPr>
          <w:rFonts w:hint="eastAsia" w:ascii="Times New Roman" w:hAnsi="Times New Roman"/>
          <w:color w:val="auto"/>
          <w:lang w:val="en-US" w:eastAsia="zh-CN"/>
        </w:rPr>
        <w:t>作业工人在高温条件下作业主要的生理功能改变表现为体温调节功能失调、水盐代谢紊乱、血压下降，严重时可导致心肌损伤、肾脏功能下降。</w:t>
      </w:r>
    </w:p>
    <w:p w14:paraId="1C502177">
      <w:pPr>
        <w:rPr>
          <w:rFonts w:hint="eastAsia" w:ascii="Times New Roman" w:hAnsi="Times New Roman"/>
          <w:color w:val="auto"/>
          <w:lang w:val="en-US" w:eastAsia="zh-CN"/>
        </w:rPr>
      </w:pPr>
      <w:r>
        <w:rPr>
          <w:rFonts w:hint="eastAsia" w:ascii="Times New Roman" w:hAnsi="Times New Roman"/>
          <w:color w:val="auto"/>
          <w:lang w:val="en-US" w:eastAsia="zh-CN"/>
        </w:rPr>
        <w:t>2</w:t>
      </w:r>
      <w:r>
        <w:rPr>
          <w:rFonts w:hint="eastAsia"/>
          <w:color w:val="auto"/>
          <w:lang w:val="en-US" w:eastAsia="zh-CN"/>
        </w:rPr>
        <w:t>.</w:t>
      </w:r>
      <w:r>
        <w:rPr>
          <w:rFonts w:hint="eastAsia" w:ascii="Times New Roman" w:hAnsi="Times New Roman"/>
          <w:color w:val="auto"/>
          <w:lang w:val="en-US" w:eastAsia="zh-CN"/>
        </w:rPr>
        <w:t>对循环系统的影响。高温作业时，皮肤血管扩张，大量出汗使血液浓缩，造成心脏活动增加、心跳加快、血压升高、心血管负担增加。</w:t>
      </w:r>
    </w:p>
    <w:p w14:paraId="43CFAEAA">
      <w:pPr>
        <w:rPr>
          <w:rFonts w:hint="eastAsia" w:ascii="Times New Roman" w:hAnsi="Times New Roman"/>
          <w:color w:val="auto"/>
          <w:lang w:val="en-US" w:eastAsia="zh-CN"/>
        </w:rPr>
      </w:pPr>
      <w:r>
        <w:rPr>
          <w:rFonts w:hint="eastAsia" w:ascii="Times New Roman" w:hAnsi="Times New Roman"/>
          <w:color w:val="auto"/>
          <w:lang w:val="en-US" w:eastAsia="zh-CN"/>
        </w:rPr>
        <w:t>3</w:t>
      </w:r>
      <w:r>
        <w:rPr>
          <w:rFonts w:hint="eastAsia"/>
          <w:color w:val="auto"/>
          <w:lang w:val="en-US" w:eastAsia="zh-CN"/>
        </w:rPr>
        <w:t>.</w:t>
      </w:r>
      <w:r>
        <w:rPr>
          <w:rFonts w:hint="eastAsia" w:ascii="Times New Roman" w:hAnsi="Times New Roman"/>
          <w:color w:val="auto"/>
          <w:lang w:val="en-US" w:eastAsia="zh-CN"/>
        </w:rPr>
        <w:t>对消化系统的影响。高温对唾液分泌有抑制作用，使胃液分泌减少，胃蠕动减慢，造成食欲不振；大量出汗和氯化物丧失，使胃液酸度降低，易造成消化不良。此外，高温可使小肠的运动减慢，形成其他胃肠道疾病。</w:t>
      </w:r>
    </w:p>
    <w:p w14:paraId="777A88D9">
      <w:pPr>
        <w:rPr>
          <w:rFonts w:hint="eastAsia" w:ascii="Times New Roman" w:hAnsi="Times New Roman"/>
          <w:color w:val="auto"/>
          <w:lang w:val="en-US" w:eastAsia="zh-CN"/>
        </w:rPr>
      </w:pPr>
      <w:r>
        <w:rPr>
          <w:rFonts w:hint="eastAsia" w:ascii="Times New Roman" w:hAnsi="Times New Roman"/>
          <w:color w:val="auto"/>
          <w:lang w:val="en-US" w:eastAsia="zh-CN"/>
        </w:rPr>
        <w:t>4</w:t>
      </w:r>
      <w:r>
        <w:rPr>
          <w:rFonts w:hint="eastAsia"/>
          <w:color w:val="auto"/>
          <w:lang w:val="en-US" w:eastAsia="zh-CN"/>
        </w:rPr>
        <w:t>.</w:t>
      </w:r>
      <w:r>
        <w:rPr>
          <w:rFonts w:hint="eastAsia" w:ascii="Times New Roman" w:hAnsi="Times New Roman"/>
          <w:color w:val="auto"/>
          <w:lang w:val="en-US" w:eastAsia="zh-CN"/>
        </w:rPr>
        <w:t>神经系统。在高温及热辐射作用下，肌肉的工作能力、动作的准确性、协调性、反应速度及注意力降低。</w:t>
      </w:r>
    </w:p>
    <w:p w14:paraId="43380040">
      <w:pPr>
        <w:pStyle w:val="4"/>
        <w:bidi w:val="0"/>
        <w:rPr>
          <w:rFonts w:hint="default"/>
          <w:color w:val="auto"/>
          <w:lang w:val="en-US" w:eastAsia="zh-CN"/>
        </w:rPr>
      </w:pPr>
      <w:bookmarkStart w:id="69" w:name="_Toc24224"/>
      <w:r>
        <w:rPr>
          <w:rFonts w:hint="eastAsia"/>
          <w:color w:val="auto"/>
          <w:lang w:val="en-US" w:eastAsia="zh-CN"/>
        </w:rPr>
        <w:t>3.3.3噪声</w:t>
      </w:r>
      <w:bookmarkEnd w:id="69"/>
    </w:p>
    <w:p w14:paraId="173B4BDC">
      <w:pPr>
        <w:ind w:firstLine="560" w:firstLineChars="200"/>
        <w:rPr>
          <w:rFonts w:hint="eastAsia"/>
          <w:color w:val="auto"/>
        </w:rPr>
      </w:pPr>
      <w:r>
        <w:rPr>
          <w:rFonts w:hint="eastAsia"/>
          <w:color w:val="auto"/>
        </w:rPr>
        <w:t>噪声是一种无规律的频率波动范围很大的声波，长期接触可导致人员听力下降，心理情绪不稳，生理功能不良，影响从业人员健康。同时噪声可致人注意力分散，情绪失常而增加失误的机率，诱发机械事故发生。</w:t>
      </w:r>
    </w:p>
    <w:p w14:paraId="03ADB68E">
      <w:pPr>
        <w:ind w:firstLine="560" w:firstLineChars="200"/>
        <w:rPr>
          <w:rFonts w:hint="eastAsia"/>
          <w:color w:val="auto"/>
          <w:lang w:val="en-US" w:eastAsia="zh-CN"/>
        </w:rPr>
      </w:pPr>
      <w:r>
        <w:rPr>
          <w:rFonts w:hint="eastAsia"/>
          <w:color w:val="auto"/>
          <w:lang w:val="en-US" w:eastAsia="zh-CN"/>
        </w:rPr>
        <w:t>本项目</w:t>
      </w:r>
      <w:r>
        <w:rPr>
          <w:rFonts w:hint="eastAsia"/>
          <w:color w:val="auto"/>
        </w:rPr>
        <w:t>噪声</w:t>
      </w:r>
      <w:r>
        <w:rPr>
          <w:rFonts w:hint="eastAsia"/>
          <w:color w:val="auto"/>
          <w:lang w:val="en-US" w:eastAsia="zh-CN"/>
        </w:rPr>
        <w:t>主要来源于</w:t>
      </w:r>
      <w:r>
        <w:rPr>
          <w:rFonts w:hint="eastAsia"/>
          <w:color w:val="auto"/>
        </w:rPr>
        <w:t>风机、空压机等</w:t>
      </w:r>
      <w:r>
        <w:rPr>
          <w:rFonts w:hint="eastAsia"/>
          <w:color w:val="auto"/>
          <w:lang w:val="en-US" w:eastAsia="zh-CN"/>
        </w:rPr>
        <w:t>设备</w:t>
      </w:r>
      <w:r>
        <w:rPr>
          <w:rFonts w:hint="eastAsia"/>
          <w:color w:val="auto"/>
        </w:rPr>
        <w:t>。</w:t>
      </w:r>
    </w:p>
    <w:p w14:paraId="4070FF76">
      <w:pPr>
        <w:pStyle w:val="3"/>
        <w:bidi w:val="0"/>
        <w:rPr>
          <w:rFonts w:hint="eastAsia"/>
          <w:color w:val="auto"/>
          <w:lang w:val="en-US" w:eastAsia="zh-CN"/>
        </w:rPr>
      </w:pPr>
      <w:bookmarkStart w:id="70" w:name="_Toc4460"/>
      <w:r>
        <w:rPr>
          <w:rFonts w:hint="default"/>
          <w:color w:val="auto"/>
          <w:lang w:val="en-US" w:eastAsia="zh-CN"/>
        </w:rPr>
        <w:t>3.</w:t>
      </w:r>
      <w:r>
        <w:rPr>
          <w:rFonts w:hint="eastAsia"/>
          <w:color w:val="auto"/>
          <w:lang w:val="en-US" w:eastAsia="zh-CN"/>
        </w:rPr>
        <w:t>4</w:t>
      </w:r>
      <w:r>
        <w:rPr>
          <w:rFonts w:hint="default"/>
          <w:color w:val="auto"/>
          <w:lang w:val="en-US" w:eastAsia="zh-CN"/>
        </w:rPr>
        <w:t>自然条件危险、有害因素分析</w:t>
      </w:r>
      <w:bookmarkEnd w:id="70"/>
    </w:p>
    <w:p w14:paraId="7572C148">
      <w:pPr>
        <w:pStyle w:val="4"/>
        <w:bidi w:val="0"/>
        <w:rPr>
          <w:rFonts w:hint="eastAsia"/>
          <w:color w:val="auto"/>
          <w:lang w:val="en-US" w:eastAsia="zh-CN"/>
        </w:rPr>
      </w:pPr>
      <w:bookmarkStart w:id="71" w:name="_Toc30159"/>
      <w:r>
        <w:rPr>
          <w:rFonts w:hint="eastAsia"/>
          <w:color w:val="auto"/>
          <w:lang w:val="en-US" w:eastAsia="zh-CN"/>
        </w:rPr>
        <w:t>3.4.1地震</w:t>
      </w:r>
      <w:bookmarkEnd w:id="71"/>
    </w:p>
    <w:p w14:paraId="318408D3">
      <w:pPr>
        <w:ind w:firstLine="560" w:firstLineChars="200"/>
        <w:rPr>
          <w:rFonts w:hint="eastAsia"/>
          <w:color w:val="auto"/>
          <w:lang w:val="en-US" w:eastAsia="zh-CN"/>
        </w:rPr>
      </w:pPr>
      <w:r>
        <w:rPr>
          <w:rFonts w:hint="eastAsia"/>
          <w:color w:val="auto"/>
          <w:lang w:val="en-US" w:eastAsia="zh-CN"/>
        </w:rPr>
        <w:t>地震可能造成建（构）筑物、设备设施、电力设施等的破坏，严重时可导致次生灾害，如本项目的生产、储存装置因地震作用发生破裂、倾覆后，极易发生火灾、爆炸、中毒和窒息，污染环境等事故，造成人员伤亡和财产损失。</w:t>
      </w:r>
    </w:p>
    <w:p w14:paraId="3EA8D8EE">
      <w:pPr>
        <w:ind w:firstLine="560" w:firstLineChars="200"/>
        <w:rPr>
          <w:rFonts w:hint="eastAsia"/>
          <w:color w:val="auto"/>
          <w:lang w:val="en-US" w:eastAsia="zh-CN"/>
        </w:rPr>
      </w:pPr>
      <w:r>
        <w:rPr>
          <w:rFonts w:hint="eastAsia"/>
          <w:color w:val="auto"/>
          <w:lang w:val="en-US" w:eastAsia="zh-CN"/>
        </w:rPr>
        <w:t>本项目所在区域地震烈度Ⅵ度，地震对本项目导致事故、造成损失的可能性较小。</w:t>
      </w:r>
    </w:p>
    <w:p w14:paraId="2E1EFEB3">
      <w:pPr>
        <w:pStyle w:val="4"/>
        <w:bidi w:val="0"/>
        <w:rPr>
          <w:rFonts w:hint="eastAsia"/>
          <w:color w:val="auto"/>
          <w:lang w:val="en-US" w:eastAsia="zh-CN"/>
        </w:rPr>
      </w:pPr>
      <w:bookmarkStart w:id="72" w:name="_Toc12487"/>
      <w:r>
        <w:rPr>
          <w:rFonts w:hint="eastAsia"/>
          <w:color w:val="auto"/>
          <w:lang w:val="en-US" w:eastAsia="zh-CN"/>
        </w:rPr>
        <w:t>3.4.2雷击</w:t>
      </w:r>
      <w:bookmarkEnd w:id="72"/>
    </w:p>
    <w:p w14:paraId="5717EEDD">
      <w:pPr>
        <w:ind w:firstLine="560" w:firstLineChars="200"/>
        <w:rPr>
          <w:rFonts w:hint="default"/>
          <w:color w:val="auto"/>
          <w:lang w:val="en-US" w:eastAsia="zh-CN"/>
        </w:rPr>
      </w:pPr>
      <w:r>
        <w:rPr>
          <w:rFonts w:hint="eastAsia"/>
          <w:color w:val="auto"/>
          <w:lang w:val="en-US" w:eastAsia="zh-CN"/>
        </w:rPr>
        <w:t>雷暴同样是一种具有一定破坏力的自然现象，它是天空中的云层放电而引起的事故。雷电的能量非常巨大，它可以造成建筑物、构筑物的毁坏、人身伤亡，还可以引起火灾和爆炸等，由此引起人员伤亡和财产损失。雷暴主要发生在防雷措施不完善或因维护不良，检查不及时，使防雷、接地措施失效的情况下。本项目已设接闪带等保护措施，并经相关单位检查合格，已出具了防雷检测报告，故发生雷击，引起危害的可能性较小。</w:t>
      </w:r>
    </w:p>
    <w:p w14:paraId="2F06B41F">
      <w:pPr>
        <w:pStyle w:val="4"/>
        <w:bidi w:val="0"/>
        <w:rPr>
          <w:rFonts w:hint="eastAsia"/>
          <w:color w:val="auto"/>
          <w:lang w:val="en-US" w:eastAsia="zh-CN"/>
        </w:rPr>
      </w:pPr>
      <w:bookmarkStart w:id="73" w:name="_Toc27689"/>
      <w:r>
        <w:rPr>
          <w:rFonts w:hint="eastAsia"/>
          <w:color w:val="auto"/>
          <w:lang w:val="en-US" w:eastAsia="zh-CN"/>
        </w:rPr>
        <w:t>3.4.3暴雨、洪水</w:t>
      </w:r>
      <w:bookmarkEnd w:id="73"/>
    </w:p>
    <w:p w14:paraId="51119A2D">
      <w:pPr>
        <w:bidi w:val="0"/>
        <w:rPr>
          <w:rFonts w:hint="eastAsia"/>
          <w:color w:val="auto"/>
          <w:lang w:val="en-US" w:eastAsia="zh-CN"/>
        </w:rPr>
      </w:pPr>
      <w:r>
        <w:rPr>
          <w:rFonts w:hint="eastAsia"/>
          <w:color w:val="auto"/>
          <w:lang w:val="en-US" w:eastAsia="zh-CN"/>
        </w:rPr>
        <w:t>该地区年平均降雨量1514.3mm，由于基地地势平坦，雨水排水畅通，基地受水淹，设备、物资、产品受浸或流失的可能性不大，造成重大经济损失可能性小。</w:t>
      </w:r>
    </w:p>
    <w:p w14:paraId="5D251B21">
      <w:pPr>
        <w:ind w:firstLine="560" w:firstLineChars="200"/>
        <w:rPr>
          <w:rFonts w:hint="default"/>
          <w:color w:val="auto"/>
          <w:lang w:val="en-US" w:eastAsia="zh-CN"/>
        </w:rPr>
      </w:pPr>
      <w:r>
        <w:rPr>
          <w:rFonts w:hint="default"/>
          <w:color w:val="auto"/>
          <w:lang w:val="en-US" w:eastAsia="zh-CN"/>
        </w:rPr>
        <w:t>根据本项目地的气象条件来看，多年平均降雨量为</w:t>
      </w:r>
      <w:r>
        <w:rPr>
          <w:rFonts w:hint="eastAsia"/>
          <w:color w:val="auto"/>
          <w:lang w:val="en-US" w:eastAsia="zh-CN"/>
        </w:rPr>
        <w:t>1514.3</w:t>
      </w:r>
      <w:r>
        <w:rPr>
          <w:rFonts w:hint="default"/>
          <w:color w:val="auto"/>
          <w:lang w:val="en-US" w:eastAsia="zh-CN"/>
        </w:rPr>
        <w:t>mm，且夏季雨量较为集中，需要预防夏季的暴雨洪涝。一旦发生暴雨而疏导不及时，生产设备、设施、建筑物可能因排水不畅，造成基础下沉，设备倾斜、损坏，从而引发事故。</w:t>
      </w:r>
    </w:p>
    <w:p w14:paraId="28D0181C">
      <w:pPr>
        <w:ind w:firstLine="560" w:firstLineChars="200"/>
        <w:rPr>
          <w:rFonts w:hint="default"/>
          <w:color w:val="auto"/>
          <w:lang w:val="en-US" w:eastAsia="zh-CN"/>
        </w:rPr>
      </w:pPr>
      <w:r>
        <w:rPr>
          <w:rFonts w:hint="default"/>
          <w:color w:val="auto"/>
          <w:lang w:val="en-US" w:eastAsia="zh-CN"/>
        </w:rPr>
        <w:t>暴雨及洪水可能威胁工厂的安全，</w:t>
      </w:r>
      <w:r>
        <w:rPr>
          <w:rFonts w:hint="eastAsia"/>
          <w:color w:val="auto"/>
          <w:lang w:val="en-US" w:eastAsia="zh-CN"/>
        </w:rPr>
        <w:t>本项目</w:t>
      </w:r>
      <w:r>
        <w:rPr>
          <w:rFonts w:hint="default"/>
          <w:color w:val="auto"/>
          <w:lang w:val="en-US" w:eastAsia="zh-CN"/>
        </w:rPr>
        <w:t>的北侧濒临长江，且部分地段的标高低于长江的最高洪水位，如果防洪设施不完善存在发生洪涝的危险。</w:t>
      </w:r>
    </w:p>
    <w:p w14:paraId="75DA8C39">
      <w:pPr>
        <w:pStyle w:val="4"/>
        <w:bidi w:val="0"/>
        <w:rPr>
          <w:rFonts w:hint="default"/>
          <w:color w:val="auto"/>
          <w:lang w:val="en-US" w:eastAsia="zh-CN"/>
        </w:rPr>
      </w:pPr>
      <w:bookmarkStart w:id="74" w:name="_Toc18193"/>
      <w:r>
        <w:rPr>
          <w:rFonts w:hint="eastAsia"/>
          <w:color w:val="auto"/>
          <w:lang w:val="en-US" w:eastAsia="zh-CN"/>
        </w:rPr>
        <w:t>3.4.4</w:t>
      </w:r>
      <w:r>
        <w:rPr>
          <w:rFonts w:hint="default"/>
          <w:color w:val="auto"/>
          <w:lang w:val="en-US" w:eastAsia="zh-CN"/>
        </w:rPr>
        <w:t>高温</w:t>
      </w:r>
      <w:bookmarkEnd w:id="74"/>
    </w:p>
    <w:p w14:paraId="32ED3813">
      <w:pPr>
        <w:ind w:firstLine="560" w:firstLineChars="200"/>
        <w:rPr>
          <w:rFonts w:hint="default"/>
          <w:color w:val="auto"/>
          <w:lang w:val="en-US" w:eastAsia="zh-CN"/>
        </w:rPr>
      </w:pPr>
      <w:r>
        <w:rPr>
          <w:rFonts w:hint="eastAsia"/>
          <w:color w:val="auto"/>
          <w:lang w:val="en-US" w:eastAsia="zh-CN"/>
        </w:rPr>
        <w:t>本项目</w:t>
      </w:r>
      <w:r>
        <w:rPr>
          <w:rFonts w:hint="default"/>
          <w:color w:val="auto"/>
          <w:lang w:val="en-US" w:eastAsia="zh-CN"/>
        </w:rPr>
        <w:t>所在地历史上极端最高气温为4</w:t>
      </w:r>
      <w:r>
        <w:rPr>
          <w:rFonts w:hint="eastAsia"/>
          <w:color w:val="auto"/>
          <w:lang w:val="en-US" w:eastAsia="zh-CN"/>
        </w:rPr>
        <w:t>1</w:t>
      </w:r>
      <w:r>
        <w:rPr>
          <w:rFonts w:hint="default"/>
          <w:color w:val="auto"/>
          <w:lang w:val="en-US" w:eastAsia="zh-CN"/>
        </w:rPr>
        <w:t>.</w:t>
      </w:r>
      <w:r>
        <w:rPr>
          <w:rFonts w:hint="eastAsia"/>
          <w:color w:val="auto"/>
          <w:lang w:val="en-US" w:eastAsia="zh-CN"/>
        </w:rPr>
        <w:t>2</w:t>
      </w:r>
      <w:r>
        <w:rPr>
          <w:rFonts w:hint="default"/>
          <w:color w:val="auto"/>
          <w:lang w:val="en-US" w:eastAsia="zh-CN"/>
        </w:rPr>
        <w:t>℃。高温天气会对职工的身体健康造成很大的危害。在高温和烈日曝晒下，密闭容器或管道的内部介质吸收热能，体积膨胀，压力会急速增大，有可能导致设备和管线破裂（特别是有压力存在的设备和管线）。生产人员长时间处于夏季高温环境下工作，会心情烦躁、大量排汗、注意力不易集中、肌肉易疲劳、动作的准确性和协调性降低、反应迟钝，工作能力下降、易出现操作失误，并有可能发生急性中暑，还可能造成心肌肥大、高血压、消化道疾病、肾功能受损等。</w:t>
      </w:r>
    </w:p>
    <w:p w14:paraId="2CA3048A">
      <w:pPr>
        <w:pStyle w:val="4"/>
        <w:bidi w:val="0"/>
        <w:rPr>
          <w:rFonts w:hint="default"/>
          <w:color w:val="auto"/>
          <w:lang w:val="en-US" w:eastAsia="zh-CN"/>
        </w:rPr>
      </w:pPr>
      <w:bookmarkStart w:id="75" w:name="_Toc22881"/>
      <w:r>
        <w:rPr>
          <w:rFonts w:hint="eastAsia"/>
          <w:color w:val="auto"/>
          <w:lang w:val="en-US" w:eastAsia="zh-CN"/>
        </w:rPr>
        <w:t>3.4.5</w:t>
      </w:r>
      <w:r>
        <w:rPr>
          <w:rFonts w:hint="default"/>
          <w:color w:val="auto"/>
          <w:lang w:val="en-US" w:eastAsia="zh-CN"/>
        </w:rPr>
        <w:t>不良地质</w:t>
      </w:r>
      <w:bookmarkEnd w:id="75"/>
    </w:p>
    <w:p w14:paraId="5AF5051B">
      <w:pPr>
        <w:ind w:firstLine="560" w:firstLineChars="200"/>
        <w:rPr>
          <w:rFonts w:hint="default"/>
          <w:color w:val="auto"/>
          <w:lang w:val="en-US" w:eastAsia="zh-CN"/>
        </w:rPr>
      </w:pPr>
      <w:r>
        <w:rPr>
          <w:rFonts w:hint="default"/>
          <w:color w:val="auto"/>
          <w:lang w:val="en-US" w:eastAsia="zh-CN"/>
        </w:rPr>
        <w:t>不良地质对建筑物的破坏作用较大，影响人员的安全。企业应加强检查、观测，对存在危险的场所及时采取预防性措施，防止和控制地质灾害对企业的危害。</w:t>
      </w:r>
    </w:p>
    <w:p w14:paraId="331DC053">
      <w:pPr>
        <w:pStyle w:val="4"/>
        <w:bidi w:val="0"/>
        <w:rPr>
          <w:rFonts w:hint="default"/>
          <w:color w:val="auto"/>
          <w:lang w:val="en-US" w:eastAsia="zh-CN"/>
        </w:rPr>
      </w:pPr>
      <w:bookmarkStart w:id="76" w:name="_Toc6853"/>
      <w:r>
        <w:rPr>
          <w:rFonts w:hint="eastAsia"/>
          <w:color w:val="auto"/>
          <w:lang w:val="en-US" w:eastAsia="zh-CN"/>
        </w:rPr>
        <w:t>3.4.6</w:t>
      </w:r>
      <w:r>
        <w:rPr>
          <w:rFonts w:hint="default"/>
          <w:color w:val="auto"/>
          <w:lang w:val="en-US" w:eastAsia="zh-CN"/>
        </w:rPr>
        <w:t>积雪、冰冻</w:t>
      </w:r>
      <w:bookmarkEnd w:id="76"/>
    </w:p>
    <w:p w14:paraId="4220E9FB">
      <w:pPr>
        <w:bidi w:val="0"/>
        <w:rPr>
          <w:rFonts w:hint="default"/>
          <w:color w:val="auto"/>
          <w:lang w:val="en-US" w:eastAsia="zh-CN"/>
        </w:rPr>
      </w:pPr>
      <w:r>
        <w:rPr>
          <w:rFonts w:hint="default"/>
          <w:color w:val="auto"/>
          <w:lang w:val="en-US" w:eastAsia="zh-CN"/>
        </w:rPr>
        <w:t>积雪、冰冻主要对管道等因冻结而破裂造成物料的泄漏，踏步梯打滑造成人员摔跌等。本项目位处江西瑞昌市，积雪程度不厚，冰冻期较短，因此，积雪冰冻对本项目基本无影响。</w:t>
      </w:r>
    </w:p>
    <w:p w14:paraId="076EF512">
      <w:pPr>
        <w:pStyle w:val="3"/>
        <w:bidi w:val="0"/>
        <w:rPr>
          <w:rFonts w:hint="eastAsia" w:ascii="宋体" w:hAnsi="宋体" w:eastAsia="黑体" w:cs="宋体"/>
          <w:b/>
          <w:bCs/>
          <w:color w:val="auto"/>
          <w:szCs w:val="28"/>
          <w:lang w:val="en-US" w:eastAsia="zh-CN"/>
        </w:rPr>
      </w:pPr>
      <w:bookmarkStart w:id="77" w:name="_Toc2384"/>
      <w:r>
        <w:rPr>
          <w:rFonts w:hint="eastAsia"/>
          <w:color w:val="auto"/>
          <w:lang w:val="en-US" w:eastAsia="zh-CN"/>
        </w:rPr>
        <w:t>3.5</w:t>
      </w:r>
      <w:r>
        <w:rPr>
          <w:rFonts w:hint="eastAsia"/>
          <w:color w:val="auto"/>
        </w:rPr>
        <w:t>其它危险因素</w:t>
      </w:r>
      <w:r>
        <w:rPr>
          <w:rFonts w:hint="eastAsia"/>
          <w:color w:val="auto"/>
          <w:lang w:val="en-US" w:eastAsia="zh-CN"/>
        </w:rPr>
        <w:t>分析</w:t>
      </w:r>
      <w:bookmarkEnd w:id="77"/>
    </w:p>
    <w:p w14:paraId="20D8534B">
      <w:pPr>
        <w:spacing w:line="360" w:lineRule="auto"/>
        <w:ind w:firstLine="560" w:firstLineChars="200"/>
        <w:rPr>
          <w:rFonts w:hint="eastAsia" w:ascii="宋体" w:hAnsi="宋体" w:cs="宋体"/>
          <w:color w:val="auto"/>
          <w:sz w:val="28"/>
          <w:szCs w:val="28"/>
        </w:rPr>
      </w:pPr>
      <w:r>
        <w:rPr>
          <w:rFonts w:hint="eastAsia" w:ascii="宋体" w:hAnsi="宋体" w:cs="宋体"/>
          <w:color w:val="auto"/>
          <w:sz w:val="28"/>
          <w:szCs w:val="28"/>
        </w:rPr>
        <w:t>本项目的建（构）筑物如遇台风、地震等因素，有可能造成建筑物吹落、倒塌，造成人员伤亡等。</w:t>
      </w:r>
    </w:p>
    <w:p w14:paraId="241F2649">
      <w:pPr>
        <w:spacing w:line="360" w:lineRule="auto"/>
        <w:ind w:firstLine="560" w:firstLineChars="200"/>
        <w:rPr>
          <w:rFonts w:hint="eastAsia" w:ascii="宋体" w:hAnsi="宋体" w:cs="宋体"/>
          <w:color w:val="auto"/>
          <w:sz w:val="28"/>
          <w:szCs w:val="28"/>
        </w:rPr>
      </w:pPr>
      <w:r>
        <w:rPr>
          <w:rFonts w:hint="eastAsia" w:ascii="宋体" w:hAnsi="宋体" w:cs="宋体"/>
          <w:color w:val="auto"/>
          <w:sz w:val="28"/>
          <w:szCs w:val="28"/>
        </w:rPr>
        <w:t>生产过程中电、气的非正常切断是引发多种事故的不安全因素。</w:t>
      </w:r>
    </w:p>
    <w:p w14:paraId="23AD977E">
      <w:pPr>
        <w:spacing w:line="360" w:lineRule="auto"/>
        <w:ind w:firstLine="560" w:firstLineChars="200"/>
        <w:rPr>
          <w:rFonts w:hint="eastAsia" w:ascii="宋体" w:hAnsi="宋体" w:cs="宋体"/>
          <w:color w:val="auto"/>
          <w:sz w:val="28"/>
          <w:szCs w:val="28"/>
        </w:rPr>
      </w:pPr>
      <w:r>
        <w:rPr>
          <w:rFonts w:hint="eastAsia" w:ascii="宋体" w:hAnsi="宋体" w:cs="宋体"/>
          <w:color w:val="auto"/>
          <w:sz w:val="28"/>
          <w:szCs w:val="28"/>
        </w:rPr>
        <w:t>压力表、液位仪表等显示仪表不能及时真实地反映实际情况，操作人员易发生误操作而引发事故的发生。</w:t>
      </w:r>
    </w:p>
    <w:p w14:paraId="1AA840C2">
      <w:pPr>
        <w:ind w:firstLine="560" w:firstLineChars="200"/>
        <w:rPr>
          <w:rFonts w:hint="eastAsia" w:ascii="宋体" w:hAnsi="宋体" w:cs="宋体"/>
          <w:color w:val="auto"/>
          <w:sz w:val="28"/>
          <w:szCs w:val="28"/>
        </w:rPr>
      </w:pPr>
      <w:r>
        <w:rPr>
          <w:rFonts w:hint="eastAsia" w:ascii="宋体" w:hAnsi="宋体" w:cs="宋体"/>
          <w:color w:val="auto"/>
          <w:sz w:val="28"/>
          <w:szCs w:val="28"/>
        </w:rPr>
        <w:t>由于管理原因、职工素质不高、身体健康异常、违章作业、违章指挥、违反劳动纪律以及人为失误、野蛮作业等危险、有害因素导致各类事故发生的可能。</w:t>
      </w:r>
    </w:p>
    <w:p w14:paraId="6E005E63">
      <w:pPr>
        <w:pStyle w:val="3"/>
        <w:bidi w:val="0"/>
        <w:rPr>
          <w:color w:val="auto"/>
        </w:rPr>
      </w:pPr>
      <w:bookmarkStart w:id="78" w:name="_Toc4732"/>
      <w:r>
        <w:rPr>
          <w:rFonts w:hint="eastAsia"/>
          <w:color w:val="auto"/>
          <w:lang w:val="en-US" w:eastAsia="zh-CN"/>
        </w:rPr>
        <w:t>3.6</w:t>
      </w:r>
      <w:r>
        <w:rPr>
          <w:rFonts w:hint="eastAsia"/>
          <w:color w:val="auto"/>
        </w:rPr>
        <w:t>物料危险性分析</w:t>
      </w:r>
      <w:bookmarkEnd w:id="78"/>
    </w:p>
    <w:p w14:paraId="5C1B00B1">
      <w:pPr>
        <w:pStyle w:val="4"/>
        <w:bidi w:val="0"/>
        <w:rPr>
          <w:rFonts w:hint="default" w:eastAsia="宋体"/>
          <w:color w:val="auto"/>
          <w:lang w:val="en-US" w:eastAsia="zh-CN"/>
        </w:rPr>
      </w:pPr>
      <w:r>
        <w:rPr>
          <w:rFonts w:hint="eastAsia"/>
          <w:color w:val="auto"/>
          <w:lang w:val="en-US" w:eastAsia="zh-CN"/>
        </w:rPr>
        <w:t>3.6.1物料危险性辨识</w:t>
      </w:r>
    </w:p>
    <w:p w14:paraId="61BAED92">
      <w:pPr>
        <w:bidi w:val="0"/>
        <w:rPr>
          <w:color w:val="auto"/>
          <w:lang w:val="zh-CN"/>
        </w:rPr>
      </w:pPr>
      <w:r>
        <w:rPr>
          <w:rFonts w:hint="eastAsia"/>
          <w:color w:val="auto"/>
        </w:rPr>
        <w:t>本</w:t>
      </w:r>
      <w:r>
        <w:rPr>
          <w:rFonts w:hint="eastAsia"/>
          <w:color w:val="auto"/>
          <w:lang w:val="zh-CN"/>
        </w:rPr>
        <w:t>项目主要物料有石灰石粉（主要成分是碳酸钙CaCO</w:t>
      </w:r>
      <w:r>
        <w:rPr>
          <w:rFonts w:hint="eastAsia"/>
          <w:color w:val="auto"/>
          <w:vertAlign w:val="subscript"/>
          <w:lang w:val="zh-CN"/>
        </w:rPr>
        <w:t>3</w:t>
      </w:r>
      <w:r>
        <w:rPr>
          <w:rFonts w:hint="eastAsia"/>
          <w:color w:val="auto"/>
          <w:lang w:val="zh-CN"/>
        </w:rPr>
        <w:t>）、石灰石浆液等。回转窑烟气</w:t>
      </w:r>
      <w:r>
        <w:rPr>
          <w:rFonts w:hint="eastAsia"/>
          <w:color w:val="auto"/>
          <w:lang w:val="en-US" w:eastAsia="zh-CN"/>
        </w:rPr>
        <w:t>中的SO</w:t>
      </w:r>
      <w:r>
        <w:rPr>
          <w:rFonts w:hint="eastAsia"/>
          <w:color w:val="auto"/>
          <w:vertAlign w:val="subscript"/>
          <w:lang w:val="en-US" w:eastAsia="zh-CN"/>
        </w:rPr>
        <w:t>2</w:t>
      </w:r>
      <w:r>
        <w:rPr>
          <w:rFonts w:hint="eastAsia"/>
          <w:color w:val="auto"/>
          <w:lang w:val="en-US" w:eastAsia="zh-CN"/>
        </w:rPr>
        <w:t>属于重点监管的</w:t>
      </w:r>
      <w:r>
        <w:rPr>
          <w:rFonts w:hint="eastAsia"/>
          <w:color w:val="auto"/>
          <w:lang w:val="zh-CN"/>
        </w:rPr>
        <w:t>危险化学品。</w:t>
      </w:r>
    </w:p>
    <w:p w14:paraId="238D8217">
      <w:pPr>
        <w:bidi w:val="0"/>
        <w:rPr>
          <w:color w:val="auto"/>
          <w:lang w:val="zh-CN"/>
        </w:rPr>
      </w:pPr>
      <w:r>
        <w:rPr>
          <w:rFonts w:hint="eastAsia"/>
          <w:color w:val="auto"/>
          <w:lang w:val="zh-CN"/>
        </w:rPr>
        <w:t>涉及的物料特性：</w:t>
      </w:r>
    </w:p>
    <w:p w14:paraId="3643D58A">
      <w:pPr>
        <w:bidi w:val="0"/>
        <w:rPr>
          <w:color w:val="auto"/>
          <w:lang w:val="zh-CN"/>
        </w:rPr>
      </w:pPr>
      <w:r>
        <w:rPr>
          <w:rFonts w:hint="eastAsia"/>
          <w:color w:val="auto"/>
          <w:lang w:val="zh-CN"/>
        </w:rPr>
        <w:t>（</w:t>
      </w:r>
      <w:r>
        <w:rPr>
          <w:rFonts w:hint="eastAsia"/>
          <w:color w:val="auto"/>
        </w:rPr>
        <w:t>1</w:t>
      </w:r>
      <w:r>
        <w:rPr>
          <w:rFonts w:hint="eastAsia"/>
          <w:color w:val="auto"/>
          <w:lang w:val="zh-CN"/>
        </w:rPr>
        <w:t>）碳酸钙CaCO</w:t>
      </w:r>
      <w:r>
        <w:rPr>
          <w:rFonts w:hint="eastAsia"/>
          <w:color w:val="auto"/>
          <w:vertAlign w:val="subscript"/>
          <w:lang w:val="zh-CN"/>
        </w:rPr>
        <w:t>3</w:t>
      </w:r>
    </w:p>
    <w:p w14:paraId="70701AE8">
      <w:pPr>
        <w:bidi w:val="0"/>
        <w:rPr>
          <w:rFonts w:hint="eastAsia"/>
          <w:color w:val="auto"/>
          <w:lang w:val="zh-CN"/>
        </w:rPr>
      </w:pPr>
      <w:r>
        <w:rPr>
          <w:rFonts w:hint="eastAsia"/>
          <w:color w:val="auto"/>
          <w:lang w:val="zh-CN"/>
        </w:rPr>
        <w:t>碳酸钙俗称石灰石，白色粉末。无臭、无味。露置空气中无反应，不溶于醇。遇稀醋酸、稀盐酸、稀硝酸发生泡沸，并溶解。高温条件下分解为氧化钙和二氧化碳。从事开采加工的工人常出现上呼吸道炎症、支气管炎，可伴有肺气肿。X线胸片上出现淋巴结钙化，肺纹理增强。</w:t>
      </w:r>
    </w:p>
    <w:p w14:paraId="04B04CD6">
      <w:pPr>
        <w:bidi w:val="0"/>
        <w:rPr>
          <w:color w:val="auto"/>
          <w:lang w:val="zh-CN"/>
        </w:rPr>
      </w:pPr>
      <w:r>
        <w:rPr>
          <w:rFonts w:hint="eastAsia"/>
          <w:color w:val="auto"/>
          <w:lang w:val="zh-CN"/>
        </w:rPr>
        <w:t>石灰石粉尘对鼻、喉有刺激性。高浓度吸入引起支气管痉挛，呼吸困难和喘息。极高浓度吸入可引起肺水肿，甚至死亡。对眼和皮肤有刺激性。口服灼伤消化道。</w:t>
      </w:r>
    </w:p>
    <w:p w14:paraId="2E60C940">
      <w:pPr>
        <w:bidi w:val="0"/>
        <w:rPr>
          <w:color w:val="auto"/>
          <w:lang w:val="zh-CN"/>
        </w:rPr>
      </w:pPr>
      <w:r>
        <w:rPr>
          <w:rFonts w:hint="eastAsia"/>
          <w:color w:val="auto"/>
          <w:lang w:val="zh-CN"/>
        </w:rPr>
        <w:t>（</w:t>
      </w:r>
      <w:r>
        <w:rPr>
          <w:rFonts w:hint="eastAsia"/>
          <w:color w:val="auto"/>
          <w:lang w:val="en-US" w:eastAsia="zh-CN"/>
        </w:rPr>
        <w:t>2</w:t>
      </w:r>
      <w:r>
        <w:rPr>
          <w:rFonts w:hint="eastAsia"/>
          <w:color w:val="auto"/>
          <w:lang w:val="zh-CN"/>
        </w:rPr>
        <w:t>）石灰石浆液</w:t>
      </w:r>
    </w:p>
    <w:p w14:paraId="6027D2D7">
      <w:pPr>
        <w:bidi w:val="0"/>
        <w:rPr>
          <w:color w:val="auto"/>
          <w:lang w:val="zh-CN"/>
        </w:rPr>
      </w:pPr>
      <w:r>
        <w:rPr>
          <w:rFonts w:hint="eastAsia"/>
          <w:color w:val="auto"/>
          <w:lang w:val="zh-CN"/>
        </w:rPr>
        <w:t>石灰石制成浆液后，浆液呈弱碱性，人体皮肤长时间接触会造成碱性腐蚀，或浆液溅到眼部则会对眼睛造成极大伤害。</w:t>
      </w:r>
    </w:p>
    <w:p w14:paraId="01DFC7EA">
      <w:pPr>
        <w:bidi w:val="0"/>
        <w:rPr>
          <w:color w:val="auto"/>
          <w:lang w:val="zh-CN"/>
        </w:rPr>
      </w:pPr>
      <w:r>
        <w:rPr>
          <w:rFonts w:hint="eastAsia"/>
          <w:color w:val="auto"/>
          <w:lang w:val="zh-CN"/>
        </w:rPr>
        <w:t>（</w:t>
      </w:r>
      <w:r>
        <w:rPr>
          <w:rFonts w:hint="eastAsia"/>
          <w:color w:val="auto"/>
          <w:lang w:val="en-US" w:eastAsia="zh-CN"/>
        </w:rPr>
        <w:t>3</w:t>
      </w:r>
      <w:r>
        <w:rPr>
          <w:rFonts w:hint="eastAsia"/>
          <w:color w:val="auto"/>
          <w:lang w:val="zh-CN"/>
        </w:rPr>
        <w:t>）回转窑烟气</w:t>
      </w:r>
    </w:p>
    <w:p w14:paraId="50DE3587">
      <w:pPr>
        <w:bidi w:val="0"/>
        <w:rPr>
          <w:color w:val="auto"/>
          <w:lang w:val="zh-CN"/>
        </w:rPr>
      </w:pPr>
      <w:r>
        <w:rPr>
          <w:rFonts w:hint="eastAsia"/>
          <w:color w:val="auto"/>
          <w:lang w:val="zh-CN"/>
        </w:rPr>
        <w:t>脱硫系统作业人员存在因防护措施不当，受到烟气中含有的SO</w:t>
      </w:r>
      <w:r>
        <w:rPr>
          <w:rFonts w:hint="eastAsia"/>
          <w:color w:val="auto"/>
          <w:vertAlign w:val="subscript"/>
          <w:lang w:val="zh-CN"/>
        </w:rPr>
        <w:t>2</w:t>
      </w:r>
      <w:r>
        <w:rPr>
          <w:rFonts w:hint="eastAsia"/>
          <w:color w:val="auto"/>
          <w:lang w:val="zh-CN"/>
        </w:rPr>
        <w:t>等有毒气体危害的可能。</w:t>
      </w:r>
    </w:p>
    <w:p w14:paraId="5C757419">
      <w:pPr>
        <w:numPr>
          <w:ilvl w:val="0"/>
          <w:numId w:val="0"/>
        </w:numPr>
        <w:bidi w:val="0"/>
        <w:ind w:firstLine="560" w:firstLineChars="200"/>
        <w:rPr>
          <w:rFonts w:hint="eastAsia"/>
          <w:color w:val="auto"/>
          <w:lang w:val="zh-CN"/>
        </w:rPr>
      </w:pPr>
      <w:r>
        <w:rPr>
          <w:rFonts w:hint="eastAsia" w:ascii="Times New Roman" w:hAnsi="Times New Roman" w:eastAsia="宋体" w:cs="Times New Roman"/>
          <w:color w:val="auto"/>
          <w:kern w:val="2"/>
          <w:sz w:val="28"/>
          <w:szCs w:val="28"/>
          <w:lang w:val="zh-CN" w:eastAsia="zh-CN" w:bidi="ar-SA"/>
        </w:rPr>
        <w:t>1）</w:t>
      </w:r>
      <w:r>
        <w:rPr>
          <w:rFonts w:hint="eastAsia"/>
          <w:color w:val="auto"/>
          <w:lang w:val="zh-CN"/>
        </w:rPr>
        <w:t>SO</w:t>
      </w:r>
      <w:r>
        <w:rPr>
          <w:rFonts w:hint="eastAsia"/>
          <w:color w:val="auto"/>
          <w:vertAlign w:val="subscript"/>
          <w:lang w:val="zh-CN"/>
        </w:rPr>
        <w:t>2</w:t>
      </w:r>
      <w:r>
        <w:rPr>
          <w:rFonts w:hint="eastAsia"/>
          <w:color w:val="auto"/>
          <w:lang w:val="zh-CN"/>
        </w:rPr>
        <w:t>是一种有毒气体，危险程度为三级，对眼及呼吸道粘膜有强烈的刺激作用。大量吸入可引起肺水肿、喉水肿、声带痉挛而致窒息。如外部接触，应立即用清水冲洗，并就医；如将其吸入，应及时输氧，保持呼吸道通畅，并就医。</w:t>
      </w:r>
    </w:p>
    <w:p w14:paraId="52EEE0AF">
      <w:pPr>
        <w:numPr>
          <w:ilvl w:val="0"/>
          <w:numId w:val="0"/>
        </w:numPr>
        <w:bidi w:val="0"/>
        <w:ind w:firstLine="560" w:firstLineChars="200"/>
        <w:rPr>
          <w:rFonts w:hint="eastAsia"/>
          <w:color w:val="auto"/>
          <w:lang w:val="zh-CN"/>
        </w:rPr>
      </w:pPr>
      <w:r>
        <w:rPr>
          <w:rFonts w:hint="eastAsia"/>
          <w:color w:val="auto"/>
          <w:lang w:val="zh-CN"/>
        </w:rPr>
        <w:t>根据《国家安全监管总局关于公布首批重点监管的危险化学品名录的通知》（安监总管三〔2011〕95号）和《国家安全监管总局关于公布第二批重点监管危险化学品名录的通知》（安监总管三〔2013〕12号）对涉及的危险化学品进行辨识，</w:t>
      </w:r>
      <w:r>
        <w:rPr>
          <w:rFonts w:hint="eastAsia"/>
          <w:color w:val="auto"/>
          <w:lang w:val="en-US" w:eastAsia="zh-CN"/>
        </w:rPr>
        <w:t>本</w:t>
      </w:r>
      <w:r>
        <w:rPr>
          <w:rFonts w:hint="eastAsia"/>
          <w:color w:val="auto"/>
          <w:lang w:val="zh-CN"/>
        </w:rPr>
        <w:t>项目回转窑烟气</w:t>
      </w:r>
      <w:r>
        <w:rPr>
          <w:rFonts w:hint="eastAsia"/>
          <w:color w:val="auto"/>
          <w:lang w:val="en-US" w:eastAsia="zh-CN"/>
        </w:rPr>
        <w:t>中的SO</w:t>
      </w:r>
      <w:r>
        <w:rPr>
          <w:rFonts w:hint="eastAsia"/>
          <w:color w:val="auto"/>
          <w:vertAlign w:val="subscript"/>
          <w:lang w:val="en-US" w:eastAsia="zh-CN"/>
        </w:rPr>
        <w:t>2</w:t>
      </w:r>
      <w:r>
        <w:rPr>
          <w:rFonts w:hint="eastAsia"/>
          <w:color w:val="auto"/>
          <w:vertAlign w:val="baseline"/>
          <w:lang w:val="en-US" w:eastAsia="zh-CN"/>
        </w:rPr>
        <w:t>气体</w:t>
      </w:r>
      <w:r>
        <w:rPr>
          <w:rFonts w:hint="eastAsia"/>
          <w:color w:val="auto"/>
          <w:lang w:val="en-US" w:eastAsia="zh-CN"/>
        </w:rPr>
        <w:t>属于</w:t>
      </w:r>
      <w:r>
        <w:rPr>
          <w:rFonts w:hint="eastAsia"/>
          <w:color w:val="auto"/>
          <w:lang w:val="zh-CN"/>
        </w:rPr>
        <w:t>重点监管的危险化学品。</w:t>
      </w:r>
    </w:p>
    <w:p w14:paraId="4F065593">
      <w:pPr>
        <w:bidi w:val="0"/>
        <w:rPr>
          <w:rFonts w:hint="eastAsia"/>
          <w:color w:val="auto"/>
          <w:lang w:val="zh-CN"/>
        </w:rPr>
      </w:pPr>
      <w:r>
        <w:rPr>
          <w:rFonts w:hint="eastAsia"/>
          <w:color w:val="auto"/>
          <w:lang w:val="zh-CN"/>
        </w:rPr>
        <w:t>依据《中华人民共和国监控化学品管理条例》（国务院令第588号修订）进行辨识，本项目不涉及监控化学品管理条例中的监控化学品。</w:t>
      </w:r>
    </w:p>
    <w:p w14:paraId="4801133A">
      <w:pPr>
        <w:bidi w:val="0"/>
        <w:rPr>
          <w:rFonts w:hint="eastAsia"/>
          <w:color w:val="auto"/>
          <w:lang w:val="zh-CN"/>
        </w:rPr>
      </w:pPr>
      <w:r>
        <w:rPr>
          <w:rFonts w:hint="eastAsia"/>
          <w:color w:val="auto"/>
          <w:lang w:val="zh-CN"/>
        </w:rPr>
        <w:t>依据《易制毒化学品管理条例》（国务院令第703号修订）及附表规定进行辨识，本项目不涉及易制毒化学品。</w:t>
      </w:r>
    </w:p>
    <w:p w14:paraId="2E3F0B35">
      <w:pPr>
        <w:bidi w:val="0"/>
        <w:rPr>
          <w:rFonts w:hint="eastAsia"/>
          <w:color w:val="auto"/>
          <w:lang w:val="zh-CN"/>
        </w:rPr>
      </w:pPr>
      <w:r>
        <w:rPr>
          <w:rFonts w:hint="eastAsia"/>
          <w:color w:val="auto"/>
          <w:lang w:val="zh-CN"/>
        </w:rPr>
        <w:t>依据《危险化学品目录（2015）》（2022年调整版）进行辨识，本项目回转窑烟气中的SO</w:t>
      </w:r>
      <w:r>
        <w:rPr>
          <w:rFonts w:hint="eastAsia"/>
          <w:color w:val="auto"/>
          <w:vertAlign w:val="subscript"/>
          <w:lang w:val="zh-CN"/>
        </w:rPr>
        <w:t>2</w:t>
      </w:r>
      <w:r>
        <w:rPr>
          <w:rFonts w:hint="eastAsia"/>
          <w:color w:val="auto"/>
          <w:lang w:val="zh-CN"/>
        </w:rPr>
        <w:t>气体</w:t>
      </w:r>
      <w:r>
        <w:rPr>
          <w:rFonts w:hint="eastAsia"/>
          <w:color w:val="auto"/>
          <w:lang w:val="en-US" w:eastAsia="zh-CN"/>
        </w:rPr>
        <w:t>属于危险</w:t>
      </w:r>
      <w:r>
        <w:rPr>
          <w:rFonts w:hint="eastAsia"/>
          <w:color w:val="auto"/>
          <w:lang w:val="zh-CN"/>
        </w:rPr>
        <w:t>化学品。</w:t>
      </w:r>
    </w:p>
    <w:p w14:paraId="71301110">
      <w:pPr>
        <w:bidi w:val="0"/>
        <w:rPr>
          <w:rFonts w:hint="eastAsia"/>
          <w:color w:val="auto"/>
          <w:lang w:val="zh-CN"/>
        </w:rPr>
      </w:pPr>
      <w:r>
        <w:rPr>
          <w:rFonts w:hint="eastAsia"/>
          <w:color w:val="auto"/>
          <w:lang w:val="zh-CN"/>
        </w:rPr>
        <w:t>依据《高毒物品目录》（卫法监发[2003]142号）进行辨识，本项目不涉及高毒物品。</w:t>
      </w:r>
    </w:p>
    <w:p w14:paraId="7B33FB44">
      <w:pPr>
        <w:bidi w:val="0"/>
        <w:rPr>
          <w:rFonts w:hint="eastAsia"/>
          <w:color w:val="auto"/>
          <w:lang w:val="zh-CN"/>
        </w:rPr>
      </w:pPr>
      <w:r>
        <w:rPr>
          <w:rFonts w:hint="eastAsia"/>
          <w:color w:val="auto"/>
          <w:lang w:val="zh-CN"/>
        </w:rPr>
        <w:t>根据《易制爆危险化学品名录》（2017年版）进行辨识，本项目不涉及易制爆危险化学品。</w:t>
      </w:r>
    </w:p>
    <w:p w14:paraId="3B364FD4">
      <w:pPr>
        <w:bidi w:val="0"/>
        <w:rPr>
          <w:rFonts w:hint="eastAsia"/>
          <w:color w:val="auto"/>
          <w:lang w:val="zh-CN"/>
        </w:rPr>
      </w:pPr>
      <w:r>
        <w:rPr>
          <w:rFonts w:hint="eastAsia"/>
          <w:color w:val="auto"/>
          <w:lang w:val="zh-CN"/>
        </w:rPr>
        <w:t>根据《特别管控危险化学品名录（第一版）》，经辨识，本项目不涉及特别管控危险化学品。</w:t>
      </w:r>
    </w:p>
    <w:p w14:paraId="039E1862">
      <w:pPr>
        <w:bidi w:val="0"/>
        <w:rPr>
          <w:color w:val="auto"/>
          <w:lang w:val="zh-CN"/>
        </w:rPr>
      </w:pPr>
      <w:r>
        <w:rPr>
          <w:rFonts w:hint="eastAsia"/>
          <w:color w:val="auto"/>
          <w:lang w:val="zh-CN"/>
        </w:rPr>
        <w:t>依据《关于公布首批重点监管的危险化工工艺目录的通知》（安监总管三[2009]116号）及《关于公布第二批重点监管危险化工工艺目录和调整首批重点监管危险化工工艺中部分典型工艺的通知》（安监总管三[2013]3号）的要求，本项目不涉及危险化工工艺。</w:t>
      </w:r>
    </w:p>
    <w:p w14:paraId="27A18B4C">
      <w:pPr>
        <w:pStyle w:val="3"/>
        <w:bidi w:val="0"/>
        <w:rPr>
          <w:rFonts w:hint="default"/>
          <w:color w:val="auto"/>
          <w:lang w:val="en-US" w:eastAsia="zh-CN"/>
        </w:rPr>
      </w:pPr>
      <w:bookmarkStart w:id="79" w:name="_Toc29122"/>
      <w:r>
        <w:rPr>
          <w:rFonts w:hint="default"/>
          <w:color w:val="auto"/>
          <w:lang w:val="en-US" w:eastAsia="zh-CN"/>
        </w:rPr>
        <w:t>3.</w:t>
      </w:r>
      <w:r>
        <w:rPr>
          <w:rFonts w:hint="eastAsia"/>
          <w:color w:val="auto"/>
          <w:lang w:val="en-US" w:eastAsia="zh-CN"/>
        </w:rPr>
        <w:t>7</w:t>
      </w:r>
      <w:r>
        <w:rPr>
          <w:rFonts w:hint="default"/>
          <w:color w:val="auto"/>
          <w:lang w:val="en-US" w:eastAsia="zh-CN"/>
        </w:rPr>
        <w:t>公用工程、辅助设施的危险、有害因素分析</w:t>
      </w:r>
      <w:bookmarkEnd w:id="79"/>
    </w:p>
    <w:p w14:paraId="3FFD4E60">
      <w:pPr>
        <w:adjustRightInd w:val="0"/>
        <w:snapToGrid w:val="0"/>
        <w:spacing w:line="600" w:lineRule="exact"/>
        <w:ind w:firstLine="570"/>
        <w:rPr>
          <w:color w:val="auto"/>
          <w:sz w:val="28"/>
          <w:szCs w:val="28"/>
        </w:rPr>
      </w:pPr>
      <w:r>
        <w:rPr>
          <w:rFonts w:hint="eastAsia"/>
          <w:color w:val="auto"/>
          <w:sz w:val="28"/>
          <w:szCs w:val="28"/>
        </w:rPr>
        <w:t>公用工程是本评价项目的一个重要组成部分，主要由供水</w:t>
      </w:r>
      <w:r>
        <w:rPr>
          <w:rFonts w:hint="eastAsia"/>
          <w:color w:val="auto"/>
          <w:sz w:val="28"/>
          <w:szCs w:val="28"/>
          <w:lang w:val="en-US" w:eastAsia="zh-CN"/>
        </w:rPr>
        <w:t>和</w:t>
      </w:r>
      <w:r>
        <w:rPr>
          <w:rFonts w:hint="eastAsia"/>
          <w:color w:val="auto"/>
          <w:sz w:val="28"/>
          <w:szCs w:val="28"/>
        </w:rPr>
        <w:t>供电等构成。对于它们本身的工艺、设备可能产生的危险、有害因素在上文相关部分都有阐述，这里只是分析公用工程出现故障，可能导致其他工艺、设施出现的严重后果。</w:t>
      </w:r>
    </w:p>
    <w:p w14:paraId="277034BA">
      <w:pPr>
        <w:adjustRightInd w:val="0"/>
        <w:snapToGrid w:val="0"/>
        <w:spacing w:line="600" w:lineRule="exact"/>
        <w:ind w:firstLine="570"/>
        <w:rPr>
          <w:rFonts w:hint="eastAsia"/>
          <w:color w:val="auto"/>
          <w:sz w:val="28"/>
          <w:szCs w:val="28"/>
        </w:rPr>
      </w:pPr>
      <w:r>
        <w:rPr>
          <w:rFonts w:hint="eastAsia"/>
          <w:color w:val="auto"/>
          <w:sz w:val="28"/>
          <w:szCs w:val="28"/>
        </w:rPr>
        <w:t>1</w:t>
      </w:r>
      <w:r>
        <w:rPr>
          <w:rFonts w:hint="eastAsia"/>
          <w:color w:val="auto"/>
          <w:sz w:val="28"/>
          <w:szCs w:val="28"/>
          <w:lang w:val="en-US" w:eastAsia="zh-CN"/>
        </w:rPr>
        <w:t>.</w:t>
      </w:r>
      <w:r>
        <w:rPr>
          <w:rFonts w:hint="eastAsia"/>
          <w:color w:val="auto"/>
          <w:sz w:val="28"/>
          <w:szCs w:val="28"/>
        </w:rPr>
        <w:t>供水中断</w:t>
      </w:r>
    </w:p>
    <w:p w14:paraId="3F3865D7">
      <w:pPr>
        <w:adjustRightInd w:val="0"/>
        <w:snapToGrid w:val="0"/>
        <w:spacing w:line="600" w:lineRule="exact"/>
        <w:ind w:firstLine="570"/>
        <w:rPr>
          <w:rFonts w:hint="eastAsia"/>
          <w:color w:val="auto"/>
          <w:sz w:val="28"/>
          <w:szCs w:val="28"/>
        </w:rPr>
      </w:pPr>
      <w:r>
        <w:rPr>
          <w:rFonts w:hint="eastAsia"/>
          <w:color w:val="auto"/>
          <w:spacing w:val="-6"/>
          <w:sz w:val="28"/>
          <w:szCs w:val="28"/>
          <w:lang w:val="zh-CN"/>
        </w:rPr>
        <w:t>项目用水包括生产、生活给水系统、循环水系统、消防给水系统等，供水中断，生产将出现异常，将达不到工艺的要求条件，可能酿成经济损</w:t>
      </w:r>
      <w:r>
        <w:rPr>
          <w:rFonts w:hint="eastAsia"/>
          <w:color w:val="auto"/>
          <w:sz w:val="28"/>
          <w:szCs w:val="28"/>
        </w:rPr>
        <w:t>失。</w:t>
      </w:r>
    </w:p>
    <w:p w14:paraId="55496521">
      <w:pPr>
        <w:adjustRightInd w:val="0"/>
        <w:snapToGrid w:val="0"/>
        <w:spacing w:line="600" w:lineRule="exact"/>
        <w:ind w:firstLine="570"/>
        <w:rPr>
          <w:rFonts w:hint="eastAsia"/>
          <w:color w:val="auto"/>
          <w:sz w:val="28"/>
          <w:szCs w:val="28"/>
        </w:rPr>
      </w:pPr>
      <w:r>
        <w:rPr>
          <w:rFonts w:hint="eastAsia"/>
          <w:color w:val="auto"/>
          <w:sz w:val="28"/>
          <w:szCs w:val="28"/>
        </w:rPr>
        <w:t>2</w:t>
      </w:r>
      <w:r>
        <w:rPr>
          <w:rFonts w:hint="eastAsia"/>
          <w:color w:val="auto"/>
          <w:sz w:val="28"/>
          <w:szCs w:val="28"/>
          <w:lang w:val="en-US" w:eastAsia="zh-CN"/>
        </w:rPr>
        <w:t>.</w:t>
      </w:r>
      <w:r>
        <w:rPr>
          <w:rFonts w:hint="eastAsia"/>
          <w:color w:val="auto"/>
          <w:sz w:val="28"/>
          <w:szCs w:val="28"/>
        </w:rPr>
        <w:t>供电中断</w:t>
      </w:r>
    </w:p>
    <w:p w14:paraId="7EA786CB">
      <w:pPr>
        <w:adjustRightInd w:val="0"/>
        <w:snapToGrid w:val="0"/>
        <w:spacing w:line="600" w:lineRule="exact"/>
        <w:ind w:firstLine="570"/>
        <w:rPr>
          <w:rFonts w:hint="eastAsia"/>
          <w:color w:val="auto"/>
          <w:sz w:val="28"/>
          <w:szCs w:val="28"/>
        </w:rPr>
      </w:pPr>
      <w:r>
        <w:rPr>
          <w:rFonts w:hint="eastAsia"/>
          <w:color w:val="auto"/>
          <w:sz w:val="28"/>
          <w:szCs w:val="28"/>
        </w:rPr>
        <w:t>电气设备方面存在的危险有害因素主要表现为火灾和人身伤害。停电后，如果得不到及时有效的处理，容易发生机械伤害事故，消防泵未及时启动，可能造成火灾事故，造成一定经济损失。</w:t>
      </w:r>
    </w:p>
    <w:p w14:paraId="36C86FC8">
      <w:pPr>
        <w:pStyle w:val="3"/>
        <w:bidi w:val="0"/>
        <w:rPr>
          <w:color w:val="auto"/>
        </w:rPr>
      </w:pPr>
      <w:bookmarkStart w:id="80" w:name="_Toc14337"/>
      <w:r>
        <w:rPr>
          <w:rFonts w:hint="eastAsia"/>
          <w:color w:val="auto"/>
        </w:rPr>
        <w:t>3.</w:t>
      </w:r>
      <w:r>
        <w:rPr>
          <w:rFonts w:hint="eastAsia"/>
          <w:color w:val="auto"/>
          <w:lang w:val="en-US" w:eastAsia="zh-CN"/>
        </w:rPr>
        <w:t>8</w:t>
      </w:r>
      <w:r>
        <w:rPr>
          <w:rFonts w:hint="eastAsia"/>
          <w:color w:val="auto"/>
        </w:rPr>
        <w:t>吸收剂制备系统危险性分析</w:t>
      </w:r>
      <w:bookmarkEnd w:id="80"/>
    </w:p>
    <w:p w14:paraId="106A98F6">
      <w:pPr>
        <w:adjustRightInd w:val="0"/>
        <w:snapToGrid w:val="0"/>
        <w:spacing w:line="360" w:lineRule="auto"/>
        <w:ind w:firstLine="560" w:firstLineChars="200"/>
        <w:rPr>
          <w:color w:val="auto"/>
        </w:rPr>
      </w:pPr>
      <w:r>
        <w:rPr>
          <w:rFonts w:hint="eastAsia"/>
          <w:color w:val="auto"/>
          <w:lang w:val="en-US" w:eastAsia="zh-CN"/>
        </w:rPr>
        <w:t>1.</w:t>
      </w:r>
      <w:r>
        <w:rPr>
          <w:rFonts w:hint="eastAsia"/>
          <w:color w:val="auto"/>
        </w:rPr>
        <w:t>若设备设计流速选取不当或运行调整不当，则会造成阀门堵塞和损坏，严重时会造成脱硫塔的管道堵塞，特别易造成喷嘴堵塞损坏，影响脱硫系统的正常运行；</w:t>
      </w:r>
    </w:p>
    <w:p w14:paraId="05A656EA">
      <w:pPr>
        <w:adjustRightInd w:val="0"/>
        <w:snapToGrid w:val="0"/>
        <w:spacing w:line="360" w:lineRule="auto"/>
        <w:ind w:firstLine="560" w:firstLineChars="200"/>
        <w:rPr>
          <w:color w:val="auto"/>
        </w:rPr>
      </w:pPr>
      <w:r>
        <w:rPr>
          <w:rFonts w:hint="eastAsia"/>
          <w:color w:val="auto"/>
          <w:lang w:val="en-US" w:eastAsia="zh-CN"/>
        </w:rPr>
        <w:t>2.</w:t>
      </w:r>
      <w:r>
        <w:rPr>
          <w:rFonts w:hint="eastAsia"/>
          <w:color w:val="auto"/>
        </w:rPr>
        <w:t>脱硫设备及系统中的浆液泵、管道系统及阀门附件存在磨损的危险；</w:t>
      </w:r>
    </w:p>
    <w:p w14:paraId="4394587E">
      <w:pPr>
        <w:adjustRightInd w:val="0"/>
        <w:snapToGrid w:val="0"/>
        <w:spacing w:line="360" w:lineRule="auto"/>
        <w:ind w:firstLine="560" w:firstLineChars="200"/>
        <w:rPr>
          <w:color w:val="auto"/>
        </w:rPr>
      </w:pPr>
      <w:r>
        <w:rPr>
          <w:rFonts w:hint="eastAsia"/>
          <w:color w:val="auto"/>
          <w:lang w:val="en-US" w:eastAsia="zh-CN"/>
        </w:rPr>
        <w:t>3.</w:t>
      </w:r>
      <w:r>
        <w:rPr>
          <w:rFonts w:hint="eastAsia"/>
          <w:color w:val="auto"/>
        </w:rPr>
        <w:t>石灰石浆液系统的管道、阀门、浆液循环泵、浆液输送泵均受石灰石浆液的腐蚀而损坏；</w:t>
      </w:r>
    </w:p>
    <w:p w14:paraId="4B54B6E4">
      <w:pPr>
        <w:adjustRightInd w:val="0"/>
        <w:snapToGrid w:val="0"/>
        <w:spacing w:line="360" w:lineRule="auto"/>
        <w:ind w:firstLine="560" w:firstLineChars="200"/>
        <w:rPr>
          <w:color w:val="auto"/>
        </w:rPr>
      </w:pPr>
      <w:r>
        <w:rPr>
          <w:rFonts w:hint="eastAsia"/>
          <w:color w:val="auto"/>
          <w:lang w:val="en-US" w:eastAsia="zh-CN"/>
        </w:rPr>
        <w:t>4.</w:t>
      </w:r>
      <w:r>
        <w:rPr>
          <w:rFonts w:hint="eastAsia"/>
          <w:color w:val="auto"/>
        </w:rPr>
        <w:t>设施周围的池、坑等无盖或安全栏杆，操作人员跌入会发生淹溺事故；</w:t>
      </w:r>
    </w:p>
    <w:p w14:paraId="38ED5260">
      <w:pPr>
        <w:adjustRightInd w:val="0"/>
        <w:snapToGrid w:val="0"/>
        <w:spacing w:line="360" w:lineRule="auto"/>
        <w:ind w:firstLine="560" w:firstLineChars="200"/>
        <w:rPr>
          <w:color w:val="auto"/>
        </w:rPr>
      </w:pPr>
      <w:r>
        <w:rPr>
          <w:rFonts w:hint="eastAsia"/>
          <w:color w:val="auto"/>
          <w:lang w:val="en-US" w:eastAsia="zh-CN"/>
        </w:rPr>
        <w:t>5.</w:t>
      </w:r>
      <w:r>
        <w:rPr>
          <w:rFonts w:hint="eastAsia"/>
          <w:color w:val="auto"/>
        </w:rPr>
        <w:t>风机、泵等转动设备在运行过程中若无防护罩或无安全栏杆会造成机械伤害；</w:t>
      </w:r>
    </w:p>
    <w:p w14:paraId="4631E0D6">
      <w:pPr>
        <w:adjustRightInd w:val="0"/>
        <w:snapToGrid w:val="0"/>
        <w:spacing w:line="360" w:lineRule="auto"/>
        <w:ind w:firstLine="560" w:firstLineChars="200"/>
        <w:rPr>
          <w:color w:val="auto"/>
        </w:rPr>
      </w:pPr>
      <w:r>
        <w:rPr>
          <w:rFonts w:hint="eastAsia"/>
          <w:color w:val="auto"/>
          <w:lang w:val="en-US" w:eastAsia="zh-CN"/>
        </w:rPr>
        <w:t>6.</w:t>
      </w:r>
      <w:r>
        <w:rPr>
          <w:rFonts w:hint="eastAsia"/>
          <w:color w:val="auto"/>
        </w:rPr>
        <w:t>采用车辆运送石膏过程中会造成车辆伤害。</w:t>
      </w:r>
    </w:p>
    <w:p w14:paraId="224B0FDB">
      <w:pPr>
        <w:pStyle w:val="3"/>
        <w:bidi w:val="0"/>
        <w:rPr>
          <w:color w:val="auto"/>
        </w:rPr>
      </w:pPr>
      <w:bookmarkStart w:id="81" w:name="_Toc31682"/>
      <w:r>
        <w:rPr>
          <w:rFonts w:hint="eastAsia"/>
          <w:color w:val="auto"/>
        </w:rPr>
        <w:t>3</w:t>
      </w:r>
      <w:r>
        <w:rPr>
          <w:rFonts w:hint="eastAsia"/>
          <w:color w:val="auto"/>
          <w:lang w:val="en-US" w:eastAsia="zh-CN"/>
        </w:rPr>
        <w:t>.9</w:t>
      </w:r>
      <w:r>
        <w:rPr>
          <w:rFonts w:hint="eastAsia"/>
          <w:color w:val="auto"/>
        </w:rPr>
        <w:t>SO</w:t>
      </w:r>
      <w:r>
        <w:rPr>
          <w:rFonts w:hint="eastAsia"/>
          <w:color w:val="auto"/>
          <w:vertAlign w:val="subscript"/>
        </w:rPr>
        <w:t>2</w:t>
      </w:r>
      <w:r>
        <w:rPr>
          <w:rFonts w:hint="eastAsia"/>
          <w:color w:val="auto"/>
        </w:rPr>
        <w:t>吸收系统危险性分析</w:t>
      </w:r>
      <w:bookmarkEnd w:id="81"/>
    </w:p>
    <w:p w14:paraId="632DD128">
      <w:pPr>
        <w:adjustRightInd w:val="0"/>
        <w:snapToGrid w:val="0"/>
        <w:spacing w:line="360" w:lineRule="auto"/>
        <w:ind w:firstLine="560" w:firstLineChars="200"/>
        <w:rPr>
          <w:color w:val="auto"/>
        </w:rPr>
      </w:pPr>
      <w:r>
        <w:rPr>
          <w:rFonts w:hint="eastAsia"/>
          <w:color w:val="auto"/>
          <w:lang w:val="en-US" w:eastAsia="zh-CN"/>
        </w:rPr>
        <w:t>1.</w:t>
      </w:r>
      <w:r>
        <w:rPr>
          <w:rFonts w:hint="eastAsia"/>
          <w:color w:val="auto"/>
        </w:rPr>
        <w:t>系统停运时由于进出口挡板有间隙存在，加上进出口烟道阻力不同，在一般设计中停运采用集中供应密封风，往往造成烟气渗透，有可能出现热烟气漏入，影响系统寿命；</w:t>
      </w:r>
    </w:p>
    <w:p w14:paraId="3F179673">
      <w:pPr>
        <w:adjustRightInd w:val="0"/>
        <w:snapToGrid w:val="0"/>
        <w:spacing w:line="360" w:lineRule="auto"/>
        <w:ind w:firstLine="560" w:firstLineChars="200"/>
        <w:rPr>
          <w:color w:val="auto"/>
        </w:rPr>
      </w:pPr>
      <w:r>
        <w:rPr>
          <w:rFonts w:hint="eastAsia"/>
          <w:color w:val="auto"/>
          <w:lang w:val="en-US" w:eastAsia="zh-CN"/>
        </w:rPr>
        <w:t>2.</w:t>
      </w:r>
      <w:r>
        <w:rPr>
          <w:rFonts w:hint="eastAsia"/>
          <w:color w:val="auto"/>
        </w:rPr>
        <w:t>脱硫后烟气温度有可能低于酸露点温度，烟气会在尾部烟道和烟囱内壁结露，对尾部烟道和烟囱造成腐蚀；</w:t>
      </w:r>
    </w:p>
    <w:p w14:paraId="70771B6E">
      <w:pPr>
        <w:adjustRightInd w:val="0"/>
        <w:snapToGrid w:val="0"/>
        <w:spacing w:line="360" w:lineRule="auto"/>
        <w:ind w:firstLine="560" w:firstLineChars="200"/>
        <w:rPr>
          <w:color w:val="auto"/>
        </w:rPr>
      </w:pPr>
      <w:r>
        <w:rPr>
          <w:rFonts w:hint="eastAsia"/>
          <w:color w:val="auto"/>
          <w:lang w:val="en-US" w:eastAsia="zh-CN"/>
        </w:rPr>
        <w:t>3.</w:t>
      </w:r>
      <w:r>
        <w:rPr>
          <w:rFonts w:hint="eastAsia"/>
          <w:color w:val="auto"/>
        </w:rPr>
        <w:t>检修维护前未进行充分通风，系统内可能存在少量烟气，检修时造成人员中毒；</w:t>
      </w:r>
    </w:p>
    <w:p w14:paraId="37343BB4">
      <w:pPr>
        <w:adjustRightInd w:val="0"/>
        <w:snapToGrid w:val="0"/>
        <w:spacing w:line="360" w:lineRule="auto"/>
        <w:ind w:firstLine="560" w:firstLineChars="200"/>
        <w:rPr>
          <w:color w:val="auto"/>
        </w:rPr>
      </w:pPr>
      <w:r>
        <w:rPr>
          <w:rFonts w:hint="eastAsia"/>
          <w:color w:val="auto"/>
          <w:lang w:val="en-US" w:eastAsia="zh-CN"/>
        </w:rPr>
        <w:t>4.</w:t>
      </w:r>
      <w:r>
        <w:rPr>
          <w:rFonts w:hint="eastAsia"/>
          <w:color w:val="auto"/>
        </w:rPr>
        <w:t>烟气系统烟道、烟道挡板、设备等不严密或密封风机故障，造成烟气泄漏，既污染环境，又易造成职工中毒；</w:t>
      </w:r>
    </w:p>
    <w:p w14:paraId="6B75F4A4">
      <w:pPr>
        <w:adjustRightInd w:val="0"/>
        <w:snapToGrid w:val="0"/>
        <w:spacing w:line="360" w:lineRule="auto"/>
        <w:ind w:firstLine="560" w:firstLineChars="200"/>
        <w:rPr>
          <w:color w:val="auto"/>
        </w:rPr>
      </w:pPr>
      <w:r>
        <w:rPr>
          <w:rFonts w:hint="eastAsia"/>
          <w:color w:val="auto"/>
          <w:lang w:val="en-US" w:eastAsia="zh-CN"/>
        </w:rPr>
        <w:t>5.</w:t>
      </w:r>
      <w:r>
        <w:rPr>
          <w:rFonts w:hint="eastAsia"/>
          <w:color w:val="auto"/>
        </w:rPr>
        <w:t>喷淋式吸收塔喷嘴磨损大，易造成堵塞；</w:t>
      </w:r>
    </w:p>
    <w:p w14:paraId="70AC253D">
      <w:pPr>
        <w:adjustRightInd w:val="0"/>
        <w:snapToGrid w:val="0"/>
        <w:spacing w:line="360" w:lineRule="auto"/>
        <w:ind w:firstLine="560" w:firstLineChars="200"/>
        <w:rPr>
          <w:color w:val="auto"/>
        </w:rPr>
      </w:pPr>
      <w:r>
        <w:rPr>
          <w:rFonts w:hint="eastAsia"/>
          <w:color w:val="auto"/>
          <w:lang w:val="en-US" w:eastAsia="zh-CN"/>
        </w:rPr>
        <w:t>6.</w:t>
      </w:r>
      <w:r>
        <w:rPr>
          <w:rFonts w:hint="eastAsia"/>
          <w:color w:val="auto"/>
        </w:rPr>
        <w:t>脱硫吸收塔工作条件恶劣，既有烟气冲刷，又有SO</w:t>
      </w:r>
      <w:r>
        <w:rPr>
          <w:rFonts w:hint="eastAsia"/>
          <w:color w:val="auto"/>
          <w:vertAlign w:val="subscript"/>
        </w:rPr>
        <w:t>2</w:t>
      </w:r>
      <w:r>
        <w:rPr>
          <w:rFonts w:hint="eastAsia"/>
          <w:color w:val="auto"/>
        </w:rPr>
        <w:t>与石灰浆液化学反应，石灰浆液的洗刷，造成脱硫吸收塔受温度、腐蚀、磨损综合作用逐步损坏；</w:t>
      </w:r>
    </w:p>
    <w:p w14:paraId="42929610">
      <w:pPr>
        <w:adjustRightInd w:val="0"/>
        <w:snapToGrid w:val="0"/>
        <w:spacing w:line="360" w:lineRule="auto"/>
        <w:ind w:firstLine="560" w:firstLineChars="200"/>
        <w:rPr>
          <w:color w:val="auto"/>
        </w:rPr>
      </w:pPr>
      <w:r>
        <w:rPr>
          <w:rFonts w:hint="eastAsia"/>
          <w:color w:val="auto"/>
          <w:lang w:val="en-US" w:eastAsia="zh-CN"/>
        </w:rPr>
        <w:t>7.</w:t>
      </w:r>
      <w:r>
        <w:rPr>
          <w:rFonts w:hint="eastAsia"/>
          <w:color w:val="auto"/>
        </w:rPr>
        <w:t>脱硫塔体为钢结构，衬胶或玻璃鳞片环氧树脂内衬。当进入脱硫塔的烟气温度高于衬胶或玻璃鳞片环氧树脂的着火温度时，同时脱硫塔上部石灰石浆液的喷嘴堵塞，石灰石浆液无法冷却烟气及内衬（衬胶或玻璃鳞片环氧树脂），可能引发内衬着火，引发火灾，导致防腐层损坏；</w:t>
      </w:r>
    </w:p>
    <w:p w14:paraId="5F74BCB3">
      <w:pPr>
        <w:adjustRightInd w:val="0"/>
        <w:snapToGrid w:val="0"/>
        <w:spacing w:line="360" w:lineRule="auto"/>
        <w:ind w:firstLine="560" w:firstLineChars="200"/>
        <w:rPr>
          <w:color w:val="auto"/>
        </w:rPr>
      </w:pPr>
      <w:r>
        <w:rPr>
          <w:rFonts w:hint="eastAsia"/>
          <w:color w:val="auto"/>
          <w:lang w:val="en-US" w:eastAsia="zh-CN"/>
        </w:rPr>
        <w:t>8.</w:t>
      </w:r>
      <w:r>
        <w:rPr>
          <w:rFonts w:hint="eastAsia"/>
          <w:color w:val="auto"/>
        </w:rPr>
        <w:t>巡检维护过程中，若安全防护设施方面若存在缺陷，如步道和楼梯不符合安全要求、不完整、不牢固或材料使用不当，可能发生机械伤害、高处坠落和物体打击等危险；</w:t>
      </w:r>
    </w:p>
    <w:p w14:paraId="169E28D5">
      <w:pPr>
        <w:adjustRightInd w:val="0"/>
        <w:snapToGrid w:val="0"/>
        <w:spacing w:line="360" w:lineRule="auto"/>
        <w:ind w:firstLine="560" w:firstLineChars="200"/>
        <w:rPr>
          <w:color w:val="auto"/>
        </w:rPr>
      </w:pPr>
      <w:r>
        <w:rPr>
          <w:rFonts w:hint="eastAsia"/>
          <w:color w:val="auto"/>
          <w:lang w:val="en-US" w:eastAsia="zh-CN"/>
        </w:rPr>
        <w:t>9.</w:t>
      </w:r>
      <w:r>
        <w:rPr>
          <w:rFonts w:hint="eastAsia"/>
          <w:color w:val="auto"/>
        </w:rPr>
        <w:t>系统内循环泵和氧化风机等设备会产生一定的噪声危害；</w:t>
      </w:r>
    </w:p>
    <w:p w14:paraId="0B7DBE7F">
      <w:pPr>
        <w:adjustRightInd w:val="0"/>
        <w:snapToGrid w:val="0"/>
        <w:spacing w:line="360" w:lineRule="auto"/>
        <w:ind w:firstLine="560" w:firstLineChars="200"/>
        <w:rPr>
          <w:color w:val="auto"/>
        </w:rPr>
      </w:pPr>
      <w:r>
        <w:rPr>
          <w:rFonts w:hint="eastAsia"/>
          <w:color w:val="auto"/>
          <w:lang w:val="en-US" w:eastAsia="zh-CN"/>
        </w:rPr>
        <w:t>10.</w:t>
      </w:r>
      <w:r>
        <w:rPr>
          <w:rFonts w:hint="eastAsia"/>
          <w:color w:val="auto"/>
        </w:rPr>
        <w:t>吸收塔周围可能存在高温作业环境，巡检过程中未采取相应措施可能造成高温危害。</w:t>
      </w:r>
    </w:p>
    <w:p w14:paraId="097020E6">
      <w:pPr>
        <w:pStyle w:val="3"/>
        <w:bidi w:val="0"/>
        <w:rPr>
          <w:b/>
          <w:bCs/>
          <w:color w:val="auto"/>
        </w:rPr>
      </w:pPr>
      <w:bookmarkStart w:id="82" w:name="_Toc25846"/>
      <w:r>
        <w:rPr>
          <w:rFonts w:hint="eastAsia"/>
          <w:color w:val="auto"/>
        </w:rPr>
        <w:t>3.</w:t>
      </w:r>
      <w:r>
        <w:rPr>
          <w:rFonts w:hint="eastAsia"/>
          <w:color w:val="auto"/>
          <w:lang w:val="en-US" w:eastAsia="zh-CN"/>
        </w:rPr>
        <w:t>10</w:t>
      </w:r>
      <w:r>
        <w:rPr>
          <w:rFonts w:hint="eastAsia"/>
          <w:color w:val="auto"/>
        </w:rPr>
        <w:t>石膏脱水及浆液处理系统危险性分析</w:t>
      </w:r>
      <w:bookmarkEnd w:id="82"/>
    </w:p>
    <w:p w14:paraId="2F8F09E3">
      <w:pPr>
        <w:adjustRightInd w:val="0"/>
        <w:snapToGrid w:val="0"/>
        <w:spacing w:line="360" w:lineRule="auto"/>
        <w:ind w:firstLine="560" w:firstLineChars="200"/>
        <w:rPr>
          <w:color w:val="auto"/>
        </w:rPr>
      </w:pPr>
      <w:r>
        <w:rPr>
          <w:rFonts w:hint="eastAsia"/>
          <w:color w:val="auto"/>
          <w:lang w:val="en-US" w:eastAsia="zh-CN"/>
        </w:rPr>
        <w:t>1.</w:t>
      </w:r>
      <w:r>
        <w:rPr>
          <w:rFonts w:hint="eastAsia"/>
          <w:color w:val="auto"/>
        </w:rPr>
        <w:t>石膏含水量偏大</w:t>
      </w:r>
    </w:p>
    <w:p w14:paraId="459FBC31">
      <w:pPr>
        <w:adjustRightInd w:val="0"/>
        <w:snapToGrid w:val="0"/>
        <w:spacing w:line="360" w:lineRule="auto"/>
        <w:ind w:firstLine="560" w:firstLineChars="200"/>
        <w:rPr>
          <w:color w:val="auto"/>
        </w:rPr>
      </w:pPr>
      <w:r>
        <w:rPr>
          <w:rFonts w:hint="eastAsia"/>
          <w:color w:val="auto"/>
        </w:rPr>
        <w:t>在石膏脱水系统运行中，由于下列原因，会导致石膏含水量偏大，造成真空皮带机无法正常有效工作，严重时直接导致脱硫系统停运。</w:t>
      </w:r>
    </w:p>
    <w:p w14:paraId="736F3B7F">
      <w:pPr>
        <w:adjustRightInd w:val="0"/>
        <w:snapToGrid w:val="0"/>
        <w:spacing w:line="360" w:lineRule="auto"/>
        <w:ind w:firstLine="560" w:firstLineChars="200"/>
        <w:rPr>
          <w:color w:val="auto"/>
        </w:rPr>
      </w:pPr>
      <w:r>
        <w:rPr>
          <w:rFonts w:hint="eastAsia"/>
          <w:color w:val="auto"/>
          <w:lang w:eastAsia="zh-CN"/>
        </w:rPr>
        <w:t>（</w:t>
      </w:r>
      <w:r>
        <w:rPr>
          <w:rFonts w:hint="eastAsia"/>
          <w:color w:val="auto"/>
        </w:rPr>
        <w:t>1）脱硫吸收塔入口含尘量偏高，导致吸收塔浆液“中毒”。吸收塔入口的含尘量超标会导致吸收塔浆液发黑、起泡，降低脱硫效果，引起石膏含水量偏大。</w:t>
      </w:r>
    </w:p>
    <w:p w14:paraId="7DC2D0B0">
      <w:pPr>
        <w:adjustRightInd w:val="0"/>
        <w:snapToGrid w:val="0"/>
        <w:spacing w:line="360" w:lineRule="auto"/>
        <w:ind w:firstLine="560" w:firstLineChars="200"/>
        <w:rPr>
          <w:color w:val="auto"/>
        </w:rPr>
      </w:pPr>
      <w:r>
        <w:rPr>
          <w:rFonts w:hint="eastAsia"/>
          <w:color w:val="auto"/>
          <w:lang w:eastAsia="zh-CN"/>
        </w:rPr>
        <w:t>（</w:t>
      </w:r>
      <w:r>
        <w:rPr>
          <w:rFonts w:hint="eastAsia"/>
          <w:color w:val="auto"/>
        </w:rPr>
        <w:t>2）石灰石品质变化较大，若石灰石中的碳酸钙含量及成品细度发生较大变化时，其反应活性降低，极可能发生供浆过量，此时塔内浆液中碳酸钙含量增大，由于石灰石颗粒易粘结在一起，导致石膏脱水困难。另外，如果石灰石原料中含杂质较多，也会在一定程度上造成石膏脱水困难。</w:t>
      </w:r>
    </w:p>
    <w:p w14:paraId="0AA4637A">
      <w:pPr>
        <w:adjustRightInd w:val="0"/>
        <w:snapToGrid w:val="0"/>
        <w:spacing w:line="360" w:lineRule="auto"/>
        <w:ind w:firstLine="560" w:firstLineChars="200"/>
        <w:rPr>
          <w:color w:val="auto"/>
        </w:rPr>
      </w:pPr>
      <w:r>
        <w:rPr>
          <w:rFonts w:hint="eastAsia"/>
          <w:color w:val="auto"/>
          <w:lang w:eastAsia="zh-CN"/>
        </w:rPr>
        <w:t>（</w:t>
      </w:r>
      <w:r>
        <w:rPr>
          <w:rFonts w:hint="eastAsia"/>
          <w:color w:val="auto"/>
        </w:rPr>
        <w:t>3）燃煤含硫量突然增大，造成吸收塔入口的二氧化硫含量增大，特别是超过设计值时，由于进入吸收塔的氧化风量并未相应增加，或者增加量不够，会造成严重氧化不足，导致石膏结晶困难，增加脱水的难度。</w:t>
      </w:r>
    </w:p>
    <w:p w14:paraId="2999AACB">
      <w:pPr>
        <w:adjustRightInd w:val="0"/>
        <w:snapToGrid w:val="0"/>
        <w:spacing w:line="360" w:lineRule="auto"/>
        <w:ind w:firstLine="560" w:firstLineChars="200"/>
        <w:rPr>
          <w:color w:val="auto"/>
        </w:rPr>
      </w:pPr>
      <w:r>
        <w:rPr>
          <w:rFonts w:hint="eastAsia"/>
          <w:color w:val="auto"/>
          <w:lang w:eastAsia="zh-CN"/>
        </w:rPr>
        <w:t>（</w:t>
      </w:r>
      <w:r>
        <w:rPr>
          <w:rFonts w:hint="eastAsia"/>
          <w:color w:val="auto"/>
        </w:rPr>
        <w:t>4）石膏旋流器故障，造成进入真空皮带机的石膏浆液过稀，负压析出的水量过大，脱水过程中形成不了真空，从而导致脱水效果变差。</w:t>
      </w:r>
    </w:p>
    <w:p w14:paraId="463458BC">
      <w:pPr>
        <w:adjustRightInd w:val="0"/>
        <w:snapToGrid w:val="0"/>
        <w:spacing w:line="360" w:lineRule="auto"/>
        <w:ind w:firstLine="560" w:firstLineChars="200"/>
        <w:rPr>
          <w:color w:val="auto"/>
        </w:rPr>
      </w:pPr>
      <w:r>
        <w:rPr>
          <w:rFonts w:hint="eastAsia"/>
          <w:color w:val="auto"/>
          <w:lang w:eastAsia="zh-CN"/>
        </w:rPr>
        <w:t>（</w:t>
      </w:r>
      <w:r>
        <w:rPr>
          <w:rFonts w:hint="eastAsia"/>
          <w:color w:val="auto"/>
        </w:rPr>
        <w:t>5）真空皮带机故障。如果滤布冲洗不干净或者滤布使用周期过长都会使真空皮带机脱水效果变差，脱水不畅。另外，如果浆液中小颗粒石膏晶体增多或浆液中杂质含量增多会使滤布过滤通道堵塞，使浆液中的水不容易从滤布空隙分离出来。</w:t>
      </w:r>
    </w:p>
    <w:p w14:paraId="7DE5EA98">
      <w:pPr>
        <w:adjustRightInd w:val="0"/>
        <w:snapToGrid w:val="0"/>
        <w:spacing w:line="360" w:lineRule="auto"/>
        <w:ind w:firstLine="560" w:firstLineChars="200"/>
        <w:rPr>
          <w:color w:val="auto"/>
        </w:rPr>
      </w:pPr>
      <w:r>
        <w:rPr>
          <w:rFonts w:hint="eastAsia"/>
          <w:color w:val="auto"/>
          <w:lang w:eastAsia="zh-CN"/>
        </w:rPr>
        <w:t>（</w:t>
      </w:r>
      <w:r>
        <w:rPr>
          <w:rFonts w:hint="eastAsia"/>
          <w:color w:val="auto"/>
        </w:rPr>
        <w:t>6）氧化空气量不足，造成浆液中的可溶性亚硫酸盐浓度增大，石膏纯度下降，碳酸钙含量增加。由于碳酸钙的粒径较小，容易吸附到真空皮带机的滤布上，从而造成脱水困难。</w:t>
      </w:r>
    </w:p>
    <w:p w14:paraId="67EA863B">
      <w:pPr>
        <w:adjustRightInd w:val="0"/>
        <w:snapToGrid w:val="0"/>
        <w:spacing w:line="360" w:lineRule="auto"/>
        <w:ind w:firstLine="560" w:firstLineChars="200"/>
        <w:rPr>
          <w:color w:val="auto"/>
        </w:rPr>
      </w:pPr>
      <w:r>
        <w:rPr>
          <w:rFonts w:hint="eastAsia"/>
          <w:color w:val="auto"/>
          <w:lang w:eastAsia="zh-CN"/>
        </w:rPr>
        <w:t>（</w:t>
      </w:r>
      <w:r>
        <w:rPr>
          <w:rFonts w:hint="eastAsia"/>
          <w:color w:val="auto"/>
        </w:rPr>
        <w:t>7）其它原因，如浆液密度过低、pH值不稳定、吸收塔内Cl</w:t>
      </w:r>
      <w:r>
        <w:rPr>
          <w:rFonts w:hint="eastAsia"/>
          <w:color w:val="auto"/>
          <w:vertAlign w:val="superscript"/>
        </w:rPr>
        <w:t>-</w:t>
      </w:r>
      <w:r>
        <w:rPr>
          <w:rFonts w:hint="eastAsia"/>
          <w:color w:val="auto"/>
        </w:rPr>
        <w:t>含量过高等也会导致石膏含水量偏大。</w:t>
      </w:r>
    </w:p>
    <w:p w14:paraId="610A3A48">
      <w:pPr>
        <w:adjustRightInd w:val="0"/>
        <w:snapToGrid w:val="0"/>
        <w:spacing w:line="360" w:lineRule="auto"/>
        <w:ind w:firstLine="560" w:firstLineChars="200"/>
        <w:rPr>
          <w:color w:val="auto"/>
        </w:rPr>
      </w:pPr>
      <w:r>
        <w:rPr>
          <w:rFonts w:hint="eastAsia"/>
          <w:color w:val="auto"/>
          <w:lang w:val="en-US" w:eastAsia="zh-CN"/>
        </w:rPr>
        <w:t>2.</w:t>
      </w:r>
      <w:r>
        <w:rPr>
          <w:rFonts w:hint="eastAsia"/>
          <w:color w:val="auto"/>
        </w:rPr>
        <w:t>其他危险、有害因素</w:t>
      </w:r>
    </w:p>
    <w:p w14:paraId="4AFB5D38">
      <w:pPr>
        <w:adjustRightInd w:val="0"/>
        <w:snapToGrid w:val="0"/>
        <w:spacing w:line="360" w:lineRule="auto"/>
        <w:ind w:firstLine="560" w:firstLineChars="20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经过吸收系统的浆液呈酸性，易对设备设施造成酸性腐蚀。</w:t>
      </w:r>
    </w:p>
    <w:p w14:paraId="32C44F6A">
      <w:pPr>
        <w:adjustRightInd w:val="0"/>
        <w:snapToGrid w:val="0"/>
        <w:spacing w:line="360" w:lineRule="auto"/>
        <w:ind w:firstLine="560" w:firstLineChars="200"/>
        <w:rPr>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若石膏脱水及浆液处理设施周围的池、坑等无盖或安全栏杆，操作人员跌入会发生淹溺事故。</w:t>
      </w:r>
    </w:p>
    <w:p w14:paraId="7BB19FD1">
      <w:pPr>
        <w:adjustRightInd w:val="0"/>
        <w:snapToGrid w:val="0"/>
        <w:spacing w:line="360" w:lineRule="auto"/>
        <w:ind w:firstLine="560" w:firstLineChars="200"/>
        <w:rPr>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rPr>
        <w:t>巡检维护过程中，若安全防护设施方面若存在缺陷，可能发生机械伤害、高处坠落等伤害。</w:t>
      </w:r>
    </w:p>
    <w:p w14:paraId="592F2A4A">
      <w:pPr>
        <w:adjustRightInd w:val="0"/>
        <w:snapToGrid w:val="0"/>
        <w:spacing w:line="360" w:lineRule="auto"/>
        <w:ind w:firstLine="560" w:firstLineChars="200"/>
        <w:rPr>
          <w:color w:val="auto"/>
        </w:rPr>
      </w:pPr>
      <w:r>
        <w:rPr>
          <w:rFonts w:hint="eastAsia"/>
          <w:color w:val="auto"/>
          <w:lang w:eastAsia="zh-CN"/>
        </w:rPr>
        <w:t>（</w:t>
      </w:r>
      <w:r>
        <w:rPr>
          <w:rFonts w:hint="eastAsia"/>
          <w:color w:val="auto"/>
          <w:lang w:val="en-US" w:eastAsia="zh-CN"/>
        </w:rPr>
        <w:t>4</w:t>
      </w:r>
      <w:r>
        <w:rPr>
          <w:rFonts w:hint="eastAsia"/>
          <w:color w:val="auto"/>
          <w:lang w:eastAsia="zh-CN"/>
        </w:rPr>
        <w:t>）</w:t>
      </w:r>
      <w:r>
        <w:rPr>
          <w:rFonts w:hint="eastAsia"/>
          <w:color w:val="auto"/>
        </w:rPr>
        <w:t>石膏运送过程中可能造成车辆伤害。</w:t>
      </w:r>
    </w:p>
    <w:p w14:paraId="53C929FD">
      <w:pPr>
        <w:ind w:firstLine="560" w:firstLineChars="200"/>
        <w:rPr>
          <w:rFonts w:hint="default"/>
          <w:color w:val="auto"/>
          <w:lang w:val="en-US" w:eastAsia="zh-CN"/>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系统内真空泵等设备运行过程中会产生一定的噪声危害。</w:t>
      </w:r>
    </w:p>
    <w:p w14:paraId="3C89ED67">
      <w:pPr>
        <w:pStyle w:val="3"/>
        <w:bidi w:val="0"/>
        <w:rPr>
          <w:rFonts w:hint="default" w:ascii="Times New Roman" w:hAnsi="Times New Roman" w:eastAsia="宋体" w:cs="Times New Roman"/>
          <w:color w:val="auto"/>
          <w:lang w:val="en-US" w:eastAsia="zh-CN"/>
        </w:rPr>
      </w:pPr>
      <w:bookmarkStart w:id="83" w:name="_Toc25632"/>
      <w:r>
        <w:rPr>
          <w:rFonts w:hint="default"/>
          <w:color w:val="auto"/>
          <w:lang w:val="en-US" w:eastAsia="zh-CN"/>
        </w:rPr>
        <w:t>3.</w:t>
      </w:r>
      <w:r>
        <w:rPr>
          <w:rFonts w:hint="eastAsia"/>
          <w:color w:val="auto"/>
          <w:lang w:val="en-US" w:eastAsia="zh-CN"/>
        </w:rPr>
        <w:t>11</w:t>
      </w:r>
      <w:r>
        <w:rPr>
          <w:rFonts w:hint="default"/>
          <w:color w:val="auto"/>
          <w:lang w:val="en-US" w:eastAsia="zh-CN"/>
        </w:rPr>
        <w:t>检修过程的危险性分析</w:t>
      </w:r>
      <w:bookmarkEnd w:id="83"/>
    </w:p>
    <w:p w14:paraId="4E9366E9">
      <w:pPr>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安全检修是企业必不可少的一个工作环节，也是一个很重要的工作环节，同时也是事故最易发生的一个工作环节。</w:t>
      </w:r>
    </w:p>
    <w:p w14:paraId="6ADF581B">
      <w:pPr>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检修时的危险作业主要有高处检修作业、转动设备检修作业、动火作业、有限空间作业等。</w:t>
      </w:r>
    </w:p>
    <w:p w14:paraId="4E85CDAC">
      <w:pPr>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很多检修作业具有突发性、量大的特点。安全检修管理措施不当或方案存在缺陷，会导致各类事故的发生。设备检修包括定期停车检修和紧急停车检修（又称为抢修），容易引发火灾爆炸或造成人员中毒、窒息。而设备检修工作显得特别重要。检修工作频繁，时间紧，工作量大，交叉作业多，高处作业多，施工人数多，同时又有动火、入罐等作业，因此客观上潜在着火灾、爆炸、中毒、触电、高空坠落、灼烫、机械伤害等事故的危险。</w:t>
      </w:r>
    </w:p>
    <w:p w14:paraId="3A097855">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1.</w:t>
      </w:r>
      <w:r>
        <w:rPr>
          <w:rFonts w:hint="default" w:ascii="Times New Roman" w:hAnsi="Times New Roman" w:eastAsia="宋体" w:cs="Times New Roman"/>
          <w:color w:val="auto"/>
          <w:sz w:val="28"/>
          <w:lang w:val="en-US" w:eastAsia="zh-CN"/>
        </w:rPr>
        <w:t>高处检修作业危险性分析</w:t>
      </w:r>
    </w:p>
    <w:p w14:paraId="61388420">
      <w:pPr>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在检修作业中，若作业位置高于正常工作位置，应采取如下安全措施，否则容易发生人和物的坠落，产生事故。</w:t>
      </w:r>
    </w:p>
    <w:p w14:paraId="7B1567DD">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2.</w:t>
      </w:r>
      <w:r>
        <w:rPr>
          <w:rFonts w:hint="default" w:ascii="Times New Roman" w:hAnsi="Times New Roman" w:eastAsia="宋体" w:cs="Times New Roman"/>
          <w:color w:val="auto"/>
          <w:sz w:val="28"/>
          <w:lang w:val="en-US" w:eastAsia="zh-CN"/>
        </w:rPr>
        <w:t>转动设备检修作业危险性分析</w:t>
      </w:r>
    </w:p>
    <w:p w14:paraId="2CA69810">
      <w:pPr>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项目涉及的各类泵均为转动设备，检修作业前，必须联系工艺人员将系统进行有效隔离，把动火检修设备、管道内的有毒有害介质排净、冲洗、置换，分析合格，办理《作业许可证》，否则误操作电、气源产生误转动，会危及检修作业人员的生命和财产安全；设备（或备件）较大（重）时，安全措施不当，可发生机械伤害。</w:t>
      </w:r>
    </w:p>
    <w:p w14:paraId="3D7ED9EA">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3.</w:t>
      </w:r>
      <w:r>
        <w:rPr>
          <w:rFonts w:hint="default" w:ascii="Times New Roman" w:hAnsi="Times New Roman" w:eastAsia="宋体" w:cs="Times New Roman"/>
          <w:color w:val="auto"/>
          <w:sz w:val="28"/>
          <w:lang w:val="en-US" w:eastAsia="zh-CN"/>
        </w:rPr>
        <w:t>动火作业的危险性分析</w:t>
      </w:r>
    </w:p>
    <w:p w14:paraId="335C0900">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（1）</w:t>
      </w:r>
      <w:r>
        <w:rPr>
          <w:rFonts w:hint="default" w:ascii="Times New Roman" w:hAnsi="Times New Roman" w:eastAsia="宋体" w:cs="Times New Roman"/>
          <w:color w:val="auto"/>
          <w:sz w:val="28"/>
          <w:lang w:val="en-US" w:eastAsia="zh-CN"/>
        </w:rPr>
        <w:t>未按规定划分禁火区和动火区，动火区灭火器材配备不足，未设置明显的“动火区”等字样的明显标志，动火监护不到位等均可能会因意外产生事故、扩大事故。</w:t>
      </w:r>
    </w:p>
    <w:p w14:paraId="2F8C09AB">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（2）</w:t>
      </w:r>
      <w:r>
        <w:rPr>
          <w:rFonts w:hint="default" w:ascii="Times New Roman" w:hAnsi="Times New Roman" w:eastAsia="宋体" w:cs="Times New Roman"/>
          <w:color w:val="auto"/>
          <w:sz w:val="28"/>
          <w:lang w:val="en-US" w:eastAsia="zh-CN"/>
        </w:rPr>
        <w:t>未办动火许可证、未分析就办动火作业许可证，气体检测分析结果没出来或不合格就进行动火作业，可能引起火灾爆炸事故。</w:t>
      </w:r>
    </w:p>
    <w:p w14:paraId="7025B513">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（3）</w:t>
      </w:r>
      <w:r>
        <w:rPr>
          <w:rFonts w:hint="default" w:ascii="Times New Roman" w:hAnsi="Times New Roman" w:eastAsia="宋体" w:cs="Times New Roman"/>
          <w:color w:val="auto"/>
          <w:sz w:val="28"/>
          <w:lang w:val="en-US" w:eastAsia="zh-CN"/>
        </w:rPr>
        <w:t>不执行动火作业有关规定：①未与生产系统可靠隔离；②未按规定加设盲板或拆除一段管道；③置换、中和、清洗不彻底；④未按时进行动火分析；⑤未清除动火区周围的可燃物；⑥安全距离不够；⑦未按规定配备消防设施等，若作业场所内有可燃物质残留，均可造成火灾或爆炸事故。</w:t>
      </w:r>
    </w:p>
    <w:p w14:paraId="64839BFE">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（4）</w:t>
      </w:r>
      <w:r>
        <w:rPr>
          <w:rFonts w:hint="default" w:ascii="Times New Roman" w:hAnsi="Times New Roman" w:eastAsia="宋体" w:cs="Times New Roman"/>
          <w:color w:val="auto"/>
          <w:sz w:val="28"/>
          <w:lang w:val="en-US" w:eastAsia="zh-CN"/>
        </w:rPr>
        <w:t>缺乏防火防爆安全知识，也存在火灾爆炸隐患。</w:t>
      </w:r>
    </w:p>
    <w:p w14:paraId="4C68F56E">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4.</w:t>
      </w:r>
      <w:r>
        <w:rPr>
          <w:rFonts w:hint="default" w:ascii="Times New Roman" w:hAnsi="Times New Roman" w:eastAsia="宋体" w:cs="Times New Roman"/>
          <w:color w:val="auto"/>
          <w:sz w:val="28"/>
          <w:lang w:val="en-US" w:eastAsia="zh-CN"/>
        </w:rPr>
        <w:t>有限空间作业的危险性分析</w:t>
      </w:r>
    </w:p>
    <w:p w14:paraId="373E1F01">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本</w:t>
      </w:r>
      <w:r>
        <w:rPr>
          <w:rFonts w:hint="default" w:ascii="Times New Roman" w:hAnsi="Times New Roman" w:eastAsia="宋体" w:cs="Times New Roman"/>
          <w:color w:val="auto"/>
          <w:sz w:val="28"/>
          <w:lang w:val="en-US" w:eastAsia="zh-CN"/>
        </w:rPr>
        <w:t>项目</w:t>
      </w:r>
      <w:r>
        <w:rPr>
          <w:rFonts w:hint="eastAsia" w:ascii="Times New Roman" w:hAnsi="Times New Roman" w:eastAsia="宋体" w:cs="Times New Roman"/>
          <w:color w:val="auto"/>
          <w:sz w:val="28"/>
          <w:lang w:val="en-US" w:eastAsia="zh-CN"/>
        </w:rPr>
        <w:t>烟囱、吸收塔</w:t>
      </w:r>
      <w:r>
        <w:rPr>
          <w:rFonts w:hint="default" w:ascii="Times New Roman" w:hAnsi="Times New Roman" w:eastAsia="宋体" w:cs="Times New Roman"/>
          <w:color w:val="auto"/>
          <w:sz w:val="28"/>
          <w:lang w:val="en-US" w:eastAsia="zh-CN"/>
        </w:rPr>
        <w:t>等</w:t>
      </w:r>
      <w:r>
        <w:rPr>
          <w:rFonts w:hint="eastAsia" w:cs="Times New Roman"/>
          <w:color w:val="auto"/>
          <w:sz w:val="28"/>
          <w:lang w:val="en-US" w:eastAsia="zh-CN"/>
        </w:rPr>
        <w:t>为</w:t>
      </w:r>
      <w:r>
        <w:rPr>
          <w:rFonts w:hint="default" w:ascii="Times New Roman" w:hAnsi="Times New Roman" w:eastAsia="宋体" w:cs="Times New Roman"/>
          <w:color w:val="auto"/>
          <w:sz w:val="28"/>
          <w:lang w:val="en-US" w:eastAsia="zh-CN"/>
        </w:rPr>
        <w:t>有限空间。</w:t>
      </w:r>
    </w:p>
    <w:p w14:paraId="4FA0A8B9">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（1）</w:t>
      </w:r>
      <w:r>
        <w:rPr>
          <w:rFonts w:hint="default" w:ascii="Times New Roman" w:hAnsi="Times New Roman" w:eastAsia="宋体" w:cs="Times New Roman"/>
          <w:color w:val="auto"/>
          <w:sz w:val="28"/>
          <w:lang w:val="en-US" w:eastAsia="zh-CN"/>
        </w:rPr>
        <w:t>这类场所的危险性较敞开空间大得多，主要是危险物质不易消散，易形成其他有毒窒息性气体。</w:t>
      </w:r>
    </w:p>
    <w:p w14:paraId="3D698B2B">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（2）</w:t>
      </w:r>
      <w:r>
        <w:rPr>
          <w:rFonts w:hint="default" w:ascii="Times New Roman" w:hAnsi="Times New Roman" w:eastAsia="宋体" w:cs="Times New Roman"/>
          <w:color w:val="auto"/>
          <w:sz w:val="28"/>
          <w:lang w:val="en-US" w:eastAsia="zh-CN"/>
        </w:rPr>
        <w:t>进行此类场所检查作业时，进入前必须用空气置换，并测定区域内空气中的氧含量或配备必要防护设备方可，否则易发生作业人员窒息事故。</w:t>
      </w:r>
    </w:p>
    <w:p w14:paraId="6DDE022C">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（3）</w:t>
      </w:r>
      <w:r>
        <w:rPr>
          <w:rFonts w:hint="default" w:ascii="Times New Roman" w:hAnsi="Times New Roman" w:eastAsia="宋体" w:cs="Times New Roman"/>
          <w:color w:val="auto"/>
          <w:sz w:val="28"/>
          <w:lang w:val="en-US" w:eastAsia="zh-CN"/>
        </w:rPr>
        <w:t>切断电源，并上锁或挂警告牌，以确保检修中不能启动机械设备，否则将造成机毁人亡惨剧。</w:t>
      </w:r>
    </w:p>
    <w:p w14:paraId="2A7C4A20">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（4）</w:t>
      </w:r>
      <w:r>
        <w:rPr>
          <w:rFonts w:hint="default" w:ascii="Times New Roman" w:hAnsi="Times New Roman" w:eastAsia="宋体" w:cs="Times New Roman"/>
          <w:color w:val="auto"/>
          <w:sz w:val="28"/>
          <w:lang w:val="en-US" w:eastAsia="zh-CN"/>
        </w:rPr>
        <w:t>有限作业场所作业照明、作业的电动工具必须使用安全电压，符合相应的要求。否则易造成触电、火灾爆炸事故。</w:t>
      </w:r>
    </w:p>
    <w:p w14:paraId="30CAAF86">
      <w:pPr>
        <w:rPr>
          <w:rFonts w:hint="default" w:ascii="Times New Roman" w:hAnsi="Times New Roman" w:eastAsia="宋体" w:cs="Times New Roman"/>
          <w:color w:val="auto"/>
          <w:sz w:val="28"/>
          <w:lang w:val="en-US" w:eastAsia="zh-CN"/>
        </w:rPr>
      </w:pPr>
      <w:r>
        <w:rPr>
          <w:rFonts w:hint="eastAsia" w:cs="Times New Roman"/>
          <w:color w:val="auto"/>
          <w:sz w:val="28"/>
          <w:lang w:val="en-US" w:eastAsia="zh-CN"/>
        </w:rPr>
        <w:t>（5）</w:t>
      </w:r>
      <w:r>
        <w:rPr>
          <w:rFonts w:hint="default" w:ascii="Times New Roman" w:hAnsi="Times New Roman" w:eastAsia="宋体" w:cs="Times New Roman"/>
          <w:color w:val="auto"/>
          <w:sz w:val="28"/>
          <w:lang w:val="en-US" w:eastAsia="zh-CN"/>
        </w:rPr>
        <w:t>作业前做好个体防护和相应的急救准备工作，否则易引发多类事故。</w:t>
      </w:r>
    </w:p>
    <w:p w14:paraId="692D9F24">
      <w:pPr>
        <w:pStyle w:val="3"/>
        <w:bidi w:val="0"/>
        <w:rPr>
          <w:rFonts w:hint="eastAsia"/>
          <w:color w:val="auto"/>
        </w:rPr>
      </w:pPr>
      <w:bookmarkStart w:id="84" w:name="_Toc28093"/>
      <w:r>
        <w:rPr>
          <w:rFonts w:hint="eastAsia"/>
          <w:color w:val="auto"/>
          <w:lang w:val="en-US" w:eastAsia="zh-CN"/>
        </w:rPr>
        <w:t>3.12</w:t>
      </w:r>
      <w:r>
        <w:rPr>
          <w:rFonts w:hint="eastAsia"/>
          <w:color w:val="auto"/>
        </w:rPr>
        <w:t>重大危险源辨识</w:t>
      </w:r>
      <w:bookmarkEnd w:id="84"/>
    </w:p>
    <w:p w14:paraId="0D1C2E70">
      <w:pPr>
        <w:autoSpaceDE w:val="0"/>
        <w:autoSpaceDN w:val="0"/>
        <w:adjustRightInd w:val="0"/>
        <w:ind w:firstLine="549"/>
        <w:rPr>
          <w:rFonts w:hint="eastAsia" w:ascii="Times New Roman" w:hAnsi="Times New Roman" w:eastAsia="宋体" w:cs="Times New Roman"/>
          <w:color w:val="auto"/>
          <w:szCs w:val="28"/>
          <w:lang w:val="zh-CN"/>
        </w:rPr>
      </w:pPr>
      <w:r>
        <w:rPr>
          <w:rFonts w:hint="eastAsia" w:ascii="Times New Roman" w:hAnsi="Times New Roman" w:eastAsia="宋体" w:cs="Times New Roman"/>
          <w:color w:val="auto"/>
          <w:szCs w:val="28"/>
        </w:rPr>
        <w:t>根据《危险化学品重大危险源辨识》（GB18218-2018），</w:t>
      </w:r>
      <w:r>
        <w:rPr>
          <w:rFonts w:hint="eastAsia" w:cs="Times New Roman"/>
          <w:color w:val="auto"/>
          <w:szCs w:val="28"/>
          <w:lang w:val="zh-CN"/>
        </w:rPr>
        <w:t>本项目</w:t>
      </w:r>
      <w:r>
        <w:rPr>
          <w:rFonts w:hint="eastAsia" w:ascii="Times New Roman" w:hAnsi="Times New Roman" w:eastAsia="宋体" w:cs="Times New Roman"/>
          <w:color w:val="auto"/>
          <w:szCs w:val="28"/>
          <w:lang w:val="zh-CN"/>
        </w:rPr>
        <w:t>无需要辨识的危险化学品。因此，</w:t>
      </w:r>
      <w:r>
        <w:rPr>
          <w:rFonts w:hint="eastAsia" w:cs="Times New Roman"/>
          <w:color w:val="auto"/>
          <w:szCs w:val="28"/>
          <w:lang w:val="zh-CN"/>
        </w:rPr>
        <w:t>本项目</w:t>
      </w:r>
      <w:r>
        <w:rPr>
          <w:rFonts w:hint="eastAsia" w:ascii="Times New Roman" w:hAnsi="Times New Roman" w:eastAsia="宋体" w:cs="Times New Roman"/>
          <w:color w:val="auto"/>
          <w:szCs w:val="28"/>
          <w:lang w:val="zh-CN"/>
        </w:rPr>
        <w:t>不</w:t>
      </w:r>
      <w:r>
        <w:rPr>
          <w:rFonts w:hint="eastAsia" w:ascii="Times New Roman" w:hAnsi="Times New Roman" w:eastAsia="宋体" w:cs="Times New Roman"/>
          <w:color w:val="auto"/>
          <w:szCs w:val="28"/>
        </w:rPr>
        <w:t>构成</w:t>
      </w:r>
      <w:r>
        <w:rPr>
          <w:rFonts w:hint="eastAsia" w:ascii="Times New Roman" w:hAnsi="Times New Roman" w:eastAsia="宋体" w:cs="Times New Roman"/>
          <w:color w:val="auto"/>
          <w:szCs w:val="28"/>
          <w:lang w:val="zh-CN"/>
        </w:rPr>
        <w:t>危险化学品重大危险源。</w:t>
      </w:r>
    </w:p>
    <w:p w14:paraId="05A45EC9">
      <w:pPr>
        <w:rPr>
          <w:rFonts w:hint="eastAsia" w:ascii="Times New Roman" w:hAnsi="Times New Roman"/>
          <w:color w:val="auto"/>
          <w:lang w:val="en-US" w:eastAsia="zh-CN"/>
        </w:rPr>
      </w:pPr>
      <w:r>
        <w:rPr>
          <w:rFonts w:hint="eastAsia" w:ascii="Times New Roman" w:hAnsi="Times New Roman"/>
          <w:color w:val="auto"/>
          <w:lang w:val="en-US" w:eastAsia="zh-CN"/>
        </w:rPr>
        <w:br w:type="page"/>
      </w:r>
    </w:p>
    <w:p w14:paraId="4E271141">
      <w:pPr>
        <w:pStyle w:val="2"/>
        <w:numPr>
          <w:ilvl w:val="0"/>
          <w:numId w:val="0"/>
        </w:numPr>
        <w:bidi w:val="0"/>
        <w:ind w:left="0" w:leftChars="0" w:firstLine="0" w:firstLineChars="0"/>
        <w:rPr>
          <w:rFonts w:hint="eastAsia" w:ascii="Times New Roman" w:hAnsi="Times New Roman"/>
          <w:color w:val="auto"/>
          <w:lang w:val="en-US" w:eastAsia="zh-CN"/>
        </w:rPr>
      </w:pPr>
      <w:bookmarkStart w:id="85" w:name="_Toc21830"/>
      <w:r>
        <w:rPr>
          <w:rFonts w:hint="eastAsia" w:ascii="Times New Roman" w:hAnsi="Times New Roman"/>
          <w:color w:val="auto"/>
          <w:lang w:val="en-US" w:eastAsia="zh-CN"/>
        </w:rPr>
        <w:t>4.评价单元划分和评价方法选择</w:t>
      </w:r>
      <w:bookmarkEnd w:id="85"/>
    </w:p>
    <w:p w14:paraId="2A997A59">
      <w:pPr>
        <w:pStyle w:val="3"/>
        <w:bidi w:val="0"/>
        <w:rPr>
          <w:rFonts w:ascii="Times New Roman" w:hAnsi="Times New Roman"/>
          <w:color w:val="auto"/>
          <w:lang w:val="en-US" w:eastAsia="zh-CN"/>
        </w:rPr>
      </w:pPr>
      <w:bookmarkStart w:id="86" w:name="_Toc1149"/>
      <w:r>
        <w:rPr>
          <w:rFonts w:hint="eastAsia" w:ascii="Times New Roman" w:hAnsi="Times New Roman"/>
          <w:color w:val="auto"/>
          <w:lang w:val="en-US" w:eastAsia="zh-CN"/>
        </w:rPr>
        <w:t>4.1</w:t>
      </w:r>
      <w:r>
        <w:rPr>
          <w:rFonts w:ascii="Times New Roman" w:hAnsi="Times New Roman"/>
          <w:color w:val="auto"/>
          <w:lang w:val="en-US" w:eastAsia="zh-CN"/>
        </w:rPr>
        <w:t>评价单元</w:t>
      </w:r>
      <w:r>
        <w:rPr>
          <w:rFonts w:hint="eastAsia" w:ascii="Times New Roman" w:hAnsi="Times New Roman"/>
          <w:color w:val="auto"/>
          <w:lang w:val="en-US" w:eastAsia="zh-CN"/>
        </w:rPr>
        <w:t>的</w:t>
      </w:r>
      <w:r>
        <w:rPr>
          <w:rFonts w:ascii="Times New Roman" w:hAnsi="Times New Roman"/>
          <w:color w:val="auto"/>
          <w:lang w:val="en-US" w:eastAsia="zh-CN"/>
        </w:rPr>
        <w:t>划分</w:t>
      </w:r>
      <w:bookmarkEnd w:id="86"/>
    </w:p>
    <w:p w14:paraId="789F0ED8">
      <w:pPr>
        <w:spacing w:line="600" w:lineRule="exact"/>
        <w:ind w:firstLine="560" w:firstLineChars="200"/>
        <w:rPr>
          <w:rFonts w:hint="eastAsia"/>
          <w:bCs/>
          <w:color w:val="auto"/>
          <w:sz w:val="28"/>
        </w:rPr>
      </w:pPr>
      <w:r>
        <w:rPr>
          <w:rFonts w:hint="eastAsia"/>
          <w:bCs/>
          <w:color w:val="auto"/>
          <w:sz w:val="28"/>
        </w:rPr>
        <w:t>评价单元划分基于突出重点、兼顾全面的要求，对重点危险、有害因素分层次进行单元划分，以提高评价的准确性。</w:t>
      </w:r>
    </w:p>
    <w:p w14:paraId="3FCA82C2">
      <w:pPr>
        <w:spacing w:line="600" w:lineRule="exact"/>
        <w:ind w:firstLine="544" w:firstLineChars="200"/>
        <w:rPr>
          <w:rFonts w:hint="eastAsia"/>
          <w:bCs/>
          <w:color w:val="auto"/>
          <w:spacing w:val="-4"/>
          <w:sz w:val="28"/>
        </w:rPr>
      </w:pPr>
      <w:r>
        <w:rPr>
          <w:rFonts w:hint="eastAsia"/>
          <w:bCs/>
          <w:color w:val="auto"/>
          <w:spacing w:val="-4"/>
          <w:sz w:val="28"/>
        </w:rPr>
        <w:t>《安全验收评价导则》AQ8003-2007提出评价单元可以按以下内容划分：法律、法规的符合性；设施、设备、装置及工艺方面的安全性；物料、产品安全性能；公用工程、辅助设施配套性；周边环境适应性和应急救援有效性；人员管理和安全培训方面充分性等。</w:t>
      </w:r>
    </w:p>
    <w:p w14:paraId="3A4224DB">
      <w:pPr>
        <w:spacing w:line="600" w:lineRule="exact"/>
        <w:ind w:firstLine="549"/>
        <w:rPr>
          <w:rFonts w:hint="eastAsia"/>
          <w:color w:val="auto"/>
          <w:sz w:val="28"/>
        </w:rPr>
      </w:pPr>
      <w:r>
        <w:rPr>
          <w:rFonts w:hint="eastAsia"/>
          <w:color w:val="auto"/>
          <w:sz w:val="28"/>
        </w:rPr>
        <w:t>具体评价单元的划分和采用的评价方法表4.</w:t>
      </w:r>
      <w:r>
        <w:rPr>
          <w:rFonts w:hint="eastAsia"/>
          <w:color w:val="auto"/>
          <w:sz w:val="28"/>
          <w:lang w:val="en-US" w:eastAsia="zh-CN"/>
        </w:rPr>
        <w:t>1</w:t>
      </w:r>
      <w:r>
        <w:rPr>
          <w:rFonts w:hint="eastAsia"/>
          <w:color w:val="auto"/>
          <w:sz w:val="28"/>
        </w:rPr>
        <w:t>-1。</w:t>
      </w:r>
    </w:p>
    <w:p w14:paraId="24F8796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rFonts w:hint="eastAsia"/>
          <w:color w:val="auto"/>
        </w:rPr>
        <w:t>表4.</w:t>
      </w:r>
      <w:r>
        <w:rPr>
          <w:rFonts w:hint="eastAsia"/>
          <w:color w:val="auto"/>
          <w:lang w:val="en-US" w:eastAsia="zh-CN"/>
        </w:rPr>
        <w:t>1</w:t>
      </w:r>
      <w:r>
        <w:rPr>
          <w:rFonts w:hint="eastAsia"/>
          <w:color w:val="auto"/>
        </w:rPr>
        <w:t>-1评价单元划分表</w:t>
      </w:r>
    </w:p>
    <w:tbl>
      <w:tblPr>
        <w:tblStyle w:val="14"/>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3770"/>
        <w:gridCol w:w="4637"/>
      </w:tblGrid>
      <w:tr w14:paraId="4EFCC4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71" w:type="pct"/>
            <w:tcBorders>
              <w:tl2br w:val="nil"/>
              <w:tr2bl w:val="nil"/>
            </w:tcBorders>
            <w:noWrap w:val="0"/>
            <w:vAlign w:val="center"/>
          </w:tcPr>
          <w:p w14:paraId="753E34F4">
            <w:pPr>
              <w:pStyle w:val="21"/>
              <w:bidi w:val="0"/>
              <w:rPr>
                <w:rFonts w:hint="eastAsia"/>
                <w:color w:val="auto"/>
              </w:rPr>
            </w:pPr>
            <w:r>
              <w:rPr>
                <w:rFonts w:hint="eastAsia"/>
                <w:color w:val="auto"/>
              </w:rPr>
              <w:t>序号</w:t>
            </w:r>
          </w:p>
        </w:tc>
        <w:tc>
          <w:tcPr>
            <w:tcW w:w="2030" w:type="pct"/>
            <w:tcBorders>
              <w:tl2br w:val="nil"/>
              <w:tr2bl w:val="nil"/>
            </w:tcBorders>
            <w:noWrap w:val="0"/>
            <w:vAlign w:val="center"/>
          </w:tcPr>
          <w:p w14:paraId="419B4351">
            <w:pPr>
              <w:pStyle w:val="21"/>
              <w:bidi w:val="0"/>
              <w:rPr>
                <w:rFonts w:hint="eastAsia"/>
                <w:color w:val="auto"/>
              </w:rPr>
            </w:pPr>
            <w:r>
              <w:rPr>
                <w:rFonts w:hint="eastAsia"/>
                <w:color w:val="auto"/>
              </w:rPr>
              <w:t>评价单元</w:t>
            </w:r>
          </w:p>
        </w:tc>
        <w:tc>
          <w:tcPr>
            <w:tcW w:w="2497" w:type="pct"/>
            <w:tcBorders>
              <w:tl2br w:val="nil"/>
              <w:tr2bl w:val="nil"/>
            </w:tcBorders>
            <w:noWrap w:val="0"/>
            <w:vAlign w:val="center"/>
          </w:tcPr>
          <w:p w14:paraId="1EF03DA5">
            <w:pPr>
              <w:pStyle w:val="21"/>
              <w:bidi w:val="0"/>
              <w:rPr>
                <w:rFonts w:hint="eastAsia"/>
                <w:color w:val="auto"/>
              </w:rPr>
            </w:pPr>
            <w:r>
              <w:rPr>
                <w:rFonts w:hint="eastAsia"/>
                <w:color w:val="auto"/>
              </w:rPr>
              <w:t>采用的评价方法</w:t>
            </w:r>
          </w:p>
        </w:tc>
      </w:tr>
      <w:tr w14:paraId="06F6F6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71" w:type="pct"/>
            <w:vMerge w:val="restart"/>
            <w:tcBorders>
              <w:tl2br w:val="nil"/>
              <w:tr2bl w:val="nil"/>
            </w:tcBorders>
            <w:noWrap w:val="0"/>
            <w:vAlign w:val="center"/>
          </w:tcPr>
          <w:p w14:paraId="27C18B97">
            <w:pPr>
              <w:pStyle w:val="20"/>
              <w:bidi w:val="0"/>
              <w:rPr>
                <w:rFonts w:hint="eastAsia"/>
                <w:color w:val="auto"/>
              </w:rPr>
            </w:pPr>
            <w:r>
              <w:rPr>
                <w:rFonts w:hint="eastAsia"/>
                <w:color w:val="auto"/>
              </w:rPr>
              <w:t>1</w:t>
            </w:r>
          </w:p>
        </w:tc>
        <w:tc>
          <w:tcPr>
            <w:tcW w:w="2030" w:type="pct"/>
            <w:vMerge w:val="restart"/>
            <w:tcBorders>
              <w:tl2br w:val="nil"/>
              <w:tr2bl w:val="nil"/>
            </w:tcBorders>
            <w:noWrap w:val="0"/>
            <w:vAlign w:val="center"/>
          </w:tcPr>
          <w:p w14:paraId="3C20D716">
            <w:pPr>
              <w:pStyle w:val="20"/>
              <w:bidi w:val="0"/>
              <w:rPr>
                <w:rFonts w:hint="default"/>
                <w:color w:val="auto"/>
                <w:lang w:val="en-US" w:eastAsia="zh-CN"/>
              </w:rPr>
            </w:pPr>
            <w:r>
              <w:rPr>
                <w:rFonts w:hint="eastAsia"/>
                <w:color w:val="auto"/>
              </w:rPr>
              <w:t>法律法规符合性</w:t>
            </w:r>
          </w:p>
        </w:tc>
        <w:tc>
          <w:tcPr>
            <w:tcW w:w="2497" w:type="pct"/>
            <w:vMerge w:val="restart"/>
            <w:tcBorders>
              <w:tl2br w:val="nil"/>
              <w:tr2bl w:val="nil"/>
            </w:tcBorders>
            <w:noWrap w:val="0"/>
            <w:vAlign w:val="center"/>
          </w:tcPr>
          <w:p w14:paraId="24DF1A24">
            <w:pPr>
              <w:pStyle w:val="20"/>
              <w:bidi w:val="0"/>
              <w:rPr>
                <w:rFonts w:hint="eastAsia"/>
                <w:color w:val="auto"/>
              </w:rPr>
            </w:pPr>
            <w:r>
              <w:rPr>
                <w:rFonts w:hint="eastAsia"/>
                <w:color w:val="auto"/>
              </w:rPr>
              <w:t>安全检查表</w:t>
            </w:r>
          </w:p>
        </w:tc>
      </w:tr>
      <w:tr w14:paraId="17495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71" w:type="pct"/>
            <w:vMerge w:val="continue"/>
            <w:tcBorders>
              <w:tl2br w:val="nil"/>
              <w:tr2bl w:val="nil"/>
            </w:tcBorders>
            <w:noWrap w:val="0"/>
            <w:vAlign w:val="center"/>
          </w:tcPr>
          <w:p w14:paraId="641E652F">
            <w:pPr>
              <w:pStyle w:val="20"/>
              <w:bidi w:val="0"/>
              <w:rPr>
                <w:rFonts w:hint="eastAsia"/>
                <w:color w:val="auto"/>
              </w:rPr>
            </w:pPr>
          </w:p>
        </w:tc>
        <w:tc>
          <w:tcPr>
            <w:tcW w:w="2030" w:type="pct"/>
            <w:vMerge w:val="continue"/>
            <w:tcBorders>
              <w:tl2br w:val="nil"/>
              <w:tr2bl w:val="nil"/>
            </w:tcBorders>
            <w:noWrap w:val="0"/>
            <w:vAlign w:val="center"/>
          </w:tcPr>
          <w:p w14:paraId="7FC71B14">
            <w:pPr>
              <w:pStyle w:val="20"/>
              <w:bidi w:val="0"/>
              <w:rPr>
                <w:rFonts w:hint="eastAsia"/>
                <w:color w:val="auto"/>
              </w:rPr>
            </w:pPr>
          </w:p>
        </w:tc>
        <w:tc>
          <w:tcPr>
            <w:tcW w:w="2497" w:type="pct"/>
            <w:vMerge w:val="continue"/>
            <w:tcBorders>
              <w:tl2br w:val="nil"/>
              <w:tr2bl w:val="nil"/>
            </w:tcBorders>
            <w:noWrap w:val="0"/>
            <w:vAlign w:val="center"/>
          </w:tcPr>
          <w:p w14:paraId="0365CF28">
            <w:pPr>
              <w:pStyle w:val="20"/>
              <w:bidi w:val="0"/>
              <w:rPr>
                <w:rFonts w:hint="eastAsia"/>
                <w:color w:val="auto"/>
              </w:rPr>
            </w:pPr>
          </w:p>
        </w:tc>
      </w:tr>
      <w:tr w14:paraId="4FDB0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471" w:type="pct"/>
            <w:vMerge w:val="restart"/>
            <w:tcBorders>
              <w:tl2br w:val="nil"/>
              <w:tr2bl w:val="nil"/>
            </w:tcBorders>
            <w:noWrap w:val="0"/>
            <w:vAlign w:val="center"/>
          </w:tcPr>
          <w:p w14:paraId="7F346FC7">
            <w:pPr>
              <w:pStyle w:val="20"/>
              <w:bidi w:val="0"/>
              <w:rPr>
                <w:rFonts w:hint="eastAsia" w:eastAsia="宋体"/>
                <w:color w:val="auto"/>
                <w:lang w:eastAsia="zh-CN"/>
              </w:rPr>
            </w:pPr>
            <w:r>
              <w:rPr>
                <w:rFonts w:hint="eastAsia"/>
                <w:color w:val="auto"/>
                <w:lang w:val="en-US" w:eastAsia="zh-CN"/>
              </w:rPr>
              <w:t>2</w:t>
            </w:r>
          </w:p>
        </w:tc>
        <w:tc>
          <w:tcPr>
            <w:tcW w:w="2030" w:type="pct"/>
            <w:vMerge w:val="restart"/>
            <w:tcBorders>
              <w:tl2br w:val="nil"/>
              <w:tr2bl w:val="nil"/>
            </w:tcBorders>
            <w:noWrap w:val="0"/>
            <w:vAlign w:val="center"/>
          </w:tcPr>
          <w:p w14:paraId="20926EE8">
            <w:pPr>
              <w:pStyle w:val="20"/>
              <w:bidi w:val="0"/>
              <w:rPr>
                <w:rFonts w:hint="default"/>
                <w:color w:val="auto"/>
                <w:lang w:val="en-US" w:eastAsia="zh-CN"/>
              </w:rPr>
            </w:pPr>
            <w:r>
              <w:rPr>
                <w:rFonts w:hint="eastAsia"/>
                <w:color w:val="auto"/>
              </w:rPr>
              <w:t>总</w:t>
            </w:r>
            <w:r>
              <w:rPr>
                <w:rFonts w:hint="eastAsia"/>
                <w:color w:val="auto"/>
                <w:lang w:val="en-US" w:eastAsia="zh-CN"/>
              </w:rPr>
              <w:t>图运输</w:t>
            </w:r>
          </w:p>
        </w:tc>
        <w:tc>
          <w:tcPr>
            <w:tcW w:w="2497" w:type="pct"/>
            <w:vMerge w:val="restart"/>
            <w:tcBorders>
              <w:tl2br w:val="nil"/>
              <w:tr2bl w:val="nil"/>
            </w:tcBorders>
            <w:noWrap w:val="0"/>
            <w:vAlign w:val="center"/>
          </w:tcPr>
          <w:p w14:paraId="0BBFBED7">
            <w:pPr>
              <w:pStyle w:val="20"/>
              <w:bidi w:val="0"/>
              <w:rPr>
                <w:rFonts w:hint="eastAsia"/>
                <w:color w:val="auto"/>
                <w:lang w:eastAsia="zh-CN"/>
              </w:rPr>
            </w:pPr>
            <w:r>
              <w:rPr>
                <w:color w:val="auto"/>
              </w:rPr>
              <w:t>安全检查表</w:t>
            </w:r>
            <w:r>
              <w:rPr>
                <w:rFonts w:hint="eastAsia"/>
                <w:color w:val="auto"/>
                <w:lang w:eastAsia="zh-CN"/>
              </w:rPr>
              <w:t>、</w:t>
            </w:r>
            <w:r>
              <w:rPr>
                <w:rFonts w:hint="eastAsia"/>
                <w:color w:val="auto"/>
              </w:rPr>
              <w:t>作业条件危险性分析</w:t>
            </w:r>
          </w:p>
        </w:tc>
      </w:tr>
      <w:tr w14:paraId="258B26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471" w:type="pct"/>
            <w:vMerge w:val="continue"/>
            <w:tcBorders>
              <w:tl2br w:val="nil"/>
              <w:tr2bl w:val="nil"/>
            </w:tcBorders>
            <w:noWrap w:val="0"/>
            <w:vAlign w:val="center"/>
          </w:tcPr>
          <w:p w14:paraId="16E3A695">
            <w:pPr>
              <w:pStyle w:val="20"/>
              <w:bidi w:val="0"/>
              <w:rPr>
                <w:rFonts w:hint="eastAsia"/>
                <w:color w:val="auto"/>
              </w:rPr>
            </w:pPr>
          </w:p>
        </w:tc>
        <w:tc>
          <w:tcPr>
            <w:tcW w:w="2030" w:type="pct"/>
            <w:vMerge w:val="continue"/>
            <w:tcBorders>
              <w:tl2br w:val="nil"/>
              <w:tr2bl w:val="nil"/>
            </w:tcBorders>
            <w:noWrap w:val="0"/>
            <w:vAlign w:val="center"/>
          </w:tcPr>
          <w:p w14:paraId="55C9A494">
            <w:pPr>
              <w:pStyle w:val="20"/>
              <w:bidi w:val="0"/>
              <w:rPr>
                <w:color w:val="auto"/>
              </w:rPr>
            </w:pPr>
          </w:p>
        </w:tc>
        <w:tc>
          <w:tcPr>
            <w:tcW w:w="2497" w:type="pct"/>
            <w:vMerge w:val="continue"/>
            <w:tcBorders>
              <w:tl2br w:val="nil"/>
              <w:tr2bl w:val="nil"/>
            </w:tcBorders>
            <w:noWrap w:val="0"/>
            <w:vAlign w:val="center"/>
          </w:tcPr>
          <w:p w14:paraId="05C9F987">
            <w:pPr>
              <w:pStyle w:val="20"/>
              <w:bidi w:val="0"/>
              <w:rPr>
                <w:color w:val="auto"/>
              </w:rPr>
            </w:pPr>
          </w:p>
        </w:tc>
      </w:tr>
      <w:tr w14:paraId="5D130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471" w:type="pct"/>
            <w:tcBorders>
              <w:tl2br w:val="nil"/>
              <w:tr2bl w:val="nil"/>
            </w:tcBorders>
            <w:noWrap w:val="0"/>
            <w:vAlign w:val="center"/>
          </w:tcPr>
          <w:p w14:paraId="00B606B2">
            <w:pPr>
              <w:pStyle w:val="20"/>
              <w:bidi w:val="0"/>
              <w:rPr>
                <w:rFonts w:hint="eastAsia" w:eastAsia="宋体"/>
                <w:color w:val="auto"/>
                <w:lang w:eastAsia="zh-CN"/>
              </w:rPr>
            </w:pPr>
            <w:r>
              <w:rPr>
                <w:rFonts w:hint="eastAsia"/>
                <w:color w:val="auto"/>
                <w:lang w:val="en-US" w:eastAsia="zh-CN"/>
              </w:rPr>
              <w:t>3</w:t>
            </w:r>
          </w:p>
        </w:tc>
        <w:tc>
          <w:tcPr>
            <w:tcW w:w="2030" w:type="pct"/>
            <w:tcBorders>
              <w:tl2br w:val="nil"/>
              <w:tr2bl w:val="nil"/>
            </w:tcBorders>
            <w:noWrap w:val="0"/>
            <w:vAlign w:val="center"/>
          </w:tcPr>
          <w:p w14:paraId="45C2EF0B">
            <w:pPr>
              <w:pStyle w:val="20"/>
              <w:bidi w:val="0"/>
              <w:rPr>
                <w:rFonts w:hint="eastAsia"/>
                <w:color w:val="auto"/>
                <w:lang w:val="en-US" w:eastAsia="zh-CN"/>
              </w:rPr>
            </w:pPr>
            <w:r>
              <w:rPr>
                <w:rFonts w:hint="eastAsia"/>
                <w:color w:val="auto"/>
              </w:rPr>
              <w:t>生产工艺设备设施安全</w:t>
            </w:r>
          </w:p>
        </w:tc>
        <w:tc>
          <w:tcPr>
            <w:tcW w:w="2497" w:type="pct"/>
            <w:tcBorders>
              <w:tl2br w:val="nil"/>
              <w:tr2bl w:val="nil"/>
            </w:tcBorders>
            <w:noWrap w:val="0"/>
            <w:vAlign w:val="center"/>
          </w:tcPr>
          <w:p w14:paraId="21D7EC68">
            <w:pPr>
              <w:pStyle w:val="20"/>
              <w:bidi w:val="0"/>
              <w:rPr>
                <w:rFonts w:hint="eastAsia"/>
                <w:color w:val="auto"/>
                <w:lang w:eastAsia="zh-CN"/>
              </w:rPr>
            </w:pPr>
            <w:r>
              <w:rPr>
                <w:rFonts w:hint="eastAsia"/>
                <w:color w:val="auto"/>
              </w:rPr>
              <w:t>安全检查表</w:t>
            </w:r>
            <w:r>
              <w:rPr>
                <w:rFonts w:hint="eastAsia"/>
                <w:color w:val="auto"/>
                <w:lang w:eastAsia="zh-CN"/>
              </w:rPr>
              <w:t>、</w:t>
            </w:r>
            <w:r>
              <w:rPr>
                <w:rFonts w:hint="eastAsia"/>
                <w:color w:val="auto"/>
              </w:rPr>
              <w:t>作业条件危险性分析</w:t>
            </w:r>
          </w:p>
        </w:tc>
      </w:tr>
      <w:tr w14:paraId="45DB8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71" w:type="pct"/>
            <w:tcBorders>
              <w:tl2br w:val="nil"/>
              <w:tr2bl w:val="nil"/>
            </w:tcBorders>
            <w:noWrap w:val="0"/>
            <w:vAlign w:val="center"/>
          </w:tcPr>
          <w:p w14:paraId="5263A603">
            <w:pPr>
              <w:pStyle w:val="20"/>
              <w:bidi w:val="0"/>
              <w:rPr>
                <w:rFonts w:hint="eastAsia"/>
                <w:color w:val="auto"/>
                <w:lang w:val="en-US" w:eastAsia="zh-CN"/>
              </w:rPr>
            </w:pPr>
            <w:r>
              <w:rPr>
                <w:rFonts w:hint="eastAsia"/>
                <w:color w:val="auto"/>
                <w:lang w:val="en-US" w:eastAsia="zh-CN"/>
              </w:rPr>
              <w:t>4</w:t>
            </w:r>
          </w:p>
        </w:tc>
        <w:tc>
          <w:tcPr>
            <w:tcW w:w="2030" w:type="pct"/>
            <w:tcBorders>
              <w:tl2br w:val="nil"/>
              <w:tr2bl w:val="nil"/>
            </w:tcBorders>
            <w:noWrap w:val="0"/>
            <w:vAlign w:val="center"/>
          </w:tcPr>
          <w:p w14:paraId="41714DDF">
            <w:pPr>
              <w:pStyle w:val="20"/>
              <w:bidi w:val="0"/>
              <w:rPr>
                <w:rFonts w:hint="eastAsia"/>
                <w:color w:val="auto"/>
              </w:rPr>
            </w:pPr>
            <w:r>
              <w:rPr>
                <w:rFonts w:hint="eastAsia"/>
                <w:color w:val="auto"/>
              </w:rPr>
              <w:t>公</w:t>
            </w:r>
            <w:r>
              <w:rPr>
                <w:rFonts w:hint="eastAsia"/>
                <w:color w:val="auto"/>
                <w:lang w:val="en-US" w:eastAsia="zh-CN"/>
              </w:rPr>
              <w:t>辅</w:t>
            </w:r>
            <w:r>
              <w:rPr>
                <w:rFonts w:hint="eastAsia"/>
                <w:color w:val="auto"/>
              </w:rPr>
              <w:t>设施</w:t>
            </w:r>
          </w:p>
        </w:tc>
        <w:tc>
          <w:tcPr>
            <w:tcW w:w="2497" w:type="pct"/>
            <w:tcBorders>
              <w:tl2br w:val="nil"/>
              <w:tr2bl w:val="nil"/>
            </w:tcBorders>
            <w:noWrap w:val="0"/>
            <w:vAlign w:val="center"/>
          </w:tcPr>
          <w:p w14:paraId="591FDB7C">
            <w:pPr>
              <w:pStyle w:val="20"/>
              <w:bidi w:val="0"/>
              <w:rPr>
                <w:rFonts w:hint="eastAsia"/>
                <w:color w:val="auto"/>
                <w:lang w:eastAsia="zh-CN"/>
              </w:rPr>
            </w:pPr>
            <w:r>
              <w:rPr>
                <w:rFonts w:hint="eastAsia"/>
                <w:color w:val="auto"/>
              </w:rPr>
              <w:t>安全检查表</w:t>
            </w:r>
            <w:r>
              <w:rPr>
                <w:rFonts w:hint="eastAsia"/>
                <w:color w:val="auto"/>
                <w:lang w:eastAsia="zh-CN"/>
              </w:rPr>
              <w:t>、</w:t>
            </w:r>
            <w:r>
              <w:rPr>
                <w:rFonts w:hint="eastAsia"/>
                <w:color w:val="auto"/>
              </w:rPr>
              <w:t>作业条件危险性分析</w:t>
            </w:r>
          </w:p>
        </w:tc>
      </w:tr>
      <w:tr w14:paraId="6F7F3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71" w:type="pct"/>
            <w:tcBorders>
              <w:tl2br w:val="nil"/>
              <w:tr2bl w:val="nil"/>
            </w:tcBorders>
            <w:noWrap w:val="0"/>
            <w:vAlign w:val="center"/>
          </w:tcPr>
          <w:p w14:paraId="59A5A591">
            <w:pPr>
              <w:pStyle w:val="20"/>
              <w:bidi w:val="0"/>
              <w:rPr>
                <w:rFonts w:hint="eastAsia" w:eastAsia="宋体"/>
                <w:color w:val="auto"/>
                <w:lang w:eastAsia="zh-CN"/>
              </w:rPr>
            </w:pPr>
            <w:r>
              <w:rPr>
                <w:rFonts w:hint="eastAsia"/>
                <w:color w:val="auto"/>
                <w:lang w:val="en-US" w:eastAsia="zh-CN"/>
              </w:rPr>
              <w:t>5</w:t>
            </w:r>
          </w:p>
        </w:tc>
        <w:tc>
          <w:tcPr>
            <w:tcW w:w="2030" w:type="pct"/>
            <w:tcBorders>
              <w:tl2br w:val="nil"/>
              <w:tr2bl w:val="nil"/>
            </w:tcBorders>
            <w:noWrap w:val="0"/>
            <w:vAlign w:val="center"/>
          </w:tcPr>
          <w:p w14:paraId="21FC664D">
            <w:pPr>
              <w:pStyle w:val="20"/>
              <w:bidi w:val="0"/>
              <w:rPr>
                <w:rFonts w:hint="eastAsia"/>
                <w:color w:val="auto"/>
              </w:rPr>
            </w:pPr>
            <w:r>
              <w:rPr>
                <w:rFonts w:hint="eastAsia"/>
                <w:color w:val="auto"/>
              </w:rPr>
              <w:t>安全管理</w:t>
            </w:r>
          </w:p>
        </w:tc>
        <w:tc>
          <w:tcPr>
            <w:tcW w:w="2497" w:type="pct"/>
            <w:tcBorders>
              <w:tl2br w:val="nil"/>
              <w:tr2bl w:val="nil"/>
            </w:tcBorders>
            <w:noWrap w:val="0"/>
            <w:vAlign w:val="center"/>
          </w:tcPr>
          <w:p w14:paraId="0C6F69FF">
            <w:pPr>
              <w:pStyle w:val="20"/>
              <w:bidi w:val="0"/>
              <w:rPr>
                <w:rFonts w:hint="eastAsia"/>
                <w:color w:val="auto"/>
              </w:rPr>
            </w:pPr>
            <w:r>
              <w:rPr>
                <w:color w:val="auto"/>
              </w:rPr>
              <w:t>安全检查表</w:t>
            </w:r>
          </w:p>
        </w:tc>
      </w:tr>
    </w:tbl>
    <w:p w14:paraId="42F5FE2C">
      <w:pPr>
        <w:rPr>
          <w:rFonts w:ascii="Times New Roman" w:hAnsi="Times New Roman"/>
          <w:color w:val="auto"/>
          <w:lang w:val="en-US" w:eastAsia="zh-CN"/>
        </w:rPr>
      </w:pPr>
      <w:r>
        <w:rPr>
          <w:rFonts w:ascii="Times New Roman" w:hAnsi="Times New Roman"/>
          <w:color w:val="auto"/>
          <w:lang w:val="en-US" w:eastAsia="zh-CN"/>
        </w:rPr>
        <w:t>各评价单元选用的评价方法见表4</w:t>
      </w:r>
      <w:r>
        <w:rPr>
          <w:rFonts w:hint="eastAsia" w:ascii="Times New Roman" w:hAnsi="Times New Roman"/>
          <w:color w:val="auto"/>
          <w:lang w:val="en-US" w:eastAsia="zh-CN"/>
        </w:rPr>
        <w:t>.</w:t>
      </w:r>
      <w:r>
        <w:rPr>
          <w:rFonts w:hint="eastAsia"/>
          <w:color w:val="auto"/>
          <w:lang w:val="en-US" w:eastAsia="zh-CN"/>
        </w:rPr>
        <w:t>1</w:t>
      </w:r>
      <w:r>
        <w:rPr>
          <w:rFonts w:ascii="Times New Roman" w:hAnsi="Times New Roman"/>
          <w:color w:val="auto"/>
          <w:lang w:val="en-US" w:eastAsia="zh-CN"/>
        </w:rPr>
        <w:t>-</w:t>
      </w:r>
      <w:r>
        <w:rPr>
          <w:rFonts w:hint="eastAsia"/>
          <w:color w:val="auto"/>
          <w:lang w:val="en-US" w:eastAsia="zh-CN"/>
        </w:rPr>
        <w:t>2</w:t>
      </w:r>
      <w:r>
        <w:rPr>
          <w:rFonts w:ascii="Times New Roman" w:hAnsi="Times New Roman"/>
          <w:color w:val="auto"/>
          <w:lang w:val="en-US" w:eastAsia="zh-CN"/>
        </w:rPr>
        <w:t>所示。</w:t>
      </w:r>
    </w:p>
    <w:p w14:paraId="46684D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lang w:val="en-US" w:eastAsia="zh-CN"/>
        </w:rPr>
      </w:pPr>
      <w:r>
        <w:rPr>
          <w:rFonts w:ascii="Times New Roman" w:hAnsi="Times New Roman"/>
          <w:color w:val="auto"/>
          <w:lang w:val="en-US" w:eastAsia="zh-CN"/>
        </w:rPr>
        <w:t>表4</w:t>
      </w:r>
      <w:r>
        <w:rPr>
          <w:rFonts w:hint="eastAsia" w:ascii="Times New Roman" w:hAnsi="Times New Roman"/>
          <w:color w:val="auto"/>
          <w:lang w:val="en-US" w:eastAsia="zh-CN"/>
        </w:rPr>
        <w:t>.</w:t>
      </w:r>
      <w:r>
        <w:rPr>
          <w:rFonts w:hint="eastAsia"/>
          <w:color w:val="auto"/>
          <w:lang w:val="en-US" w:eastAsia="zh-CN"/>
        </w:rPr>
        <w:t>1</w:t>
      </w:r>
      <w:r>
        <w:rPr>
          <w:rFonts w:ascii="Times New Roman" w:hAnsi="Times New Roman"/>
          <w:color w:val="auto"/>
          <w:lang w:val="en-US" w:eastAsia="zh-CN"/>
        </w:rPr>
        <w:t>-</w:t>
      </w:r>
      <w:r>
        <w:rPr>
          <w:rFonts w:hint="eastAsia"/>
          <w:color w:val="auto"/>
          <w:lang w:val="en-US" w:eastAsia="zh-CN"/>
        </w:rPr>
        <w:t>2</w:t>
      </w:r>
      <w:r>
        <w:rPr>
          <w:rFonts w:hint="eastAsia" w:ascii="Times New Roman" w:hAnsi="Times New Roman"/>
          <w:color w:val="auto"/>
          <w:lang w:val="en-US" w:eastAsia="zh-CN"/>
        </w:rPr>
        <w:t xml:space="preserve">  </w:t>
      </w:r>
      <w:r>
        <w:rPr>
          <w:rFonts w:ascii="Times New Roman" w:hAnsi="Times New Roman"/>
          <w:color w:val="auto"/>
          <w:lang w:val="en-US" w:eastAsia="zh-CN"/>
        </w:rPr>
        <w:t>各评价单元选用的评价方法表</w:t>
      </w:r>
    </w:p>
    <w:tbl>
      <w:tblPr>
        <w:tblStyle w:val="14"/>
        <w:tblW w:w="5031"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541"/>
        <w:gridCol w:w="2247"/>
        <w:gridCol w:w="2684"/>
        <w:gridCol w:w="2686"/>
      </w:tblGrid>
      <w:tr w14:paraId="7AF532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2067" w:type="pct"/>
            <w:gridSpan w:val="2"/>
            <w:tcBorders>
              <w:bottom w:val="single" w:color="000000" w:sz="4" w:space="0"/>
              <w:right w:val="single" w:color="000000" w:sz="4" w:space="0"/>
              <w:tl2br w:val="single" w:color="000000" w:sz="4" w:space="0"/>
            </w:tcBorders>
            <w:noWrap w:val="0"/>
            <w:vAlign w:val="top"/>
          </w:tcPr>
          <w:p w14:paraId="2C1BC48B">
            <w:pPr>
              <w:pStyle w:val="21"/>
              <w:bidi w:val="0"/>
              <w:rPr>
                <w:color w:val="auto"/>
                <w:lang w:val="en-US"/>
              </w:rPr>
            </w:pPr>
            <w:r>
              <w:rPr>
                <w:rFonts w:hint="eastAsia"/>
                <w:color w:val="auto"/>
                <w:lang w:val="en-US" w:eastAsia="zh-CN"/>
              </w:rPr>
              <w:t xml:space="preserve">              </w:t>
            </w:r>
            <w:r>
              <w:rPr>
                <w:color w:val="auto"/>
                <w:lang w:val="en-US"/>
              </w:rPr>
              <w:t>评价方法</w:t>
            </w:r>
          </w:p>
          <w:p w14:paraId="6A5B2AC2">
            <w:pPr>
              <w:pStyle w:val="21"/>
              <w:bidi w:val="0"/>
              <w:rPr>
                <w:color w:val="auto"/>
                <w:lang w:val="en-US"/>
              </w:rPr>
            </w:pPr>
          </w:p>
          <w:p w14:paraId="01422FE3">
            <w:pPr>
              <w:pStyle w:val="21"/>
              <w:bidi w:val="0"/>
              <w:jc w:val="both"/>
              <w:rPr>
                <w:color w:val="auto"/>
                <w:lang w:val="en-US"/>
              </w:rPr>
            </w:pPr>
            <w:r>
              <w:rPr>
                <w:color w:val="auto"/>
                <w:lang w:val="en-US"/>
              </w:rPr>
              <w:t>评价单元</w:t>
            </w:r>
          </w:p>
        </w:tc>
        <w:tc>
          <w:tcPr>
            <w:tcW w:w="1465" w:type="pct"/>
            <w:tcBorders>
              <w:left w:val="single" w:color="000000" w:sz="4" w:space="0"/>
              <w:tl2br w:val="nil"/>
              <w:tr2bl w:val="nil"/>
            </w:tcBorders>
            <w:noWrap w:val="0"/>
            <w:vAlign w:val="center"/>
          </w:tcPr>
          <w:p w14:paraId="7A13E0A2">
            <w:pPr>
              <w:pStyle w:val="21"/>
              <w:bidi w:val="0"/>
              <w:rPr>
                <w:color w:val="auto"/>
                <w:lang w:val="en-US"/>
              </w:rPr>
            </w:pPr>
            <w:r>
              <w:rPr>
                <w:color w:val="auto"/>
                <w:lang w:val="en-US"/>
              </w:rPr>
              <w:t>安全检查表法</w:t>
            </w:r>
          </w:p>
          <w:p w14:paraId="1FAFFD9E">
            <w:pPr>
              <w:pStyle w:val="21"/>
              <w:bidi w:val="0"/>
              <w:rPr>
                <w:color w:val="auto"/>
                <w:lang w:val="en-US"/>
              </w:rPr>
            </w:pPr>
            <w:r>
              <w:rPr>
                <w:color w:val="auto"/>
                <w:lang w:val="en-US"/>
              </w:rPr>
              <w:t>（SCL）</w:t>
            </w:r>
          </w:p>
        </w:tc>
        <w:tc>
          <w:tcPr>
            <w:tcW w:w="1466" w:type="pct"/>
            <w:tcBorders>
              <w:tl2br w:val="nil"/>
              <w:tr2bl w:val="nil"/>
            </w:tcBorders>
            <w:noWrap w:val="0"/>
            <w:vAlign w:val="center"/>
          </w:tcPr>
          <w:p w14:paraId="6C4DEFDB">
            <w:pPr>
              <w:pStyle w:val="21"/>
              <w:bidi w:val="0"/>
              <w:rPr>
                <w:color w:val="auto"/>
                <w:lang w:val="en-US"/>
              </w:rPr>
            </w:pPr>
            <w:r>
              <w:rPr>
                <w:rFonts w:hint="eastAsia"/>
                <w:color w:val="auto"/>
              </w:rPr>
              <w:t>作业条件危险性分析</w:t>
            </w:r>
          </w:p>
          <w:p w14:paraId="2F64094C">
            <w:pPr>
              <w:pStyle w:val="21"/>
              <w:bidi w:val="0"/>
              <w:rPr>
                <w:rFonts w:hint="eastAsia"/>
                <w:color w:val="auto"/>
                <w:lang w:val="en-US" w:eastAsia="zh-CN"/>
              </w:rPr>
            </w:pPr>
            <w:r>
              <w:rPr>
                <w:rFonts w:hint="eastAsia"/>
                <w:color w:val="auto"/>
                <w:lang w:val="en-US" w:eastAsia="zh-CN"/>
              </w:rPr>
              <w:t>（LEC）</w:t>
            </w:r>
          </w:p>
        </w:tc>
      </w:tr>
      <w:tr w14:paraId="61B492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841" w:type="pct"/>
            <w:tcBorders>
              <w:top w:val="single" w:color="000000" w:sz="4" w:space="0"/>
              <w:tl2br w:val="nil"/>
              <w:tr2bl w:val="nil"/>
            </w:tcBorders>
            <w:noWrap w:val="0"/>
            <w:vAlign w:val="center"/>
          </w:tcPr>
          <w:p w14:paraId="6E7A09ED">
            <w:pPr>
              <w:pStyle w:val="20"/>
              <w:bidi w:val="0"/>
              <w:rPr>
                <w:rFonts w:hint="eastAsia"/>
                <w:color w:val="auto"/>
                <w:lang w:val="en-US" w:eastAsia="zh-CN"/>
              </w:rPr>
            </w:pPr>
            <w:r>
              <w:rPr>
                <w:rFonts w:hint="eastAsia"/>
                <w:color w:val="auto"/>
                <w:lang w:val="en-US" w:eastAsia="zh-CN"/>
              </w:rPr>
              <w:t>1</w:t>
            </w:r>
          </w:p>
        </w:tc>
        <w:tc>
          <w:tcPr>
            <w:tcW w:w="1226" w:type="pct"/>
            <w:tcBorders>
              <w:top w:val="single" w:color="000000" w:sz="4" w:space="0"/>
              <w:tl2br w:val="nil"/>
              <w:tr2bl w:val="nil"/>
            </w:tcBorders>
            <w:noWrap w:val="0"/>
            <w:vAlign w:val="center"/>
          </w:tcPr>
          <w:p w14:paraId="4A4A0663">
            <w:pPr>
              <w:pStyle w:val="20"/>
              <w:bidi w:val="0"/>
              <w:rPr>
                <w:color w:val="auto"/>
                <w:lang w:val="en-US"/>
              </w:rPr>
            </w:pPr>
            <w:r>
              <w:rPr>
                <w:rFonts w:hint="eastAsia"/>
                <w:color w:val="auto"/>
              </w:rPr>
              <w:t>法律法规符合性</w:t>
            </w:r>
          </w:p>
        </w:tc>
        <w:tc>
          <w:tcPr>
            <w:tcW w:w="1465" w:type="pct"/>
            <w:tcBorders>
              <w:tl2br w:val="nil"/>
              <w:tr2bl w:val="nil"/>
            </w:tcBorders>
            <w:noWrap w:val="0"/>
            <w:vAlign w:val="center"/>
          </w:tcPr>
          <w:p w14:paraId="3FCB42A9">
            <w:pPr>
              <w:pStyle w:val="20"/>
              <w:bidi w:val="0"/>
              <w:rPr>
                <w:color w:val="auto"/>
                <w:lang w:val="en-US"/>
              </w:rPr>
            </w:pPr>
            <w:r>
              <w:rPr>
                <w:color w:val="auto"/>
                <w:lang w:val="en-US"/>
              </w:rPr>
              <w:t>√</w:t>
            </w:r>
          </w:p>
        </w:tc>
        <w:tc>
          <w:tcPr>
            <w:tcW w:w="1466" w:type="pct"/>
            <w:tcBorders>
              <w:tl2br w:val="nil"/>
              <w:tr2bl w:val="nil"/>
            </w:tcBorders>
            <w:noWrap w:val="0"/>
            <w:vAlign w:val="center"/>
          </w:tcPr>
          <w:p w14:paraId="48DA68E0">
            <w:pPr>
              <w:pStyle w:val="20"/>
              <w:bidi w:val="0"/>
              <w:rPr>
                <w:color w:val="auto"/>
              </w:rPr>
            </w:pPr>
          </w:p>
        </w:tc>
      </w:tr>
      <w:tr w14:paraId="421BF6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1" w:hRule="atLeast"/>
          <w:jc w:val="center"/>
        </w:trPr>
        <w:tc>
          <w:tcPr>
            <w:tcW w:w="841" w:type="pct"/>
            <w:tcBorders>
              <w:tl2br w:val="nil"/>
              <w:tr2bl w:val="nil"/>
            </w:tcBorders>
            <w:noWrap w:val="0"/>
            <w:vAlign w:val="center"/>
          </w:tcPr>
          <w:p w14:paraId="56EC77BF">
            <w:pPr>
              <w:pStyle w:val="20"/>
              <w:bidi w:val="0"/>
              <w:rPr>
                <w:rFonts w:hint="eastAsia"/>
                <w:color w:val="auto"/>
                <w:lang w:val="en-US" w:eastAsia="zh-CN"/>
              </w:rPr>
            </w:pPr>
            <w:r>
              <w:rPr>
                <w:rFonts w:hint="eastAsia"/>
                <w:color w:val="auto"/>
                <w:lang w:val="en-US" w:eastAsia="zh-CN"/>
              </w:rPr>
              <w:t>2</w:t>
            </w:r>
          </w:p>
        </w:tc>
        <w:tc>
          <w:tcPr>
            <w:tcW w:w="1226" w:type="pct"/>
            <w:tcBorders>
              <w:tl2br w:val="nil"/>
              <w:tr2bl w:val="nil"/>
            </w:tcBorders>
            <w:noWrap w:val="0"/>
            <w:vAlign w:val="center"/>
          </w:tcPr>
          <w:p w14:paraId="47757419">
            <w:pPr>
              <w:pStyle w:val="20"/>
              <w:bidi w:val="0"/>
              <w:rPr>
                <w:color w:val="auto"/>
                <w:lang w:val="en-US"/>
              </w:rPr>
            </w:pPr>
            <w:r>
              <w:rPr>
                <w:color w:val="auto"/>
                <w:lang w:val="en-US"/>
              </w:rPr>
              <w:t>总图运输单元</w:t>
            </w:r>
          </w:p>
        </w:tc>
        <w:tc>
          <w:tcPr>
            <w:tcW w:w="1465" w:type="pct"/>
            <w:tcBorders>
              <w:tl2br w:val="nil"/>
              <w:tr2bl w:val="nil"/>
            </w:tcBorders>
            <w:noWrap w:val="0"/>
            <w:vAlign w:val="center"/>
          </w:tcPr>
          <w:p w14:paraId="2E353872">
            <w:pPr>
              <w:pStyle w:val="20"/>
              <w:bidi w:val="0"/>
              <w:rPr>
                <w:color w:val="auto"/>
                <w:lang w:val="en-US"/>
              </w:rPr>
            </w:pPr>
            <w:r>
              <w:rPr>
                <w:color w:val="auto"/>
                <w:lang w:val="en-US"/>
              </w:rPr>
              <w:t>√</w:t>
            </w:r>
          </w:p>
        </w:tc>
        <w:tc>
          <w:tcPr>
            <w:tcW w:w="1466" w:type="pct"/>
            <w:tcBorders>
              <w:tl2br w:val="nil"/>
              <w:tr2bl w:val="nil"/>
            </w:tcBorders>
            <w:noWrap w:val="0"/>
            <w:vAlign w:val="center"/>
          </w:tcPr>
          <w:p w14:paraId="38EECA47">
            <w:pPr>
              <w:pStyle w:val="20"/>
              <w:bidi w:val="0"/>
              <w:rPr>
                <w:color w:val="auto"/>
                <w:lang w:val="en-US"/>
              </w:rPr>
            </w:pPr>
            <w:r>
              <w:rPr>
                <w:color w:val="auto"/>
                <w:lang w:val="en-US"/>
              </w:rPr>
              <w:t>√</w:t>
            </w:r>
          </w:p>
        </w:tc>
      </w:tr>
      <w:tr w14:paraId="3F3359B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4" w:hRule="atLeast"/>
          <w:jc w:val="center"/>
        </w:trPr>
        <w:tc>
          <w:tcPr>
            <w:tcW w:w="841" w:type="pct"/>
            <w:tcBorders>
              <w:tl2br w:val="nil"/>
              <w:tr2bl w:val="nil"/>
            </w:tcBorders>
            <w:noWrap w:val="0"/>
            <w:vAlign w:val="center"/>
          </w:tcPr>
          <w:p w14:paraId="7C4DDE70">
            <w:pPr>
              <w:pStyle w:val="20"/>
              <w:bidi w:val="0"/>
              <w:rPr>
                <w:rFonts w:hint="eastAsia"/>
                <w:color w:val="auto"/>
                <w:lang w:val="en-US" w:eastAsia="zh-CN"/>
              </w:rPr>
            </w:pPr>
            <w:r>
              <w:rPr>
                <w:rFonts w:hint="eastAsia"/>
                <w:color w:val="auto"/>
                <w:lang w:val="en-US" w:eastAsia="zh-CN"/>
              </w:rPr>
              <w:t>3</w:t>
            </w:r>
          </w:p>
        </w:tc>
        <w:tc>
          <w:tcPr>
            <w:tcW w:w="1226" w:type="pct"/>
            <w:tcBorders>
              <w:tl2br w:val="nil"/>
              <w:tr2bl w:val="nil"/>
            </w:tcBorders>
            <w:noWrap w:val="0"/>
            <w:vAlign w:val="center"/>
          </w:tcPr>
          <w:p w14:paraId="49AEE288">
            <w:pPr>
              <w:pStyle w:val="20"/>
              <w:bidi w:val="0"/>
              <w:rPr>
                <w:color w:val="auto"/>
                <w:lang w:val="en-US"/>
              </w:rPr>
            </w:pPr>
            <w:r>
              <w:rPr>
                <w:color w:val="auto"/>
                <w:lang w:val="en-US"/>
              </w:rPr>
              <w:t>生产工艺</w:t>
            </w:r>
            <w:r>
              <w:rPr>
                <w:rFonts w:hint="eastAsia"/>
                <w:color w:val="auto"/>
                <w:lang w:val="en-US" w:eastAsia="zh-CN"/>
              </w:rPr>
              <w:t>设备设施</w:t>
            </w:r>
            <w:r>
              <w:rPr>
                <w:color w:val="auto"/>
                <w:lang w:val="en-US"/>
              </w:rPr>
              <w:t>单元</w:t>
            </w:r>
          </w:p>
        </w:tc>
        <w:tc>
          <w:tcPr>
            <w:tcW w:w="1465" w:type="pct"/>
            <w:tcBorders>
              <w:tl2br w:val="nil"/>
              <w:tr2bl w:val="nil"/>
            </w:tcBorders>
            <w:noWrap w:val="0"/>
            <w:vAlign w:val="center"/>
          </w:tcPr>
          <w:p w14:paraId="28F7F78D">
            <w:pPr>
              <w:pStyle w:val="20"/>
              <w:bidi w:val="0"/>
              <w:rPr>
                <w:color w:val="auto"/>
              </w:rPr>
            </w:pPr>
            <w:r>
              <w:rPr>
                <w:color w:val="auto"/>
                <w:lang w:val="en-US"/>
              </w:rPr>
              <w:t>√</w:t>
            </w:r>
          </w:p>
        </w:tc>
        <w:tc>
          <w:tcPr>
            <w:tcW w:w="1466" w:type="pct"/>
            <w:tcBorders>
              <w:tl2br w:val="nil"/>
              <w:tr2bl w:val="nil"/>
            </w:tcBorders>
            <w:noWrap w:val="0"/>
            <w:vAlign w:val="center"/>
          </w:tcPr>
          <w:p w14:paraId="69629C2D">
            <w:pPr>
              <w:pStyle w:val="20"/>
              <w:bidi w:val="0"/>
              <w:rPr>
                <w:color w:val="auto"/>
                <w:lang w:val="en-US"/>
              </w:rPr>
            </w:pPr>
            <w:r>
              <w:rPr>
                <w:color w:val="auto"/>
                <w:lang w:val="en-US"/>
              </w:rPr>
              <w:t>√</w:t>
            </w:r>
          </w:p>
        </w:tc>
      </w:tr>
      <w:tr w14:paraId="09BEDA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841" w:type="pct"/>
            <w:tcBorders>
              <w:tl2br w:val="nil"/>
              <w:tr2bl w:val="nil"/>
            </w:tcBorders>
            <w:noWrap w:val="0"/>
            <w:vAlign w:val="center"/>
          </w:tcPr>
          <w:p w14:paraId="508477F3">
            <w:pPr>
              <w:pStyle w:val="20"/>
              <w:bidi w:val="0"/>
              <w:rPr>
                <w:rFonts w:hint="eastAsia"/>
                <w:color w:val="auto"/>
                <w:lang w:val="en-US" w:eastAsia="zh-CN"/>
              </w:rPr>
            </w:pPr>
            <w:r>
              <w:rPr>
                <w:rFonts w:hint="eastAsia"/>
                <w:color w:val="auto"/>
                <w:lang w:val="en-US" w:eastAsia="zh-CN"/>
              </w:rPr>
              <w:t>4</w:t>
            </w:r>
          </w:p>
        </w:tc>
        <w:tc>
          <w:tcPr>
            <w:tcW w:w="1226" w:type="pct"/>
            <w:tcBorders>
              <w:tl2br w:val="nil"/>
              <w:tr2bl w:val="nil"/>
            </w:tcBorders>
            <w:noWrap w:val="0"/>
            <w:vAlign w:val="center"/>
          </w:tcPr>
          <w:p w14:paraId="17C9F0FB">
            <w:pPr>
              <w:pStyle w:val="20"/>
              <w:bidi w:val="0"/>
              <w:rPr>
                <w:color w:val="auto"/>
                <w:lang w:val="en-US"/>
              </w:rPr>
            </w:pPr>
            <w:r>
              <w:rPr>
                <w:color w:val="auto"/>
                <w:lang w:val="en-US"/>
              </w:rPr>
              <w:t>公辅设施单元</w:t>
            </w:r>
          </w:p>
        </w:tc>
        <w:tc>
          <w:tcPr>
            <w:tcW w:w="1465" w:type="pct"/>
            <w:tcBorders>
              <w:tl2br w:val="nil"/>
              <w:tr2bl w:val="nil"/>
            </w:tcBorders>
            <w:noWrap w:val="0"/>
            <w:vAlign w:val="center"/>
          </w:tcPr>
          <w:p w14:paraId="0B4FA053">
            <w:pPr>
              <w:pStyle w:val="20"/>
              <w:bidi w:val="0"/>
              <w:rPr>
                <w:color w:val="auto"/>
              </w:rPr>
            </w:pPr>
            <w:r>
              <w:rPr>
                <w:color w:val="auto"/>
                <w:lang w:val="en-US"/>
              </w:rPr>
              <w:t>√</w:t>
            </w:r>
          </w:p>
        </w:tc>
        <w:tc>
          <w:tcPr>
            <w:tcW w:w="1466" w:type="pct"/>
            <w:tcBorders>
              <w:tl2br w:val="nil"/>
              <w:tr2bl w:val="nil"/>
            </w:tcBorders>
            <w:noWrap w:val="0"/>
            <w:vAlign w:val="center"/>
          </w:tcPr>
          <w:p w14:paraId="0AAE184B">
            <w:pPr>
              <w:pStyle w:val="20"/>
              <w:bidi w:val="0"/>
              <w:rPr>
                <w:color w:val="auto"/>
              </w:rPr>
            </w:pPr>
            <w:r>
              <w:rPr>
                <w:color w:val="auto"/>
                <w:lang w:val="en-US"/>
              </w:rPr>
              <w:t>√</w:t>
            </w:r>
          </w:p>
        </w:tc>
      </w:tr>
      <w:tr w14:paraId="32146E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841" w:type="pct"/>
            <w:tcBorders>
              <w:tl2br w:val="nil"/>
              <w:tr2bl w:val="nil"/>
            </w:tcBorders>
            <w:noWrap w:val="0"/>
            <w:vAlign w:val="center"/>
          </w:tcPr>
          <w:p w14:paraId="35643E2B">
            <w:pPr>
              <w:pStyle w:val="20"/>
              <w:bidi w:val="0"/>
              <w:rPr>
                <w:rFonts w:hint="eastAsia"/>
                <w:color w:val="auto"/>
                <w:lang w:val="en-US" w:eastAsia="zh-CN"/>
              </w:rPr>
            </w:pPr>
            <w:r>
              <w:rPr>
                <w:rFonts w:hint="eastAsia"/>
                <w:color w:val="auto"/>
                <w:lang w:val="en-US" w:eastAsia="zh-CN"/>
              </w:rPr>
              <w:t>5</w:t>
            </w:r>
          </w:p>
        </w:tc>
        <w:tc>
          <w:tcPr>
            <w:tcW w:w="1226" w:type="pct"/>
            <w:tcBorders>
              <w:tl2br w:val="nil"/>
              <w:tr2bl w:val="nil"/>
            </w:tcBorders>
            <w:noWrap w:val="0"/>
            <w:vAlign w:val="center"/>
          </w:tcPr>
          <w:p w14:paraId="6FA0A4B4">
            <w:pPr>
              <w:pStyle w:val="20"/>
              <w:bidi w:val="0"/>
              <w:rPr>
                <w:rFonts w:hint="default"/>
                <w:color w:val="auto"/>
                <w:lang w:val="en-US" w:eastAsia="zh-CN"/>
              </w:rPr>
            </w:pPr>
            <w:r>
              <w:rPr>
                <w:rFonts w:hint="eastAsia"/>
                <w:color w:val="auto"/>
                <w:lang w:val="en-US" w:eastAsia="zh-CN"/>
              </w:rPr>
              <w:t>安全管理</w:t>
            </w:r>
          </w:p>
        </w:tc>
        <w:tc>
          <w:tcPr>
            <w:tcW w:w="1465" w:type="pct"/>
            <w:tcBorders>
              <w:tl2br w:val="nil"/>
              <w:tr2bl w:val="nil"/>
            </w:tcBorders>
            <w:noWrap w:val="0"/>
            <w:vAlign w:val="center"/>
          </w:tcPr>
          <w:p w14:paraId="4BDD003A">
            <w:pPr>
              <w:pStyle w:val="20"/>
              <w:bidi w:val="0"/>
              <w:rPr>
                <w:color w:val="auto"/>
                <w:lang w:val="en-US"/>
              </w:rPr>
            </w:pPr>
            <w:r>
              <w:rPr>
                <w:color w:val="auto"/>
                <w:lang w:val="en-US"/>
              </w:rPr>
              <w:t>√</w:t>
            </w:r>
          </w:p>
        </w:tc>
        <w:tc>
          <w:tcPr>
            <w:tcW w:w="1466" w:type="pct"/>
            <w:tcBorders>
              <w:tl2br w:val="nil"/>
              <w:tr2bl w:val="nil"/>
            </w:tcBorders>
            <w:noWrap w:val="0"/>
            <w:vAlign w:val="center"/>
          </w:tcPr>
          <w:p w14:paraId="5DCF4953">
            <w:pPr>
              <w:pStyle w:val="20"/>
              <w:bidi w:val="0"/>
              <w:rPr>
                <w:color w:val="auto"/>
                <w:lang w:val="en-US"/>
              </w:rPr>
            </w:pPr>
          </w:p>
        </w:tc>
      </w:tr>
    </w:tbl>
    <w:p w14:paraId="54984C49">
      <w:pPr>
        <w:pStyle w:val="3"/>
        <w:bidi w:val="0"/>
        <w:rPr>
          <w:rFonts w:ascii="Times New Roman" w:hAnsi="Times New Roman"/>
          <w:color w:val="auto"/>
          <w:lang w:val="en-US" w:eastAsia="zh-CN"/>
        </w:rPr>
      </w:pPr>
      <w:bookmarkStart w:id="87" w:name="_Toc11415"/>
      <w:r>
        <w:rPr>
          <w:rFonts w:ascii="Times New Roman" w:hAnsi="Times New Roman"/>
          <w:color w:val="auto"/>
          <w:lang w:val="en-US" w:eastAsia="zh-CN"/>
        </w:rPr>
        <w:t>4.</w:t>
      </w:r>
      <w:r>
        <w:rPr>
          <w:rFonts w:hint="eastAsia"/>
          <w:color w:val="auto"/>
          <w:lang w:val="en-US" w:eastAsia="zh-CN"/>
        </w:rPr>
        <w:t>2</w:t>
      </w:r>
      <w:r>
        <w:rPr>
          <w:rFonts w:ascii="Times New Roman" w:hAnsi="Times New Roman"/>
          <w:color w:val="auto"/>
          <w:lang w:val="en-US" w:eastAsia="zh-CN"/>
        </w:rPr>
        <w:t>评价方法的介绍</w:t>
      </w:r>
      <w:bookmarkEnd w:id="87"/>
    </w:p>
    <w:p w14:paraId="1AE4623C">
      <w:pPr>
        <w:pStyle w:val="4"/>
        <w:bidi w:val="0"/>
        <w:rPr>
          <w:rFonts w:ascii="Times New Roman" w:hAnsi="Times New Roman"/>
          <w:color w:val="auto"/>
          <w:lang w:val="en-US" w:eastAsia="zh-CN"/>
        </w:rPr>
      </w:pPr>
      <w:bookmarkStart w:id="88" w:name="_Toc7546"/>
      <w:r>
        <w:rPr>
          <w:rFonts w:ascii="Times New Roman" w:hAnsi="Times New Roman"/>
          <w:color w:val="auto"/>
          <w:lang w:val="en-US" w:eastAsia="zh-CN"/>
        </w:rPr>
        <w:t>4.</w:t>
      </w:r>
      <w:r>
        <w:rPr>
          <w:rFonts w:hint="eastAsia"/>
          <w:color w:val="auto"/>
          <w:lang w:val="en-US" w:eastAsia="zh-CN"/>
        </w:rPr>
        <w:t>2</w:t>
      </w:r>
      <w:r>
        <w:rPr>
          <w:rFonts w:ascii="Times New Roman" w:hAnsi="Times New Roman"/>
          <w:color w:val="auto"/>
          <w:lang w:val="en-US" w:eastAsia="zh-CN"/>
        </w:rPr>
        <w:t>.1安全检查表法（SCL）</w:t>
      </w:r>
      <w:bookmarkEnd w:id="88"/>
    </w:p>
    <w:p w14:paraId="32AE71BC">
      <w:pPr>
        <w:bidi w:val="0"/>
        <w:rPr>
          <w:rFonts w:ascii="Times New Roman" w:hAnsi="Times New Roman"/>
          <w:color w:val="auto"/>
          <w:lang w:val="en-US" w:eastAsia="zh-CN"/>
        </w:rPr>
      </w:pPr>
      <w:r>
        <w:rPr>
          <w:rFonts w:ascii="Times New Roman" w:hAnsi="Times New Roman"/>
          <w:color w:val="auto"/>
          <w:lang w:val="en-US" w:eastAsia="zh-CN"/>
        </w:rPr>
        <w:t>安全检查表分析法（Safety Checklist Analysis）简称为SCL，是将一系列分析项目列出检查表进行检查、分析，以确定系统的状态，这些项目可包括设备、设施、工艺、操作、管理等各个方面。安全检查表分析法既可以用于简单的快速分析，也可以用于深层次的细致地分析，是识别已知危险的较为有效的分析方法之一。该方法主要是符合性检查。评价人员通过确定标准的设计或操作以建立传统的安全检查表，然后用它产生一系列基于缺陷或差异的问题。所完成的安全检查表包括对提出的问题回答</w:t>
      </w:r>
      <w:r>
        <w:rPr>
          <w:rFonts w:hint="eastAsia" w:ascii="Times New Roman" w:hAnsi="Times New Roman"/>
          <w:color w:val="auto"/>
          <w:lang w:val="en-US" w:eastAsia="zh-CN"/>
        </w:rPr>
        <w:t>“</w:t>
      </w:r>
      <w:r>
        <w:rPr>
          <w:rFonts w:ascii="Times New Roman" w:hAnsi="Times New Roman"/>
          <w:color w:val="auto"/>
          <w:lang w:val="en-US" w:eastAsia="zh-CN"/>
        </w:rPr>
        <w:t>是</w:t>
      </w:r>
      <w:r>
        <w:rPr>
          <w:rFonts w:hint="eastAsia" w:ascii="Times New Roman" w:hAnsi="Times New Roman"/>
          <w:color w:val="auto"/>
          <w:lang w:val="en-US" w:eastAsia="zh-CN"/>
        </w:rPr>
        <w:t>”</w:t>
      </w:r>
      <w:r>
        <w:rPr>
          <w:rFonts w:ascii="Times New Roman" w:hAnsi="Times New Roman"/>
          <w:color w:val="auto"/>
          <w:lang w:val="en-US" w:eastAsia="zh-CN"/>
        </w:rPr>
        <w:t>、</w:t>
      </w:r>
      <w:r>
        <w:rPr>
          <w:rFonts w:hint="eastAsia" w:ascii="Times New Roman" w:hAnsi="Times New Roman"/>
          <w:color w:val="auto"/>
          <w:lang w:val="en-US" w:eastAsia="zh-CN"/>
        </w:rPr>
        <w:t>“</w:t>
      </w:r>
      <w:r>
        <w:rPr>
          <w:rFonts w:ascii="Times New Roman" w:hAnsi="Times New Roman"/>
          <w:color w:val="auto"/>
          <w:lang w:val="en-US" w:eastAsia="zh-CN"/>
        </w:rPr>
        <w:t>否</w:t>
      </w:r>
      <w:r>
        <w:rPr>
          <w:rFonts w:hint="eastAsia" w:ascii="Times New Roman" w:hAnsi="Times New Roman"/>
          <w:color w:val="auto"/>
          <w:lang w:val="en-US" w:eastAsia="zh-CN"/>
        </w:rPr>
        <w:t>”</w:t>
      </w:r>
      <w:r>
        <w:rPr>
          <w:rFonts w:ascii="Times New Roman" w:hAnsi="Times New Roman"/>
          <w:color w:val="auto"/>
          <w:lang w:val="en-US" w:eastAsia="zh-CN"/>
        </w:rPr>
        <w:t>、</w:t>
      </w:r>
      <w:r>
        <w:rPr>
          <w:rFonts w:hint="eastAsia" w:ascii="Times New Roman" w:hAnsi="Times New Roman"/>
          <w:color w:val="auto"/>
          <w:lang w:val="en-US" w:eastAsia="zh-CN"/>
        </w:rPr>
        <w:t>“</w:t>
      </w:r>
      <w:r>
        <w:rPr>
          <w:rFonts w:ascii="Times New Roman" w:hAnsi="Times New Roman"/>
          <w:color w:val="auto"/>
          <w:lang w:val="en-US" w:eastAsia="zh-CN"/>
        </w:rPr>
        <w:t>符合</w:t>
      </w:r>
      <w:r>
        <w:rPr>
          <w:rFonts w:hint="eastAsia" w:ascii="Times New Roman" w:hAnsi="Times New Roman"/>
          <w:color w:val="auto"/>
          <w:lang w:val="en-US" w:eastAsia="zh-CN"/>
        </w:rPr>
        <w:t>”</w:t>
      </w:r>
      <w:r>
        <w:rPr>
          <w:rFonts w:ascii="Times New Roman" w:hAnsi="Times New Roman"/>
          <w:color w:val="auto"/>
          <w:lang w:val="en-US" w:eastAsia="zh-CN"/>
        </w:rPr>
        <w:t>、</w:t>
      </w:r>
      <w:r>
        <w:rPr>
          <w:rFonts w:hint="eastAsia" w:ascii="Times New Roman" w:hAnsi="Times New Roman"/>
          <w:color w:val="auto"/>
          <w:lang w:val="en-US" w:eastAsia="zh-CN"/>
        </w:rPr>
        <w:t>“</w:t>
      </w:r>
      <w:r>
        <w:rPr>
          <w:rFonts w:ascii="Times New Roman" w:hAnsi="Times New Roman"/>
          <w:color w:val="auto"/>
          <w:lang w:val="en-US" w:eastAsia="zh-CN"/>
        </w:rPr>
        <w:t>不符合</w:t>
      </w:r>
      <w:r>
        <w:rPr>
          <w:rFonts w:hint="eastAsia" w:ascii="Times New Roman" w:hAnsi="Times New Roman"/>
          <w:color w:val="auto"/>
          <w:lang w:val="en-US" w:eastAsia="zh-CN"/>
        </w:rPr>
        <w:t>”</w:t>
      </w:r>
      <w:r>
        <w:rPr>
          <w:rFonts w:ascii="Times New Roman" w:hAnsi="Times New Roman"/>
          <w:color w:val="auto"/>
          <w:lang w:val="en-US" w:eastAsia="zh-CN"/>
        </w:rPr>
        <w:t>或</w:t>
      </w:r>
      <w:r>
        <w:rPr>
          <w:rFonts w:hint="eastAsia" w:ascii="Times New Roman" w:hAnsi="Times New Roman"/>
          <w:color w:val="auto"/>
          <w:lang w:val="en-US" w:eastAsia="zh-CN"/>
        </w:rPr>
        <w:t>“</w:t>
      </w:r>
      <w:r>
        <w:rPr>
          <w:rFonts w:ascii="Times New Roman" w:hAnsi="Times New Roman"/>
          <w:color w:val="auto"/>
          <w:lang w:val="en-US" w:eastAsia="zh-CN"/>
        </w:rPr>
        <w:t>需要更多的信息</w:t>
      </w:r>
      <w:r>
        <w:rPr>
          <w:rFonts w:hint="eastAsia" w:ascii="Times New Roman" w:hAnsi="Times New Roman"/>
          <w:color w:val="auto"/>
          <w:lang w:val="en-US" w:eastAsia="zh-CN"/>
        </w:rPr>
        <w:t>”</w:t>
      </w:r>
      <w:r>
        <w:rPr>
          <w:rFonts w:ascii="Times New Roman" w:hAnsi="Times New Roman"/>
          <w:color w:val="auto"/>
          <w:lang w:val="en-US" w:eastAsia="zh-CN"/>
        </w:rPr>
        <w:t>。</w:t>
      </w:r>
    </w:p>
    <w:p w14:paraId="59872929">
      <w:pPr>
        <w:bidi w:val="0"/>
        <w:ind w:left="0" w:firstLine="560" w:firstLineChars="200"/>
        <w:rPr>
          <w:rFonts w:ascii="Times New Roman" w:hAnsi="Times New Roman"/>
          <w:color w:val="auto"/>
          <w:lang w:val="en-US" w:eastAsia="zh-CN"/>
        </w:rPr>
      </w:pPr>
      <w:r>
        <w:rPr>
          <w:rFonts w:hint="eastAsia" w:ascii="Times New Roman" w:hAnsi="Times New Roman"/>
          <w:color w:val="auto"/>
          <w:lang w:val="en-US" w:eastAsia="zh-CN"/>
        </w:rPr>
        <w:t>一、</w:t>
      </w:r>
      <w:r>
        <w:rPr>
          <w:rFonts w:ascii="Times New Roman" w:hAnsi="Times New Roman"/>
          <w:color w:val="auto"/>
          <w:lang w:val="en-US" w:eastAsia="zh-CN"/>
        </w:rPr>
        <w:t>安全检查表编制的主要依据</w:t>
      </w:r>
    </w:p>
    <w:p w14:paraId="1B6088CE">
      <w:pPr>
        <w:bidi w:val="0"/>
        <w:rPr>
          <w:rFonts w:ascii="Times New Roman" w:hAnsi="Times New Roman"/>
          <w:color w:val="auto"/>
          <w:lang w:val="en-US" w:eastAsia="zh-CN"/>
        </w:rPr>
      </w:pPr>
      <w:r>
        <w:rPr>
          <w:rFonts w:ascii="Times New Roman" w:hAnsi="Times New Roman"/>
          <w:color w:val="auto"/>
          <w:lang w:val="en-US" w:eastAsia="zh-CN"/>
        </w:rPr>
        <w:t>1</w:t>
      </w:r>
      <w:r>
        <w:rPr>
          <w:rFonts w:hint="eastAsia" w:ascii="Times New Roman" w:hAnsi="Times New Roman"/>
          <w:color w:val="auto"/>
          <w:lang w:val="en-US" w:eastAsia="zh-CN"/>
        </w:rPr>
        <w:t xml:space="preserve">. </w:t>
      </w:r>
      <w:r>
        <w:rPr>
          <w:rFonts w:ascii="Times New Roman" w:hAnsi="Times New Roman"/>
          <w:color w:val="auto"/>
          <w:lang w:val="en-US" w:eastAsia="zh-CN"/>
        </w:rPr>
        <w:t>有关法律、法规、标准；</w:t>
      </w:r>
    </w:p>
    <w:p w14:paraId="55A42438">
      <w:pPr>
        <w:bidi w:val="0"/>
        <w:rPr>
          <w:rFonts w:ascii="Times New Roman" w:hAnsi="Times New Roman"/>
          <w:color w:val="auto"/>
          <w:lang w:val="en-US" w:eastAsia="zh-CN"/>
        </w:rPr>
      </w:pPr>
      <w:r>
        <w:rPr>
          <w:rFonts w:ascii="Times New Roman" w:hAnsi="Times New Roman"/>
          <w:color w:val="auto"/>
          <w:lang w:val="en-US" w:eastAsia="zh-CN"/>
        </w:rPr>
        <w:t>2</w:t>
      </w:r>
      <w:r>
        <w:rPr>
          <w:rFonts w:hint="eastAsia" w:ascii="Times New Roman" w:hAnsi="Times New Roman"/>
          <w:color w:val="auto"/>
          <w:lang w:val="en-US" w:eastAsia="zh-CN"/>
        </w:rPr>
        <w:t xml:space="preserve">. </w:t>
      </w:r>
      <w:r>
        <w:rPr>
          <w:rFonts w:ascii="Times New Roman" w:hAnsi="Times New Roman"/>
          <w:color w:val="auto"/>
          <w:lang w:val="en-US" w:eastAsia="zh-CN"/>
        </w:rPr>
        <w:t>事故安全、经验、教训。</w:t>
      </w:r>
    </w:p>
    <w:p w14:paraId="0AE70E6A">
      <w:pPr>
        <w:bidi w:val="0"/>
        <w:rPr>
          <w:rFonts w:ascii="Times New Roman" w:hAnsi="Times New Roman"/>
          <w:color w:val="auto"/>
          <w:lang w:val="en-US" w:eastAsia="zh-CN"/>
        </w:rPr>
      </w:pPr>
      <w:r>
        <w:rPr>
          <w:rFonts w:hint="eastAsia" w:ascii="Times New Roman" w:hAnsi="Times New Roman"/>
          <w:color w:val="auto"/>
          <w:lang w:val="en-US" w:eastAsia="zh-CN"/>
        </w:rPr>
        <w:t xml:space="preserve">二、 </w:t>
      </w:r>
      <w:r>
        <w:rPr>
          <w:rFonts w:ascii="Times New Roman" w:hAnsi="Times New Roman"/>
          <w:color w:val="auto"/>
          <w:lang w:val="en-US" w:eastAsia="zh-CN"/>
        </w:rPr>
        <w:t>安全检查表分析三个步骤</w:t>
      </w:r>
    </w:p>
    <w:p w14:paraId="38A9D3EF">
      <w:pPr>
        <w:bidi w:val="0"/>
        <w:rPr>
          <w:rFonts w:ascii="Times New Roman" w:hAnsi="Times New Roman"/>
          <w:color w:val="auto"/>
          <w:lang w:val="en-US" w:eastAsia="zh-CN"/>
        </w:rPr>
      </w:pPr>
      <w:r>
        <w:rPr>
          <w:rFonts w:ascii="Times New Roman" w:hAnsi="Times New Roman"/>
          <w:color w:val="auto"/>
          <w:lang w:val="en-US" w:eastAsia="zh-CN"/>
        </w:rPr>
        <w:t>1</w:t>
      </w:r>
      <w:r>
        <w:rPr>
          <w:rFonts w:hint="eastAsia" w:ascii="Times New Roman" w:hAnsi="Times New Roman"/>
          <w:color w:val="auto"/>
          <w:lang w:val="en-US" w:eastAsia="zh-CN"/>
        </w:rPr>
        <w:t xml:space="preserve">. </w:t>
      </w:r>
      <w:r>
        <w:rPr>
          <w:rFonts w:ascii="Times New Roman" w:hAnsi="Times New Roman"/>
          <w:color w:val="auto"/>
          <w:lang w:val="en-US" w:eastAsia="zh-CN"/>
        </w:rPr>
        <w:t>选择或确定合适的安全检查表；</w:t>
      </w:r>
    </w:p>
    <w:p w14:paraId="32472F07">
      <w:pPr>
        <w:bidi w:val="0"/>
        <w:rPr>
          <w:rFonts w:ascii="Times New Roman" w:hAnsi="Times New Roman"/>
          <w:color w:val="auto"/>
          <w:lang w:val="en-US" w:eastAsia="zh-CN"/>
        </w:rPr>
      </w:pPr>
      <w:r>
        <w:rPr>
          <w:rFonts w:ascii="Times New Roman" w:hAnsi="Times New Roman"/>
          <w:color w:val="auto"/>
          <w:lang w:val="en-US" w:eastAsia="zh-CN"/>
        </w:rPr>
        <w:t>2</w:t>
      </w:r>
      <w:r>
        <w:rPr>
          <w:rFonts w:hint="eastAsia" w:ascii="Times New Roman" w:hAnsi="Times New Roman"/>
          <w:color w:val="auto"/>
          <w:lang w:val="en-US" w:eastAsia="zh-CN"/>
        </w:rPr>
        <w:t xml:space="preserve">. </w:t>
      </w:r>
      <w:r>
        <w:rPr>
          <w:rFonts w:ascii="Times New Roman" w:hAnsi="Times New Roman"/>
          <w:color w:val="auto"/>
          <w:lang w:val="en-US" w:eastAsia="zh-CN"/>
        </w:rPr>
        <w:t>完成分析；</w:t>
      </w:r>
    </w:p>
    <w:p w14:paraId="4962E25C">
      <w:pPr>
        <w:bidi w:val="0"/>
        <w:rPr>
          <w:rFonts w:ascii="Times New Roman" w:hAnsi="Times New Roman"/>
          <w:color w:val="auto"/>
          <w:lang w:val="en-US" w:eastAsia="zh-CN"/>
        </w:rPr>
      </w:pPr>
      <w:r>
        <w:rPr>
          <w:rFonts w:ascii="Times New Roman" w:hAnsi="Times New Roman"/>
          <w:color w:val="auto"/>
          <w:lang w:val="en-US" w:eastAsia="zh-CN"/>
        </w:rPr>
        <w:t>3）编制分析结果文件。</w:t>
      </w:r>
    </w:p>
    <w:p w14:paraId="59ADE47F">
      <w:pPr>
        <w:bidi w:val="0"/>
        <w:rPr>
          <w:rFonts w:ascii="Times New Roman" w:hAnsi="Times New Roman"/>
          <w:color w:val="auto"/>
          <w:lang w:val="en-US" w:eastAsia="zh-CN"/>
        </w:rPr>
      </w:pPr>
      <w:r>
        <w:rPr>
          <w:rFonts w:hint="eastAsia" w:ascii="Times New Roman" w:hAnsi="Times New Roman"/>
          <w:color w:val="auto"/>
          <w:lang w:val="en-US" w:eastAsia="zh-CN"/>
        </w:rPr>
        <w:t>三、</w:t>
      </w:r>
      <w:r>
        <w:rPr>
          <w:rFonts w:ascii="Times New Roman" w:hAnsi="Times New Roman"/>
          <w:color w:val="auto"/>
          <w:lang w:val="en-US" w:eastAsia="zh-CN"/>
        </w:rPr>
        <w:t>评价程序</w:t>
      </w:r>
    </w:p>
    <w:p w14:paraId="14FB8D1A">
      <w:pPr>
        <w:bidi w:val="0"/>
        <w:rPr>
          <w:rFonts w:ascii="Times New Roman" w:hAnsi="Times New Roman"/>
          <w:color w:val="auto"/>
          <w:lang w:val="en-US" w:eastAsia="zh-CN"/>
        </w:rPr>
      </w:pPr>
      <w:r>
        <w:rPr>
          <w:rFonts w:ascii="Times New Roman" w:hAnsi="Times New Roman"/>
          <w:color w:val="auto"/>
          <w:lang w:val="en-US" w:eastAsia="zh-CN"/>
        </w:rPr>
        <w:t>1</w:t>
      </w:r>
      <w:r>
        <w:rPr>
          <w:rFonts w:hint="eastAsia" w:ascii="Times New Roman" w:hAnsi="Times New Roman"/>
          <w:color w:val="auto"/>
          <w:lang w:val="en-US" w:eastAsia="zh-CN"/>
        </w:rPr>
        <w:t xml:space="preserve">. </w:t>
      </w:r>
      <w:r>
        <w:rPr>
          <w:rFonts w:ascii="Times New Roman" w:hAnsi="Times New Roman"/>
          <w:color w:val="auto"/>
          <w:lang w:val="en-US" w:eastAsia="zh-CN"/>
        </w:rPr>
        <w:t>熟悉评价对象；</w:t>
      </w:r>
    </w:p>
    <w:p w14:paraId="303558CE">
      <w:pPr>
        <w:bidi w:val="0"/>
        <w:rPr>
          <w:rFonts w:ascii="Times New Roman" w:hAnsi="Times New Roman"/>
          <w:color w:val="auto"/>
          <w:lang w:val="en-US" w:eastAsia="zh-CN"/>
        </w:rPr>
      </w:pPr>
      <w:r>
        <w:rPr>
          <w:rFonts w:hint="eastAsia" w:ascii="Times New Roman" w:hAnsi="Times New Roman"/>
          <w:color w:val="auto"/>
          <w:lang w:val="en-US" w:eastAsia="zh-CN"/>
        </w:rPr>
        <w:t xml:space="preserve">2. </w:t>
      </w:r>
      <w:r>
        <w:rPr>
          <w:rFonts w:ascii="Times New Roman" w:hAnsi="Times New Roman"/>
          <w:color w:val="auto"/>
          <w:lang w:val="en-US" w:eastAsia="zh-CN"/>
        </w:rPr>
        <w:t>搜集资料，包括法律、法规、规程、标准、事故安全、经验教训等资料；</w:t>
      </w:r>
    </w:p>
    <w:p w14:paraId="168643FA">
      <w:pPr>
        <w:bidi w:val="0"/>
        <w:rPr>
          <w:rFonts w:ascii="Times New Roman" w:hAnsi="Times New Roman"/>
          <w:color w:val="auto"/>
          <w:lang w:val="en-US" w:eastAsia="zh-CN"/>
        </w:rPr>
      </w:pPr>
      <w:r>
        <w:rPr>
          <w:rFonts w:hint="eastAsia" w:ascii="Times New Roman" w:hAnsi="Times New Roman"/>
          <w:color w:val="auto"/>
          <w:lang w:val="en-US" w:eastAsia="zh-CN"/>
        </w:rPr>
        <w:t xml:space="preserve">3. </w:t>
      </w:r>
      <w:r>
        <w:rPr>
          <w:rFonts w:ascii="Times New Roman" w:hAnsi="Times New Roman"/>
          <w:color w:val="auto"/>
          <w:lang w:val="en-US" w:eastAsia="zh-CN"/>
        </w:rPr>
        <w:t>编制安全检查表；</w:t>
      </w:r>
    </w:p>
    <w:p w14:paraId="5411E88C">
      <w:pPr>
        <w:bidi w:val="0"/>
        <w:rPr>
          <w:rFonts w:ascii="Times New Roman" w:hAnsi="Times New Roman"/>
          <w:color w:val="auto"/>
          <w:lang w:val="en-US" w:eastAsia="zh-CN"/>
        </w:rPr>
      </w:pPr>
      <w:r>
        <w:rPr>
          <w:rFonts w:hint="eastAsia" w:ascii="Times New Roman" w:hAnsi="Times New Roman"/>
          <w:color w:val="auto"/>
          <w:lang w:val="en-US" w:eastAsia="zh-CN"/>
        </w:rPr>
        <w:t xml:space="preserve">4. </w:t>
      </w:r>
      <w:r>
        <w:rPr>
          <w:rFonts w:ascii="Times New Roman" w:hAnsi="Times New Roman"/>
          <w:color w:val="auto"/>
          <w:lang w:val="en-US" w:eastAsia="zh-CN"/>
        </w:rPr>
        <w:t>按检查表逐项检查；</w:t>
      </w:r>
    </w:p>
    <w:p w14:paraId="5EE6D764">
      <w:pPr>
        <w:bidi w:val="0"/>
        <w:rPr>
          <w:rFonts w:ascii="Times New Roman" w:hAnsi="Times New Roman"/>
          <w:color w:val="auto"/>
          <w:lang w:val="en-US" w:eastAsia="zh-CN"/>
        </w:rPr>
      </w:pPr>
      <w:r>
        <w:rPr>
          <w:rFonts w:hint="eastAsia"/>
          <w:color w:val="auto"/>
          <w:lang w:val="en-US" w:eastAsia="zh-CN"/>
        </w:rPr>
        <w:t xml:space="preserve">5. </w:t>
      </w:r>
      <w:r>
        <w:rPr>
          <w:color w:val="auto"/>
          <w:lang w:val="en-US" w:eastAsia="zh-CN"/>
        </w:rPr>
        <w:t>分析、评价检查结果。</w:t>
      </w:r>
    </w:p>
    <w:p w14:paraId="72599782">
      <w:pPr>
        <w:pStyle w:val="4"/>
        <w:spacing w:before="240"/>
        <w:ind w:firstLine="562"/>
        <w:rPr>
          <w:rFonts w:hint="eastAsia" w:eastAsia="黑体"/>
          <w:color w:val="auto"/>
          <w:lang w:eastAsia="zh-CN"/>
        </w:rPr>
      </w:pPr>
      <w:bookmarkStart w:id="89" w:name="_Toc12272"/>
      <w:r>
        <w:rPr>
          <w:rFonts w:hint="eastAsia"/>
          <w:color w:val="auto"/>
        </w:rPr>
        <w:t>4.</w:t>
      </w:r>
      <w:r>
        <w:rPr>
          <w:rFonts w:hint="eastAsia"/>
          <w:color w:val="auto"/>
          <w:lang w:val="en-US" w:eastAsia="zh-CN"/>
        </w:rPr>
        <w:t>2</w:t>
      </w:r>
      <w:r>
        <w:rPr>
          <w:rFonts w:hint="eastAsia"/>
          <w:color w:val="auto"/>
        </w:rPr>
        <w:t>.</w:t>
      </w:r>
      <w:r>
        <w:rPr>
          <w:rFonts w:hint="eastAsia"/>
          <w:color w:val="auto"/>
          <w:lang w:val="en-US" w:eastAsia="zh-CN"/>
        </w:rPr>
        <w:t>2</w:t>
      </w:r>
      <w:r>
        <w:rPr>
          <w:color w:val="auto"/>
        </w:rPr>
        <w:t>作业条件危险性</w:t>
      </w:r>
      <w:r>
        <w:rPr>
          <w:rFonts w:hint="eastAsia"/>
          <w:color w:val="auto"/>
        </w:rPr>
        <w:t>评价法</w:t>
      </w:r>
      <w:r>
        <w:rPr>
          <w:rFonts w:hint="eastAsia"/>
          <w:color w:val="auto"/>
          <w:lang w:eastAsia="zh-CN"/>
        </w:rPr>
        <w:t>（</w:t>
      </w:r>
      <w:r>
        <w:rPr>
          <w:rFonts w:hint="eastAsia"/>
          <w:color w:val="auto"/>
          <w:lang w:val="en-US" w:eastAsia="zh-CN"/>
        </w:rPr>
        <w:t>LEC</w:t>
      </w:r>
      <w:r>
        <w:rPr>
          <w:rFonts w:hint="eastAsia"/>
          <w:color w:val="auto"/>
          <w:lang w:eastAsia="zh-CN"/>
        </w:rPr>
        <w:t>）</w:t>
      </w:r>
      <w:bookmarkEnd w:id="89"/>
    </w:p>
    <w:p w14:paraId="79C9BF97">
      <w:pPr>
        <w:spacing w:line="600" w:lineRule="exact"/>
        <w:ind w:firstLine="560" w:firstLineChars="200"/>
        <w:rPr>
          <w:color w:val="auto"/>
          <w:sz w:val="28"/>
          <w:szCs w:val="28"/>
        </w:rPr>
      </w:pPr>
      <w:r>
        <w:rPr>
          <w:color w:val="auto"/>
          <w:sz w:val="28"/>
          <w:szCs w:val="28"/>
        </w:rPr>
        <w:t>作业条件危险性评价法是一种对在具有潜在危险性环境中作业时危险性评估的半定量评价方法。</w:t>
      </w:r>
    </w:p>
    <w:p w14:paraId="1C692625">
      <w:pPr>
        <w:spacing w:line="600" w:lineRule="exact"/>
        <w:ind w:firstLine="544" w:firstLineChars="200"/>
        <w:rPr>
          <w:color w:val="auto"/>
          <w:sz w:val="28"/>
          <w:szCs w:val="28"/>
        </w:rPr>
      </w:pPr>
      <w:r>
        <w:rPr>
          <w:color w:val="auto"/>
          <w:spacing w:val="-4"/>
          <w:sz w:val="28"/>
          <w:szCs w:val="28"/>
        </w:rPr>
        <w:t>该评价方法是用于作业风险相关的三种因素分数值的积来评价作业人员伤亡风险的大小。这三种因素是：事故的可能性（L）、人员暴露于危险环境中的频繁程度（E）和一旦发生事故可能造成的后果（C）。为了定量地计算出作业条件危险性指数，评价方法给出了三种因素的赋值方法</w:t>
      </w:r>
      <w:r>
        <w:rPr>
          <w:rFonts w:hint="eastAsia"/>
          <w:color w:val="auto"/>
          <w:spacing w:val="-4"/>
          <w:sz w:val="28"/>
          <w:szCs w:val="28"/>
        </w:rPr>
        <w:t>，</w:t>
      </w:r>
      <w:r>
        <w:rPr>
          <w:color w:val="auto"/>
          <w:spacing w:val="-4"/>
          <w:sz w:val="28"/>
          <w:szCs w:val="28"/>
        </w:rPr>
        <w:t>还给出了作业条件危险性指数（D）的关系式（D=L×E×C）和危险性等级划分标准</w:t>
      </w:r>
      <w:r>
        <w:rPr>
          <w:color w:val="auto"/>
          <w:sz w:val="28"/>
          <w:szCs w:val="28"/>
        </w:rPr>
        <w:t>。</w:t>
      </w:r>
    </w:p>
    <w:p w14:paraId="6180FF44">
      <w:pPr>
        <w:spacing w:line="600" w:lineRule="exact"/>
        <w:ind w:firstLine="560" w:firstLineChars="200"/>
        <w:rPr>
          <w:rFonts w:hint="eastAsia" w:eastAsia="宋体"/>
          <w:color w:val="auto"/>
          <w:sz w:val="28"/>
          <w:szCs w:val="28"/>
          <w:lang w:eastAsia="zh-CN"/>
        </w:rPr>
      </w:pPr>
      <w:r>
        <w:rPr>
          <w:rFonts w:hint="eastAsia"/>
          <w:color w:val="auto"/>
          <w:sz w:val="28"/>
          <w:szCs w:val="28"/>
          <w:lang w:val="en-US" w:eastAsia="zh-CN"/>
        </w:rPr>
        <w:t>1.</w:t>
      </w:r>
      <w:r>
        <w:rPr>
          <w:color w:val="auto"/>
          <w:sz w:val="28"/>
          <w:szCs w:val="28"/>
        </w:rPr>
        <w:t>事故发生概率</w:t>
      </w:r>
      <w:r>
        <w:rPr>
          <w:rFonts w:hint="eastAsia"/>
          <w:color w:val="auto"/>
          <w:sz w:val="28"/>
          <w:szCs w:val="28"/>
          <w:lang w:eastAsia="zh-CN"/>
        </w:rPr>
        <w:t>（</w:t>
      </w:r>
      <w:r>
        <w:rPr>
          <w:rFonts w:hint="eastAsia"/>
          <w:color w:val="auto"/>
          <w:sz w:val="28"/>
          <w:szCs w:val="28"/>
          <w:lang w:val="en-US" w:eastAsia="zh-CN"/>
        </w:rPr>
        <w:t>L</w:t>
      </w:r>
      <w:r>
        <w:rPr>
          <w:rFonts w:hint="eastAsia"/>
          <w:color w:val="auto"/>
          <w:sz w:val="28"/>
          <w:szCs w:val="28"/>
          <w:lang w:eastAsia="zh-CN"/>
        </w:rPr>
        <w:t>）</w:t>
      </w:r>
      <w:r>
        <w:rPr>
          <w:color w:val="auto"/>
          <w:sz w:val="28"/>
          <w:szCs w:val="28"/>
        </w:rPr>
        <w:t>的赋值标准</w:t>
      </w:r>
    </w:p>
    <w:p w14:paraId="7F7F02D4">
      <w:pPr>
        <w:spacing w:line="600" w:lineRule="exact"/>
        <w:ind w:firstLine="560" w:firstLineChars="200"/>
        <w:rPr>
          <w:color w:val="auto"/>
          <w:sz w:val="28"/>
          <w:szCs w:val="28"/>
        </w:rPr>
      </w:pPr>
      <w:r>
        <w:rPr>
          <w:color w:val="auto"/>
          <w:sz w:val="28"/>
          <w:szCs w:val="28"/>
        </w:rPr>
        <w:t>该标准把事故发生的可能性按概率大小划为7个级别，即在概率为0到概率为1</w:t>
      </w:r>
      <w:r>
        <w:rPr>
          <w:rFonts w:hint="eastAsia"/>
          <w:color w:val="auto"/>
          <w:sz w:val="28"/>
          <w:szCs w:val="28"/>
          <w:lang w:val="en-US" w:eastAsia="zh-CN"/>
        </w:rPr>
        <w:t>0</w:t>
      </w:r>
      <w:r>
        <w:rPr>
          <w:color w:val="auto"/>
          <w:sz w:val="28"/>
          <w:szCs w:val="28"/>
        </w:rPr>
        <w:t>之间，人为地给定事故发生的可能性极低为0.1，而必然发生事故的分数值为1</w:t>
      </w:r>
      <w:r>
        <w:rPr>
          <w:rFonts w:hint="eastAsia"/>
          <w:color w:val="auto"/>
          <w:sz w:val="28"/>
          <w:szCs w:val="28"/>
          <w:lang w:val="en-US" w:eastAsia="zh-CN"/>
        </w:rPr>
        <w:t>0</w:t>
      </w:r>
      <w:r>
        <w:rPr>
          <w:color w:val="auto"/>
          <w:sz w:val="28"/>
          <w:szCs w:val="28"/>
        </w:rPr>
        <w:t>。然后以此为基础，将介于这两者之间的情况设定为若干个中间值，依次展开。如下表</w:t>
      </w:r>
      <w:r>
        <w:rPr>
          <w:rFonts w:hint="eastAsia"/>
          <w:color w:val="auto"/>
          <w:sz w:val="28"/>
          <w:szCs w:val="28"/>
          <w:lang w:val="en-US" w:eastAsia="zh-CN"/>
        </w:rPr>
        <w:t>4.3.2-1</w:t>
      </w:r>
      <w:r>
        <w:rPr>
          <w:color w:val="auto"/>
          <w:sz w:val="28"/>
          <w:szCs w:val="28"/>
        </w:rPr>
        <w:t>：</w:t>
      </w:r>
    </w:p>
    <w:p w14:paraId="27CE22D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rPr>
      </w:pPr>
      <w:r>
        <w:rPr>
          <w:color w:val="auto"/>
        </w:rPr>
        <w:t>表</w:t>
      </w:r>
      <w:r>
        <w:rPr>
          <w:rFonts w:hint="eastAsia"/>
          <w:color w:val="auto"/>
        </w:rPr>
        <w:t>4.</w:t>
      </w:r>
      <w:r>
        <w:rPr>
          <w:rFonts w:hint="eastAsia"/>
          <w:color w:val="auto"/>
          <w:lang w:val="en-US" w:eastAsia="zh-CN"/>
        </w:rPr>
        <w:t>2.2</w:t>
      </w:r>
      <w:r>
        <w:rPr>
          <w:color w:val="auto"/>
        </w:rPr>
        <w:t>-</w:t>
      </w:r>
      <w:r>
        <w:rPr>
          <w:rFonts w:hint="eastAsia"/>
          <w:color w:val="auto"/>
        </w:rPr>
        <w:t>1</w:t>
      </w:r>
      <w:r>
        <w:rPr>
          <w:color w:val="auto"/>
        </w:rPr>
        <w:t>事故发生可能性（L）赋值表</w:t>
      </w:r>
    </w:p>
    <w:tbl>
      <w:tblPr>
        <w:tblStyle w:val="14"/>
        <w:tblW w:w="4997"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73"/>
        <w:gridCol w:w="3189"/>
        <w:gridCol w:w="1532"/>
        <w:gridCol w:w="3388"/>
      </w:tblGrid>
      <w:tr w14:paraId="7DB3EB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32" w:type="pct"/>
            <w:noWrap w:val="0"/>
            <w:vAlign w:val="center"/>
          </w:tcPr>
          <w:p w14:paraId="08AA895E">
            <w:pPr>
              <w:pStyle w:val="21"/>
              <w:bidi w:val="0"/>
              <w:rPr>
                <w:rFonts w:hint="eastAsia"/>
                <w:color w:val="auto"/>
              </w:rPr>
            </w:pPr>
            <w:r>
              <w:rPr>
                <w:rFonts w:hint="eastAsia"/>
                <w:color w:val="auto"/>
              </w:rPr>
              <w:t>分数值</w:t>
            </w:r>
          </w:p>
        </w:tc>
        <w:tc>
          <w:tcPr>
            <w:tcW w:w="1717" w:type="pct"/>
            <w:noWrap w:val="0"/>
            <w:vAlign w:val="center"/>
          </w:tcPr>
          <w:p w14:paraId="2B977B47">
            <w:pPr>
              <w:pStyle w:val="21"/>
              <w:bidi w:val="0"/>
              <w:rPr>
                <w:rFonts w:hint="eastAsia"/>
                <w:color w:val="auto"/>
              </w:rPr>
            </w:pPr>
            <w:r>
              <w:rPr>
                <w:rFonts w:hint="eastAsia"/>
                <w:color w:val="auto"/>
              </w:rPr>
              <w:t>事故发生的可能性</w:t>
            </w:r>
          </w:p>
        </w:tc>
        <w:tc>
          <w:tcPr>
            <w:tcW w:w="825" w:type="pct"/>
            <w:noWrap w:val="0"/>
            <w:vAlign w:val="center"/>
          </w:tcPr>
          <w:p w14:paraId="26D87473">
            <w:pPr>
              <w:pStyle w:val="21"/>
              <w:bidi w:val="0"/>
              <w:rPr>
                <w:rFonts w:hint="eastAsia"/>
                <w:color w:val="auto"/>
              </w:rPr>
            </w:pPr>
            <w:r>
              <w:rPr>
                <w:rFonts w:hint="eastAsia"/>
                <w:color w:val="auto"/>
              </w:rPr>
              <w:t>分数值</w:t>
            </w:r>
          </w:p>
        </w:tc>
        <w:tc>
          <w:tcPr>
            <w:tcW w:w="1824" w:type="pct"/>
            <w:noWrap w:val="0"/>
            <w:vAlign w:val="center"/>
          </w:tcPr>
          <w:p w14:paraId="425E3A1A">
            <w:pPr>
              <w:pStyle w:val="21"/>
              <w:bidi w:val="0"/>
              <w:rPr>
                <w:rFonts w:hint="eastAsia"/>
                <w:color w:val="auto"/>
              </w:rPr>
            </w:pPr>
            <w:r>
              <w:rPr>
                <w:rFonts w:hint="eastAsia"/>
                <w:color w:val="auto"/>
              </w:rPr>
              <w:t>事故发生的可能性</w:t>
            </w:r>
          </w:p>
        </w:tc>
      </w:tr>
      <w:tr w14:paraId="6DC8A0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32" w:type="pct"/>
            <w:noWrap w:val="0"/>
            <w:vAlign w:val="center"/>
          </w:tcPr>
          <w:p w14:paraId="6DD93A7D">
            <w:pPr>
              <w:pStyle w:val="20"/>
              <w:bidi w:val="0"/>
              <w:rPr>
                <w:rFonts w:hint="eastAsia"/>
                <w:color w:val="auto"/>
              </w:rPr>
            </w:pPr>
            <w:r>
              <w:rPr>
                <w:rFonts w:hint="eastAsia"/>
                <w:color w:val="auto"/>
              </w:rPr>
              <w:t>10</w:t>
            </w:r>
          </w:p>
        </w:tc>
        <w:tc>
          <w:tcPr>
            <w:tcW w:w="1717" w:type="pct"/>
            <w:noWrap w:val="0"/>
            <w:vAlign w:val="center"/>
          </w:tcPr>
          <w:p w14:paraId="3DEDB69F">
            <w:pPr>
              <w:pStyle w:val="20"/>
              <w:bidi w:val="0"/>
              <w:rPr>
                <w:rFonts w:hint="eastAsia"/>
                <w:color w:val="auto"/>
              </w:rPr>
            </w:pPr>
            <w:r>
              <w:rPr>
                <w:rFonts w:hint="eastAsia"/>
                <w:color w:val="auto"/>
              </w:rPr>
              <w:t>完全可以预料到</w:t>
            </w:r>
          </w:p>
        </w:tc>
        <w:tc>
          <w:tcPr>
            <w:tcW w:w="825" w:type="pct"/>
            <w:noWrap w:val="0"/>
            <w:vAlign w:val="center"/>
          </w:tcPr>
          <w:p w14:paraId="7B2095C2">
            <w:pPr>
              <w:pStyle w:val="20"/>
              <w:bidi w:val="0"/>
              <w:rPr>
                <w:rFonts w:hint="eastAsia"/>
                <w:color w:val="auto"/>
              </w:rPr>
            </w:pPr>
            <w:r>
              <w:rPr>
                <w:rFonts w:hint="eastAsia"/>
                <w:color w:val="auto"/>
              </w:rPr>
              <w:t>0.5</w:t>
            </w:r>
          </w:p>
        </w:tc>
        <w:tc>
          <w:tcPr>
            <w:tcW w:w="1824" w:type="pct"/>
            <w:noWrap w:val="0"/>
            <w:vAlign w:val="center"/>
          </w:tcPr>
          <w:p w14:paraId="25E55011">
            <w:pPr>
              <w:pStyle w:val="20"/>
              <w:bidi w:val="0"/>
              <w:rPr>
                <w:rFonts w:hint="eastAsia"/>
                <w:color w:val="auto"/>
              </w:rPr>
            </w:pPr>
            <w:r>
              <w:rPr>
                <w:rFonts w:hint="eastAsia"/>
                <w:color w:val="auto"/>
              </w:rPr>
              <w:t>很不可能，可以设想</w:t>
            </w:r>
          </w:p>
        </w:tc>
      </w:tr>
      <w:tr w14:paraId="2A5F1D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32" w:type="pct"/>
            <w:noWrap w:val="0"/>
            <w:vAlign w:val="center"/>
          </w:tcPr>
          <w:p w14:paraId="58341CE1">
            <w:pPr>
              <w:pStyle w:val="20"/>
              <w:bidi w:val="0"/>
              <w:rPr>
                <w:rFonts w:hint="eastAsia"/>
                <w:color w:val="auto"/>
              </w:rPr>
            </w:pPr>
            <w:r>
              <w:rPr>
                <w:rFonts w:hint="eastAsia"/>
                <w:color w:val="auto"/>
              </w:rPr>
              <w:t>6</w:t>
            </w:r>
          </w:p>
        </w:tc>
        <w:tc>
          <w:tcPr>
            <w:tcW w:w="1717" w:type="pct"/>
            <w:noWrap w:val="0"/>
            <w:vAlign w:val="center"/>
          </w:tcPr>
          <w:p w14:paraId="616DF634">
            <w:pPr>
              <w:pStyle w:val="20"/>
              <w:bidi w:val="0"/>
              <w:rPr>
                <w:rFonts w:hint="eastAsia"/>
                <w:color w:val="auto"/>
              </w:rPr>
            </w:pPr>
            <w:r>
              <w:rPr>
                <w:rFonts w:hint="eastAsia"/>
                <w:color w:val="auto"/>
              </w:rPr>
              <w:t>相当可能</w:t>
            </w:r>
          </w:p>
        </w:tc>
        <w:tc>
          <w:tcPr>
            <w:tcW w:w="825" w:type="pct"/>
            <w:noWrap w:val="0"/>
            <w:vAlign w:val="center"/>
          </w:tcPr>
          <w:p w14:paraId="4F217792">
            <w:pPr>
              <w:pStyle w:val="20"/>
              <w:bidi w:val="0"/>
              <w:rPr>
                <w:rFonts w:hint="eastAsia"/>
                <w:color w:val="auto"/>
              </w:rPr>
            </w:pPr>
            <w:r>
              <w:rPr>
                <w:rFonts w:hint="eastAsia"/>
                <w:color w:val="auto"/>
              </w:rPr>
              <w:t>0.2</w:t>
            </w:r>
          </w:p>
        </w:tc>
        <w:tc>
          <w:tcPr>
            <w:tcW w:w="1824" w:type="pct"/>
            <w:noWrap w:val="0"/>
            <w:vAlign w:val="center"/>
          </w:tcPr>
          <w:p w14:paraId="3980BFF5">
            <w:pPr>
              <w:pStyle w:val="20"/>
              <w:bidi w:val="0"/>
              <w:rPr>
                <w:rFonts w:hint="eastAsia"/>
                <w:color w:val="auto"/>
              </w:rPr>
            </w:pPr>
            <w:r>
              <w:rPr>
                <w:rFonts w:hint="eastAsia"/>
                <w:color w:val="auto"/>
              </w:rPr>
              <w:t>极不可能</w:t>
            </w:r>
          </w:p>
        </w:tc>
      </w:tr>
      <w:tr w14:paraId="27DFBD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32" w:type="pct"/>
            <w:noWrap w:val="0"/>
            <w:vAlign w:val="center"/>
          </w:tcPr>
          <w:p w14:paraId="51F4D833">
            <w:pPr>
              <w:pStyle w:val="20"/>
              <w:bidi w:val="0"/>
              <w:rPr>
                <w:rFonts w:hint="eastAsia"/>
                <w:color w:val="auto"/>
              </w:rPr>
            </w:pPr>
            <w:r>
              <w:rPr>
                <w:rFonts w:hint="eastAsia"/>
                <w:color w:val="auto"/>
              </w:rPr>
              <w:t>3</w:t>
            </w:r>
          </w:p>
        </w:tc>
        <w:tc>
          <w:tcPr>
            <w:tcW w:w="1717" w:type="pct"/>
            <w:noWrap w:val="0"/>
            <w:vAlign w:val="center"/>
          </w:tcPr>
          <w:p w14:paraId="2E6AB9AC">
            <w:pPr>
              <w:pStyle w:val="20"/>
              <w:bidi w:val="0"/>
              <w:rPr>
                <w:rFonts w:hint="eastAsia"/>
                <w:color w:val="auto"/>
              </w:rPr>
            </w:pPr>
            <w:r>
              <w:rPr>
                <w:rFonts w:hint="eastAsia"/>
                <w:color w:val="auto"/>
              </w:rPr>
              <w:t>可能，但不经常</w:t>
            </w:r>
          </w:p>
        </w:tc>
        <w:tc>
          <w:tcPr>
            <w:tcW w:w="825" w:type="pct"/>
            <w:noWrap w:val="0"/>
            <w:vAlign w:val="center"/>
          </w:tcPr>
          <w:p w14:paraId="56A7FEF4">
            <w:pPr>
              <w:pStyle w:val="20"/>
              <w:bidi w:val="0"/>
              <w:rPr>
                <w:rFonts w:hint="eastAsia"/>
                <w:color w:val="auto"/>
              </w:rPr>
            </w:pPr>
            <w:r>
              <w:rPr>
                <w:rFonts w:hint="eastAsia"/>
                <w:color w:val="auto"/>
              </w:rPr>
              <w:t>0.1</w:t>
            </w:r>
          </w:p>
        </w:tc>
        <w:tc>
          <w:tcPr>
            <w:tcW w:w="1824" w:type="pct"/>
            <w:noWrap w:val="0"/>
            <w:vAlign w:val="center"/>
          </w:tcPr>
          <w:p w14:paraId="032D1473">
            <w:pPr>
              <w:pStyle w:val="20"/>
              <w:bidi w:val="0"/>
              <w:rPr>
                <w:rFonts w:hint="eastAsia"/>
                <w:color w:val="auto"/>
              </w:rPr>
            </w:pPr>
            <w:r>
              <w:rPr>
                <w:rFonts w:hint="eastAsia"/>
                <w:color w:val="auto"/>
              </w:rPr>
              <w:t>实际上不可能</w:t>
            </w:r>
          </w:p>
        </w:tc>
      </w:tr>
      <w:tr w14:paraId="2ED3E4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632" w:type="pct"/>
            <w:noWrap w:val="0"/>
            <w:vAlign w:val="center"/>
          </w:tcPr>
          <w:p w14:paraId="4E8777A2">
            <w:pPr>
              <w:pStyle w:val="20"/>
              <w:bidi w:val="0"/>
              <w:rPr>
                <w:rFonts w:hint="eastAsia"/>
                <w:color w:val="auto"/>
              </w:rPr>
            </w:pPr>
            <w:r>
              <w:rPr>
                <w:rFonts w:hint="eastAsia"/>
                <w:color w:val="auto"/>
              </w:rPr>
              <w:t>1</w:t>
            </w:r>
          </w:p>
        </w:tc>
        <w:tc>
          <w:tcPr>
            <w:tcW w:w="1717" w:type="pct"/>
            <w:noWrap w:val="0"/>
            <w:vAlign w:val="center"/>
          </w:tcPr>
          <w:p w14:paraId="0DC0E5C2">
            <w:pPr>
              <w:pStyle w:val="20"/>
              <w:bidi w:val="0"/>
              <w:rPr>
                <w:rFonts w:hint="eastAsia"/>
                <w:color w:val="auto"/>
              </w:rPr>
            </w:pPr>
            <w:r>
              <w:rPr>
                <w:rFonts w:hint="eastAsia"/>
                <w:color w:val="auto"/>
              </w:rPr>
              <w:t>可能性很小，完全意外</w:t>
            </w:r>
          </w:p>
        </w:tc>
        <w:tc>
          <w:tcPr>
            <w:tcW w:w="825" w:type="pct"/>
            <w:noWrap w:val="0"/>
            <w:vAlign w:val="center"/>
          </w:tcPr>
          <w:p w14:paraId="0B761967">
            <w:pPr>
              <w:pStyle w:val="20"/>
              <w:bidi w:val="0"/>
              <w:rPr>
                <w:rFonts w:hint="eastAsia"/>
                <w:color w:val="auto"/>
              </w:rPr>
            </w:pPr>
          </w:p>
        </w:tc>
        <w:tc>
          <w:tcPr>
            <w:tcW w:w="1824" w:type="pct"/>
            <w:noWrap w:val="0"/>
            <w:vAlign w:val="center"/>
          </w:tcPr>
          <w:p w14:paraId="37C1F083">
            <w:pPr>
              <w:pStyle w:val="20"/>
              <w:bidi w:val="0"/>
              <w:rPr>
                <w:rFonts w:hint="eastAsia"/>
                <w:color w:val="auto"/>
              </w:rPr>
            </w:pPr>
          </w:p>
        </w:tc>
      </w:tr>
    </w:tbl>
    <w:p w14:paraId="55994DB0">
      <w:pPr>
        <w:spacing w:line="600" w:lineRule="exact"/>
        <w:ind w:firstLine="560" w:firstLineChars="200"/>
        <w:rPr>
          <w:color w:val="auto"/>
          <w:sz w:val="28"/>
          <w:szCs w:val="28"/>
        </w:rPr>
      </w:pPr>
      <w:r>
        <w:rPr>
          <w:rFonts w:hint="eastAsia"/>
          <w:color w:val="auto"/>
          <w:sz w:val="28"/>
          <w:szCs w:val="28"/>
          <w:lang w:val="en-US" w:eastAsia="zh-CN"/>
        </w:rPr>
        <w:t>2.</w:t>
      </w:r>
      <w:r>
        <w:rPr>
          <w:color w:val="auto"/>
          <w:sz w:val="28"/>
          <w:szCs w:val="28"/>
        </w:rPr>
        <w:t>人员暴露于危险环境中的频繁程度（E）的赋值标准</w:t>
      </w:r>
    </w:p>
    <w:p w14:paraId="57702942">
      <w:pPr>
        <w:spacing w:line="600" w:lineRule="exact"/>
        <w:ind w:firstLine="560" w:firstLineChars="200"/>
        <w:rPr>
          <w:color w:val="auto"/>
          <w:sz w:val="28"/>
          <w:szCs w:val="28"/>
        </w:rPr>
      </w:pPr>
      <w:r>
        <w:rPr>
          <w:color w:val="auto"/>
          <w:sz w:val="28"/>
          <w:szCs w:val="28"/>
        </w:rPr>
        <w:t>众所周知，人员暴露于危险环境中的时间越长，受到伤害的可能性就越大，相应的危险性应自然越大。评价方法把人员暴露于危险环境中的频繁情况划为6种情况，分别给予赋值。如下表</w:t>
      </w:r>
      <w:r>
        <w:rPr>
          <w:rFonts w:hint="eastAsia"/>
          <w:color w:val="auto"/>
          <w:sz w:val="28"/>
          <w:szCs w:val="28"/>
          <w:lang w:val="en-US" w:eastAsia="zh-CN"/>
        </w:rPr>
        <w:t>4.2.2-2</w:t>
      </w:r>
      <w:r>
        <w:rPr>
          <w:color w:val="auto"/>
          <w:sz w:val="28"/>
          <w:szCs w:val="28"/>
        </w:rPr>
        <w:t>：</w:t>
      </w:r>
    </w:p>
    <w:p w14:paraId="7011930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rPr>
      </w:pPr>
      <w:r>
        <w:rPr>
          <w:color w:val="auto"/>
        </w:rPr>
        <w:t>表</w:t>
      </w:r>
      <w:r>
        <w:rPr>
          <w:rFonts w:hint="eastAsia"/>
          <w:color w:val="auto"/>
        </w:rPr>
        <w:t>4.</w:t>
      </w:r>
      <w:r>
        <w:rPr>
          <w:rFonts w:hint="eastAsia"/>
          <w:color w:val="auto"/>
          <w:lang w:val="en-US" w:eastAsia="zh-CN"/>
        </w:rPr>
        <w:t>2.</w:t>
      </w:r>
      <w:r>
        <w:rPr>
          <w:rFonts w:hint="eastAsia"/>
          <w:color w:val="auto"/>
        </w:rPr>
        <w:t>2</w:t>
      </w:r>
      <w:r>
        <w:rPr>
          <w:rFonts w:hint="eastAsia"/>
          <w:color w:val="auto"/>
          <w:lang w:val="en-US" w:eastAsia="zh-CN"/>
        </w:rPr>
        <w:t>-2</w:t>
      </w:r>
      <w:r>
        <w:rPr>
          <w:color w:val="auto"/>
        </w:rPr>
        <w:t>人员暴露于危险环境的频繁程度（E）赋值表</w:t>
      </w:r>
    </w:p>
    <w:tbl>
      <w:tblPr>
        <w:tblStyle w:val="14"/>
        <w:tblW w:w="4998"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54"/>
        <w:gridCol w:w="3215"/>
        <w:gridCol w:w="1241"/>
        <w:gridCol w:w="3774"/>
      </w:tblGrid>
      <w:tr w14:paraId="509255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568" w:type="pct"/>
            <w:noWrap w:val="0"/>
            <w:vAlign w:val="center"/>
          </w:tcPr>
          <w:p w14:paraId="4B30D97D">
            <w:pPr>
              <w:pStyle w:val="21"/>
              <w:bidi w:val="0"/>
              <w:rPr>
                <w:rFonts w:hint="eastAsia"/>
                <w:color w:val="auto"/>
              </w:rPr>
            </w:pPr>
            <w:r>
              <w:rPr>
                <w:rFonts w:hint="eastAsia"/>
                <w:color w:val="auto"/>
              </w:rPr>
              <w:t>分数值</w:t>
            </w:r>
          </w:p>
        </w:tc>
        <w:tc>
          <w:tcPr>
            <w:tcW w:w="1731" w:type="pct"/>
            <w:noWrap w:val="0"/>
            <w:vAlign w:val="center"/>
          </w:tcPr>
          <w:p w14:paraId="577EF697">
            <w:pPr>
              <w:pStyle w:val="21"/>
              <w:bidi w:val="0"/>
              <w:rPr>
                <w:rFonts w:hint="eastAsia"/>
                <w:color w:val="auto"/>
              </w:rPr>
            </w:pPr>
            <w:r>
              <w:rPr>
                <w:rFonts w:hint="eastAsia"/>
                <w:color w:val="auto"/>
              </w:rPr>
              <w:t>人员暴露于危险环境的频繁程度</w:t>
            </w:r>
          </w:p>
        </w:tc>
        <w:tc>
          <w:tcPr>
            <w:tcW w:w="668" w:type="pct"/>
            <w:noWrap w:val="0"/>
            <w:vAlign w:val="center"/>
          </w:tcPr>
          <w:p w14:paraId="369F2337">
            <w:pPr>
              <w:pStyle w:val="21"/>
              <w:bidi w:val="0"/>
              <w:rPr>
                <w:rFonts w:hint="eastAsia"/>
                <w:color w:val="auto"/>
              </w:rPr>
            </w:pPr>
            <w:r>
              <w:rPr>
                <w:rFonts w:hint="eastAsia"/>
                <w:color w:val="auto"/>
              </w:rPr>
              <w:t>分数值</w:t>
            </w:r>
          </w:p>
        </w:tc>
        <w:tc>
          <w:tcPr>
            <w:tcW w:w="2032" w:type="pct"/>
            <w:noWrap w:val="0"/>
            <w:vAlign w:val="center"/>
          </w:tcPr>
          <w:p w14:paraId="3C19849C">
            <w:pPr>
              <w:pStyle w:val="21"/>
              <w:bidi w:val="0"/>
              <w:rPr>
                <w:rFonts w:hint="eastAsia"/>
                <w:color w:val="auto"/>
              </w:rPr>
            </w:pPr>
            <w:r>
              <w:rPr>
                <w:rFonts w:hint="eastAsia"/>
                <w:color w:val="auto"/>
              </w:rPr>
              <w:t>人员暴露于危险环境的频繁程度</w:t>
            </w:r>
          </w:p>
        </w:tc>
      </w:tr>
      <w:tr w14:paraId="6468D6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568" w:type="pct"/>
            <w:noWrap w:val="0"/>
            <w:vAlign w:val="center"/>
          </w:tcPr>
          <w:p w14:paraId="0BFF7C00">
            <w:pPr>
              <w:pStyle w:val="20"/>
              <w:bidi w:val="0"/>
              <w:rPr>
                <w:rFonts w:hint="eastAsia"/>
                <w:color w:val="auto"/>
              </w:rPr>
            </w:pPr>
            <w:r>
              <w:rPr>
                <w:rFonts w:hint="eastAsia"/>
                <w:color w:val="auto"/>
              </w:rPr>
              <w:t>10</w:t>
            </w:r>
          </w:p>
        </w:tc>
        <w:tc>
          <w:tcPr>
            <w:tcW w:w="1731" w:type="pct"/>
            <w:noWrap w:val="0"/>
            <w:vAlign w:val="center"/>
          </w:tcPr>
          <w:p w14:paraId="7DE6A5A6">
            <w:pPr>
              <w:pStyle w:val="20"/>
              <w:bidi w:val="0"/>
              <w:rPr>
                <w:rFonts w:hint="eastAsia"/>
                <w:color w:val="auto"/>
              </w:rPr>
            </w:pPr>
            <w:r>
              <w:rPr>
                <w:rFonts w:hint="eastAsia"/>
                <w:color w:val="auto"/>
              </w:rPr>
              <w:t>连续暴露</w:t>
            </w:r>
          </w:p>
        </w:tc>
        <w:tc>
          <w:tcPr>
            <w:tcW w:w="668" w:type="pct"/>
            <w:noWrap w:val="0"/>
            <w:vAlign w:val="center"/>
          </w:tcPr>
          <w:p w14:paraId="5806EF14">
            <w:pPr>
              <w:pStyle w:val="20"/>
              <w:bidi w:val="0"/>
              <w:rPr>
                <w:rFonts w:hint="eastAsia"/>
                <w:color w:val="auto"/>
              </w:rPr>
            </w:pPr>
            <w:r>
              <w:rPr>
                <w:rFonts w:hint="eastAsia"/>
                <w:color w:val="auto"/>
              </w:rPr>
              <w:t>2</w:t>
            </w:r>
          </w:p>
        </w:tc>
        <w:tc>
          <w:tcPr>
            <w:tcW w:w="2032" w:type="pct"/>
            <w:noWrap w:val="0"/>
            <w:vAlign w:val="center"/>
          </w:tcPr>
          <w:p w14:paraId="6786B18D">
            <w:pPr>
              <w:pStyle w:val="20"/>
              <w:bidi w:val="0"/>
              <w:rPr>
                <w:rFonts w:hint="eastAsia"/>
                <w:color w:val="auto"/>
              </w:rPr>
            </w:pPr>
            <w:r>
              <w:rPr>
                <w:rFonts w:hint="eastAsia"/>
                <w:color w:val="auto"/>
              </w:rPr>
              <w:t>每月暴露一次</w:t>
            </w:r>
          </w:p>
        </w:tc>
      </w:tr>
      <w:tr w14:paraId="5384E2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568" w:type="pct"/>
            <w:noWrap w:val="0"/>
            <w:vAlign w:val="center"/>
          </w:tcPr>
          <w:p w14:paraId="7D7AB82D">
            <w:pPr>
              <w:pStyle w:val="20"/>
              <w:bidi w:val="0"/>
              <w:rPr>
                <w:rFonts w:hint="eastAsia"/>
                <w:color w:val="auto"/>
              </w:rPr>
            </w:pPr>
            <w:r>
              <w:rPr>
                <w:rFonts w:hint="eastAsia"/>
                <w:color w:val="auto"/>
              </w:rPr>
              <w:t>6</w:t>
            </w:r>
          </w:p>
        </w:tc>
        <w:tc>
          <w:tcPr>
            <w:tcW w:w="1731" w:type="pct"/>
            <w:noWrap w:val="0"/>
            <w:vAlign w:val="center"/>
          </w:tcPr>
          <w:p w14:paraId="7413F7F2">
            <w:pPr>
              <w:pStyle w:val="20"/>
              <w:bidi w:val="0"/>
              <w:rPr>
                <w:rFonts w:hint="eastAsia"/>
                <w:color w:val="auto"/>
              </w:rPr>
            </w:pPr>
            <w:r>
              <w:rPr>
                <w:rFonts w:hint="eastAsia"/>
                <w:color w:val="auto"/>
              </w:rPr>
              <w:t>每天工作时间暴露</w:t>
            </w:r>
          </w:p>
        </w:tc>
        <w:tc>
          <w:tcPr>
            <w:tcW w:w="668" w:type="pct"/>
            <w:noWrap w:val="0"/>
            <w:vAlign w:val="center"/>
          </w:tcPr>
          <w:p w14:paraId="2AA7483C">
            <w:pPr>
              <w:pStyle w:val="20"/>
              <w:bidi w:val="0"/>
              <w:rPr>
                <w:rFonts w:hint="eastAsia"/>
                <w:color w:val="auto"/>
              </w:rPr>
            </w:pPr>
            <w:r>
              <w:rPr>
                <w:rFonts w:hint="eastAsia"/>
                <w:color w:val="auto"/>
              </w:rPr>
              <w:t>1</w:t>
            </w:r>
          </w:p>
        </w:tc>
        <w:tc>
          <w:tcPr>
            <w:tcW w:w="2032" w:type="pct"/>
            <w:noWrap w:val="0"/>
            <w:vAlign w:val="center"/>
          </w:tcPr>
          <w:p w14:paraId="0AC7A1C2">
            <w:pPr>
              <w:pStyle w:val="20"/>
              <w:bidi w:val="0"/>
              <w:rPr>
                <w:rFonts w:hint="eastAsia"/>
                <w:color w:val="auto"/>
              </w:rPr>
            </w:pPr>
            <w:r>
              <w:rPr>
                <w:rFonts w:hint="eastAsia"/>
                <w:color w:val="auto"/>
              </w:rPr>
              <w:t>每年几次暴露</w:t>
            </w:r>
          </w:p>
        </w:tc>
      </w:tr>
      <w:tr w14:paraId="2AC1AD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rPr>
        <w:tc>
          <w:tcPr>
            <w:tcW w:w="568" w:type="pct"/>
            <w:noWrap w:val="0"/>
            <w:vAlign w:val="center"/>
          </w:tcPr>
          <w:p w14:paraId="49498CFA">
            <w:pPr>
              <w:pStyle w:val="20"/>
              <w:bidi w:val="0"/>
              <w:rPr>
                <w:rFonts w:hint="eastAsia"/>
                <w:color w:val="auto"/>
              </w:rPr>
            </w:pPr>
            <w:r>
              <w:rPr>
                <w:rFonts w:hint="eastAsia"/>
                <w:color w:val="auto"/>
              </w:rPr>
              <w:t>3</w:t>
            </w:r>
          </w:p>
        </w:tc>
        <w:tc>
          <w:tcPr>
            <w:tcW w:w="1731" w:type="pct"/>
            <w:noWrap w:val="0"/>
            <w:vAlign w:val="center"/>
          </w:tcPr>
          <w:p w14:paraId="0AC23118">
            <w:pPr>
              <w:pStyle w:val="20"/>
              <w:bidi w:val="0"/>
              <w:rPr>
                <w:rFonts w:hint="eastAsia"/>
                <w:color w:val="auto"/>
              </w:rPr>
            </w:pPr>
            <w:r>
              <w:rPr>
                <w:rFonts w:hint="eastAsia"/>
                <w:color w:val="auto"/>
              </w:rPr>
              <w:t>每周一次或偶然暴露</w:t>
            </w:r>
          </w:p>
        </w:tc>
        <w:tc>
          <w:tcPr>
            <w:tcW w:w="668" w:type="pct"/>
            <w:noWrap w:val="0"/>
            <w:vAlign w:val="center"/>
          </w:tcPr>
          <w:p w14:paraId="5CD1EA5A">
            <w:pPr>
              <w:pStyle w:val="20"/>
              <w:bidi w:val="0"/>
              <w:rPr>
                <w:rFonts w:hint="eastAsia"/>
                <w:color w:val="auto"/>
              </w:rPr>
            </w:pPr>
            <w:r>
              <w:rPr>
                <w:rFonts w:hint="eastAsia"/>
                <w:color w:val="auto"/>
              </w:rPr>
              <w:t>0.5</w:t>
            </w:r>
          </w:p>
        </w:tc>
        <w:tc>
          <w:tcPr>
            <w:tcW w:w="2032" w:type="pct"/>
            <w:noWrap w:val="0"/>
            <w:vAlign w:val="center"/>
          </w:tcPr>
          <w:p w14:paraId="4E86A709">
            <w:pPr>
              <w:pStyle w:val="20"/>
              <w:bidi w:val="0"/>
              <w:rPr>
                <w:rFonts w:hint="eastAsia"/>
                <w:color w:val="auto"/>
              </w:rPr>
            </w:pPr>
            <w:r>
              <w:rPr>
                <w:rFonts w:hint="eastAsia"/>
                <w:color w:val="auto"/>
              </w:rPr>
              <w:t>非常罕见的暴露</w:t>
            </w:r>
          </w:p>
        </w:tc>
      </w:tr>
    </w:tbl>
    <w:p w14:paraId="7908C4A6">
      <w:pPr>
        <w:spacing w:line="600" w:lineRule="exact"/>
        <w:ind w:firstLine="560" w:firstLineChars="200"/>
        <w:rPr>
          <w:color w:val="auto"/>
          <w:sz w:val="28"/>
          <w:szCs w:val="28"/>
        </w:rPr>
      </w:pPr>
      <w:r>
        <w:rPr>
          <w:rFonts w:hint="eastAsia"/>
          <w:color w:val="auto"/>
          <w:sz w:val="28"/>
          <w:szCs w:val="28"/>
          <w:lang w:val="en-US" w:eastAsia="zh-CN"/>
        </w:rPr>
        <w:t>3.</w:t>
      </w:r>
      <w:r>
        <w:rPr>
          <w:color w:val="auto"/>
          <w:sz w:val="28"/>
          <w:szCs w:val="28"/>
        </w:rPr>
        <w:t>事故发生可能出现的后果（C）的赋值标准</w:t>
      </w:r>
    </w:p>
    <w:p w14:paraId="3ADFF377">
      <w:pPr>
        <w:spacing w:line="600" w:lineRule="exact"/>
        <w:ind w:firstLine="544" w:firstLineChars="200"/>
        <w:rPr>
          <w:color w:val="auto"/>
          <w:spacing w:val="-4"/>
          <w:sz w:val="28"/>
          <w:szCs w:val="28"/>
        </w:rPr>
      </w:pPr>
      <w:r>
        <w:rPr>
          <w:color w:val="auto"/>
          <w:spacing w:val="-4"/>
          <w:sz w:val="28"/>
          <w:szCs w:val="28"/>
        </w:rPr>
        <w:t>一般地说来风险的大小总是由两个主要因素决定的，即事故发生的概率和事故后果的危害程度。也就是说事故的后果是表达风险的重要指标之一。为了较准确地评价作业条件的危险性，该评价方法将事故后果分为6个级别，分别给予一定的分数值。由于事故造成人员的伤害和财产损失的范围波动变化很大，所以评价方法设定分数值为0-100。把仅仅需要治疗的轻微伤害或较小的财产损失的分值设定为1，而把造成多人死亡或重大财产损失的分值设定为100，其他情况的分值在1-100之间选择。具体赋值见下表</w:t>
      </w:r>
      <w:r>
        <w:rPr>
          <w:rFonts w:hint="eastAsia"/>
          <w:color w:val="auto"/>
          <w:spacing w:val="-4"/>
          <w:sz w:val="28"/>
          <w:szCs w:val="28"/>
          <w:lang w:val="en-US" w:eastAsia="zh-CN"/>
        </w:rPr>
        <w:t>4.2.2-3</w:t>
      </w:r>
      <w:r>
        <w:rPr>
          <w:color w:val="auto"/>
          <w:spacing w:val="-4"/>
          <w:sz w:val="28"/>
          <w:szCs w:val="28"/>
        </w:rPr>
        <w:t>：</w:t>
      </w:r>
    </w:p>
    <w:p w14:paraId="5C56FEF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rPr>
      </w:pPr>
      <w:r>
        <w:rPr>
          <w:color w:val="auto"/>
        </w:rPr>
        <w:t>表</w:t>
      </w:r>
      <w:r>
        <w:rPr>
          <w:rFonts w:hint="eastAsia"/>
          <w:color w:val="auto"/>
        </w:rPr>
        <w:t>4.</w:t>
      </w:r>
      <w:r>
        <w:rPr>
          <w:rFonts w:hint="eastAsia"/>
          <w:color w:val="auto"/>
          <w:lang w:val="en-US" w:eastAsia="zh-CN"/>
        </w:rPr>
        <w:t>2.2</w:t>
      </w:r>
      <w:r>
        <w:rPr>
          <w:color w:val="auto"/>
        </w:rPr>
        <w:t>-</w:t>
      </w:r>
      <w:r>
        <w:rPr>
          <w:rFonts w:hint="eastAsia"/>
          <w:color w:val="auto"/>
        </w:rPr>
        <w:t>3</w:t>
      </w:r>
      <w:r>
        <w:rPr>
          <w:color w:val="auto"/>
        </w:rPr>
        <w:t>事故发生可能造成的后果（C）赋值表</w:t>
      </w:r>
    </w:p>
    <w:tbl>
      <w:tblPr>
        <w:tblStyle w:val="14"/>
        <w:tblW w:w="500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79"/>
        <w:gridCol w:w="4001"/>
        <w:gridCol w:w="973"/>
        <w:gridCol w:w="3244"/>
      </w:tblGrid>
      <w:tr w14:paraId="0C1622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9" w:hRule="atLeast"/>
        </w:trPr>
        <w:tc>
          <w:tcPr>
            <w:tcW w:w="580" w:type="pct"/>
            <w:noWrap w:val="0"/>
            <w:vAlign w:val="center"/>
          </w:tcPr>
          <w:p w14:paraId="22D58902">
            <w:pPr>
              <w:pStyle w:val="21"/>
              <w:bidi w:val="0"/>
              <w:rPr>
                <w:rFonts w:hint="eastAsia"/>
                <w:color w:val="auto"/>
              </w:rPr>
            </w:pPr>
            <w:r>
              <w:rPr>
                <w:rFonts w:hint="eastAsia"/>
                <w:color w:val="auto"/>
              </w:rPr>
              <w:t>分数值</w:t>
            </w:r>
          </w:p>
        </w:tc>
        <w:tc>
          <w:tcPr>
            <w:tcW w:w="2151" w:type="pct"/>
            <w:noWrap w:val="0"/>
            <w:vAlign w:val="center"/>
          </w:tcPr>
          <w:p w14:paraId="4D9EBD5B">
            <w:pPr>
              <w:pStyle w:val="21"/>
              <w:bidi w:val="0"/>
              <w:rPr>
                <w:rFonts w:hint="eastAsia"/>
                <w:color w:val="auto"/>
              </w:rPr>
            </w:pPr>
            <w:r>
              <w:rPr>
                <w:rFonts w:hint="eastAsia"/>
                <w:color w:val="auto"/>
              </w:rPr>
              <w:t>事故发生可能造成的后果</w:t>
            </w:r>
          </w:p>
        </w:tc>
        <w:tc>
          <w:tcPr>
            <w:tcW w:w="523" w:type="pct"/>
            <w:noWrap w:val="0"/>
            <w:vAlign w:val="center"/>
          </w:tcPr>
          <w:p w14:paraId="5DF11170">
            <w:pPr>
              <w:pStyle w:val="21"/>
              <w:bidi w:val="0"/>
              <w:rPr>
                <w:rFonts w:hint="eastAsia"/>
                <w:color w:val="auto"/>
              </w:rPr>
            </w:pPr>
            <w:r>
              <w:rPr>
                <w:rFonts w:hint="eastAsia"/>
                <w:color w:val="auto"/>
              </w:rPr>
              <w:t>分数值</w:t>
            </w:r>
          </w:p>
        </w:tc>
        <w:tc>
          <w:tcPr>
            <w:tcW w:w="1744" w:type="pct"/>
            <w:noWrap w:val="0"/>
            <w:vAlign w:val="center"/>
          </w:tcPr>
          <w:p w14:paraId="0C90E283">
            <w:pPr>
              <w:pStyle w:val="21"/>
              <w:bidi w:val="0"/>
              <w:rPr>
                <w:rFonts w:hint="eastAsia"/>
                <w:color w:val="auto"/>
              </w:rPr>
            </w:pPr>
            <w:r>
              <w:rPr>
                <w:rFonts w:hint="eastAsia"/>
                <w:color w:val="auto"/>
              </w:rPr>
              <w:t>事故发生可能造成的后果</w:t>
            </w:r>
          </w:p>
        </w:tc>
      </w:tr>
      <w:tr w14:paraId="69A1CD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6" w:hRule="atLeast"/>
        </w:trPr>
        <w:tc>
          <w:tcPr>
            <w:tcW w:w="580" w:type="pct"/>
            <w:noWrap w:val="0"/>
            <w:vAlign w:val="center"/>
          </w:tcPr>
          <w:p w14:paraId="011E5E55">
            <w:pPr>
              <w:pStyle w:val="20"/>
              <w:bidi w:val="0"/>
              <w:rPr>
                <w:rFonts w:hint="eastAsia"/>
                <w:color w:val="auto"/>
              </w:rPr>
            </w:pPr>
            <w:r>
              <w:rPr>
                <w:rFonts w:hint="eastAsia"/>
                <w:color w:val="auto"/>
              </w:rPr>
              <w:t>100</w:t>
            </w:r>
          </w:p>
        </w:tc>
        <w:tc>
          <w:tcPr>
            <w:tcW w:w="2151" w:type="pct"/>
            <w:noWrap w:val="0"/>
            <w:vAlign w:val="center"/>
          </w:tcPr>
          <w:p w14:paraId="51838555">
            <w:pPr>
              <w:pStyle w:val="20"/>
              <w:bidi w:val="0"/>
              <w:rPr>
                <w:rFonts w:hint="eastAsia"/>
                <w:color w:val="auto"/>
              </w:rPr>
            </w:pPr>
            <w:r>
              <w:rPr>
                <w:rFonts w:hint="eastAsia"/>
                <w:color w:val="auto"/>
              </w:rPr>
              <w:t>大灾难，许多人死亡</w:t>
            </w:r>
          </w:p>
        </w:tc>
        <w:tc>
          <w:tcPr>
            <w:tcW w:w="523" w:type="pct"/>
            <w:noWrap w:val="0"/>
            <w:vAlign w:val="center"/>
          </w:tcPr>
          <w:p w14:paraId="51AE7F7B">
            <w:pPr>
              <w:pStyle w:val="20"/>
              <w:bidi w:val="0"/>
              <w:rPr>
                <w:rFonts w:hint="eastAsia"/>
                <w:color w:val="auto"/>
              </w:rPr>
            </w:pPr>
            <w:r>
              <w:rPr>
                <w:rFonts w:hint="eastAsia"/>
                <w:color w:val="auto"/>
              </w:rPr>
              <w:t>7</w:t>
            </w:r>
          </w:p>
        </w:tc>
        <w:tc>
          <w:tcPr>
            <w:tcW w:w="1744" w:type="pct"/>
            <w:noWrap w:val="0"/>
            <w:vAlign w:val="center"/>
          </w:tcPr>
          <w:p w14:paraId="6B5EBD65">
            <w:pPr>
              <w:pStyle w:val="20"/>
              <w:bidi w:val="0"/>
              <w:rPr>
                <w:rFonts w:hint="eastAsia"/>
                <w:color w:val="auto"/>
              </w:rPr>
            </w:pPr>
            <w:r>
              <w:rPr>
                <w:rFonts w:hint="eastAsia"/>
                <w:color w:val="auto"/>
              </w:rPr>
              <w:t>严重，重伤或较小的财产损失</w:t>
            </w:r>
          </w:p>
        </w:tc>
      </w:tr>
      <w:tr w14:paraId="3D301C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6" w:hRule="atLeast"/>
        </w:trPr>
        <w:tc>
          <w:tcPr>
            <w:tcW w:w="580" w:type="pct"/>
            <w:noWrap w:val="0"/>
            <w:vAlign w:val="center"/>
          </w:tcPr>
          <w:p w14:paraId="56102944">
            <w:pPr>
              <w:pStyle w:val="20"/>
              <w:bidi w:val="0"/>
              <w:rPr>
                <w:rFonts w:hint="eastAsia"/>
                <w:color w:val="auto"/>
              </w:rPr>
            </w:pPr>
            <w:r>
              <w:rPr>
                <w:rFonts w:hint="eastAsia"/>
                <w:color w:val="auto"/>
              </w:rPr>
              <w:t>40</w:t>
            </w:r>
          </w:p>
        </w:tc>
        <w:tc>
          <w:tcPr>
            <w:tcW w:w="2151" w:type="pct"/>
            <w:noWrap w:val="0"/>
            <w:vAlign w:val="center"/>
          </w:tcPr>
          <w:p w14:paraId="495D4E4A">
            <w:pPr>
              <w:pStyle w:val="20"/>
              <w:bidi w:val="0"/>
              <w:rPr>
                <w:rFonts w:hint="eastAsia"/>
                <w:color w:val="auto"/>
              </w:rPr>
            </w:pPr>
            <w:r>
              <w:rPr>
                <w:rFonts w:hint="eastAsia"/>
                <w:color w:val="auto"/>
              </w:rPr>
              <w:t>灾难，数人死亡或造成很大的财产损失</w:t>
            </w:r>
          </w:p>
        </w:tc>
        <w:tc>
          <w:tcPr>
            <w:tcW w:w="523" w:type="pct"/>
            <w:noWrap w:val="0"/>
            <w:vAlign w:val="center"/>
          </w:tcPr>
          <w:p w14:paraId="182F1D80">
            <w:pPr>
              <w:pStyle w:val="20"/>
              <w:bidi w:val="0"/>
              <w:rPr>
                <w:rFonts w:hint="eastAsia"/>
                <w:color w:val="auto"/>
              </w:rPr>
            </w:pPr>
            <w:r>
              <w:rPr>
                <w:rFonts w:hint="eastAsia"/>
                <w:color w:val="auto"/>
              </w:rPr>
              <w:t>3</w:t>
            </w:r>
          </w:p>
        </w:tc>
        <w:tc>
          <w:tcPr>
            <w:tcW w:w="1744" w:type="pct"/>
            <w:noWrap w:val="0"/>
            <w:vAlign w:val="center"/>
          </w:tcPr>
          <w:p w14:paraId="4811CE59">
            <w:pPr>
              <w:pStyle w:val="20"/>
              <w:bidi w:val="0"/>
              <w:rPr>
                <w:rFonts w:hint="eastAsia"/>
                <w:color w:val="auto"/>
              </w:rPr>
            </w:pPr>
            <w:r>
              <w:rPr>
                <w:rFonts w:hint="eastAsia"/>
                <w:color w:val="auto"/>
              </w:rPr>
              <w:t>重大，致残或很小的财产损失</w:t>
            </w:r>
          </w:p>
        </w:tc>
      </w:tr>
      <w:tr w14:paraId="065F54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0" w:hRule="atLeast"/>
        </w:trPr>
        <w:tc>
          <w:tcPr>
            <w:tcW w:w="580" w:type="pct"/>
            <w:noWrap w:val="0"/>
            <w:vAlign w:val="center"/>
          </w:tcPr>
          <w:p w14:paraId="6AE6D0D5">
            <w:pPr>
              <w:pStyle w:val="20"/>
              <w:bidi w:val="0"/>
              <w:rPr>
                <w:rFonts w:hint="eastAsia"/>
                <w:color w:val="auto"/>
              </w:rPr>
            </w:pPr>
            <w:r>
              <w:rPr>
                <w:rFonts w:hint="eastAsia"/>
                <w:color w:val="auto"/>
              </w:rPr>
              <w:t>15</w:t>
            </w:r>
          </w:p>
        </w:tc>
        <w:tc>
          <w:tcPr>
            <w:tcW w:w="2151" w:type="pct"/>
            <w:noWrap w:val="0"/>
            <w:vAlign w:val="center"/>
          </w:tcPr>
          <w:p w14:paraId="119E8AC5">
            <w:pPr>
              <w:pStyle w:val="20"/>
              <w:bidi w:val="0"/>
              <w:rPr>
                <w:rFonts w:hint="eastAsia"/>
                <w:color w:val="auto"/>
              </w:rPr>
            </w:pPr>
            <w:r>
              <w:rPr>
                <w:rFonts w:hint="eastAsia"/>
                <w:color w:val="auto"/>
              </w:rPr>
              <w:t>非常严重，一人死亡或造成一定的财产损失</w:t>
            </w:r>
          </w:p>
        </w:tc>
        <w:tc>
          <w:tcPr>
            <w:tcW w:w="523" w:type="pct"/>
            <w:noWrap w:val="0"/>
            <w:vAlign w:val="center"/>
          </w:tcPr>
          <w:p w14:paraId="33BD39EF">
            <w:pPr>
              <w:pStyle w:val="20"/>
              <w:bidi w:val="0"/>
              <w:rPr>
                <w:rFonts w:hint="eastAsia"/>
                <w:color w:val="auto"/>
              </w:rPr>
            </w:pPr>
            <w:r>
              <w:rPr>
                <w:rFonts w:hint="eastAsia"/>
                <w:color w:val="auto"/>
              </w:rPr>
              <w:t>1</w:t>
            </w:r>
          </w:p>
        </w:tc>
        <w:tc>
          <w:tcPr>
            <w:tcW w:w="1744" w:type="pct"/>
            <w:noWrap w:val="0"/>
            <w:vAlign w:val="center"/>
          </w:tcPr>
          <w:p w14:paraId="5779B12E">
            <w:pPr>
              <w:pStyle w:val="20"/>
              <w:bidi w:val="0"/>
              <w:rPr>
                <w:rFonts w:hint="eastAsia"/>
                <w:color w:val="auto"/>
              </w:rPr>
            </w:pPr>
            <w:r>
              <w:rPr>
                <w:rFonts w:hint="eastAsia"/>
                <w:color w:val="auto"/>
              </w:rPr>
              <w:t>引人注目，需要救护</w:t>
            </w:r>
          </w:p>
        </w:tc>
      </w:tr>
    </w:tbl>
    <w:p w14:paraId="24E6F7E6">
      <w:pPr>
        <w:spacing w:line="600" w:lineRule="exact"/>
        <w:ind w:firstLine="560" w:firstLineChars="200"/>
        <w:rPr>
          <w:color w:val="auto"/>
          <w:sz w:val="28"/>
          <w:szCs w:val="28"/>
        </w:rPr>
      </w:pPr>
      <w:r>
        <w:rPr>
          <w:rFonts w:hint="eastAsia"/>
          <w:color w:val="auto"/>
          <w:sz w:val="28"/>
          <w:szCs w:val="28"/>
          <w:lang w:val="en-US" w:eastAsia="zh-CN"/>
        </w:rPr>
        <w:t>4.</w:t>
      </w:r>
      <w:r>
        <w:rPr>
          <w:color w:val="auto"/>
          <w:sz w:val="28"/>
          <w:szCs w:val="28"/>
        </w:rPr>
        <w:t>危险性等级划分标准</w:t>
      </w:r>
    </w:p>
    <w:p w14:paraId="03F7D79C">
      <w:pPr>
        <w:spacing w:line="600" w:lineRule="exact"/>
        <w:ind w:firstLine="560" w:firstLineChars="200"/>
        <w:rPr>
          <w:color w:val="auto"/>
          <w:sz w:val="28"/>
          <w:szCs w:val="28"/>
        </w:rPr>
      </w:pPr>
      <w:r>
        <w:rPr>
          <w:color w:val="auto"/>
          <w:sz w:val="28"/>
          <w:szCs w:val="28"/>
        </w:rPr>
        <w:t>以统计资料和经验为依据，评价方法给出了作业条件危险性的划分标准。一般地认为危险性分数值在20以下是低危险性的，这样的危险比日常生活中骑自行车去上班还要安全一些。如果危险性分值在70-160之间，就有显著危险，需要采取措施进行整改，才可以保证基本安全。依此类推划分五种风险等级，见下表。评价时，对各项赋值确定后，计算出危险指数并根据标准划定风险等级。</w:t>
      </w:r>
    </w:p>
    <w:p w14:paraId="6B94642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r>
        <w:rPr>
          <w:rFonts w:hint="eastAsia"/>
          <w:color w:val="auto"/>
        </w:rPr>
        <w:t>表4.</w:t>
      </w:r>
      <w:r>
        <w:rPr>
          <w:rFonts w:hint="eastAsia"/>
          <w:color w:val="auto"/>
          <w:lang w:val="en-US" w:eastAsia="zh-CN"/>
        </w:rPr>
        <w:t>2.2</w:t>
      </w:r>
      <w:r>
        <w:rPr>
          <w:rFonts w:hint="eastAsia"/>
          <w:color w:val="auto"/>
        </w:rPr>
        <w:t>-4危险性等级划分标准表</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52"/>
        <w:gridCol w:w="3154"/>
        <w:gridCol w:w="1201"/>
        <w:gridCol w:w="3090"/>
      </w:tblGrid>
      <w:tr w14:paraId="5FBA1B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7" w:hRule="atLeast"/>
          <w:jc w:val="center"/>
        </w:trPr>
        <w:tc>
          <w:tcPr>
            <w:tcW w:w="1152" w:type="dxa"/>
            <w:noWrap w:val="0"/>
            <w:vAlign w:val="center"/>
          </w:tcPr>
          <w:p w14:paraId="3561D8F9">
            <w:pPr>
              <w:pStyle w:val="21"/>
              <w:bidi w:val="0"/>
              <w:rPr>
                <w:rFonts w:hint="eastAsia"/>
                <w:color w:val="auto"/>
              </w:rPr>
            </w:pPr>
            <w:r>
              <w:rPr>
                <w:rFonts w:hint="eastAsia"/>
                <w:color w:val="auto"/>
              </w:rPr>
              <w:t>分数值</w:t>
            </w:r>
          </w:p>
        </w:tc>
        <w:tc>
          <w:tcPr>
            <w:tcW w:w="3154" w:type="dxa"/>
            <w:noWrap w:val="0"/>
            <w:vAlign w:val="center"/>
          </w:tcPr>
          <w:p w14:paraId="37265A45">
            <w:pPr>
              <w:pStyle w:val="21"/>
              <w:bidi w:val="0"/>
              <w:rPr>
                <w:rFonts w:hint="eastAsia"/>
                <w:color w:val="auto"/>
              </w:rPr>
            </w:pPr>
            <w:r>
              <w:rPr>
                <w:rFonts w:hint="eastAsia"/>
                <w:color w:val="auto"/>
              </w:rPr>
              <w:t>发生事故可能造成的后果</w:t>
            </w:r>
          </w:p>
        </w:tc>
        <w:tc>
          <w:tcPr>
            <w:tcW w:w="1201" w:type="dxa"/>
            <w:noWrap w:val="0"/>
            <w:vAlign w:val="center"/>
          </w:tcPr>
          <w:p w14:paraId="2BDE4B05">
            <w:pPr>
              <w:pStyle w:val="21"/>
              <w:bidi w:val="0"/>
              <w:rPr>
                <w:rFonts w:hint="eastAsia"/>
                <w:color w:val="auto"/>
              </w:rPr>
            </w:pPr>
            <w:r>
              <w:rPr>
                <w:rFonts w:hint="eastAsia"/>
                <w:color w:val="auto"/>
              </w:rPr>
              <w:t>分数值</w:t>
            </w:r>
          </w:p>
        </w:tc>
        <w:tc>
          <w:tcPr>
            <w:tcW w:w="3090" w:type="dxa"/>
            <w:noWrap w:val="0"/>
            <w:vAlign w:val="center"/>
          </w:tcPr>
          <w:p w14:paraId="5015F899">
            <w:pPr>
              <w:pStyle w:val="21"/>
              <w:bidi w:val="0"/>
              <w:rPr>
                <w:rFonts w:hint="eastAsia"/>
                <w:color w:val="auto"/>
              </w:rPr>
            </w:pPr>
            <w:r>
              <w:rPr>
                <w:rFonts w:hint="eastAsia"/>
                <w:color w:val="auto"/>
              </w:rPr>
              <w:t>发生事故可能造成的后果</w:t>
            </w:r>
          </w:p>
        </w:tc>
      </w:tr>
      <w:tr w14:paraId="4311C3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jc w:val="center"/>
        </w:trPr>
        <w:tc>
          <w:tcPr>
            <w:tcW w:w="1152" w:type="dxa"/>
            <w:noWrap w:val="0"/>
            <w:vAlign w:val="center"/>
          </w:tcPr>
          <w:p w14:paraId="07C420A2">
            <w:pPr>
              <w:pStyle w:val="20"/>
              <w:bidi w:val="0"/>
              <w:rPr>
                <w:rFonts w:hint="eastAsia"/>
                <w:color w:val="auto"/>
              </w:rPr>
            </w:pPr>
            <w:r>
              <w:rPr>
                <w:rFonts w:hint="eastAsia"/>
                <w:color w:val="auto"/>
              </w:rPr>
              <w:t>320</w:t>
            </w:r>
          </w:p>
        </w:tc>
        <w:tc>
          <w:tcPr>
            <w:tcW w:w="3154" w:type="dxa"/>
            <w:noWrap w:val="0"/>
            <w:vAlign w:val="center"/>
          </w:tcPr>
          <w:p w14:paraId="2CED235D">
            <w:pPr>
              <w:pStyle w:val="20"/>
              <w:bidi w:val="0"/>
              <w:rPr>
                <w:rFonts w:hint="eastAsia"/>
                <w:color w:val="auto"/>
              </w:rPr>
            </w:pPr>
            <w:r>
              <w:rPr>
                <w:rFonts w:hint="eastAsia"/>
                <w:color w:val="auto"/>
              </w:rPr>
              <w:t>极其危险，不能继续作业</w:t>
            </w:r>
          </w:p>
        </w:tc>
        <w:tc>
          <w:tcPr>
            <w:tcW w:w="1201" w:type="dxa"/>
            <w:noWrap w:val="0"/>
            <w:vAlign w:val="center"/>
          </w:tcPr>
          <w:p w14:paraId="06480138">
            <w:pPr>
              <w:pStyle w:val="20"/>
              <w:bidi w:val="0"/>
              <w:rPr>
                <w:rFonts w:hint="eastAsia"/>
                <w:color w:val="auto"/>
              </w:rPr>
            </w:pPr>
            <w:r>
              <w:rPr>
                <w:rFonts w:hint="eastAsia"/>
                <w:color w:val="auto"/>
              </w:rPr>
              <w:t>20-70</w:t>
            </w:r>
          </w:p>
        </w:tc>
        <w:tc>
          <w:tcPr>
            <w:tcW w:w="3090" w:type="dxa"/>
            <w:noWrap w:val="0"/>
            <w:vAlign w:val="center"/>
          </w:tcPr>
          <w:p w14:paraId="0DEA6EC6">
            <w:pPr>
              <w:pStyle w:val="20"/>
              <w:bidi w:val="0"/>
              <w:rPr>
                <w:rFonts w:hint="eastAsia"/>
                <w:color w:val="auto"/>
              </w:rPr>
            </w:pPr>
            <w:r>
              <w:rPr>
                <w:rFonts w:hint="eastAsia"/>
                <w:color w:val="auto"/>
              </w:rPr>
              <w:t>一般危险，需要注意</w:t>
            </w:r>
          </w:p>
        </w:tc>
      </w:tr>
      <w:tr w14:paraId="27138E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jc w:val="center"/>
        </w:trPr>
        <w:tc>
          <w:tcPr>
            <w:tcW w:w="1152" w:type="dxa"/>
            <w:noWrap w:val="0"/>
            <w:vAlign w:val="center"/>
          </w:tcPr>
          <w:p w14:paraId="75736CBA">
            <w:pPr>
              <w:pStyle w:val="20"/>
              <w:bidi w:val="0"/>
              <w:rPr>
                <w:rFonts w:hint="eastAsia"/>
                <w:color w:val="auto"/>
              </w:rPr>
            </w:pPr>
            <w:r>
              <w:rPr>
                <w:rFonts w:hint="eastAsia"/>
                <w:color w:val="auto"/>
              </w:rPr>
              <w:t>160-320</w:t>
            </w:r>
          </w:p>
        </w:tc>
        <w:tc>
          <w:tcPr>
            <w:tcW w:w="3154" w:type="dxa"/>
            <w:noWrap w:val="0"/>
            <w:vAlign w:val="center"/>
          </w:tcPr>
          <w:p w14:paraId="39AB3C8B">
            <w:pPr>
              <w:pStyle w:val="20"/>
              <w:bidi w:val="0"/>
              <w:rPr>
                <w:rFonts w:hint="eastAsia"/>
                <w:color w:val="auto"/>
              </w:rPr>
            </w:pPr>
            <w:r>
              <w:rPr>
                <w:rFonts w:hint="eastAsia"/>
                <w:color w:val="auto"/>
              </w:rPr>
              <w:t>高度危险，需立即整改</w:t>
            </w:r>
          </w:p>
        </w:tc>
        <w:tc>
          <w:tcPr>
            <w:tcW w:w="1201" w:type="dxa"/>
            <w:noWrap w:val="0"/>
            <w:vAlign w:val="center"/>
          </w:tcPr>
          <w:p w14:paraId="36F185AA">
            <w:pPr>
              <w:pStyle w:val="20"/>
              <w:bidi w:val="0"/>
              <w:rPr>
                <w:rFonts w:hint="eastAsia"/>
                <w:color w:val="auto"/>
              </w:rPr>
            </w:pPr>
            <w:r>
              <w:rPr>
                <w:rFonts w:hint="eastAsia"/>
                <w:color w:val="auto"/>
              </w:rPr>
              <w:t>&lt;20</w:t>
            </w:r>
          </w:p>
        </w:tc>
        <w:tc>
          <w:tcPr>
            <w:tcW w:w="3090" w:type="dxa"/>
            <w:noWrap w:val="0"/>
            <w:vAlign w:val="center"/>
          </w:tcPr>
          <w:p w14:paraId="655C862E">
            <w:pPr>
              <w:pStyle w:val="20"/>
              <w:bidi w:val="0"/>
              <w:rPr>
                <w:rFonts w:hint="eastAsia"/>
                <w:color w:val="auto"/>
              </w:rPr>
            </w:pPr>
            <w:r>
              <w:rPr>
                <w:rFonts w:hint="eastAsia"/>
                <w:color w:val="auto"/>
              </w:rPr>
              <w:t>稍有危险，可以接受</w:t>
            </w:r>
          </w:p>
        </w:tc>
      </w:tr>
      <w:tr w14:paraId="1ACC0D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1152" w:type="dxa"/>
            <w:noWrap w:val="0"/>
            <w:vAlign w:val="center"/>
          </w:tcPr>
          <w:p w14:paraId="5DF40734">
            <w:pPr>
              <w:pStyle w:val="20"/>
              <w:bidi w:val="0"/>
              <w:rPr>
                <w:rFonts w:hint="eastAsia"/>
                <w:color w:val="auto"/>
              </w:rPr>
            </w:pPr>
            <w:r>
              <w:rPr>
                <w:rFonts w:hint="eastAsia"/>
                <w:color w:val="auto"/>
              </w:rPr>
              <w:t>70-160</w:t>
            </w:r>
          </w:p>
        </w:tc>
        <w:tc>
          <w:tcPr>
            <w:tcW w:w="3154" w:type="dxa"/>
            <w:noWrap w:val="0"/>
            <w:vAlign w:val="center"/>
          </w:tcPr>
          <w:p w14:paraId="7D59ACA6">
            <w:pPr>
              <w:pStyle w:val="20"/>
              <w:bidi w:val="0"/>
              <w:rPr>
                <w:rFonts w:hint="eastAsia"/>
                <w:color w:val="auto"/>
              </w:rPr>
            </w:pPr>
            <w:r>
              <w:rPr>
                <w:rFonts w:hint="eastAsia"/>
                <w:color w:val="auto"/>
              </w:rPr>
              <w:t>显著危险，需要整改</w:t>
            </w:r>
          </w:p>
        </w:tc>
        <w:tc>
          <w:tcPr>
            <w:tcW w:w="1201" w:type="dxa"/>
            <w:noWrap w:val="0"/>
            <w:vAlign w:val="center"/>
          </w:tcPr>
          <w:p w14:paraId="19BCDCCF">
            <w:pPr>
              <w:pStyle w:val="20"/>
              <w:bidi w:val="0"/>
              <w:rPr>
                <w:rFonts w:hint="eastAsia"/>
                <w:color w:val="auto"/>
              </w:rPr>
            </w:pPr>
          </w:p>
        </w:tc>
        <w:tc>
          <w:tcPr>
            <w:tcW w:w="3090" w:type="dxa"/>
            <w:noWrap w:val="0"/>
            <w:vAlign w:val="center"/>
          </w:tcPr>
          <w:p w14:paraId="25D64FCA">
            <w:pPr>
              <w:pStyle w:val="20"/>
              <w:bidi w:val="0"/>
              <w:rPr>
                <w:rFonts w:hint="eastAsia"/>
                <w:color w:val="auto"/>
              </w:rPr>
            </w:pPr>
          </w:p>
        </w:tc>
      </w:tr>
    </w:tbl>
    <w:p w14:paraId="2BAA82D5">
      <w:pPr>
        <w:bidi w:val="0"/>
        <w:rPr>
          <w:rFonts w:ascii="Times New Roman" w:hAnsi="Times New Roman"/>
          <w:color w:val="auto"/>
          <w:lang w:val="en-US" w:eastAsia="zh-CN"/>
        </w:rPr>
      </w:pPr>
    </w:p>
    <w:p w14:paraId="3F5A6920">
      <w:pPr>
        <w:pStyle w:val="2"/>
        <w:numPr>
          <w:ilvl w:val="0"/>
          <w:numId w:val="0"/>
        </w:numPr>
        <w:bidi w:val="0"/>
        <w:ind w:left="0" w:leftChars="0" w:firstLine="0" w:firstLineChars="0"/>
        <w:rPr>
          <w:rFonts w:hint="eastAsia" w:ascii="Times New Roman" w:hAnsi="Times New Roman" w:cs="Times New Roman"/>
          <w:color w:val="auto"/>
          <w:lang w:val="en-US" w:eastAsia="zh-CN"/>
        </w:rPr>
      </w:pPr>
      <w:bookmarkStart w:id="90" w:name="_Toc10017"/>
      <w:r>
        <w:rPr>
          <w:rFonts w:hint="eastAsia" w:ascii="Times New Roman" w:hAnsi="Times New Roman" w:eastAsia="宋体" w:cs="Times New Roman"/>
          <w:b/>
          <w:color w:val="auto"/>
          <w:kern w:val="44"/>
          <w:sz w:val="32"/>
          <w:szCs w:val="28"/>
          <w:lang w:val="en-US" w:eastAsia="zh-CN" w:bidi="ar-SA"/>
        </w:rPr>
        <w:t>5.</w:t>
      </w:r>
      <w:r>
        <w:rPr>
          <w:rFonts w:hint="eastAsia" w:ascii="Times New Roman" w:hAnsi="Times New Roman" w:cs="Times New Roman"/>
          <w:color w:val="auto"/>
          <w:lang w:val="en-US" w:eastAsia="zh-CN"/>
        </w:rPr>
        <w:t>定性评价</w:t>
      </w:r>
      <w:bookmarkEnd w:id="90"/>
    </w:p>
    <w:p w14:paraId="29F104CD">
      <w:pPr>
        <w:pStyle w:val="3"/>
        <w:bidi w:val="0"/>
        <w:rPr>
          <w:rFonts w:hint="eastAsia"/>
          <w:color w:val="auto"/>
          <w:lang w:val="en-US" w:eastAsia="zh-CN"/>
        </w:rPr>
      </w:pPr>
      <w:bookmarkStart w:id="91" w:name="_Toc23553"/>
      <w:r>
        <w:rPr>
          <w:rFonts w:hint="eastAsia"/>
          <w:color w:val="auto"/>
          <w:lang w:val="en-US" w:eastAsia="zh-CN"/>
        </w:rPr>
        <w:t>5.1法律、法规符合性评价单元</w:t>
      </w:r>
      <w:bookmarkEnd w:id="91"/>
    </w:p>
    <w:p w14:paraId="782E7DC5">
      <w:pPr>
        <w:pStyle w:val="4"/>
        <w:bidi w:val="0"/>
        <w:rPr>
          <w:rFonts w:hint="default"/>
          <w:color w:val="auto"/>
          <w:lang w:val="en-US" w:eastAsia="zh-CN"/>
        </w:rPr>
      </w:pPr>
      <w:bookmarkStart w:id="92" w:name="_Toc15219"/>
      <w:r>
        <w:rPr>
          <w:rFonts w:hint="eastAsia"/>
          <w:color w:val="auto"/>
          <w:lang w:val="en-US" w:eastAsia="zh-CN"/>
        </w:rPr>
        <w:t>5.1.1</w:t>
      </w:r>
      <w:r>
        <w:rPr>
          <w:rFonts w:hint="default"/>
          <w:color w:val="auto"/>
          <w:lang w:val="en-US" w:eastAsia="zh-CN"/>
        </w:rPr>
        <w:t>产业政策、规划的符合性检查</w:t>
      </w:r>
      <w:bookmarkEnd w:id="92"/>
    </w:p>
    <w:p w14:paraId="07302BF1">
      <w:pPr>
        <w:rPr>
          <w:rFonts w:hint="default"/>
          <w:color w:val="auto"/>
          <w:lang w:val="en-US" w:eastAsia="zh-CN"/>
        </w:rPr>
      </w:pPr>
      <w:r>
        <w:rPr>
          <w:rFonts w:hint="default"/>
          <w:color w:val="auto"/>
          <w:lang w:val="en-US" w:eastAsia="zh-CN"/>
        </w:rPr>
        <w:t>1</w:t>
      </w:r>
      <w:r>
        <w:rPr>
          <w:rFonts w:hint="eastAsia"/>
          <w:color w:val="auto"/>
          <w:lang w:val="en-US" w:eastAsia="zh-CN"/>
        </w:rPr>
        <w:t>.</w:t>
      </w:r>
      <w:r>
        <w:rPr>
          <w:rFonts w:hint="default"/>
          <w:color w:val="auto"/>
          <w:lang w:val="en-US" w:eastAsia="zh-CN"/>
        </w:rPr>
        <w:t>依据《产业结构调整指导目录》（2024年本），</w:t>
      </w:r>
      <w:r>
        <w:rPr>
          <w:rFonts w:hint="eastAsia"/>
          <w:color w:val="auto"/>
          <w:lang w:val="en-US" w:eastAsia="zh-CN"/>
        </w:rPr>
        <w:t>本项目</w:t>
      </w:r>
      <w:r>
        <w:rPr>
          <w:rFonts w:hint="default"/>
          <w:color w:val="auto"/>
          <w:lang w:val="en-US" w:eastAsia="zh-CN"/>
        </w:rPr>
        <w:t>不属于限制类及淘汰类，属鼓励类，符合国家产业政策。</w:t>
      </w:r>
    </w:p>
    <w:p w14:paraId="0A11FA55">
      <w:pPr>
        <w:spacing w:line="360" w:lineRule="auto"/>
        <w:ind w:firstLine="560" w:firstLineChars="200"/>
        <w:rPr>
          <w:color w:val="auto"/>
        </w:rPr>
      </w:pPr>
      <w:r>
        <w:rPr>
          <w:rFonts w:hint="default"/>
          <w:color w:val="auto"/>
          <w:lang w:val="en-US" w:eastAsia="zh-CN"/>
        </w:rPr>
        <w:t>2</w:t>
      </w:r>
      <w:r>
        <w:rPr>
          <w:rFonts w:hint="eastAsia"/>
          <w:color w:val="auto"/>
          <w:lang w:val="en-US" w:eastAsia="zh-CN"/>
        </w:rPr>
        <w:t>.</w:t>
      </w:r>
      <w:r>
        <w:rPr>
          <w:rFonts w:hint="eastAsia"/>
          <w:color w:val="auto"/>
        </w:rPr>
        <w:t>瑞昌市发展和改革委</w:t>
      </w:r>
      <w:r>
        <w:rPr>
          <w:rFonts w:hint="eastAsia"/>
          <w:color w:val="auto"/>
          <w:lang w:eastAsia="zh-CN"/>
        </w:rPr>
        <w:t>员会</w:t>
      </w:r>
      <w:r>
        <w:rPr>
          <w:rFonts w:hint="eastAsia"/>
          <w:color w:val="auto"/>
        </w:rPr>
        <w:t>对本</w:t>
      </w:r>
      <w:r>
        <w:rPr>
          <w:color w:val="auto"/>
          <w:lang w:val="en-GB"/>
        </w:rPr>
        <w:t>项目</w:t>
      </w:r>
      <w:r>
        <w:rPr>
          <w:rFonts w:hint="eastAsia"/>
          <w:color w:val="auto"/>
          <w:lang w:val="en-GB"/>
        </w:rPr>
        <w:t>进行了</w:t>
      </w:r>
      <w:r>
        <w:rPr>
          <w:color w:val="auto"/>
          <w:lang w:val="en-GB"/>
        </w:rPr>
        <w:t>备案</w:t>
      </w:r>
      <w:r>
        <w:rPr>
          <w:rFonts w:hint="eastAsia"/>
          <w:color w:val="auto"/>
          <w:lang w:val="en-GB"/>
        </w:rPr>
        <w:t>（项目统一代码为：</w:t>
      </w:r>
      <w:r>
        <w:rPr>
          <w:rFonts w:hint="eastAsia"/>
          <w:color w:val="auto"/>
        </w:rPr>
        <w:t>2018-360481-77-03-028649</w:t>
      </w:r>
      <w:r>
        <w:rPr>
          <w:rFonts w:hint="eastAsia"/>
          <w:color w:val="auto"/>
          <w:lang w:val="en-GB"/>
        </w:rPr>
        <w:t>）</w:t>
      </w:r>
      <w:r>
        <w:rPr>
          <w:rFonts w:hint="eastAsia"/>
          <w:color w:val="auto"/>
          <w:lang w:val="en-GB" w:eastAsia="zh-CN"/>
        </w:rPr>
        <w:t>，</w:t>
      </w:r>
      <w:r>
        <w:rPr>
          <w:color w:val="auto"/>
          <w:lang w:val="en-GB"/>
        </w:rPr>
        <w:t>同意项目建设，建设项目</w:t>
      </w:r>
      <w:r>
        <w:rPr>
          <w:rFonts w:hint="eastAsia"/>
          <w:color w:val="auto"/>
          <w:lang w:val="en-GB"/>
        </w:rPr>
        <w:t>当地土地利用规划</w:t>
      </w:r>
      <w:r>
        <w:rPr>
          <w:color w:val="auto"/>
          <w:lang w:val="en-GB"/>
        </w:rPr>
        <w:t>。</w:t>
      </w:r>
    </w:p>
    <w:p w14:paraId="702AB9E1">
      <w:pPr>
        <w:rPr>
          <w:rFonts w:hint="default"/>
          <w:color w:val="auto"/>
          <w:lang w:val="en-US" w:eastAsia="zh-CN"/>
        </w:rPr>
      </w:pPr>
      <w:r>
        <w:rPr>
          <w:rFonts w:hint="eastAsia" w:ascii="Times New Roman" w:hAnsi="Times New Roman" w:eastAsia="宋体" w:cs="Times New Roman"/>
          <w:color w:val="auto"/>
          <w:lang w:val="en-US" w:eastAsia="zh-CN"/>
        </w:rPr>
        <w:t>3.</w:t>
      </w:r>
      <w:r>
        <w:rPr>
          <w:rFonts w:hint="eastAsia" w:cs="Times New Roman"/>
          <w:color w:val="auto"/>
          <w:lang w:val="en-US" w:eastAsia="zh-CN"/>
        </w:rPr>
        <w:t>本项目</w:t>
      </w:r>
      <w:r>
        <w:rPr>
          <w:rFonts w:hint="eastAsia" w:ascii="Times New Roman" w:hAnsi="Times New Roman" w:eastAsia="宋体" w:cs="Times New Roman"/>
          <w:color w:val="auto"/>
          <w:lang w:val="en-US" w:eastAsia="zh-CN"/>
        </w:rPr>
        <w:t>已取得《国有土地使用证》</w:t>
      </w:r>
      <w:r>
        <w:rPr>
          <w:rFonts w:hint="default" w:ascii="Times New Roman" w:hAnsi="Times New Roman" w:eastAsia="宋体" w:cs="Times New Roman"/>
          <w:color w:val="auto"/>
          <w:lang w:val="en-US" w:eastAsia="zh-CN"/>
        </w:rPr>
        <w:t>，其建设规划符合当地土地利用规划，不影响本地土地利用总体规划。</w:t>
      </w:r>
    </w:p>
    <w:p w14:paraId="0CE44332">
      <w:pPr>
        <w:pStyle w:val="4"/>
        <w:bidi w:val="0"/>
        <w:rPr>
          <w:rFonts w:hint="eastAsia"/>
          <w:color w:val="auto"/>
        </w:rPr>
      </w:pPr>
      <w:bookmarkStart w:id="93" w:name="_Toc31383"/>
      <w:r>
        <w:rPr>
          <w:rFonts w:hint="eastAsia"/>
          <w:color w:val="auto"/>
          <w:lang w:val="en-US" w:eastAsia="zh-CN"/>
        </w:rPr>
        <w:t>5.1.2</w:t>
      </w:r>
      <w:r>
        <w:rPr>
          <w:rFonts w:hint="eastAsia"/>
          <w:color w:val="auto"/>
        </w:rPr>
        <w:t>项目设计、施工、建设合法性检查</w:t>
      </w:r>
      <w:bookmarkEnd w:id="93"/>
    </w:p>
    <w:p w14:paraId="14ED3F1E">
      <w:pPr>
        <w:spacing w:line="600" w:lineRule="exact"/>
        <w:ind w:firstLine="618" w:firstLineChars="221"/>
        <w:rPr>
          <w:rFonts w:hint="eastAsia"/>
          <w:color w:val="auto"/>
          <w:sz w:val="28"/>
          <w:szCs w:val="28"/>
        </w:rPr>
      </w:pPr>
      <w:r>
        <w:rPr>
          <w:rFonts w:hint="eastAsia"/>
          <w:color w:val="auto"/>
          <w:sz w:val="28"/>
          <w:szCs w:val="28"/>
        </w:rPr>
        <w:t>本评价单元主要依据《安全生产法》</w:t>
      </w:r>
      <w:r>
        <w:rPr>
          <w:rFonts w:hint="eastAsia"/>
          <w:color w:val="auto"/>
          <w:sz w:val="28"/>
          <w:szCs w:val="28"/>
          <w:lang w:eastAsia="zh-CN"/>
        </w:rPr>
        <w:t>、</w:t>
      </w:r>
      <w:r>
        <w:rPr>
          <w:rFonts w:hint="eastAsia"/>
          <w:color w:val="auto"/>
          <w:sz w:val="28"/>
          <w:szCs w:val="28"/>
        </w:rPr>
        <w:t>《建设项目安全设施“三同时”监督管理办法》等法律、法规并结合本项目的实际情况，编制了针对</w:t>
      </w:r>
      <w:r>
        <w:rPr>
          <w:rFonts w:hint="eastAsia"/>
          <w:color w:val="auto"/>
          <w:sz w:val="28"/>
          <w:szCs w:val="28"/>
          <w:lang w:eastAsia="zh-CN"/>
        </w:rPr>
        <w:t>本项目</w:t>
      </w:r>
      <w:r>
        <w:rPr>
          <w:rFonts w:hint="eastAsia"/>
          <w:color w:val="auto"/>
          <w:sz w:val="28"/>
          <w:szCs w:val="28"/>
        </w:rPr>
        <w:t>“三同时”法律法规符合性评价子单元的安全检查表，对照设置的检查项目和内容，进行检查和评价。</w:t>
      </w:r>
    </w:p>
    <w:p w14:paraId="41394C1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eastAsia="黑体"/>
          <w:bCs/>
          <w:color w:val="auto"/>
          <w:kern w:val="0"/>
          <w:szCs w:val="28"/>
        </w:rPr>
      </w:pPr>
      <w:r>
        <w:rPr>
          <w:rFonts w:hint="eastAsia"/>
          <w:color w:val="auto"/>
        </w:rPr>
        <w:t>表5</w:t>
      </w:r>
      <w:r>
        <w:rPr>
          <w:color w:val="auto"/>
        </w:rPr>
        <w:t>.1</w:t>
      </w:r>
      <w:r>
        <w:rPr>
          <w:rFonts w:hint="eastAsia"/>
          <w:color w:val="auto"/>
          <w:lang w:val="en-US" w:eastAsia="zh-CN"/>
        </w:rPr>
        <w:t>.2</w:t>
      </w:r>
      <w:r>
        <w:rPr>
          <w:rFonts w:hint="eastAsia"/>
          <w:color w:val="auto"/>
        </w:rPr>
        <w:t>-1建设项目“三同时”符合性检查表</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4"/>
        <w:gridCol w:w="1363"/>
        <w:gridCol w:w="3089"/>
        <w:gridCol w:w="3096"/>
        <w:gridCol w:w="923"/>
      </w:tblGrid>
      <w:tr w14:paraId="11D3DB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noWrap w:val="0"/>
            <w:vAlign w:val="center"/>
          </w:tcPr>
          <w:p w14:paraId="41939FDB">
            <w:pPr>
              <w:pStyle w:val="21"/>
              <w:bidi w:val="0"/>
              <w:rPr>
                <w:rFonts w:hint="eastAsia"/>
                <w:color w:val="auto"/>
              </w:rPr>
            </w:pPr>
            <w:r>
              <w:rPr>
                <w:rFonts w:hint="eastAsia"/>
                <w:color w:val="auto"/>
              </w:rPr>
              <w:t>序号</w:t>
            </w:r>
          </w:p>
        </w:tc>
        <w:tc>
          <w:tcPr>
            <w:tcW w:w="1363" w:type="dxa"/>
            <w:noWrap w:val="0"/>
            <w:vAlign w:val="center"/>
          </w:tcPr>
          <w:p w14:paraId="08621531">
            <w:pPr>
              <w:pStyle w:val="21"/>
              <w:bidi w:val="0"/>
              <w:rPr>
                <w:rFonts w:hint="eastAsia"/>
                <w:color w:val="auto"/>
              </w:rPr>
            </w:pPr>
            <w:r>
              <w:rPr>
                <w:rFonts w:hint="eastAsia"/>
                <w:color w:val="auto"/>
              </w:rPr>
              <w:t>检查对象</w:t>
            </w:r>
          </w:p>
        </w:tc>
        <w:tc>
          <w:tcPr>
            <w:tcW w:w="3089" w:type="dxa"/>
            <w:noWrap w:val="0"/>
            <w:vAlign w:val="center"/>
          </w:tcPr>
          <w:p w14:paraId="7E897CC6">
            <w:pPr>
              <w:pStyle w:val="21"/>
              <w:bidi w:val="0"/>
              <w:rPr>
                <w:rFonts w:hint="eastAsia"/>
                <w:color w:val="auto"/>
              </w:rPr>
            </w:pPr>
            <w:r>
              <w:rPr>
                <w:rFonts w:hint="eastAsia"/>
                <w:color w:val="auto"/>
              </w:rPr>
              <w:t>验收内容</w:t>
            </w:r>
          </w:p>
        </w:tc>
        <w:tc>
          <w:tcPr>
            <w:tcW w:w="3096" w:type="dxa"/>
            <w:noWrap w:val="0"/>
            <w:vAlign w:val="center"/>
          </w:tcPr>
          <w:p w14:paraId="6158D662">
            <w:pPr>
              <w:pStyle w:val="21"/>
              <w:bidi w:val="0"/>
              <w:rPr>
                <w:rFonts w:hint="eastAsia"/>
                <w:color w:val="auto"/>
              </w:rPr>
            </w:pPr>
            <w:r>
              <w:rPr>
                <w:rFonts w:hint="eastAsia"/>
                <w:color w:val="auto"/>
              </w:rPr>
              <w:t>验收情况</w:t>
            </w:r>
          </w:p>
        </w:tc>
        <w:tc>
          <w:tcPr>
            <w:tcW w:w="923" w:type="dxa"/>
            <w:noWrap w:val="0"/>
            <w:vAlign w:val="center"/>
          </w:tcPr>
          <w:p w14:paraId="419F4CD3">
            <w:pPr>
              <w:pStyle w:val="21"/>
              <w:bidi w:val="0"/>
              <w:rPr>
                <w:rFonts w:hint="eastAsia"/>
                <w:color w:val="auto"/>
              </w:rPr>
            </w:pPr>
            <w:r>
              <w:rPr>
                <w:rFonts w:hint="eastAsia"/>
                <w:color w:val="auto"/>
              </w:rPr>
              <w:t>符合性</w:t>
            </w:r>
          </w:p>
        </w:tc>
      </w:tr>
      <w:tr w14:paraId="7F4CB5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noWrap w:val="0"/>
            <w:vAlign w:val="center"/>
          </w:tcPr>
          <w:p w14:paraId="2B4DE58F">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1</w:t>
            </w:r>
          </w:p>
        </w:tc>
        <w:tc>
          <w:tcPr>
            <w:tcW w:w="1363" w:type="dxa"/>
            <w:noWrap w:val="0"/>
            <w:vAlign w:val="center"/>
          </w:tcPr>
          <w:p w14:paraId="2D59DFA4">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立项</w:t>
            </w:r>
          </w:p>
        </w:tc>
        <w:tc>
          <w:tcPr>
            <w:tcW w:w="3089" w:type="dxa"/>
            <w:noWrap w:val="0"/>
            <w:vAlign w:val="center"/>
          </w:tcPr>
          <w:p w14:paraId="3266489B">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是否经过立项批准。</w:t>
            </w:r>
          </w:p>
        </w:tc>
        <w:tc>
          <w:tcPr>
            <w:tcW w:w="3096" w:type="dxa"/>
            <w:noWrap w:val="0"/>
            <w:vAlign w:val="center"/>
          </w:tcPr>
          <w:p w14:paraId="10D0F453">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取得</w:t>
            </w:r>
            <w:r>
              <w:rPr>
                <w:rFonts w:hint="eastAsia"/>
                <w:color w:val="auto"/>
                <w:lang w:eastAsia="zh-CN"/>
              </w:rPr>
              <w:t>了</w:t>
            </w:r>
            <w:r>
              <w:rPr>
                <w:rFonts w:hint="eastAsia"/>
                <w:color w:val="auto"/>
              </w:rPr>
              <w:t>瑞昌市发展和改革委</w:t>
            </w:r>
            <w:r>
              <w:rPr>
                <w:rFonts w:hint="eastAsia"/>
                <w:color w:val="auto"/>
                <w:lang w:eastAsia="zh-CN"/>
              </w:rPr>
              <w:t>员会</w:t>
            </w:r>
            <w:r>
              <w:rPr>
                <w:rFonts w:hint="eastAsia"/>
                <w:color w:val="auto"/>
                <w:lang w:val="en-US" w:eastAsia="zh-CN"/>
              </w:rPr>
              <w:t>通过</w:t>
            </w:r>
            <w:r>
              <w:rPr>
                <w:rFonts w:hint="eastAsia"/>
                <w:color w:val="auto"/>
              </w:rPr>
              <w:t>的项目备案通知书</w:t>
            </w:r>
            <w:r>
              <w:rPr>
                <w:rFonts w:hint="eastAsia"/>
                <w:color w:val="auto"/>
                <w:lang w:eastAsia="zh-CN"/>
              </w:rPr>
              <w:t>。</w:t>
            </w:r>
          </w:p>
        </w:tc>
        <w:tc>
          <w:tcPr>
            <w:tcW w:w="923" w:type="dxa"/>
            <w:noWrap w:val="0"/>
            <w:vAlign w:val="center"/>
          </w:tcPr>
          <w:p w14:paraId="00CBBF2D">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1587E2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restart"/>
            <w:noWrap w:val="0"/>
            <w:vAlign w:val="center"/>
          </w:tcPr>
          <w:p w14:paraId="23A8EC2E">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2</w:t>
            </w:r>
          </w:p>
        </w:tc>
        <w:tc>
          <w:tcPr>
            <w:tcW w:w="1363" w:type="dxa"/>
            <w:vMerge w:val="restart"/>
            <w:noWrap w:val="0"/>
            <w:vAlign w:val="center"/>
          </w:tcPr>
          <w:p w14:paraId="11ACA215">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安全预评价</w:t>
            </w:r>
          </w:p>
        </w:tc>
        <w:tc>
          <w:tcPr>
            <w:tcW w:w="3089" w:type="dxa"/>
            <w:noWrap w:val="0"/>
            <w:vAlign w:val="center"/>
          </w:tcPr>
          <w:p w14:paraId="00D3F07D">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1.项目是否进行了安全预评价；</w:t>
            </w:r>
          </w:p>
        </w:tc>
        <w:tc>
          <w:tcPr>
            <w:tcW w:w="3096" w:type="dxa"/>
            <w:noWrap w:val="0"/>
            <w:vAlign w:val="center"/>
          </w:tcPr>
          <w:p w14:paraId="10E8F9FE">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进行了安全预评价</w:t>
            </w:r>
            <w:r>
              <w:rPr>
                <w:rFonts w:hint="eastAsia"/>
                <w:color w:val="auto"/>
                <w:lang w:eastAsia="zh-CN"/>
              </w:rPr>
              <w:t>。</w:t>
            </w:r>
          </w:p>
        </w:tc>
        <w:tc>
          <w:tcPr>
            <w:tcW w:w="923" w:type="dxa"/>
            <w:noWrap w:val="0"/>
            <w:vAlign w:val="center"/>
          </w:tcPr>
          <w:p w14:paraId="44B21436">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5D9ECE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6D94F558">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4FFEF029">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6FBEC01A">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2.评价单位是否具有相应资质；</w:t>
            </w:r>
          </w:p>
        </w:tc>
        <w:tc>
          <w:tcPr>
            <w:tcW w:w="3096" w:type="dxa"/>
            <w:noWrap w:val="0"/>
            <w:vAlign w:val="center"/>
          </w:tcPr>
          <w:p w14:paraId="7909D548">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评价单位</w:t>
            </w:r>
            <w:r>
              <w:rPr>
                <w:rFonts w:hint="eastAsia"/>
                <w:color w:val="auto"/>
                <w:lang w:val="en-US" w:eastAsia="zh-CN"/>
              </w:rPr>
              <w:t>为</w:t>
            </w:r>
            <w:r>
              <w:rPr>
                <w:rFonts w:hint="eastAsia"/>
                <w:color w:val="auto"/>
              </w:rPr>
              <w:t>北京达飞安评管理顾问有限公司，具有相应资质</w:t>
            </w:r>
            <w:r>
              <w:rPr>
                <w:rFonts w:hint="eastAsia"/>
                <w:color w:val="auto"/>
                <w:lang w:eastAsia="zh-CN"/>
              </w:rPr>
              <w:t>。</w:t>
            </w:r>
          </w:p>
        </w:tc>
        <w:tc>
          <w:tcPr>
            <w:tcW w:w="923" w:type="dxa"/>
            <w:noWrap w:val="0"/>
            <w:vAlign w:val="center"/>
          </w:tcPr>
          <w:p w14:paraId="62541379">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421A6D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1B58BCEE">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1263FE5B">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00BEBCC0">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3.评价是否在相应政府部门审查或备案。</w:t>
            </w:r>
          </w:p>
        </w:tc>
        <w:tc>
          <w:tcPr>
            <w:tcW w:w="3096" w:type="dxa"/>
            <w:noWrap w:val="0"/>
            <w:vAlign w:val="center"/>
          </w:tcPr>
          <w:p w14:paraId="595F7261">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lang w:val="en-US" w:eastAsia="zh-CN"/>
              </w:rPr>
              <w:t>已于瑞昌市安全生产监督管理局</w:t>
            </w:r>
            <w:r>
              <w:rPr>
                <w:rFonts w:hint="eastAsia"/>
                <w:color w:val="auto"/>
              </w:rPr>
              <w:t>备案</w:t>
            </w:r>
            <w:r>
              <w:rPr>
                <w:rFonts w:hint="eastAsia"/>
                <w:color w:val="auto"/>
                <w:lang w:eastAsia="zh-CN"/>
              </w:rPr>
              <w:t>。</w:t>
            </w:r>
          </w:p>
        </w:tc>
        <w:tc>
          <w:tcPr>
            <w:tcW w:w="923" w:type="dxa"/>
            <w:noWrap w:val="0"/>
            <w:vAlign w:val="center"/>
          </w:tcPr>
          <w:p w14:paraId="44B2EFB1">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27DC6F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restart"/>
            <w:noWrap w:val="0"/>
            <w:vAlign w:val="center"/>
          </w:tcPr>
          <w:p w14:paraId="01E52972">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3</w:t>
            </w:r>
          </w:p>
        </w:tc>
        <w:tc>
          <w:tcPr>
            <w:tcW w:w="1363" w:type="dxa"/>
            <w:vMerge w:val="restart"/>
            <w:noWrap w:val="0"/>
            <w:vAlign w:val="center"/>
          </w:tcPr>
          <w:p w14:paraId="1D45E332">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初步设计</w:t>
            </w:r>
          </w:p>
        </w:tc>
        <w:tc>
          <w:tcPr>
            <w:tcW w:w="3089" w:type="dxa"/>
            <w:noWrap w:val="0"/>
            <w:vAlign w:val="center"/>
          </w:tcPr>
          <w:p w14:paraId="7A3C1260">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1.是否有初步设计</w:t>
            </w:r>
            <w:r>
              <w:rPr>
                <w:rFonts w:hint="eastAsia"/>
                <w:color w:val="auto"/>
                <w:lang w:eastAsia="zh-CN"/>
              </w:rPr>
              <w:t>。</w:t>
            </w:r>
          </w:p>
        </w:tc>
        <w:tc>
          <w:tcPr>
            <w:tcW w:w="3096" w:type="dxa"/>
            <w:noWrap w:val="0"/>
            <w:vAlign w:val="center"/>
          </w:tcPr>
          <w:p w14:paraId="33A9ED01">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有</w:t>
            </w:r>
            <w:r>
              <w:rPr>
                <w:rFonts w:hint="eastAsia"/>
                <w:color w:val="auto"/>
                <w:lang w:val="en-US" w:eastAsia="zh-CN"/>
              </w:rPr>
              <w:t>初步设计</w:t>
            </w:r>
            <w:r>
              <w:rPr>
                <w:rFonts w:hint="eastAsia"/>
                <w:color w:val="auto"/>
                <w:lang w:eastAsia="zh-CN"/>
              </w:rPr>
              <w:t>。</w:t>
            </w:r>
          </w:p>
        </w:tc>
        <w:tc>
          <w:tcPr>
            <w:tcW w:w="923" w:type="dxa"/>
            <w:noWrap w:val="0"/>
            <w:vAlign w:val="center"/>
          </w:tcPr>
          <w:p w14:paraId="3E266CF1">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41A43D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6A1F8D0A">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5CE165C9">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1B0744A7">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2.设计单位是否有资质</w:t>
            </w:r>
            <w:r>
              <w:rPr>
                <w:rFonts w:hint="eastAsia"/>
                <w:color w:val="auto"/>
                <w:lang w:eastAsia="zh-CN"/>
              </w:rPr>
              <w:t>。</w:t>
            </w:r>
          </w:p>
        </w:tc>
        <w:tc>
          <w:tcPr>
            <w:tcW w:w="3096" w:type="dxa"/>
            <w:noWrap w:val="0"/>
            <w:vAlign w:val="center"/>
          </w:tcPr>
          <w:p w14:paraId="0ABF5055">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安全设施设计单位</w:t>
            </w:r>
            <w:r>
              <w:rPr>
                <w:rFonts w:hint="eastAsia"/>
                <w:color w:val="auto"/>
                <w:lang w:val="en-US" w:eastAsia="zh-CN"/>
              </w:rPr>
              <w:t>为</w:t>
            </w:r>
            <w:r>
              <w:rPr>
                <w:rFonts w:hint="default"/>
                <w:color w:val="auto"/>
              </w:rPr>
              <w:t>美华建筑设计有限公司</w:t>
            </w:r>
            <w:r>
              <w:rPr>
                <w:rFonts w:hint="eastAsia"/>
                <w:color w:val="auto"/>
                <w:lang w:eastAsia="zh-CN"/>
              </w:rPr>
              <w:t>，</w:t>
            </w:r>
            <w:r>
              <w:rPr>
                <w:rFonts w:hint="eastAsia"/>
                <w:color w:val="auto"/>
              </w:rPr>
              <w:t>拥有</w:t>
            </w:r>
            <w:r>
              <w:rPr>
                <w:rFonts w:hint="eastAsia"/>
                <w:color w:val="auto"/>
                <w:lang w:val="en-US" w:eastAsia="zh-CN"/>
              </w:rPr>
              <w:t>环境工程专项乙级资质</w:t>
            </w:r>
            <w:r>
              <w:rPr>
                <w:rFonts w:hint="eastAsia"/>
                <w:color w:val="auto"/>
                <w:lang w:eastAsia="zh-CN"/>
              </w:rPr>
              <w:t>。</w:t>
            </w:r>
          </w:p>
        </w:tc>
        <w:tc>
          <w:tcPr>
            <w:tcW w:w="923" w:type="dxa"/>
            <w:noWrap w:val="0"/>
            <w:vAlign w:val="center"/>
          </w:tcPr>
          <w:p w14:paraId="715D1E64">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0A7484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6AF480CE">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2CE8F9BB">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5B81FB63">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3.是否有安全专篇</w:t>
            </w:r>
            <w:r>
              <w:rPr>
                <w:rFonts w:hint="eastAsia"/>
                <w:color w:val="auto"/>
                <w:lang w:eastAsia="zh-CN"/>
              </w:rPr>
              <w:t>。</w:t>
            </w:r>
          </w:p>
        </w:tc>
        <w:tc>
          <w:tcPr>
            <w:tcW w:w="3096" w:type="dxa"/>
            <w:noWrap w:val="0"/>
            <w:vAlign w:val="center"/>
          </w:tcPr>
          <w:p w14:paraId="237C16BF">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编制了安全设施设计</w:t>
            </w:r>
            <w:r>
              <w:rPr>
                <w:rFonts w:hint="eastAsia"/>
                <w:color w:val="auto"/>
                <w:lang w:eastAsia="zh-CN"/>
              </w:rPr>
              <w:t>。</w:t>
            </w:r>
          </w:p>
        </w:tc>
        <w:tc>
          <w:tcPr>
            <w:tcW w:w="923" w:type="dxa"/>
            <w:noWrap w:val="0"/>
            <w:vAlign w:val="center"/>
          </w:tcPr>
          <w:p w14:paraId="3E739334">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0AD1B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3CAA154D">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312CDC67">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5BE2CDC9">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4.安全专篇是否通过评审并备案</w:t>
            </w:r>
            <w:r>
              <w:rPr>
                <w:rFonts w:hint="eastAsia"/>
                <w:color w:val="auto"/>
                <w:lang w:eastAsia="zh-CN"/>
              </w:rPr>
              <w:t>。</w:t>
            </w:r>
          </w:p>
        </w:tc>
        <w:tc>
          <w:tcPr>
            <w:tcW w:w="3096" w:type="dxa"/>
            <w:noWrap w:val="0"/>
            <w:vAlign w:val="center"/>
          </w:tcPr>
          <w:p w14:paraId="7AA97DF9">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安全设施设计通过评审</w:t>
            </w:r>
            <w:r>
              <w:rPr>
                <w:rFonts w:hint="eastAsia"/>
                <w:color w:val="auto"/>
                <w:lang w:eastAsia="zh-CN"/>
              </w:rPr>
              <w:t>，</w:t>
            </w:r>
            <w:r>
              <w:rPr>
                <w:rFonts w:hint="eastAsia"/>
                <w:color w:val="auto"/>
                <w:lang w:val="en-US" w:eastAsia="zh-CN"/>
              </w:rPr>
              <w:t>已于瑞昌市应急管理局</w:t>
            </w:r>
            <w:r>
              <w:rPr>
                <w:rFonts w:hint="eastAsia"/>
                <w:color w:val="auto"/>
              </w:rPr>
              <w:t>备案</w:t>
            </w:r>
            <w:r>
              <w:rPr>
                <w:rFonts w:hint="eastAsia"/>
                <w:color w:val="auto"/>
                <w:lang w:eastAsia="zh-CN"/>
              </w:rPr>
              <w:t>。</w:t>
            </w:r>
          </w:p>
        </w:tc>
        <w:tc>
          <w:tcPr>
            <w:tcW w:w="923" w:type="dxa"/>
            <w:noWrap w:val="0"/>
            <w:vAlign w:val="center"/>
          </w:tcPr>
          <w:p w14:paraId="6483DF45">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2B524B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54C649FD">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77BEA236">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2A15CF1B">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5.设计作重大变更的，是否经原设计单位同意，并报原审查部门审查同意。</w:t>
            </w:r>
          </w:p>
        </w:tc>
        <w:tc>
          <w:tcPr>
            <w:tcW w:w="3096" w:type="dxa"/>
            <w:noWrap w:val="0"/>
            <w:vAlign w:val="center"/>
          </w:tcPr>
          <w:p w14:paraId="1A4F98FD">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设计未作重大变更</w:t>
            </w:r>
            <w:r>
              <w:rPr>
                <w:rFonts w:hint="eastAsia"/>
                <w:color w:val="auto"/>
                <w:lang w:eastAsia="zh-CN"/>
              </w:rPr>
              <w:t>。</w:t>
            </w:r>
          </w:p>
        </w:tc>
        <w:tc>
          <w:tcPr>
            <w:tcW w:w="923" w:type="dxa"/>
            <w:noWrap w:val="0"/>
            <w:vAlign w:val="center"/>
          </w:tcPr>
          <w:p w14:paraId="2E1992FE">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0142B1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restart"/>
            <w:noWrap w:val="0"/>
            <w:vAlign w:val="center"/>
          </w:tcPr>
          <w:p w14:paraId="3500A2B6">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4</w:t>
            </w:r>
          </w:p>
        </w:tc>
        <w:tc>
          <w:tcPr>
            <w:tcW w:w="1363" w:type="dxa"/>
            <w:vMerge w:val="restart"/>
            <w:noWrap w:val="0"/>
            <w:vAlign w:val="center"/>
          </w:tcPr>
          <w:p w14:paraId="14AA875D">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施工</w:t>
            </w:r>
          </w:p>
        </w:tc>
        <w:tc>
          <w:tcPr>
            <w:tcW w:w="3089" w:type="dxa"/>
            <w:noWrap w:val="0"/>
            <w:vAlign w:val="center"/>
          </w:tcPr>
          <w:p w14:paraId="6EF6EC16">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1.是否委托施工单位施工；</w:t>
            </w:r>
          </w:p>
        </w:tc>
        <w:tc>
          <w:tcPr>
            <w:tcW w:w="3096" w:type="dxa"/>
            <w:noWrap w:val="0"/>
            <w:vAlign w:val="center"/>
          </w:tcPr>
          <w:p w14:paraId="47E402A3">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rPr>
              <w:t>委托施工单位施工</w:t>
            </w:r>
            <w:r>
              <w:rPr>
                <w:rFonts w:hint="eastAsia"/>
                <w:color w:val="auto"/>
                <w:lang w:eastAsia="zh-CN"/>
              </w:rPr>
              <w:t>。</w:t>
            </w:r>
          </w:p>
        </w:tc>
        <w:tc>
          <w:tcPr>
            <w:tcW w:w="923" w:type="dxa"/>
            <w:noWrap w:val="0"/>
            <w:vAlign w:val="center"/>
          </w:tcPr>
          <w:p w14:paraId="1DF893FE">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03C1CB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2A72AA74">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1363" w:type="dxa"/>
            <w:vMerge w:val="continue"/>
            <w:noWrap w:val="0"/>
            <w:vAlign w:val="center"/>
          </w:tcPr>
          <w:p w14:paraId="248AF770">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p>
        </w:tc>
        <w:tc>
          <w:tcPr>
            <w:tcW w:w="3089" w:type="dxa"/>
            <w:noWrap w:val="0"/>
            <w:vAlign w:val="center"/>
          </w:tcPr>
          <w:p w14:paraId="2C523BB6">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2.施工单位是否具备相应资质。</w:t>
            </w:r>
          </w:p>
        </w:tc>
        <w:tc>
          <w:tcPr>
            <w:tcW w:w="3096" w:type="dxa"/>
            <w:noWrap w:val="0"/>
            <w:vAlign w:val="center"/>
          </w:tcPr>
          <w:p w14:paraId="1B99A265">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lang w:eastAsia="zh-CN"/>
              </w:rPr>
            </w:pPr>
            <w:r>
              <w:rPr>
                <w:rFonts w:hint="eastAsia"/>
                <w:color w:val="auto"/>
                <w:lang w:val="en-US" w:eastAsia="zh-CN"/>
              </w:rPr>
              <w:t>施工单位为</w:t>
            </w:r>
            <w:r>
              <w:rPr>
                <w:rFonts w:hint="eastAsia"/>
                <w:color w:val="auto"/>
              </w:rPr>
              <w:t>合肥水泥研究设计院有限公司</w:t>
            </w:r>
            <w:r>
              <w:rPr>
                <w:rFonts w:hint="eastAsia"/>
                <w:color w:val="auto"/>
                <w:lang w:eastAsia="zh-CN"/>
              </w:rPr>
              <w:t>。</w:t>
            </w:r>
          </w:p>
        </w:tc>
        <w:tc>
          <w:tcPr>
            <w:tcW w:w="923" w:type="dxa"/>
            <w:noWrap w:val="0"/>
            <w:vAlign w:val="center"/>
          </w:tcPr>
          <w:p w14:paraId="60AEA020">
            <w:pPr>
              <w:pStyle w:val="20"/>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color w:val="auto"/>
              </w:rPr>
            </w:pPr>
            <w:r>
              <w:rPr>
                <w:rFonts w:hint="eastAsia"/>
                <w:color w:val="auto"/>
              </w:rPr>
              <w:t>符合</w:t>
            </w:r>
          </w:p>
        </w:tc>
      </w:tr>
      <w:tr w14:paraId="3C10B6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restart"/>
            <w:noWrap w:val="0"/>
            <w:vAlign w:val="center"/>
          </w:tcPr>
          <w:p w14:paraId="1088850A">
            <w:pPr>
              <w:pStyle w:val="20"/>
              <w:bidi w:val="0"/>
              <w:rPr>
                <w:rFonts w:hint="eastAsia"/>
                <w:color w:val="auto"/>
              </w:rPr>
            </w:pPr>
            <w:r>
              <w:rPr>
                <w:rFonts w:hint="eastAsia"/>
                <w:color w:val="auto"/>
              </w:rPr>
              <w:t>5</w:t>
            </w:r>
          </w:p>
        </w:tc>
        <w:tc>
          <w:tcPr>
            <w:tcW w:w="1363" w:type="dxa"/>
            <w:vMerge w:val="restart"/>
            <w:noWrap w:val="0"/>
            <w:vAlign w:val="center"/>
          </w:tcPr>
          <w:p w14:paraId="14C5359E">
            <w:pPr>
              <w:pStyle w:val="20"/>
              <w:bidi w:val="0"/>
              <w:rPr>
                <w:rFonts w:hint="eastAsia"/>
                <w:color w:val="auto"/>
              </w:rPr>
            </w:pPr>
            <w:r>
              <w:rPr>
                <w:rFonts w:hint="eastAsia"/>
                <w:color w:val="auto"/>
              </w:rPr>
              <w:t>监理</w:t>
            </w:r>
          </w:p>
        </w:tc>
        <w:tc>
          <w:tcPr>
            <w:tcW w:w="3089" w:type="dxa"/>
            <w:noWrap w:val="0"/>
            <w:vAlign w:val="center"/>
          </w:tcPr>
          <w:p w14:paraId="37251163">
            <w:pPr>
              <w:pStyle w:val="20"/>
              <w:bidi w:val="0"/>
              <w:rPr>
                <w:rFonts w:hint="eastAsia"/>
                <w:color w:val="auto"/>
              </w:rPr>
            </w:pPr>
            <w:r>
              <w:rPr>
                <w:rFonts w:hint="eastAsia"/>
                <w:color w:val="auto"/>
              </w:rPr>
              <w:t>1.是否委托监理单位监理；</w:t>
            </w:r>
          </w:p>
        </w:tc>
        <w:tc>
          <w:tcPr>
            <w:tcW w:w="3096" w:type="dxa"/>
            <w:noWrap w:val="0"/>
            <w:vAlign w:val="center"/>
          </w:tcPr>
          <w:p w14:paraId="2AC6FF87">
            <w:pPr>
              <w:pStyle w:val="20"/>
              <w:bidi w:val="0"/>
              <w:rPr>
                <w:rFonts w:hint="eastAsia"/>
                <w:color w:val="auto"/>
                <w:lang w:eastAsia="zh-CN"/>
              </w:rPr>
            </w:pPr>
            <w:r>
              <w:rPr>
                <w:rFonts w:hint="eastAsia"/>
                <w:color w:val="auto"/>
              </w:rPr>
              <w:t>委托监理单位监理</w:t>
            </w:r>
            <w:r>
              <w:rPr>
                <w:rFonts w:hint="eastAsia"/>
                <w:color w:val="auto"/>
                <w:lang w:eastAsia="zh-CN"/>
              </w:rPr>
              <w:t>。</w:t>
            </w:r>
          </w:p>
        </w:tc>
        <w:tc>
          <w:tcPr>
            <w:tcW w:w="923" w:type="dxa"/>
            <w:noWrap w:val="0"/>
            <w:vAlign w:val="center"/>
          </w:tcPr>
          <w:p w14:paraId="270C6ADB">
            <w:pPr>
              <w:pStyle w:val="20"/>
              <w:bidi w:val="0"/>
              <w:rPr>
                <w:rFonts w:hint="eastAsia"/>
                <w:color w:val="auto"/>
              </w:rPr>
            </w:pPr>
            <w:r>
              <w:rPr>
                <w:rFonts w:hint="eastAsia"/>
                <w:color w:val="auto"/>
              </w:rPr>
              <w:t>符合</w:t>
            </w:r>
          </w:p>
        </w:tc>
      </w:tr>
      <w:tr w14:paraId="3EB06E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noWrap w:val="0"/>
            <w:vAlign w:val="center"/>
          </w:tcPr>
          <w:p w14:paraId="6234339B">
            <w:pPr>
              <w:pStyle w:val="20"/>
              <w:bidi w:val="0"/>
              <w:rPr>
                <w:rFonts w:hint="eastAsia"/>
                <w:color w:val="auto"/>
              </w:rPr>
            </w:pPr>
          </w:p>
        </w:tc>
        <w:tc>
          <w:tcPr>
            <w:tcW w:w="1363" w:type="dxa"/>
            <w:vMerge w:val="continue"/>
            <w:noWrap w:val="0"/>
            <w:vAlign w:val="center"/>
          </w:tcPr>
          <w:p w14:paraId="4B90DC53">
            <w:pPr>
              <w:pStyle w:val="20"/>
              <w:bidi w:val="0"/>
              <w:rPr>
                <w:rFonts w:hint="eastAsia"/>
                <w:color w:val="auto"/>
              </w:rPr>
            </w:pPr>
          </w:p>
        </w:tc>
        <w:tc>
          <w:tcPr>
            <w:tcW w:w="3089" w:type="dxa"/>
            <w:noWrap w:val="0"/>
            <w:vAlign w:val="center"/>
          </w:tcPr>
          <w:p w14:paraId="3B40CD83">
            <w:pPr>
              <w:pStyle w:val="20"/>
              <w:bidi w:val="0"/>
              <w:rPr>
                <w:rFonts w:hint="eastAsia"/>
                <w:color w:val="auto"/>
              </w:rPr>
            </w:pPr>
            <w:r>
              <w:rPr>
                <w:rFonts w:hint="eastAsia"/>
                <w:color w:val="auto"/>
              </w:rPr>
              <w:t>2.监理单位是否具备相应资质。</w:t>
            </w:r>
          </w:p>
        </w:tc>
        <w:tc>
          <w:tcPr>
            <w:tcW w:w="3096" w:type="dxa"/>
            <w:noWrap w:val="0"/>
            <w:vAlign w:val="center"/>
          </w:tcPr>
          <w:p w14:paraId="5013C588">
            <w:pPr>
              <w:pStyle w:val="20"/>
              <w:bidi w:val="0"/>
              <w:rPr>
                <w:rFonts w:hint="eastAsia"/>
                <w:color w:val="auto"/>
              </w:rPr>
            </w:pPr>
            <w:r>
              <w:rPr>
                <w:rFonts w:hint="eastAsia"/>
                <w:color w:val="auto"/>
                <w:lang w:val="en-US" w:eastAsia="zh-CN"/>
              </w:rPr>
              <w:t>监理单位为江西省</w:t>
            </w:r>
            <w:r>
              <w:rPr>
                <w:rFonts w:hint="eastAsia"/>
                <w:color w:val="auto"/>
              </w:rPr>
              <w:t>建设监理有限公司</w:t>
            </w:r>
            <w:r>
              <w:rPr>
                <w:rFonts w:hint="eastAsia"/>
                <w:color w:val="auto"/>
                <w:lang w:eastAsia="zh-CN"/>
              </w:rPr>
              <w:t>，</w:t>
            </w:r>
            <w:r>
              <w:rPr>
                <w:rFonts w:hint="eastAsia"/>
                <w:color w:val="auto"/>
                <w:lang w:val="en-US" w:eastAsia="zh-CN"/>
              </w:rPr>
              <w:t>具备相应资质</w:t>
            </w:r>
            <w:r>
              <w:rPr>
                <w:rFonts w:hint="eastAsia"/>
                <w:color w:val="auto"/>
                <w:lang w:eastAsia="zh-CN"/>
              </w:rPr>
              <w:t>。</w:t>
            </w:r>
          </w:p>
        </w:tc>
        <w:tc>
          <w:tcPr>
            <w:tcW w:w="923" w:type="dxa"/>
            <w:noWrap w:val="0"/>
            <w:vAlign w:val="center"/>
          </w:tcPr>
          <w:p w14:paraId="4E1C80B8">
            <w:pPr>
              <w:pStyle w:val="20"/>
              <w:bidi w:val="0"/>
              <w:rPr>
                <w:rFonts w:hint="eastAsia"/>
                <w:color w:val="auto"/>
              </w:rPr>
            </w:pPr>
            <w:r>
              <w:rPr>
                <w:rFonts w:hint="eastAsia"/>
                <w:color w:val="auto"/>
              </w:rPr>
              <w:t>符合</w:t>
            </w:r>
          </w:p>
        </w:tc>
      </w:tr>
    </w:tbl>
    <w:p w14:paraId="28C0C886">
      <w:pPr>
        <w:bidi w:val="0"/>
        <w:rPr>
          <w:rFonts w:hint="eastAsia"/>
          <w:color w:val="auto"/>
        </w:rPr>
      </w:pPr>
      <w:r>
        <w:rPr>
          <w:rFonts w:hint="eastAsia"/>
          <w:color w:val="auto"/>
        </w:rPr>
        <w:t>评价结论：</w:t>
      </w:r>
    </w:p>
    <w:p w14:paraId="5179DDFA">
      <w:pPr>
        <w:bidi w:val="0"/>
        <w:rPr>
          <w:rFonts w:hint="eastAsia"/>
          <w:color w:val="auto"/>
        </w:rPr>
      </w:pPr>
      <w:r>
        <w:rPr>
          <w:rFonts w:hint="eastAsia"/>
          <w:color w:val="auto"/>
        </w:rPr>
        <w:t>本项目进行了安全预评价、安全设施设计，委托具备相应资质的施工、监理单位，项目建设过程“三同时”落实情况符合国家有关法律、法规要求。</w:t>
      </w:r>
    </w:p>
    <w:p w14:paraId="1E1510C4">
      <w:pPr>
        <w:pStyle w:val="3"/>
        <w:bidi w:val="0"/>
        <w:rPr>
          <w:rFonts w:hint="eastAsia" w:ascii="Times New Roman" w:hAnsi="Times New Roman"/>
          <w:color w:val="auto"/>
          <w:lang w:val="en-US" w:eastAsia="zh-CN"/>
        </w:rPr>
      </w:pPr>
      <w:bookmarkStart w:id="94" w:name="_Toc23982"/>
      <w:r>
        <w:rPr>
          <w:rFonts w:hint="eastAsia" w:ascii="Times New Roman" w:hAnsi="Times New Roman"/>
          <w:color w:val="auto"/>
          <w:lang w:val="en-US" w:eastAsia="zh-CN"/>
        </w:rPr>
        <w:t>5.</w:t>
      </w:r>
      <w:r>
        <w:rPr>
          <w:rFonts w:hint="eastAsia"/>
          <w:color w:val="auto"/>
          <w:lang w:val="en-US" w:eastAsia="zh-CN"/>
        </w:rPr>
        <w:t>2</w:t>
      </w:r>
      <w:r>
        <w:rPr>
          <w:rFonts w:hint="eastAsia" w:ascii="Times New Roman" w:hAnsi="Times New Roman"/>
          <w:color w:val="auto"/>
          <w:lang w:val="en-US" w:eastAsia="zh-CN"/>
        </w:rPr>
        <w:t>总图运输单元</w:t>
      </w:r>
      <w:bookmarkEnd w:id="94"/>
    </w:p>
    <w:p w14:paraId="7793D883">
      <w:pPr>
        <w:pStyle w:val="4"/>
        <w:bidi w:val="0"/>
        <w:rPr>
          <w:rFonts w:hint="eastAsia" w:ascii="Times New Roman" w:hAnsi="Times New Roman"/>
          <w:color w:val="auto"/>
          <w:lang w:val="en-US" w:eastAsia="zh-CN"/>
        </w:rPr>
      </w:pPr>
      <w:bookmarkStart w:id="95" w:name="_Toc26640"/>
      <w:r>
        <w:rPr>
          <w:rFonts w:hint="eastAsia" w:ascii="Times New Roman" w:hAnsi="Times New Roman"/>
          <w:color w:val="auto"/>
          <w:lang w:val="en-US" w:eastAsia="zh-CN"/>
        </w:rPr>
        <w:t>5.</w:t>
      </w:r>
      <w:r>
        <w:rPr>
          <w:rFonts w:hint="eastAsia"/>
          <w:color w:val="auto"/>
          <w:lang w:val="en-US" w:eastAsia="zh-CN"/>
        </w:rPr>
        <w:t>2</w:t>
      </w:r>
      <w:r>
        <w:rPr>
          <w:rFonts w:hint="eastAsia" w:ascii="Times New Roman" w:hAnsi="Times New Roman"/>
          <w:color w:val="auto"/>
          <w:lang w:val="en-US" w:eastAsia="zh-CN"/>
        </w:rPr>
        <w:t>.1总平面布置子单元</w:t>
      </w:r>
      <w:bookmarkEnd w:id="95"/>
    </w:p>
    <w:p w14:paraId="4688F442">
      <w:pPr>
        <w:spacing w:line="360" w:lineRule="auto"/>
        <w:ind w:firstLine="560" w:firstLineChars="200"/>
        <w:rPr>
          <w:rFonts w:hAnsi="宋体"/>
          <w:color w:val="auto"/>
        </w:rPr>
      </w:pPr>
      <w:r>
        <w:rPr>
          <w:rFonts w:ascii="Times New Roman" w:hAnsi="Times New Roman"/>
          <w:color w:val="auto"/>
          <w:lang w:val="en-US" w:eastAsia="zh-CN"/>
        </w:rPr>
        <w:t>依据</w:t>
      </w:r>
      <w:r>
        <w:rPr>
          <w:rFonts w:hint="eastAsia"/>
          <w:color w:val="auto"/>
          <w:lang w:val="en-US" w:eastAsia="zh-CN"/>
        </w:rPr>
        <w:t>《石灰石/石灰-石膏湿法烟气脱硫工程通用技术规范》、</w:t>
      </w:r>
      <w:r>
        <w:rPr>
          <w:rFonts w:ascii="Times New Roman" w:hAnsi="Times New Roman"/>
          <w:color w:val="auto"/>
          <w:lang w:val="en-US" w:eastAsia="zh-CN"/>
        </w:rPr>
        <w:t>《工业企业总平面设计规范》、</w:t>
      </w:r>
      <w:r>
        <w:rPr>
          <w:rFonts w:hint="eastAsia" w:ascii="Times New Roman" w:hAnsi="Times New Roman"/>
          <w:color w:val="auto"/>
          <w:lang w:val="en-US" w:eastAsia="zh-CN"/>
        </w:rPr>
        <w:t>《工业企业设计卫生标准》、《建筑设计防火规范》</w:t>
      </w:r>
      <w:r>
        <w:rPr>
          <w:rFonts w:ascii="Times New Roman" w:hAnsi="Times New Roman"/>
          <w:color w:val="auto"/>
          <w:lang w:val="en-US" w:eastAsia="zh-CN"/>
        </w:rPr>
        <w:t>等法规、规范，采用安全检查表法对该拟建项目总平面布置的安全、合理性是否符合相关要求进行检查，检查情况见表</w:t>
      </w:r>
      <w:r>
        <w:rPr>
          <w:rFonts w:hint="eastAsia" w:ascii="Times New Roman" w:hAnsi="Times New Roman"/>
          <w:color w:val="auto"/>
          <w:lang w:val="en-US" w:eastAsia="zh-CN"/>
        </w:rPr>
        <w:t>5.</w:t>
      </w:r>
      <w:r>
        <w:rPr>
          <w:rFonts w:hint="eastAsia"/>
          <w:color w:val="auto"/>
          <w:lang w:val="en-US" w:eastAsia="zh-CN"/>
        </w:rPr>
        <w:t>2</w:t>
      </w:r>
      <w:r>
        <w:rPr>
          <w:rFonts w:hint="eastAsia" w:ascii="Times New Roman" w:hAnsi="Times New Roman"/>
          <w:color w:val="auto"/>
          <w:lang w:val="en-US" w:eastAsia="zh-CN"/>
        </w:rPr>
        <w:t>.1</w:t>
      </w:r>
      <w:r>
        <w:rPr>
          <w:rFonts w:ascii="Times New Roman" w:hAnsi="Times New Roman"/>
          <w:color w:val="auto"/>
          <w:lang w:val="en-US" w:eastAsia="zh-CN"/>
        </w:rPr>
        <w:t>-</w:t>
      </w:r>
      <w:r>
        <w:rPr>
          <w:rFonts w:hint="eastAsia" w:ascii="Times New Roman" w:hAnsi="Times New Roman"/>
          <w:color w:val="auto"/>
          <w:lang w:val="en-US" w:eastAsia="zh-CN"/>
        </w:rPr>
        <w:t>1</w:t>
      </w:r>
      <w:r>
        <w:rPr>
          <w:rFonts w:ascii="Times New Roman" w:hAnsi="Times New Roman"/>
          <w:color w:val="auto"/>
          <w:lang w:val="en-US" w:eastAsia="zh-CN"/>
        </w:rPr>
        <w:t>。</w:t>
      </w:r>
    </w:p>
    <w:p w14:paraId="0EEB3A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ascii="Times New Roman" w:hAnsi="Times New Roman" w:eastAsia="宋体" w:cs="Times New Roman"/>
          <w:color w:val="auto"/>
          <w:lang w:val="en-US" w:eastAsia="zh-CN"/>
        </w:rPr>
        <w:t>5</w:t>
      </w:r>
      <w:r>
        <w:rPr>
          <w:rFonts w:hint="eastAsia" w:ascii="Times New Roman" w:hAnsi="Times New Roman" w:cs="Times New Roman"/>
          <w:color w:val="auto"/>
          <w:lang w:val="en-US" w:eastAsia="zh-CN"/>
        </w:rPr>
        <w:t>.</w:t>
      </w:r>
      <w:r>
        <w:rPr>
          <w:rFonts w:hint="eastAsia" w:cs="Times New Roman"/>
          <w:color w:val="auto"/>
          <w:lang w:val="en-US" w:eastAsia="zh-CN"/>
        </w:rPr>
        <w:t>2</w:t>
      </w:r>
      <w:r>
        <w:rPr>
          <w:rFonts w:hint="eastAsia" w:ascii="Times New Roman" w:hAnsi="Times New Roman" w:cs="Times New Roman"/>
          <w:color w:val="auto"/>
          <w:lang w:val="en-US" w:eastAsia="zh-CN"/>
        </w:rPr>
        <w:t>.1-1</w:t>
      </w:r>
      <w:r>
        <w:rPr>
          <w:rFonts w:ascii="Times New Roman" w:hAnsi="Times New Roman" w:eastAsia="宋体" w:cs="Times New Roman"/>
          <w:color w:val="auto"/>
          <w:lang w:val="en-US" w:eastAsia="zh-CN"/>
        </w:rPr>
        <w:t>总平面布置安全检查表</w:t>
      </w:r>
    </w:p>
    <w:tbl>
      <w:tblPr>
        <w:tblStyle w:val="14"/>
        <w:tblW w:w="515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524"/>
        <w:gridCol w:w="2700"/>
        <w:gridCol w:w="2420"/>
        <w:gridCol w:w="2757"/>
        <w:gridCol w:w="989"/>
      </w:tblGrid>
      <w:tr w14:paraId="554A00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279" w:type="pct"/>
            <w:tcBorders>
              <w:tl2br w:val="nil"/>
              <w:tr2bl w:val="nil"/>
            </w:tcBorders>
            <w:noWrap w:val="0"/>
            <w:textDirection w:val="tbRlV"/>
            <w:vAlign w:val="center"/>
          </w:tcPr>
          <w:p w14:paraId="03330E35">
            <w:pPr>
              <w:pStyle w:val="21"/>
              <w:bidi w:val="0"/>
              <w:rPr>
                <w:color w:val="auto"/>
                <w:lang w:val="en-US"/>
              </w:rPr>
            </w:pPr>
            <w:r>
              <w:rPr>
                <w:color w:val="auto"/>
                <w:lang w:val="en-US"/>
              </w:rPr>
              <w:t>序号</w:t>
            </w:r>
          </w:p>
        </w:tc>
        <w:tc>
          <w:tcPr>
            <w:tcW w:w="1437" w:type="pct"/>
            <w:tcBorders>
              <w:tl2br w:val="nil"/>
              <w:tr2bl w:val="nil"/>
            </w:tcBorders>
            <w:noWrap w:val="0"/>
            <w:vAlign w:val="center"/>
          </w:tcPr>
          <w:p w14:paraId="4E91CBFB">
            <w:pPr>
              <w:pStyle w:val="21"/>
              <w:bidi w:val="0"/>
              <w:rPr>
                <w:color w:val="auto"/>
                <w:lang w:val="en-US"/>
              </w:rPr>
            </w:pPr>
            <w:r>
              <w:rPr>
                <w:color w:val="auto"/>
                <w:lang w:val="en-US"/>
              </w:rPr>
              <w:t>检查项目和内容</w:t>
            </w:r>
          </w:p>
        </w:tc>
        <w:tc>
          <w:tcPr>
            <w:tcW w:w="1288" w:type="pct"/>
            <w:tcBorders>
              <w:tl2br w:val="nil"/>
              <w:tr2bl w:val="nil"/>
            </w:tcBorders>
            <w:noWrap w:val="0"/>
            <w:vAlign w:val="center"/>
          </w:tcPr>
          <w:p w14:paraId="2010C775">
            <w:pPr>
              <w:pStyle w:val="21"/>
              <w:bidi w:val="0"/>
              <w:rPr>
                <w:color w:val="auto"/>
                <w:lang w:val="en-US"/>
              </w:rPr>
            </w:pPr>
            <w:r>
              <w:rPr>
                <w:color w:val="auto"/>
                <w:lang w:val="en-US"/>
              </w:rPr>
              <w:t>检查依据</w:t>
            </w:r>
          </w:p>
        </w:tc>
        <w:tc>
          <w:tcPr>
            <w:tcW w:w="1467" w:type="pct"/>
            <w:tcBorders>
              <w:tl2br w:val="nil"/>
              <w:tr2bl w:val="nil"/>
            </w:tcBorders>
            <w:noWrap w:val="0"/>
            <w:vAlign w:val="center"/>
          </w:tcPr>
          <w:p w14:paraId="1C847361">
            <w:pPr>
              <w:pStyle w:val="21"/>
              <w:bidi w:val="0"/>
              <w:rPr>
                <w:color w:val="auto"/>
                <w:lang w:val="en-US"/>
              </w:rPr>
            </w:pPr>
            <w:r>
              <w:rPr>
                <w:rFonts w:hint="eastAsia"/>
                <w:color w:val="auto"/>
                <w:lang w:val="en-US" w:eastAsia="zh-CN"/>
              </w:rPr>
              <w:t>检查情况</w:t>
            </w:r>
          </w:p>
        </w:tc>
        <w:tc>
          <w:tcPr>
            <w:tcW w:w="526" w:type="pct"/>
            <w:tcBorders>
              <w:tl2br w:val="nil"/>
              <w:tr2bl w:val="nil"/>
            </w:tcBorders>
            <w:noWrap w:val="0"/>
            <w:vAlign w:val="center"/>
          </w:tcPr>
          <w:p w14:paraId="31E1B0B8">
            <w:pPr>
              <w:pStyle w:val="21"/>
              <w:bidi w:val="0"/>
              <w:rPr>
                <w:color w:val="auto"/>
                <w:lang w:val="en-US"/>
              </w:rPr>
            </w:pPr>
            <w:r>
              <w:rPr>
                <w:color w:val="auto"/>
                <w:lang w:val="en-US"/>
              </w:rPr>
              <w:t>检查结果</w:t>
            </w:r>
          </w:p>
        </w:tc>
      </w:tr>
      <w:tr w14:paraId="590C19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79" w:type="pct"/>
            <w:tcBorders>
              <w:tl2br w:val="nil"/>
              <w:tr2bl w:val="nil"/>
            </w:tcBorders>
            <w:noWrap w:val="0"/>
            <w:vAlign w:val="center"/>
          </w:tcPr>
          <w:p w14:paraId="37739FB4">
            <w:pPr>
              <w:pStyle w:val="20"/>
              <w:bidi w:val="0"/>
              <w:rPr>
                <w:rFonts w:hint="eastAsia" w:eastAsia="宋体"/>
                <w:color w:val="auto"/>
                <w:lang w:val="en-US" w:eastAsia="zh-CN"/>
              </w:rPr>
            </w:pPr>
            <w:r>
              <w:rPr>
                <w:rFonts w:hint="eastAsia"/>
                <w:color w:val="auto"/>
                <w:lang w:val="en-US" w:eastAsia="zh-CN"/>
              </w:rPr>
              <w:t>1</w:t>
            </w:r>
          </w:p>
        </w:tc>
        <w:tc>
          <w:tcPr>
            <w:tcW w:w="1437" w:type="pct"/>
            <w:tcBorders>
              <w:tl2br w:val="nil"/>
              <w:tr2bl w:val="nil"/>
            </w:tcBorders>
            <w:noWrap w:val="0"/>
            <w:vAlign w:val="center"/>
          </w:tcPr>
          <w:p w14:paraId="56C91345">
            <w:pPr>
              <w:pStyle w:val="20"/>
              <w:bidi w:val="0"/>
              <w:rPr>
                <w:rFonts w:hint="eastAsia"/>
                <w:color w:val="auto"/>
                <w:lang w:val="en-US"/>
              </w:rPr>
            </w:pPr>
            <w:r>
              <w:rPr>
                <w:rFonts w:hint="eastAsia"/>
                <w:color w:val="auto"/>
                <w:lang w:val="en-US"/>
              </w:rPr>
              <w:t>脱硫工程的总平面布置应满足国家及相关行业的规定，并遵循以下原则:</w:t>
            </w:r>
          </w:p>
          <w:p w14:paraId="4F283CC2">
            <w:pPr>
              <w:pStyle w:val="20"/>
              <w:bidi w:val="0"/>
              <w:rPr>
                <w:rFonts w:hint="eastAsia"/>
                <w:color w:val="auto"/>
                <w:lang w:val="en-US"/>
              </w:rPr>
            </w:pPr>
            <w:r>
              <w:rPr>
                <w:rFonts w:hint="eastAsia"/>
                <w:color w:val="auto"/>
                <w:lang w:val="en-US" w:eastAsia="zh-CN"/>
              </w:rPr>
              <w:t>（1）</w:t>
            </w:r>
            <w:r>
              <w:rPr>
                <w:rFonts w:hint="eastAsia"/>
                <w:color w:val="auto"/>
                <w:lang w:val="en-US"/>
              </w:rPr>
              <w:t>工艺布局合理，烟道短捷；</w:t>
            </w:r>
          </w:p>
          <w:p w14:paraId="3BD72B95">
            <w:pPr>
              <w:pStyle w:val="20"/>
              <w:bidi w:val="0"/>
              <w:rPr>
                <w:rFonts w:hint="eastAsia"/>
                <w:color w:val="auto"/>
                <w:lang w:val="en-US"/>
              </w:rPr>
            </w:pPr>
            <w:r>
              <w:rPr>
                <w:rFonts w:hint="eastAsia"/>
                <w:color w:val="auto"/>
                <w:lang w:val="en-US" w:eastAsia="zh-CN"/>
              </w:rPr>
              <w:t>（2）</w:t>
            </w:r>
            <w:r>
              <w:rPr>
                <w:rFonts w:hint="eastAsia"/>
                <w:color w:val="auto"/>
                <w:lang w:val="en-US"/>
              </w:rPr>
              <w:t>交通运输便捷；</w:t>
            </w:r>
          </w:p>
          <w:p w14:paraId="3223E4D7">
            <w:pPr>
              <w:pStyle w:val="20"/>
              <w:bidi w:val="0"/>
              <w:rPr>
                <w:rFonts w:hint="eastAsia"/>
                <w:color w:val="auto"/>
                <w:lang w:val="en-US"/>
              </w:rPr>
            </w:pPr>
            <w:r>
              <w:rPr>
                <w:rFonts w:hint="eastAsia"/>
                <w:color w:val="auto"/>
                <w:lang w:val="en-US" w:eastAsia="zh-CN"/>
              </w:rPr>
              <w:t>（3）</w:t>
            </w:r>
            <w:r>
              <w:rPr>
                <w:rFonts w:hint="eastAsia"/>
                <w:color w:val="auto"/>
                <w:lang w:val="en-US"/>
              </w:rPr>
              <w:t>方便施工，有利于维护检修；</w:t>
            </w:r>
          </w:p>
          <w:p w14:paraId="5917AD8A">
            <w:pPr>
              <w:pStyle w:val="20"/>
              <w:bidi w:val="0"/>
              <w:rPr>
                <w:rFonts w:hint="eastAsia"/>
                <w:color w:val="auto"/>
                <w:lang w:val="en-US"/>
              </w:rPr>
            </w:pPr>
            <w:r>
              <w:rPr>
                <w:rFonts w:hint="eastAsia"/>
                <w:color w:val="auto"/>
                <w:lang w:val="en-US" w:eastAsia="zh-CN"/>
              </w:rPr>
              <w:t>（4）</w:t>
            </w:r>
            <w:r>
              <w:rPr>
                <w:rFonts w:hint="eastAsia"/>
                <w:color w:val="auto"/>
                <w:lang w:val="en-US"/>
              </w:rPr>
              <w:t>合理利用地形、地质条件；</w:t>
            </w:r>
          </w:p>
          <w:p w14:paraId="46CD97D9">
            <w:pPr>
              <w:pStyle w:val="20"/>
              <w:bidi w:val="0"/>
              <w:rPr>
                <w:color w:val="auto"/>
                <w:lang w:val="en-US"/>
              </w:rPr>
            </w:pPr>
            <w:r>
              <w:rPr>
                <w:rFonts w:hint="eastAsia"/>
                <w:color w:val="auto"/>
                <w:lang w:val="en-US" w:eastAsia="zh-CN"/>
              </w:rPr>
              <w:t>（5）</w:t>
            </w:r>
            <w:r>
              <w:rPr>
                <w:rFonts w:hint="eastAsia"/>
                <w:color w:val="auto"/>
                <w:lang w:val="en-US"/>
              </w:rPr>
              <w:t>充分利用厂内公用设施。</w:t>
            </w:r>
          </w:p>
        </w:tc>
        <w:tc>
          <w:tcPr>
            <w:tcW w:w="1288" w:type="pct"/>
            <w:tcBorders>
              <w:tl2br w:val="nil"/>
              <w:tr2bl w:val="nil"/>
            </w:tcBorders>
            <w:noWrap w:val="0"/>
            <w:vAlign w:val="center"/>
          </w:tcPr>
          <w:p w14:paraId="107F4F70">
            <w:pPr>
              <w:pStyle w:val="20"/>
              <w:bidi w:val="0"/>
              <w:rPr>
                <w:color w:val="auto"/>
                <w:lang w:val="en-US"/>
              </w:rPr>
            </w:pPr>
            <w:r>
              <w:rPr>
                <w:rFonts w:hint="eastAsia"/>
                <w:color w:val="auto"/>
                <w:lang w:val="en-US"/>
              </w:rPr>
              <w:t>《石灰石/石灰-石膏湿法烟气脱硫工程通用技术规范》</w:t>
            </w:r>
            <w:r>
              <w:rPr>
                <w:rFonts w:hint="eastAsia"/>
                <w:color w:val="auto"/>
                <w:lang w:val="en-US" w:eastAsia="zh-CN"/>
              </w:rPr>
              <w:t>（HJ179-2018）</w:t>
            </w:r>
            <w:r>
              <w:rPr>
                <w:rFonts w:hint="eastAsia"/>
                <w:color w:val="auto"/>
                <w:lang w:val="en-US"/>
              </w:rPr>
              <w:t>第5.3.1.1 条</w:t>
            </w:r>
          </w:p>
        </w:tc>
        <w:tc>
          <w:tcPr>
            <w:tcW w:w="1467" w:type="pct"/>
            <w:tcBorders>
              <w:tl2br w:val="nil"/>
              <w:tr2bl w:val="nil"/>
            </w:tcBorders>
            <w:noWrap w:val="0"/>
            <w:vAlign w:val="center"/>
          </w:tcPr>
          <w:p w14:paraId="0D0D1086">
            <w:pPr>
              <w:pStyle w:val="20"/>
              <w:bidi w:val="0"/>
              <w:rPr>
                <w:rFonts w:hint="eastAsia"/>
                <w:color w:val="auto"/>
                <w:lang w:val="en-US" w:eastAsia="zh-CN"/>
              </w:rPr>
            </w:pPr>
            <w:r>
              <w:rPr>
                <w:rFonts w:hint="eastAsia"/>
                <w:color w:val="auto"/>
                <w:lang w:val="en-US" w:eastAsia="zh-CN"/>
              </w:rPr>
              <w:t>本项目脱硫装置布置在窑尾，烟道短捷；</w:t>
            </w:r>
          </w:p>
          <w:p w14:paraId="3BC8C7C8">
            <w:pPr>
              <w:pStyle w:val="20"/>
              <w:bidi w:val="0"/>
              <w:rPr>
                <w:rFonts w:hint="eastAsia"/>
                <w:color w:val="auto"/>
                <w:lang w:val="en-US" w:eastAsia="zh-CN"/>
              </w:rPr>
            </w:pPr>
            <w:r>
              <w:rPr>
                <w:rFonts w:hint="eastAsia"/>
                <w:color w:val="auto"/>
                <w:lang w:val="en-US" w:eastAsia="zh-CN"/>
              </w:rPr>
              <w:t>交通利用场内道路；</w:t>
            </w:r>
          </w:p>
          <w:p w14:paraId="719A4B38">
            <w:pPr>
              <w:pStyle w:val="20"/>
              <w:bidi w:val="0"/>
              <w:rPr>
                <w:rFonts w:hint="eastAsia"/>
                <w:color w:val="auto"/>
                <w:lang w:val="en-US" w:eastAsia="zh-CN"/>
              </w:rPr>
            </w:pPr>
            <w:r>
              <w:rPr>
                <w:rFonts w:hint="eastAsia"/>
                <w:color w:val="auto"/>
                <w:lang w:val="en-US" w:eastAsia="zh-CN"/>
              </w:rPr>
              <w:t>新增构筑物利用原有空地，便于施工和维修；</w:t>
            </w:r>
          </w:p>
          <w:p w14:paraId="6E50DC34">
            <w:pPr>
              <w:pStyle w:val="20"/>
              <w:bidi w:val="0"/>
              <w:rPr>
                <w:color w:val="auto"/>
                <w:lang w:val="en-US"/>
              </w:rPr>
            </w:pPr>
            <w:r>
              <w:rPr>
                <w:rFonts w:hint="eastAsia"/>
                <w:color w:val="auto"/>
                <w:lang w:val="en-US" w:eastAsia="zh-CN"/>
              </w:rPr>
              <w:t>水电气等充分利用厂内的共用设施。</w:t>
            </w:r>
          </w:p>
        </w:tc>
        <w:tc>
          <w:tcPr>
            <w:tcW w:w="526" w:type="pct"/>
            <w:tcBorders>
              <w:tl2br w:val="nil"/>
              <w:tr2bl w:val="nil"/>
            </w:tcBorders>
            <w:noWrap w:val="0"/>
            <w:vAlign w:val="center"/>
          </w:tcPr>
          <w:p w14:paraId="4AF3AF37">
            <w:pPr>
              <w:pStyle w:val="20"/>
              <w:bidi w:val="0"/>
              <w:rPr>
                <w:rFonts w:hint="eastAsia" w:eastAsia="宋体"/>
                <w:color w:val="auto"/>
                <w:lang w:val="en-US" w:eastAsia="zh-CN"/>
              </w:rPr>
            </w:pPr>
            <w:r>
              <w:rPr>
                <w:rFonts w:hint="eastAsia"/>
                <w:color w:val="auto"/>
                <w:lang w:val="en-US" w:eastAsia="zh-CN"/>
              </w:rPr>
              <w:t>符合</w:t>
            </w:r>
          </w:p>
        </w:tc>
      </w:tr>
      <w:tr w14:paraId="46EE36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79" w:type="pct"/>
            <w:tcBorders>
              <w:tl2br w:val="nil"/>
              <w:tr2bl w:val="nil"/>
            </w:tcBorders>
            <w:noWrap w:val="0"/>
            <w:vAlign w:val="center"/>
          </w:tcPr>
          <w:p w14:paraId="6698803E">
            <w:pPr>
              <w:pStyle w:val="20"/>
              <w:bidi w:val="0"/>
              <w:rPr>
                <w:rFonts w:hint="default"/>
                <w:color w:val="auto"/>
                <w:lang w:val="en-US" w:eastAsia="zh-CN"/>
              </w:rPr>
            </w:pPr>
            <w:r>
              <w:rPr>
                <w:rFonts w:hint="eastAsia"/>
                <w:color w:val="auto"/>
                <w:lang w:val="en-US" w:eastAsia="zh-CN"/>
              </w:rPr>
              <w:t>2</w:t>
            </w:r>
          </w:p>
        </w:tc>
        <w:tc>
          <w:tcPr>
            <w:tcW w:w="1437" w:type="pct"/>
            <w:tcBorders>
              <w:tl2br w:val="nil"/>
              <w:tr2bl w:val="nil"/>
            </w:tcBorders>
            <w:noWrap w:val="0"/>
            <w:vAlign w:val="center"/>
          </w:tcPr>
          <w:p w14:paraId="0C3A7283">
            <w:pPr>
              <w:pStyle w:val="20"/>
              <w:bidi w:val="0"/>
              <w:rPr>
                <w:rFonts w:hint="eastAsia"/>
                <w:color w:val="auto"/>
                <w:lang w:val="en-US" w:eastAsia="zh-CN"/>
              </w:rPr>
            </w:pPr>
            <w:r>
              <w:rPr>
                <w:rFonts w:hint="eastAsia"/>
                <w:color w:val="auto"/>
                <w:lang w:val="en-US" w:eastAsia="zh-CN"/>
              </w:rPr>
              <w:t>脱硫工程应避免拆迁主体工程的生产建(构)筑物和地下管线。当不能避免时，应采取合理的过渡措施。</w:t>
            </w:r>
          </w:p>
        </w:tc>
        <w:tc>
          <w:tcPr>
            <w:tcW w:w="1288" w:type="pct"/>
            <w:tcBorders>
              <w:tl2br w:val="nil"/>
              <w:tr2bl w:val="nil"/>
            </w:tcBorders>
            <w:noWrap w:val="0"/>
            <w:vAlign w:val="center"/>
          </w:tcPr>
          <w:p w14:paraId="280C815A">
            <w:pPr>
              <w:pStyle w:val="20"/>
              <w:bidi w:val="0"/>
              <w:rPr>
                <w:rFonts w:hint="eastAsia"/>
                <w:color w:val="auto"/>
                <w:lang w:val="en-US"/>
              </w:rPr>
            </w:pPr>
            <w:r>
              <w:rPr>
                <w:rFonts w:hint="eastAsia"/>
                <w:color w:val="auto"/>
                <w:lang w:val="en-US"/>
              </w:rPr>
              <w:t>《石灰石/石灰-石膏湿法烟气脱硫工程通用技术规范》</w:t>
            </w:r>
            <w:r>
              <w:rPr>
                <w:rFonts w:hint="eastAsia"/>
                <w:color w:val="auto"/>
                <w:lang w:val="en-US" w:eastAsia="zh-CN"/>
              </w:rPr>
              <w:t>（HJ179-2018）</w:t>
            </w:r>
            <w:r>
              <w:rPr>
                <w:rFonts w:hint="eastAsia"/>
                <w:color w:val="auto"/>
                <w:lang w:val="en-US"/>
              </w:rPr>
              <w:t>第5.3.1.2条</w:t>
            </w:r>
          </w:p>
        </w:tc>
        <w:tc>
          <w:tcPr>
            <w:tcW w:w="1467" w:type="pct"/>
            <w:tcBorders>
              <w:tl2br w:val="nil"/>
              <w:tr2bl w:val="nil"/>
            </w:tcBorders>
            <w:noWrap w:val="0"/>
            <w:vAlign w:val="center"/>
          </w:tcPr>
          <w:p w14:paraId="668193C9">
            <w:pPr>
              <w:pStyle w:val="20"/>
              <w:bidi w:val="0"/>
              <w:rPr>
                <w:rFonts w:hint="eastAsia"/>
                <w:color w:val="auto"/>
                <w:lang w:val="en-US" w:eastAsia="zh-CN"/>
              </w:rPr>
            </w:pPr>
            <w:r>
              <w:rPr>
                <w:rFonts w:hint="eastAsia"/>
                <w:color w:val="auto"/>
                <w:lang w:val="en-US" w:eastAsia="zh-CN"/>
              </w:rPr>
              <w:t>本项目脱硫工程没有拆迁主体工程的生产建(构)筑物和地下管线。</w:t>
            </w:r>
          </w:p>
        </w:tc>
        <w:tc>
          <w:tcPr>
            <w:tcW w:w="526" w:type="pct"/>
            <w:tcBorders>
              <w:tl2br w:val="nil"/>
              <w:tr2bl w:val="nil"/>
            </w:tcBorders>
            <w:noWrap w:val="0"/>
            <w:vAlign w:val="center"/>
          </w:tcPr>
          <w:p w14:paraId="79FCA130">
            <w:pPr>
              <w:pStyle w:val="20"/>
              <w:bidi w:val="0"/>
              <w:rPr>
                <w:rFonts w:hint="eastAsia"/>
                <w:color w:val="auto"/>
                <w:lang w:val="en-US" w:eastAsia="zh-CN"/>
              </w:rPr>
            </w:pPr>
            <w:r>
              <w:rPr>
                <w:rFonts w:hint="eastAsia"/>
                <w:color w:val="auto"/>
                <w:lang w:val="en-US" w:eastAsia="zh-CN"/>
              </w:rPr>
              <w:t>符合</w:t>
            </w:r>
          </w:p>
        </w:tc>
      </w:tr>
      <w:tr w14:paraId="1849DB9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79" w:type="pct"/>
            <w:tcBorders>
              <w:tl2br w:val="nil"/>
              <w:tr2bl w:val="nil"/>
            </w:tcBorders>
            <w:noWrap w:val="0"/>
            <w:vAlign w:val="center"/>
          </w:tcPr>
          <w:p w14:paraId="424362D7">
            <w:pPr>
              <w:pStyle w:val="20"/>
              <w:bidi w:val="0"/>
              <w:rPr>
                <w:rFonts w:hint="default"/>
                <w:color w:val="auto"/>
                <w:lang w:val="en-US" w:eastAsia="zh-CN"/>
              </w:rPr>
            </w:pPr>
            <w:r>
              <w:rPr>
                <w:rFonts w:hint="eastAsia"/>
                <w:color w:val="auto"/>
                <w:lang w:val="en-US" w:eastAsia="zh-CN"/>
              </w:rPr>
              <w:t>3</w:t>
            </w:r>
          </w:p>
        </w:tc>
        <w:tc>
          <w:tcPr>
            <w:tcW w:w="1437" w:type="pct"/>
            <w:tcBorders>
              <w:tl2br w:val="nil"/>
              <w:tr2bl w:val="nil"/>
            </w:tcBorders>
            <w:noWrap w:val="0"/>
            <w:vAlign w:val="center"/>
          </w:tcPr>
          <w:p w14:paraId="3FE07A1E">
            <w:pPr>
              <w:pStyle w:val="20"/>
              <w:bidi w:val="0"/>
              <w:rPr>
                <w:rFonts w:hint="eastAsia"/>
                <w:color w:val="auto"/>
                <w:lang w:val="en-US" w:eastAsia="zh-CN"/>
              </w:rPr>
            </w:pPr>
            <w:r>
              <w:rPr>
                <w:rFonts w:hint="eastAsia"/>
                <w:color w:val="auto"/>
                <w:lang w:val="en-US" w:eastAsia="zh-CN"/>
              </w:rPr>
              <w:t>吸收塔宜布置在烟囱附近，浆液循环泵应紧邻吸收塔布置。吸收剂制备及脱硫副产物处理应根据工艺流程和场地条件因地制宜布置。</w:t>
            </w:r>
          </w:p>
        </w:tc>
        <w:tc>
          <w:tcPr>
            <w:tcW w:w="1288" w:type="pct"/>
            <w:tcBorders>
              <w:tl2br w:val="nil"/>
              <w:tr2bl w:val="nil"/>
            </w:tcBorders>
            <w:noWrap w:val="0"/>
            <w:vAlign w:val="center"/>
          </w:tcPr>
          <w:p w14:paraId="62B42658">
            <w:pPr>
              <w:pStyle w:val="20"/>
              <w:bidi w:val="0"/>
              <w:rPr>
                <w:rFonts w:hint="eastAsia"/>
                <w:color w:val="auto"/>
                <w:lang w:val="en-US"/>
              </w:rPr>
            </w:pPr>
            <w:r>
              <w:rPr>
                <w:rFonts w:hint="eastAsia"/>
                <w:color w:val="auto"/>
                <w:lang w:val="en-US"/>
              </w:rPr>
              <w:t>《石灰石/石灰-石膏湿法烟气脱硫工程通用技术规范》</w:t>
            </w:r>
            <w:r>
              <w:rPr>
                <w:rFonts w:hint="eastAsia"/>
                <w:color w:val="auto"/>
                <w:lang w:val="en-US" w:eastAsia="zh-CN"/>
              </w:rPr>
              <w:t>（HJ179-2018）</w:t>
            </w:r>
            <w:r>
              <w:rPr>
                <w:rFonts w:hint="eastAsia"/>
                <w:color w:val="auto"/>
                <w:lang w:val="en-US"/>
              </w:rPr>
              <w:t>第5.3.2.1条</w:t>
            </w:r>
          </w:p>
        </w:tc>
        <w:tc>
          <w:tcPr>
            <w:tcW w:w="1467" w:type="pct"/>
            <w:tcBorders>
              <w:tl2br w:val="nil"/>
              <w:tr2bl w:val="nil"/>
            </w:tcBorders>
            <w:noWrap w:val="0"/>
            <w:vAlign w:val="center"/>
          </w:tcPr>
          <w:p w14:paraId="5DD2DAB5">
            <w:pPr>
              <w:pStyle w:val="20"/>
              <w:bidi w:val="0"/>
              <w:rPr>
                <w:rFonts w:hint="eastAsia"/>
                <w:color w:val="auto"/>
                <w:lang w:val="en-US" w:eastAsia="zh-CN"/>
              </w:rPr>
            </w:pPr>
            <w:r>
              <w:rPr>
                <w:rFonts w:hint="eastAsia"/>
                <w:color w:val="auto"/>
                <w:lang w:val="en-US" w:eastAsia="zh-CN"/>
              </w:rPr>
              <w:t>本项目吸收塔布置在窑尾烟囱附近。浆液循环泵紧邻吸收塔。</w:t>
            </w:r>
          </w:p>
        </w:tc>
        <w:tc>
          <w:tcPr>
            <w:tcW w:w="526" w:type="pct"/>
            <w:tcBorders>
              <w:tl2br w:val="nil"/>
              <w:tr2bl w:val="nil"/>
            </w:tcBorders>
            <w:noWrap w:val="0"/>
            <w:vAlign w:val="center"/>
          </w:tcPr>
          <w:p w14:paraId="19E974C3">
            <w:pPr>
              <w:pStyle w:val="20"/>
              <w:bidi w:val="0"/>
              <w:rPr>
                <w:rFonts w:hint="eastAsia"/>
                <w:color w:val="auto"/>
                <w:lang w:val="en-US" w:eastAsia="zh-CN"/>
              </w:rPr>
            </w:pPr>
            <w:r>
              <w:rPr>
                <w:rFonts w:hint="eastAsia"/>
                <w:color w:val="auto"/>
                <w:lang w:val="en-US" w:eastAsia="zh-CN"/>
              </w:rPr>
              <w:t>符合</w:t>
            </w:r>
          </w:p>
        </w:tc>
      </w:tr>
      <w:tr w14:paraId="4DB4D8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79" w:type="pct"/>
            <w:tcBorders>
              <w:tl2br w:val="nil"/>
              <w:tr2bl w:val="nil"/>
            </w:tcBorders>
            <w:noWrap w:val="0"/>
            <w:vAlign w:val="center"/>
          </w:tcPr>
          <w:p w14:paraId="7891A343">
            <w:pPr>
              <w:pStyle w:val="20"/>
              <w:bidi w:val="0"/>
              <w:rPr>
                <w:rFonts w:hint="default"/>
                <w:color w:val="auto"/>
                <w:lang w:val="en-US" w:eastAsia="zh-CN"/>
              </w:rPr>
            </w:pPr>
            <w:r>
              <w:rPr>
                <w:rFonts w:hint="eastAsia"/>
                <w:color w:val="auto"/>
                <w:lang w:val="en-US" w:eastAsia="zh-CN"/>
              </w:rPr>
              <w:t>4</w:t>
            </w:r>
          </w:p>
        </w:tc>
        <w:tc>
          <w:tcPr>
            <w:tcW w:w="1437" w:type="pct"/>
            <w:tcBorders>
              <w:tl2br w:val="nil"/>
              <w:tr2bl w:val="nil"/>
            </w:tcBorders>
            <w:noWrap w:val="0"/>
            <w:vAlign w:val="center"/>
          </w:tcPr>
          <w:p w14:paraId="73034EE2">
            <w:pPr>
              <w:pStyle w:val="20"/>
              <w:bidi w:val="0"/>
              <w:rPr>
                <w:rFonts w:hint="eastAsia"/>
                <w:color w:val="auto"/>
                <w:lang w:val="en-US" w:eastAsia="zh-CN"/>
              </w:rPr>
            </w:pPr>
            <w:r>
              <w:rPr>
                <w:rFonts w:hint="eastAsia"/>
                <w:color w:val="auto"/>
                <w:lang w:val="en-US" w:eastAsia="zh-CN"/>
              </w:rPr>
              <w:t>事故浆池或事故浆液箱的位置应便于多套装置共用。</w:t>
            </w:r>
          </w:p>
        </w:tc>
        <w:tc>
          <w:tcPr>
            <w:tcW w:w="1288" w:type="pct"/>
            <w:tcBorders>
              <w:tl2br w:val="nil"/>
              <w:tr2bl w:val="nil"/>
            </w:tcBorders>
            <w:noWrap w:val="0"/>
            <w:vAlign w:val="center"/>
          </w:tcPr>
          <w:p w14:paraId="224ED9EA">
            <w:pPr>
              <w:pStyle w:val="20"/>
              <w:bidi w:val="0"/>
              <w:rPr>
                <w:rFonts w:hint="eastAsia"/>
                <w:color w:val="auto"/>
                <w:lang w:val="en-US"/>
              </w:rPr>
            </w:pPr>
            <w:r>
              <w:rPr>
                <w:rFonts w:hint="eastAsia"/>
                <w:color w:val="auto"/>
                <w:lang w:val="en-US"/>
              </w:rPr>
              <w:t>《石灰石/石灰-石 膏湿法烟气脱硫工程通用技术规范》</w:t>
            </w:r>
            <w:r>
              <w:rPr>
                <w:rFonts w:hint="eastAsia"/>
                <w:color w:val="auto"/>
                <w:lang w:val="en-US" w:eastAsia="zh-CN"/>
              </w:rPr>
              <w:t>（HJ179-2018）</w:t>
            </w:r>
            <w:r>
              <w:rPr>
                <w:rFonts w:hint="eastAsia"/>
                <w:color w:val="auto"/>
                <w:lang w:val="en-US"/>
              </w:rPr>
              <w:t>第5.3.2.2条</w:t>
            </w:r>
          </w:p>
        </w:tc>
        <w:tc>
          <w:tcPr>
            <w:tcW w:w="1467" w:type="pct"/>
            <w:tcBorders>
              <w:tl2br w:val="nil"/>
              <w:tr2bl w:val="nil"/>
            </w:tcBorders>
            <w:noWrap w:val="0"/>
            <w:vAlign w:val="center"/>
          </w:tcPr>
          <w:p w14:paraId="1247627F">
            <w:pPr>
              <w:pStyle w:val="20"/>
              <w:bidi w:val="0"/>
              <w:rPr>
                <w:rFonts w:hint="default"/>
                <w:color w:val="auto"/>
                <w:lang w:val="en-US" w:eastAsia="zh-CN"/>
              </w:rPr>
            </w:pPr>
            <w:r>
              <w:rPr>
                <w:rFonts w:hint="eastAsia"/>
                <w:color w:val="auto"/>
                <w:lang w:val="en-US" w:eastAsia="zh-CN"/>
              </w:rPr>
              <w:t>本项目事故浆液箱位置临近5#、6#脱硫装置，便于利用。</w:t>
            </w:r>
          </w:p>
        </w:tc>
        <w:tc>
          <w:tcPr>
            <w:tcW w:w="526" w:type="pct"/>
            <w:tcBorders>
              <w:tl2br w:val="nil"/>
              <w:tr2bl w:val="nil"/>
            </w:tcBorders>
            <w:noWrap w:val="0"/>
            <w:vAlign w:val="center"/>
          </w:tcPr>
          <w:p w14:paraId="70F7458A">
            <w:pPr>
              <w:pStyle w:val="20"/>
              <w:bidi w:val="0"/>
              <w:rPr>
                <w:rFonts w:hint="eastAsia"/>
                <w:color w:val="auto"/>
                <w:lang w:val="en-US" w:eastAsia="zh-CN"/>
              </w:rPr>
            </w:pPr>
            <w:r>
              <w:rPr>
                <w:rFonts w:hint="eastAsia"/>
                <w:color w:val="auto"/>
                <w:lang w:val="en-US" w:eastAsia="zh-CN"/>
              </w:rPr>
              <w:t>符合</w:t>
            </w:r>
          </w:p>
        </w:tc>
      </w:tr>
      <w:tr w14:paraId="02E584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79" w:type="pct"/>
            <w:tcBorders>
              <w:tl2br w:val="nil"/>
              <w:tr2bl w:val="nil"/>
            </w:tcBorders>
            <w:noWrap w:val="0"/>
            <w:vAlign w:val="center"/>
          </w:tcPr>
          <w:p w14:paraId="11B7854E">
            <w:pPr>
              <w:pStyle w:val="20"/>
              <w:bidi w:val="0"/>
              <w:rPr>
                <w:rFonts w:hint="default"/>
                <w:color w:val="auto"/>
                <w:lang w:val="en-US" w:eastAsia="zh-CN"/>
              </w:rPr>
            </w:pPr>
            <w:r>
              <w:rPr>
                <w:rFonts w:hint="eastAsia"/>
                <w:color w:val="auto"/>
                <w:lang w:val="en-US" w:eastAsia="zh-CN"/>
              </w:rPr>
              <w:t>5</w:t>
            </w:r>
          </w:p>
        </w:tc>
        <w:tc>
          <w:tcPr>
            <w:tcW w:w="1437" w:type="pct"/>
            <w:tcBorders>
              <w:tl2br w:val="nil"/>
              <w:tr2bl w:val="nil"/>
            </w:tcBorders>
            <w:noWrap w:val="0"/>
            <w:vAlign w:val="center"/>
          </w:tcPr>
          <w:p w14:paraId="3EAEDB78">
            <w:pPr>
              <w:pStyle w:val="20"/>
              <w:bidi w:val="0"/>
              <w:rPr>
                <w:rFonts w:hint="eastAsia"/>
                <w:color w:val="auto"/>
                <w:lang w:val="en-US" w:eastAsia="zh-CN"/>
              </w:rPr>
            </w:pPr>
            <w:r>
              <w:rPr>
                <w:rFonts w:hint="eastAsia"/>
                <w:color w:val="auto"/>
                <w:lang w:val="en-US" w:eastAsia="zh-CN"/>
              </w:rPr>
              <w:t>地震作用和抗震措施均应符合本地区抗震设防烈度的要求。</w:t>
            </w:r>
          </w:p>
        </w:tc>
        <w:tc>
          <w:tcPr>
            <w:tcW w:w="1288" w:type="pct"/>
            <w:tcBorders>
              <w:tl2br w:val="nil"/>
              <w:tr2bl w:val="nil"/>
            </w:tcBorders>
            <w:noWrap w:val="0"/>
            <w:vAlign w:val="center"/>
          </w:tcPr>
          <w:p w14:paraId="53955F31">
            <w:pPr>
              <w:pStyle w:val="20"/>
              <w:bidi w:val="0"/>
              <w:rPr>
                <w:rFonts w:hint="eastAsia"/>
                <w:color w:val="auto"/>
                <w:lang w:val="en-US"/>
              </w:rPr>
            </w:pPr>
            <w:r>
              <w:rPr>
                <w:rFonts w:hint="eastAsia"/>
                <w:color w:val="auto"/>
                <w:lang w:val="en-US"/>
              </w:rPr>
              <w:t>《石灰石/石灰-石膏湿法烟气脱硫工程通用技术规范》</w:t>
            </w:r>
            <w:r>
              <w:rPr>
                <w:rFonts w:hint="eastAsia"/>
                <w:color w:val="auto"/>
                <w:lang w:val="en-US" w:eastAsia="zh-CN"/>
              </w:rPr>
              <w:t>（HJ179-2018）</w:t>
            </w:r>
            <w:r>
              <w:rPr>
                <w:rFonts w:hint="eastAsia"/>
                <w:color w:val="auto"/>
                <w:lang w:val="en-US"/>
              </w:rPr>
              <w:t>第</w:t>
            </w:r>
            <w:r>
              <w:rPr>
                <w:rFonts w:hint="eastAsia"/>
                <w:color w:val="auto"/>
                <w:lang w:val="en-US" w:eastAsia="zh-CN"/>
              </w:rPr>
              <w:t>9.2.2.3</w:t>
            </w:r>
            <w:r>
              <w:rPr>
                <w:rFonts w:hint="eastAsia"/>
                <w:color w:val="auto"/>
                <w:lang w:val="en-US"/>
              </w:rPr>
              <w:t>条</w:t>
            </w:r>
          </w:p>
        </w:tc>
        <w:tc>
          <w:tcPr>
            <w:tcW w:w="1467" w:type="pct"/>
            <w:tcBorders>
              <w:tl2br w:val="nil"/>
              <w:tr2bl w:val="nil"/>
            </w:tcBorders>
            <w:noWrap w:val="0"/>
            <w:vAlign w:val="center"/>
          </w:tcPr>
          <w:p w14:paraId="2A83A506">
            <w:pPr>
              <w:pStyle w:val="20"/>
              <w:bidi w:val="0"/>
              <w:rPr>
                <w:rFonts w:hint="eastAsia"/>
                <w:color w:val="auto"/>
                <w:lang w:val="en-US" w:eastAsia="zh-CN"/>
              </w:rPr>
            </w:pPr>
            <w:r>
              <w:rPr>
                <w:rFonts w:hint="eastAsia"/>
                <w:color w:val="auto"/>
                <w:lang w:val="en-US" w:eastAsia="zh-CN"/>
              </w:rPr>
              <w:t>本项目配电室按照本地6级抗震设防烈度设计和施工。</w:t>
            </w:r>
          </w:p>
        </w:tc>
        <w:tc>
          <w:tcPr>
            <w:tcW w:w="526" w:type="pct"/>
            <w:tcBorders>
              <w:tl2br w:val="nil"/>
              <w:tr2bl w:val="nil"/>
            </w:tcBorders>
            <w:noWrap w:val="0"/>
            <w:vAlign w:val="center"/>
          </w:tcPr>
          <w:p w14:paraId="77510D6F">
            <w:pPr>
              <w:pStyle w:val="20"/>
              <w:bidi w:val="0"/>
              <w:rPr>
                <w:rFonts w:hint="eastAsia"/>
                <w:color w:val="auto"/>
                <w:lang w:val="en-US" w:eastAsia="zh-CN"/>
              </w:rPr>
            </w:pPr>
            <w:r>
              <w:rPr>
                <w:rFonts w:hint="eastAsia"/>
                <w:color w:val="auto"/>
                <w:lang w:val="en-US" w:eastAsia="zh-CN"/>
              </w:rPr>
              <w:t>符合</w:t>
            </w:r>
          </w:p>
        </w:tc>
      </w:tr>
      <w:tr w14:paraId="77BDD1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04" w:hRule="atLeast"/>
          <w:jc w:val="center"/>
        </w:trPr>
        <w:tc>
          <w:tcPr>
            <w:tcW w:w="279" w:type="pct"/>
            <w:tcBorders>
              <w:tl2br w:val="nil"/>
              <w:tr2bl w:val="nil"/>
            </w:tcBorders>
            <w:noWrap w:val="0"/>
            <w:vAlign w:val="center"/>
          </w:tcPr>
          <w:p w14:paraId="6DC84CC6">
            <w:pPr>
              <w:pStyle w:val="20"/>
              <w:bidi w:val="0"/>
              <w:rPr>
                <w:rFonts w:hint="eastAsia"/>
                <w:color w:val="auto"/>
                <w:lang w:val="en-US" w:eastAsia="zh-CN"/>
              </w:rPr>
            </w:pPr>
            <w:r>
              <w:rPr>
                <w:rFonts w:hint="eastAsia"/>
                <w:color w:val="auto"/>
                <w:lang w:val="en-US" w:eastAsia="zh-CN"/>
              </w:rPr>
              <w:t>6</w:t>
            </w:r>
          </w:p>
        </w:tc>
        <w:tc>
          <w:tcPr>
            <w:tcW w:w="1437" w:type="pct"/>
            <w:tcBorders>
              <w:tl2br w:val="nil"/>
              <w:tr2bl w:val="nil"/>
            </w:tcBorders>
            <w:noWrap w:val="0"/>
            <w:vAlign w:val="center"/>
          </w:tcPr>
          <w:p w14:paraId="2378D89E">
            <w:pPr>
              <w:pStyle w:val="20"/>
              <w:bidi w:val="0"/>
              <w:rPr>
                <w:color w:val="auto"/>
                <w:lang w:val="en-US"/>
              </w:rPr>
            </w:pPr>
            <w:r>
              <w:rPr>
                <w:color w:val="auto"/>
                <w:lang w:val="en-US"/>
              </w:rPr>
              <w:t>总平面布置，应充分利用地形、地势、工程地质及水文地质条件，合理地布置建筑物、构筑物和有关设施，并应减少土</w:t>
            </w:r>
            <w:r>
              <w:rPr>
                <w:rFonts w:hint="eastAsia"/>
                <w:color w:val="auto"/>
                <w:lang w:val="en-US" w:eastAsia="zh-CN"/>
              </w:rPr>
              <w:t>（</w:t>
            </w:r>
            <w:r>
              <w:rPr>
                <w:color w:val="auto"/>
                <w:lang w:val="en-US"/>
              </w:rPr>
              <w:t>石</w:t>
            </w:r>
            <w:r>
              <w:rPr>
                <w:rFonts w:hint="eastAsia"/>
                <w:color w:val="auto"/>
                <w:lang w:val="en-US" w:eastAsia="zh-CN"/>
              </w:rPr>
              <w:t>）</w:t>
            </w:r>
            <w:r>
              <w:rPr>
                <w:color w:val="auto"/>
                <w:lang w:val="en-US"/>
              </w:rPr>
              <w:t>方工程质量和基础工程费用。</w:t>
            </w:r>
          </w:p>
        </w:tc>
        <w:tc>
          <w:tcPr>
            <w:tcW w:w="1288" w:type="pct"/>
            <w:tcBorders>
              <w:tl2br w:val="nil"/>
              <w:tr2bl w:val="nil"/>
            </w:tcBorders>
            <w:noWrap w:val="0"/>
            <w:vAlign w:val="center"/>
          </w:tcPr>
          <w:p w14:paraId="774FC08C">
            <w:pPr>
              <w:pStyle w:val="20"/>
              <w:bidi w:val="0"/>
              <w:rPr>
                <w:color w:val="auto"/>
                <w:lang w:val="en-US"/>
              </w:rPr>
            </w:pPr>
            <w:r>
              <w:rPr>
                <w:color w:val="auto"/>
                <w:lang w:val="en-US"/>
              </w:rPr>
              <w:t>《工业企业总平面设计规范》（GB50187-2012）第5.1.5条</w:t>
            </w:r>
          </w:p>
        </w:tc>
        <w:tc>
          <w:tcPr>
            <w:tcW w:w="1467" w:type="pct"/>
            <w:tcBorders>
              <w:tl2br w:val="nil"/>
              <w:tr2bl w:val="nil"/>
            </w:tcBorders>
            <w:noWrap w:val="0"/>
            <w:vAlign w:val="center"/>
          </w:tcPr>
          <w:p w14:paraId="0E033C39">
            <w:pPr>
              <w:pStyle w:val="20"/>
              <w:bidi w:val="0"/>
              <w:rPr>
                <w:color w:val="auto"/>
                <w:lang w:val="en-US"/>
              </w:rPr>
            </w:pPr>
            <w:r>
              <w:rPr>
                <w:color w:val="auto"/>
                <w:lang w:val="en-US"/>
              </w:rPr>
              <w:t>总平面布置充分利用地形、地势、工程地质及水文地质条件，合理布置</w:t>
            </w:r>
            <w:r>
              <w:rPr>
                <w:rFonts w:hint="eastAsia"/>
                <w:color w:val="auto"/>
                <w:lang w:val="en-US" w:eastAsia="zh-CN"/>
              </w:rPr>
              <w:t>构筑物</w:t>
            </w:r>
            <w:r>
              <w:rPr>
                <w:color w:val="auto"/>
                <w:lang w:val="en-US"/>
              </w:rPr>
              <w:t>，并减少土</w:t>
            </w:r>
            <w:r>
              <w:rPr>
                <w:rFonts w:hint="eastAsia"/>
                <w:color w:val="auto"/>
                <w:lang w:val="en-US" w:eastAsia="zh-CN"/>
              </w:rPr>
              <w:t>（</w:t>
            </w:r>
            <w:r>
              <w:rPr>
                <w:color w:val="auto"/>
                <w:lang w:val="en-US"/>
              </w:rPr>
              <w:t>石</w:t>
            </w:r>
            <w:r>
              <w:rPr>
                <w:rFonts w:hint="eastAsia"/>
                <w:color w:val="auto"/>
                <w:lang w:val="en-US" w:eastAsia="zh-CN"/>
              </w:rPr>
              <w:t>）</w:t>
            </w:r>
            <w:r>
              <w:rPr>
                <w:color w:val="auto"/>
                <w:lang w:val="en-US"/>
              </w:rPr>
              <w:t>方工程质量和基础工程费用。</w:t>
            </w:r>
          </w:p>
        </w:tc>
        <w:tc>
          <w:tcPr>
            <w:tcW w:w="526" w:type="pct"/>
            <w:tcBorders>
              <w:tl2br w:val="nil"/>
              <w:tr2bl w:val="nil"/>
            </w:tcBorders>
            <w:noWrap w:val="0"/>
            <w:vAlign w:val="center"/>
          </w:tcPr>
          <w:p w14:paraId="4DE02F66">
            <w:pPr>
              <w:pStyle w:val="20"/>
              <w:bidi w:val="0"/>
              <w:rPr>
                <w:color w:val="auto"/>
                <w:lang w:val="en-US"/>
              </w:rPr>
            </w:pPr>
            <w:r>
              <w:rPr>
                <w:color w:val="auto"/>
                <w:lang w:val="en-US"/>
              </w:rPr>
              <w:t>符合</w:t>
            </w:r>
          </w:p>
        </w:tc>
      </w:tr>
      <w:tr w14:paraId="47FE30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04" w:hRule="atLeast"/>
          <w:jc w:val="center"/>
        </w:trPr>
        <w:tc>
          <w:tcPr>
            <w:tcW w:w="279" w:type="pct"/>
            <w:tcBorders>
              <w:tl2br w:val="nil"/>
              <w:tr2bl w:val="nil"/>
            </w:tcBorders>
            <w:noWrap w:val="0"/>
            <w:vAlign w:val="center"/>
          </w:tcPr>
          <w:p w14:paraId="04B3F2EB">
            <w:pPr>
              <w:pStyle w:val="20"/>
              <w:bidi w:val="0"/>
              <w:rPr>
                <w:rFonts w:hint="default"/>
                <w:color w:val="auto"/>
                <w:lang w:val="en-US" w:eastAsia="zh-CN"/>
              </w:rPr>
            </w:pPr>
            <w:r>
              <w:rPr>
                <w:rFonts w:hint="eastAsia"/>
                <w:color w:val="auto"/>
                <w:lang w:val="en-US" w:eastAsia="zh-CN"/>
              </w:rPr>
              <w:t>7</w:t>
            </w:r>
          </w:p>
        </w:tc>
        <w:tc>
          <w:tcPr>
            <w:tcW w:w="1437" w:type="pct"/>
            <w:tcBorders>
              <w:tl2br w:val="nil"/>
              <w:tr2bl w:val="nil"/>
            </w:tcBorders>
            <w:noWrap w:val="0"/>
            <w:vAlign w:val="center"/>
          </w:tcPr>
          <w:p w14:paraId="1BC467A9">
            <w:pPr>
              <w:pStyle w:val="20"/>
              <w:bidi w:val="0"/>
              <w:rPr>
                <w:color w:val="auto"/>
                <w:lang w:val="en-US"/>
              </w:rPr>
            </w:pPr>
            <w:r>
              <w:rPr>
                <w:color w:val="auto"/>
                <w:lang w:val="en-US"/>
              </w:rPr>
              <w:t>总平面布置应结合当地气象条件，使建筑物具有良好的朝向、采光和自然通风条件。高温、热加工、有特殊要求和人员较多的建筑物，应避免西晒。</w:t>
            </w:r>
          </w:p>
        </w:tc>
        <w:tc>
          <w:tcPr>
            <w:tcW w:w="1288" w:type="pct"/>
            <w:tcBorders>
              <w:tl2br w:val="nil"/>
              <w:tr2bl w:val="nil"/>
            </w:tcBorders>
            <w:noWrap w:val="0"/>
            <w:vAlign w:val="center"/>
          </w:tcPr>
          <w:p w14:paraId="2C6EF5A9">
            <w:pPr>
              <w:pStyle w:val="20"/>
              <w:bidi w:val="0"/>
              <w:rPr>
                <w:rFonts w:hint="eastAsia"/>
                <w:color w:val="auto"/>
                <w:lang w:val="en-US" w:eastAsia="zh-CN"/>
              </w:rPr>
            </w:pPr>
            <w:r>
              <w:rPr>
                <w:rFonts w:hint="eastAsia"/>
                <w:color w:val="auto"/>
                <w:lang w:val="en-US"/>
              </w:rPr>
              <w:t>《工业企业总平面设计规范》（GB50187-2012）</w:t>
            </w:r>
            <w:r>
              <w:rPr>
                <w:rFonts w:hint="eastAsia"/>
                <w:color w:val="auto"/>
                <w:lang w:val="en-US" w:eastAsia="zh-CN"/>
              </w:rPr>
              <w:t>第</w:t>
            </w:r>
            <w:r>
              <w:rPr>
                <w:rFonts w:hint="eastAsia"/>
                <w:color w:val="auto"/>
                <w:lang w:val="en-US"/>
              </w:rPr>
              <w:t>5.1.6</w:t>
            </w:r>
            <w:r>
              <w:rPr>
                <w:rFonts w:hint="eastAsia"/>
                <w:color w:val="auto"/>
                <w:lang w:val="en-US" w:eastAsia="zh-CN"/>
              </w:rPr>
              <w:t>条</w:t>
            </w:r>
          </w:p>
        </w:tc>
        <w:tc>
          <w:tcPr>
            <w:tcW w:w="1467" w:type="pct"/>
            <w:tcBorders>
              <w:tl2br w:val="nil"/>
              <w:tr2bl w:val="nil"/>
            </w:tcBorders>
            <w:noWrap w:val="0"/>
            <w:vAlign w:val="center"/>
          </w:tcPr>
          <w:p w14:paraId="5830456A">
            <w:pPr>
              <w:pStyle w:val="20"/>
              <w:bidi w:val="0"/>
              <w:rPr>
                <w:color w:val="auto"/>
                <w:lang w:val="en-US"/>
              </w:rPr>
            </w:pPr>
            <w:r>
              <w:rPr>
                <w:rFonts w:hint="eastAsia"/>
                <w:color w:val="auto"/>
                <w:lang w:val="en-US"/>
              </w:rPr>
              <w:t>项目</w:t>
            </w:r>
            <w:r>
              <w:rPr>
                <w:rFonts w:hint="eastAsia"/>
                <w:color w:val="auto"/>
                <w:lang w:val="en-US" w:eastAsia="zh-CN"/>
              </w:rPr>
              <w:t>配电室</w:t>
            </w:r>
            <w:r>
              <w:rPr>
                <w:color w:val="auto"/>
                <w:lang w:val="en-US"/>
              </w:rPr>
              <w:t>的布置有利于自然通风和采光。</w:t>
            </w:r>
          </w:p>
        </w:tc>
        <w:tc>
          <w:tcPr>
            <w:tcW w:w="526" w:type="pct"/>
            <w:tcBorders>
              <w:tl2br w:val="nil"/>
              <w:tr2bl w:val="nil"/>
            </w:tcBorders>
            <w:noWrap w:val="0"/>
            <w:vAlign w:val="center"/>
          </w:tcPr>
          <w:p w14:paraId="6A05E7F3">
            <w:pPr>
              <w:pStyle w:val="20"/>
              <w:bidi w:val="0"/>
              <w:rPr>
                <w:rFonts w:hint="default"/>
                <w:color w:val="auto"/>
                <w:lang w:val="en-US" w:eastAsia="zh-CN"/>
              </w:rPr>
            </w:pPr>
            <w:r>
              <w:rPr>
                <w:rFonts w:hint="eastAsia"/>
                <w:color w:val="auto"/>
                <w:lang w:val="en-US" w:eastAsia="zh-CN"/>
              </w:rPr>
              <w:t>符合</w:t>
            </w:r>
          </w:p>
        </w:tc>
      </w:tr>
      <w:tr w14:paraId="6C06B5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04" w:hRule="atLeast"/>
          <w:jc w:val="center"/>
        </w:trPr>
        <w:tc>
          <w:tcPr>
            <w:tcW w:w="279" w:type="pct"/>
            <w:tcBorders>
              <w:tl2br w:val="nil"/>
              <w:tr2bl w:val="nil"/>
            </w:tcBorders>
            <w:noWrap w:val="0"/>
            <w:vAlign w:val="center"/>
          </w:tcPr>
          <w:p w14:paraId="4CF55079">
            <w:pPr>
              <w:pStyle w:val="20"/>
              <w:bidi w:val="0"/>
              <w:rPr>
                <w:rFonts w:hint="default"/>
                <w:color w:val="auto"/>
                <w:lang w:val="en-US" w:eastAsia="zh-CN"/>
              </w:rPr>
            </w:pPr>
            <w:r>
              <w:rPr>
                <w:rFonts w:hint="eastAsia"/>
                <w:color w:val="auto"/>
                <w:lang w:val="en-US" w:eastAsia="zh-CN"/>
              </w:rPr>
              <w:t>8</w:t>
            </w:r>
          </w:p>
        </w:tc>
        <w:tc>
          <w:tcPr>
            <w:tcW w:w="1437" w:type="pct"/>
            <w:tcBorders>
              <w:tl2br w:val="nil"/>
              <w:tr2bl w:val="nil"/>
            </w:tcBorders>
            <w:noWrap w:val="0"/>
            <w:vAlign w:val="center"/>
          </w:tcPr>
          <w:p w14:paraId="486264CA">
            <w:pPr>
              <w:pStyle w:val="20"/>
              <w:bidi w:val="0"/>
              <w:rPr>
                <w:color w:val="auto"/>
                <w:lang w:val="en-US"/>
              </w:rPr>
            </w:pPr>
            <w:r>
              <w:rPr>
                <w:color w:val="auto"/>
                <w:lang w:val="en-US"/>
              </w:rPr>
              <w:t>总平面布置应防止高温、有害气体、烟、雾、粉尘、强烈振动和高噪声对周围环境和人身安全的危害</w:t>
            </w:r>
            <w:r>
              <w:rPr>
                <w:rFonts w:hint="eastAsia"/>
                <w:color w:val="auto"/>
                <w:lang w:val="en-US"/>
              </w:rPr>
              <w:t>，</w:t>
            </w:r>
            <w:r>
              <w:rPr>
                <w:color w:val="auto"/>
                <w:lang w:val="en-US"/>
              </w:rPr>
              <w:t>并应符合国家</w:t>
            </w:r>
            <w:r>
              <w:rPr>
                <w:rFonts w:hint="eastAsia"/>
                <w:color w:val="auto"/>
                <w:lang w:val="en-US"/>
              </w:rPr>
              <w:t>现行</w:t>
            </w:r>
            <w:r>
              <w:rPr>
                <w:color w:val="auto"/>
                <w:lang w:val="en-US"/>
              </w:rPr>
              <w:t>有关工业企业卫生设计标准的规定。</w:t>
            </w:r>
          </w:p>
        </w:tc>
        <w:tc>
          <w:tcPr>
            <w:tcW w:w="1288" w:type="pct"/>
            <w:tcBorders>
              <w:tl2br w:val="nil"/>
              <w:tr2bl w:val="nil"/>
            </w:tcBorders>
            <w:noWrap w:val="0"/>
            <w:vAlign w:val="center"/>
          </w:tcPr>
          <w:p w14:paraId="5351FF2D">
            <w:pPr>
              <w:pStyle w:val="20"/>
              <w:bidi w:val="0"/>
              <w:rPr>
                <w:rFonts w:hint="eastAsia"/>
                <w:color w:val="auto"/>
                <w:lang w:val="en-US" w:eastAsia="zh-CN"/>
              </w:rPr>
            </w:pPr>
            <w:r>
              <w:rPr>
                <w:rFonts w:hint="eastAsia"/>
                <w:color w:val="auto"/>
                <w:lang w:val="en-US"/>
              </w:rPr>
              <w:t>《工业企业总平面设计规范》（GB50187-2012）</w:t>
            </w:r>
            <w:r>
              <w:rPr>
                <w:rFonts w:hint="eastAsia"/>
                <w:color w:val="auto"/>
                <w:lang w:val="en-US" w:eastAsia="zh-CN"/>
              </w:rPr>
              <w:t>第</w:t>
            </w:r>
            <w:r>
              <w:rPr>
                <w:rFonts w:hint="eastAsia"/>
                <w:color w:val="auto"/>
                <w:lang w:val="en-US"/>
              </w:rPr>
              <w:t>5.1.7</w:t>
            </w:r>
            <w:r>
              <w:rPr>
                <w:rFonts w:hint="eastAsia"/>
                <w:color w:val="auto"/>
                <w:lang w:val="en-US" w:eastAsia="zh-CN"/>
              </w:rPr>
              <w:t>条</w:t>
            </w:r>
          </w:p>
        </w:tc>
        <w:tc>
          <w:tcPr>
            <w:tcW w:w="1467" w:type="pct"/>
            <w:tcBorders>
              <w:tl2br w:val="nil"/>
              <w:tr2bl w:val="nil"/>
            </w:tcBorders>
            <w:noWrap w:val="0"/>
            <w:vAlign w:val="center"/>
          </w:tcPr>
          <w:p w14:paraId="6742A256">
            <w:pPr>
              <w:pStyle w:val="20"/>
              <w:bidi w:val="0"/>
              <w:rPr>
                <w:rFonts w:hint="eastAsia"/>
                <w:color w:val="auto"/>
                <w:lang w:val="en-US"/>
              </w:rPr>
            </w:pPr>
            <w:r>
              <w:rPr>
                <w:color w:val="auto"/>
                <w:lang w:val="en-US"/>
              </w:rPr>
              <w:t>项目</w:t>
            </w:r>
            <w:r>
              <w:rPr>
                <w:rFonts w:hint="eastAsia"/>
                <w:color w:val="auto"/>
                <w:lang w:val="en-US"/>
              </w:rPr>
              <w:t>布置防止有害气体对周围环境和人身安全造成危害。</w:t>
            </w:r>
          </w:p>
        </w:tc>
        <w:tc>
          <w:tcPr>
            <w:tcW w:w="526" w:type="pct"/>
            <w:tcBorders>
              <w:tl2br w:val="nil"/>
              <w:tr2bl w:val="nil"/>
            </w:tcBorders>
            <w:noWrap w:val="0"/>
            <w:vAlign w:val="center"/>
          </w:tcPr>
          <w:p w14:paraId="5F83C743">
            <w:pPr>
              <w:pStyle w:val="20"/>
              <w:bidi w:val="0"/>
              <w:rPr>
                <w:rFonts w:hint="default"/>
                <w:color w:val="auto"/>
                <w:lang w:val="en-US" w:eastAsia="zh-CN"/>
              </w:rPr>
            </w:pPr>
            <w:r>
              <w:rPr>
                <w:rFonts w:hint="eastAsia"/>
                <w:color w:val="auto"/>
                <w:lang w:val="en-US" w:eastAsia="zh-CN"/>
              </w:rPr>
              <w:t>符合</w:t>
            </w:r>
          </w:p>
        </w:tc>
      </w:tr>
      <w:tr w14:paraId="6A0FAB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79" w:type="pct"/>
            <w:tcBorders>
              <w:tl2br w:val="nil"/>
              <w:tr2bl w:val="nil"/>
            </w:tcBorders>
            <w:noWrap w:val="0"/>
            <w:vAlign w:val="center"/>
          </w:tcPr>
          <w:p w14:paraId="72D57299">
            <w:pPr>
              <w:pStyle w:val="20"/>
              <w:bidi w:val="0"/>
              <w:rPr>
                <w:rFonts w:hint="eastAsia"/>
                <w:color w:val="auto"/>
                <w:lang w:val="en-US" w:eastAsia="zh-CN"/>
              </w:rPr>
            </w:pPr>
            <w:r>
              <w:rPr>
                <w:rFonts w:hint="eastAsia"/>
                <w:color w:val="auto"/>
                <w:lang w:val="en-US" w:eastAsia="zh-CN"/>
              </w:rPr>
              <w:t>9</w:t>
            </w:r>
          </w:p>
        </w:tc>
        <w:tc>
          <w:tcPr>
            <w:tcW w:w="1437" w:type="pct"/>
            <w:tcBorders>
              <w:tl2br w:val="nil"/>
              <w:tr2bl w:val="nil"/>
            </w:tcBorders>
            <w:noWrap w:val="0"/>
            <w:vAlign w:val="center"/>
          </w:tcPr>
          <w:p w14:paraId="1FE8BD4A">
            <w:pPr>
              <w:pStyle w:val="20"/>
              <w:bidi w:val="0"/>
              <w:rPr>
                <w:color w:val="auto"/>
                <w:lang w:val="en-US"/>
              </w:rPr>
            </w:pPr>
            <w:r>
              <w:rPr>
                <w:color w:val="auto"/>
                <w:lang w:val="en-US" w:eastAsia="zh-CN"/>
              </w:rPr>
              <w:t>工业企业的建筑物、构筑物之间及其与铁路、道路之间的防火间距，以</w:t>
            </w:r>
            <w:r>
              <w:rPr>
                <w:rFonts w:hint="default"/>
                <w:color w:val="auto"/>
                <w:lang w:val="en-US" w:eastAsia="zh-CN"/>
              </w:rPr>
              <w:t>及消防通道的设置，应执行现行国家《建筑设计防火规范》GB50016等有关的规定。</w:t>
            </w:r>
          </w:p>
        </w:tc>
        <w:tc>
          <w:tcPr>
            <w:tcW w:w="1288" w:type="pct"/>
            <w:tcBorders>
              <w:tl2br w:val="nil"/>
              <w:tr2bl w:val="nil"/>
            </w:tcBorders>
            <w:noWrap w:val="0"/>
            <w:vAlign w:val="center"/>
          </w:tcPr>
          <w:p w14:paraId="123E5C76">
            <w:pPr>
              <w:pStyle w:val="20"/>
              <w:bidi w:val="0"/>
              <w:rPr>
                <w:color w:val="auto"/>
                <w:lang w:val="en-US"/>
              </w:rPr>
            </w:pPr>
            <w:r>
              <w:rPr>
                <w:color w:val="auto"/>
                <w:lang w:val="en-US"/>
              </w:rPr>
              <w:t>《工业企业总平面设计规范》（GB50187-2012）第5.1.</w:t>
            </w:r>
            <w:r>
              <w:rPr>
                <w:rFonts w:hint="eastAsia"/>
                <w:color w:val="auto"/>
                <w:lang w:val="en-US" w:eastAsia="zh-CN"/>
              </w:rPr>
              <w:t>10</w:t>
            </w:r>
            <w:r>
              <w:rPr>
                <w:color w:val="auto"/>
                <w:lang w:val="en-US"/>
              </w:rPr>
              <w:t>条</w:t>
            </w:r>
          </w:p>
        </w:tc>
        <w:tc>
          <w:tcPr>
            <w:tcW w:w="1467" w:type="pct"/>
            <w:tcBorders>
              <w:tl2br w:val="nil"/>
              <w:tr2bl w:val="nil"/>
            </w:tcBorders>
            <w:noWrap w:val="0"/>
            <w:vAlign w:val="center"/>
          </w:tcPr>
          <w:p w14:paraId="7A6B8597">
            <w:pPr>
              <w:pStyle w:val="20"/>
              <w:bidi w:val="0"/>
              <w:rPr>
                <w:rFonts w:hint="eastAsia"/>
                <w:color w:val="auto"/>
                <w:lang w:val="en-US" w:eastAsia="zh-CN"/>
              </w:rPr>
            </w:pPr>
            <w:r>
              <w:rPr>
                <w:rFonts w:hint="eastAsia"/>
                <w:color w:val="auto"/>
                <w:lang w:val="en-US" w:eastAsia="zh-CN"/>
              </w:rPr>
              <w:t>构筑物间距按《建筑设计防火规范》的防火间距要求布置，符合要求。</w:t>
            </w:r>
          </w:p>
          <w:p w14:paraId="74184258">
            <w:pPr>
              <w:pStyle w:val="20"/>
              <w:bidi w:val="0"/>
              <w:rPr>
                <w:color w:val="auto"/>
                <w:lang w:val="en-US"/>
              </w:rPr>
            </w:pPr>
          </w:p>
        </w:tc>
        <w:tc>
          <w:tcPr>
            <w:tcW w:w="526" w:type="pct"/>
            <w:tcBorders>
              <w:tl2br w:val="nil"/>
              <w:tr2bl w:val="nil"/>
            </w:tcBorders>
            <w:noWrap w:val="0"/>
            <w:vAlign w:val="center"/>
          </w:tcPr>
          <w:p w14:paraId="155C7854">
            <w:pPr>
              <w:pStyle w:val="20"/>
              <w:bidi w:val="0"/>
              <w:rPr>
                <w:rFonts w:hint="eastAsia"/>
                <w:color w:val="auto"/>
                <w:lang w:val="en-US" w:eastAsia="zh-CN"/>
              </w:rPr>
            </w:pPr>
            <w:r>
              <w:rPr>
                <w:rFonts w:hint="eastAsia"/>
                <w:color w:val="auto"/>
                <w:lang w:val="en-US" w:eastAsia="zh-CN"/>
              </w:rPr>
              <w:t>符合</w:t>
            </w:r>
          </w:p>
        </w:tc>
      </w:tr>
      <w:tr w14:paraId="3F8C26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326" w:hRule="atLeast"/>
          <w:jc w:val="center"/>
        </w:trPr>
        <w:tc>
          <w:tcPr>
            <w:tcW w:w="279" w:type="pct"/>
            <w:tcBorders>
              <w:tl2br w:val="nil"/>
              <w:tr2bl w:val="nil"/>
            </w:tcBorders>
            <w:noWrap w:val="0"/>
            <w:vAlign w:val="center"/>
          </w:tcPr>
          <w:p w14:paraId="4D944A8E">
            <w:pPr>
              <w:pStyle w:val="20"/>
              <w:bidi w:val="0"/>
              <w:rPr>
                <w:rFonts w:hint="default"/>
                <w:color w:val="auto"/>
                <w:lang w:val="en-US" w:eastAsia="zh-CN"/>
              </w:rPr>
            </w:pPr>
            <w:r>
              <w:rPr>
                <w:rFonts w:hint="eastAsia"/>
                <w:color w:val="auto"/>
                <w:lang w:val="en-US" w:eastAsia="zh-CN"/>
              </w:rPr>
              <w:t>10</w:t>
            </w:r>
          </w:p>
        </w:tc>
        <w:tc>
          <w:tcPr>
            <w:tcW w:w="1437" w:type="pct"/>
            <w:tcBorders>
              <w:tl2br w:val="nil"/>
              <w:tr2bl w:val="nil"/>
            </w:tcBorders>
            <w:noWrap w:val="0"/>
            <w:vAlign w:val="center"/>
          </w:tcPr>
          <w:p w14:paraId="4F28E900">
            <w:pPr>
              <w:pStyle w:val="20"/>
              <w:bidi w:val="0"/>
              <w:rPr>
                <w:color w:val="auto"/>
                <w:lang w:val="en-US"/>
              </w:rPr>
            </w:pPr>
            <w:r>
              <w:rPr>
                <w:color w:val="auto"/>
                <w:lang w:val="en-US" w:eastAsia="zh-CN"/>
              </w:rPr>
              <w:t>大型建筑物、构筑物，重型设备和生产装置等，应布置在土质均匀、地基承载力较大的地段；对较大、较深的地下建筑物、构筑物，宜布置在地下水位较低的填方地段。</w:t>
            </w:r>
          </w:p>
        </w:tc>
        <w:tc>
          <w:tcPr>
            <w:tcW w:w="1288" w:type="pct"/>
            <w:tcBorders>
              <w:tl2br w:val="nil"/>
              <w:tr2bl w:val="nil"/>
            </w:tcBorders>
            <w:noWrap w:val="0"/>
            <w:vAlign w:val="center"/>
          </w:tcPr>
          <w:p w14:paraId="070A4C2D">
            <w:pPr>
              <w:pStyle w:val="20"/>
              <w:bidi w:val="0"/>
              <w:rPr>
                <w:color w:val="auto"/>
                <w:lang w:val="en-US"/>
              </w:rPr>
            </w:pPr>
            <w:r>
              <w:rPr>
                <w:color w:val="auto"/>
                <w:lang w:val="en-US"/>
              </w:rPr>
              <w:t>《工业企业总平面设计规范》（GB50187-2012）</w:t>
            </w:r>
          </w:p>
          <w:p w14:paraId="1D290002">
            <w:pPr>
              <w:pStyle w:val="20"/>
              <w:bidi w:val="0"/>
              <w:rPr>
                <w:color w:val="auto"/>
                <w:lang w:val="en-US"/>
              </w:rPr>
            </w:pPr>
            <w:r>
              <w:rPr>
                <w:color w:val="auto"/>
                <w:lang w:val="en-US"/>
              </w:rPr>
              <w:t>第5.</w:t>
            </w:r>
            <w:r>
              <w:rPr>
                <w:rFonts w:hint="eastAsia"/>
                <w:color w:val="auto"/>
                <w:lang w:val="en-US" w:eastAsia="zh-CN"/>
              </w:rPr>
              <w:t>2.1</w:t>
            </w:r>
            <w:r>
              <w:rPr>
                <w:color w:val="auto"/>
                <w:lang w:val="en-US"/>
              </w:rPr>
              <w:t>条</w:t>
            </w:r>
          </w:p>
        </w:tc>
        <w:tc>
          <w:tcPr>
            <w:tcW w:w="1467" w:type="pct"/>
            <w:tcBorders>
              <w:tl2br w:val="nil"/>
              <w:tr2bl w:val="nil"/>
            </w:tcBorders>
            <w:noWrap w:val="0"/>
            <w:vAlign w:val="center"/>
          </w:tcPr>
          <w:p w14:paraId="5BB28B05">
            <w:pPr>
              <w:pStyle w:val="20"/>
              <w:bidi w:val="0"/>
              <w:rPr>
                <w:rFonts w:hint="eastAsia"/>
                <w:color w:val="auto"/>
                <w:lang w:val="en-US" w:eastAsia="zh-CN"/>
              </w:rPr>
            </w:pPr>
            <w:r>
              <w:rPr>
                <w:rFonts w:hint="eastAsia"/>
                <w:color w:val="auto"/>
                <w:lang w:val="en-US" w:eastAsia="zh-CN"/>
              </w:rPr>
              <w:t>项目生产装置布置在土质均匀、地基承载力较大的地段。</w:t>
            </w:r>
          </w:p>
        </w:tc>
        <w:tc>
          <w:tcPr>
            <w:tcW w:w="526" w:type="pct"/>
            <w:tcBorders>
              <w:tl2br w:val="nil"/>
              <w:tr2bl w:val="nil"/>
            </w:tcBorders>
            <w:noWrap w:val="0"/>
            <w:vAlign w:val="center"/>
          </w:tcPr>
          <w:p w14:paraId="206A5993">
            <w:pPr>
              <w:pStyle w:val="20"/>
              <w:bidi w:val="0"/>
              <w:rPr>
                <w:color w:val="auto"/>
                <w:lang w:val="en-US"/>
              </w:rPr>
            </w:pPr>
            <w:r>
              <w:rPr>
                <w:color w:val="auto"/>
                <w:lang w:val="en-US"/>
              </w:rPr>
              <w:t>符合</w:t>
            </w:r>
          </w:p>
        </w:tc>
      </w:tr>
      <w:tr w14:paraId="69106D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79" w:type="pct"/>
            <w:tcBorders>
              <w:tl2br w:val="nil"/>
              <w:tr2bl w:val="nil"/>
            </w:tcBorders>
            <w:noWrap w:val="0"/>
            <w:vAlign w:val="center"/>
          </w:tcPr>
          <w:p w14:paraId="1A423576">
            <w:pPr>
              <w:pStyle w:val="20"/>
              <w:bidi w:val="0"/>
              <w:rPr>
                <w:rFonts w:hint="default"/>
                <w:color w:val="auto"/>
                <w:lang w:val="en-US" w:eastAsia="zh-CN"/>
              </w:rPr>
            </w:pPr>
            <w:r>
              <w:rPr>
                <w:rFonts w:hint="eastAsia"/>
                <w:color w:val="auto"/>
                <w:lang w:val="en-US" w:eastAsia="zh-CN"/>
              </w:rPr>
              <w:t>11</w:t>
            </w:r>
          </w:p>
        </w:tc>
        <w:tc>
          <w:tcPr>
            <w:tcW w:w="1437" w:type="pct"/>
            <w:tcBorders>
              <w:tl2br w:val="nil"/>
              <w:tr2bl w:val="nil"/>
            </w:tcBorders>
            <w:noWrap w:val="0"/>
            <w:vAlign w:val="center"/>
          </w:tcPr>
          <w:p w14:paraId="017C13C5">
            <w:pPr>
              <w:pStyle w:val="20"/>
              <w:bidi w:val="0"/>
              <w:rPr>
                <w:color w:val="auto"/>
                <w:lang w:val="en-US"/>
              </w:rPr>
            </w:pPr>
            <w:r>
              <w:rPr>
                <w:rFonts w:hint="eastAsia"/>
                <w:color w:val="auto"/>
                <w:lang w:val="en-US"/>
              </w:rPr>
              <w:t>产生高温、有害气体、烟、雾、粉尘的生产设施，应布置在厂区全年最小频率风向的上风侧，且地势开阔、通风条件良好的地段，并不应采用封闭式或半封闭式的布置形式。产生高温的生产设施的长轴宜与夏季盛行风向垂直或呈不小于45°交角布置。</w:t>
            </w:r>
          </w:p>
        </w:tc>
        <w:tc>
          <w:tcPr>
            <w:tcW w:w="1288" w:type="pct"/>
            <w:tcBorders>
              <w:tl2br w:val="nil"/>
              <w:tr2bl w:val="nil"/>
            </w:tcBorders>
            <w:noWrap w:val="0"/>
            <w:vAlign w:val="center"/>
          </w:tcPr>
          <w:p w14:paraId="3AC5E543">
            <w:pPr>
              <w:pStyle w:val="20"/>
              <w:bidi w:val="0"/>
              <w:rPr>
                <w:color w:val="auto"/>
                <w:lang w:val="en-US"/>
              </w:rPr>
            </w:pPr>
            <w:r>
              <w:rPr>
                <w:color w:val="auto"/>
                <w:lang w:val="en-US"/>
              </w:rPr>
              <w:t>《工业企业总平面设计规范》（GB50187-2012）</w:t>
            </w:r>
          </w:p>
          <w:p w14:paraId="42F23BCB">
            <w:pPr>
              <w:pStyle w:val="20"/>
              <w:bidi w:val="0"/>
              <w:rPr>
                <w:color w:val="auto"/>
                <w:lang w:val="en-US"/>
              </w:rPr>
            </w:pPr>
            <w:r>
              <w:rPr>
                <w:color w:val="auto"/>
                <w:lang w:val="en-US"/>
              </w:rPr>
              <w:t>第5.</w:t>
            </w:r>
            <w:r>
              <w:rPr>
                <w:rFonts w:hint="eastAsia"/>
                <w:color w:val="auto"/>
                <w:lang w:val="en-US" w:eastAsia="zh-CN"/>
              </w:rPr>
              <w:t>2</w:t>
            </w:r>
            <w:r>
              <w:rPr>
                <w:color w:val="auto"/>
                <w:lang w:val="en-US"/>
              </w:rPr>
              <w:t>.</w:t>
            </w:r>
            <w:r>
              <w:rPr>
                <w:rFonts w:hint="eastAsia"/>
                <w:color w:val="auto"/>
                <w:lang w:val="en-US" w:eastAsia="zh-CN"/>
              </w:rPr>
              <w:t>3</w:t>
            </w:r>
            <w:r>
              <w:rPr>
                <w:color w:val="auto"/>
                <w:lang w:val="en-US"/>
              </w:rPr>
              <w:t>条</w:t>
            </w:r>
          </w:p>
        </w:tc>
        <w:tc>
          <w:tcPr>
            <w:tcW w:w="1467" w:type="pct"/>
            <w:tcBorders>
              <w:tl2br w:val="nil"/>
              <w:tr2bl w:val="nil"/>
            </w:tcBorders>
            <w:noWrap w:val="0"/>
            <w:vAlign w:val="center"/>
          </w:tcPr>
          <w:p w14:paraId="240E49C7">
            <w:pPr>
              <w:pStyle w:val="20"/>
              <w:bidi w:val="0"/>
              <w:rPr>
                <w:color w:val="auto"/>
                <w:lang w:val="en-US"/>
              </w:rPr>
            </w:pPr>
            <w:r>
              <w:rPr>
                <w:rFonts w:hint="eastAsia"/>
                <w:color w:val="auto"/>
                <w:lang w:val="en-US"/>
              </w:rPr>
              <w:t>项</w:t>
            </w:r>
            <w:r>
              <w:rPr>
                <w:rFonts w:hint="eastAsia"/>
                <w:color w:val="auto"/>
                <w:lang w:val="en-US" w:eastAsia="zh-CN"/>
              </w:rPr>
              <w:t>目场地地势开阔、通风条件良好。</w:t>
            </w:r>
          </w:p>
        </w:tc>
        <w:tc>
          <w:tcPr>
            <w:tcW w:w="526" w:type="pct"/>
            <w:tcBorders>
              <w:tl2br w:val="nil"/>
              <w:tr2bl w:val="nil"/>
            </w:tcBorders>
            <w:noWrap w:val="0"/>
            <w:vAlign w:val="center"/>
          </w:tcPr>
          <w:p w14:paraId="65377FEA">
            <w:pPr>
              <w:pStyle w:val="20"/>
              <w:bidi w:val="0"/>
              <w:rPr>
                <w:rFonts w:hint="default"/>
                <w:color w:val="auto"/>
                <w:lang w:val="en-US" w:eastAsia="zh-CN"/>
              </w:rPr>
            </w:pPr>
            <w:r>
              <w:rPr>
                <w:rFonts w:hint="eastAsia"/>
                <w:color w:val="auto"/>
                <w:lang w:val="en-US" w:eastAsia="zh-CN"/>
              </w:rPr>
              <w:t>符合</w:t>
            </w:r>
          </w:p>
        </w:tc>
      </w:tr>
      <w:tr w14:paraId="3DF07A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70AEA4AB">
            <w:pPr>
              <w:pStyle w:val="20"/>
              <w:bidi w:val="0"/>
              <w:rPr>
                <w:rFonts w:hint="eastAsia"/>
                <w:color w:val="auto"/>
                <w:lang w:val="en-US" w:eastAsia="zh-CN"/>
              </w:rPr>
            </w:pPr>
            <w:r>
              <w:rPr>
                <w:rFonts w:hint="eastAsia"/>
                <w:color w:val="auto"/>
                <w:lang w:val="en-US"/>
              </w:rPr>
              <w:t>1</w:t>
            </w:r>
            <w:r>
              <w:rPr>
                <w:rFonts w:hint="eastAsia"/>
                <w:color w:val="auto"/>
                <w:lang w:val="en-US" w:eastAsia="zh-CN"/>
              </w:rPr>
              <w:t>2</w:t>
            </w:r>
          </w:p>
        </w:tc>
        <w:tc>
          <w:tcPr>
            <w:tcW w:w="1437" w:type="pct"/>
            <w:tcBorders>
              <w:tl2br w:val="nil"/>
              <w:tr2bl w:val="nil"/>
            </w:tcBorders>
            <w:noWrap w:val="0"/>
            <w:vAlign w:val="center"/>
          </w:tcPr>
          <w:p w14:paraId="2572CC01">
            <w:pPr>
              <w:pStyle w:val="20"/>
              <w:bidi w:val="0"/>
              <w:rPr>
                <w:rFonts w:hint="eastAsia"/>
                <w:color w:val="auto"/>
                <w:lang w:val="en-US"/>
              </w:rPr>
            </w:pPr>
            <w:r>
              <w:rPr>
                <w:rFonts w:hint="eastAsia"/>
                <w:color w:val="auto"/>
                <w:lang w:val="en-US"/>
              </w:rPr>
              <w:t>消防车道的布置应符合下列规定：1、道路宜呈环形布置。2、车道宽度不应小于4.0m。3、应避免与铁路平交。必须平交时，应设备用车道，且两车道之间的距离不应小于进入厂内最长列车的长度。</w:t>
            </w:r>
          </w:p>
        </w:tc>
        <w:tc>
          <w:tcPr>
            <w:tcW w:w="1288" w:type="pct"/>
            <w:tcBorders>
              <w:tl2br w:val="nil"/>
              <w:tr2bl w:val="nil"/>
            </w:tcBorders>
            <w:noWrap w:val="0"/>
            <w:vAlign w:val="center"/>
          </w:tcPr>
          <w:p w14:paraId="52D79D31">
            <w:pPr>
              <w:pStyle w:val="20"/>
              <w:bidi w:val="0"/>
              <w:rPr>
                <w:rFonts w:hint="eastAsia"/>
                <w:color w:val="auto"/>
                <w:lang w:val="en-US" w:eastAsia="zh-CN"/>
              </w:rPr>
            </w:pPr>
            <w:r>
              <w:rPr>
                <w:rFonts w:hint="eastAsia"/>
                <w:color w:val="auto"/>
                <w:lang w:val="en-US"/>
              </w:rPr>
              <w:t>《工业企业总平面设计规范》（GB50187-2012）第6.4.1</w:t>
            </w:r>
            <w:r>
              <w:rPr>
                <w:rFonts w:hint="eastAsia"/>
                <w:color w:val="auto"/>
                <w:lang w:val="en-US" w:eastAsia="zh-CN"/>
              </w:rPr>
              <w:t>1</w:t>
            </w:r>
            <w:r>
              <w:rPr>
                <w:rFonts w:hint="eastAsia"/>
                <w:color w:val="auto"/>
                <w:lang w:val="en-US"/>
              </w:rPr>
              <w:t>条</w:t>
            </w:r>
          </w:p>
        </w:tc>
        <w:tc>
          <w:tcPr>
            <w:tcW w:w="1467" w:type="pct"/>
            <w:tcBorders>
              <w:tl2br w:val="nil"/>
              <w:tr2bl w:val="nil"/>
            </w:tcBorders>
            <w:noWrap w:val="0"/>
            <w:vAlign w:val="center"/>
          </w:tcPr>
          <w:p w14:paraId="4601A79C">
            <w:pPr>
              <w:pStyle w:val="20"/>
              <w:bidi w:val="0"/>
              <w:rPr>
                <w:rFonts w:hint="eastAsia"/>
                <w:color w:val="auto"/>
                <w:lang w:val="en-US"/>
              </w:rPr>
            </w:pPr>
            <w:r>
              <w:rPr>
                <w:rFonts w:hint="eastAsia"/>
                <w:color w:val="auto"/>
                <w:lang w:val="en-US" w:eastAsia="zh-CN"/>
              </w:rPr>
              <w:t>呈环形布置，</w:t>
            </w:r>
            <w:r>
              <w:rPr>
                <w:rFonts w:hint="eastAsia"/>
                <w:color w:val="auto"/>
                <w:lang w:val="en-US"/>
              </w:rPr>
              <w:t>车道宽度不小于4米。</w:t>
            </w:r>
          </w:p>
        </w:tc>
        <w:tc>
          <w:tcPr>
            <w:tcW w:w="526" w:type="pct"/>
            <w:tcBorders>
              <w:tl2br w:val="nil"/>
              <w:tr2bl w:val="nil"/>
            </w:tcBorders>
            <w:noWrap w:val="0"/>
            <w:vAlign w:val="center"/>
          </w:tcPr>
          <w:p w14:paraId="2C1280EC">
            <w:pPr>
              <w:pStyle w:val="20"/>
              <w:bidi w:val="0"/>
              <w:rPr>
                <w:rFonts w:hint="eastAsia"/>
                <w:color w:val="auto"/>
                <w:lang w:val="en-US"/>
              </w:rPr>
            </w:pPr>
            <w:r>
              <w:rPr>
                <w:rFonts w:hint="eastAsia"/>
                <w:color w:val="auto"/>
                <w:lang w:val="en-US"/>
              </w:rPr>
              <w:t>符合</w:t>
            </w:r>
          </w:p>
        </w:tc>
      </w:tr>
      <w:tr w14:paraId="1A9C307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6F22234A">
            <w:pPr>
              <w:pStyle w:val="20"/>
              <w:bidi w:val="0"/>
              <w:rPr>
                <w:rFonts w:hint="eastAsia"/>
                <w:color w:val="auto"/>
                <w:lang w:val="en-US" w:eastAsia="zh-CN"/>
              </w:rPr>
            </w:pPr>
            <w:r>
              <w:rPr>
                <w:rFonts w:hint="eastAsia"/>
                <w:color w:val="auto"/>
                <w:lang w:val="en-US" w:eastAsia="zh-CN"/>
              </w:rPr>
              <w:t>13</w:t>
            </w:r>
          </w:p>
        </w:tc>
        <w:tc>
          <w:tcPr>
            <w:tcW w:w="1437" w:type="pct"/>
            <w:tcBorders>
              <w:tl2br w:val="nil"/>
              <w:tr2bl w:val="nil"/>
            </w:tcBorders>
            <w:noWrap w:val="0"/>
            <w:vAlign w:val="center"/>
          </w:tcPr>
          <w:p w14:paraId="6DB54BB0">
            <w:pPr>
              <w:pStyle w:val="20"/>
              <w:bidi w:val="0"/>
              <w:rPr>
                <w:rFonts w:hint="eastAsia"/>
                <w:color w:val="auto"/>
                <w:lang w:val="en-US"/>
              </w:rPr>
            </w:pPr>
            <w:r>
              <w:rPr>
                <w:rFonts w:hint="eastAsia"/>
                <w:color w:val="auto"/>
                <w:lang w:val="en-US"/>
              </w:rPr>
              <w:t>管线综合布置，应减少管线与铁路、道路交叉。当管线与铁路、道路交叉时，应力求正交，在困难条件下，其交叉角不宜小于45°。</w:t>
            </w:r>
          </w:p>
        </w:tc>
        <w:tc>
          <w:tcPr>
            <w:tcW w:w="1288" w:type="pct"/>
            <w:tcBorders>
              <w:tl2br w:val="nil"/>
              <w:tr2bl w:val="nil"/>
            </w:tcBorders>
            <w:noWrap w:val="0"/>
            <w:vAlign w:val="center"/>
          </w:tcPr>
          <w:p w14:paraId="7B195547">
            <w:pPr>
              <w:pStyle w:val="20"/>
              <w:bidi w:val="0"/>
              <w:rPr>
                <w:rFonts w:hint="eastAsia"/>
                <w:color w:val="auto"/>
                <w:lang w:val="en-US" w:eastAsia="zh-CN"/>
              </w:rPr>
            </w:pPr>
            <w:r>
              <w:rPr>
                <w:rFonts w:hint="eastAsia"/>
                <w:color w:val="auto"/>
                <w:lang w:val="en-US"/>
              </w:rPr>
              <w:t>《工业企业总平面设计规范》（GB50187-2012）</w:t>
            </w:r>
            <w:r>
              <w:rPr>
                <w:rFonts w:hint="eastAsia"/>
                <w:color w:val="auto"/>
                <w:lang w:val="en-US" w:eastAsia="zh-CN"/>
              </w:rPr>
              <w:t>第</w:t>
            </w:r>
            <w:r>
              <w:rPr>
                <w:rFonts w:hint="eastAsia"/>
                <w:color w:val="auto"/>
                <w:lang w:val="en-US"/>
              </w:rPr>
              <w:t>8.1.5</w:t>
            </w:r>
            <w:r>
              <w:rPr>
                <w:rFonts w:hint="eastAsia"/>
                <w:color w:val="auto"/>
                <w:lang w:val="en-US" w:eastAsia="zh-CN"/>
              </w:rPr>
              <w:t>条</w:t>
            </w:r>
          </w:p>
        </w:tc>
        <w:tc>
          <w:tcPr>
            <w:tcW w:w="1467" w:type="pct"/>
            <w:tcBorders>
              <w:tl2br w:val="nil"/>
              <w:tr2bl w:val="nil"/>
            </w:tcBorders>
            <w:noWrap w:val="0"/>
            <w:vAlign w:val="center"/>
          </w:tcPr>
          <w:p w14:paraId="091DCFAB">
            <w:pPr>
              <w:pStyle w:val="20"/>
              <w:bidi w:val="0"/>
              <w:rPr>
                <w:rFonts w:hint="eastAsia"/>
                <w:color w:val="auto"/>
                <w:lang w:val="en-US"/>
              </w:rPr>
            </w:pPr>
            <w:r>
              <w:rPr>
                <w:rFonts w:hint="eastAsia"/>
                <w:color w:val="auto"/>
                <w:lang w:val="en-US"/>
              </w:rPr>
              <w:t>项目管线与厂内道路不交叉。</w:t>
            </w:r>
          </w:p>
        </w:tc>
        <w:tc>
          <w:tcPr>
            <w:tcW w:w="526" w:type="pct"/>
            <w:tcBorders>
              <w:tl2br w:val="nil"/>
              <w:tr2bl w:val="nil"/>
            </w:tcBorders>
            <w:noWrap w:val="0"/>
            <w:vAlign w:val="center"/>
          </w:tcPr>
          <w:p w14:paraId="0B661404">
            <w:pPr>
              <w:pStyle w:val="20"/>
              <w:bidi w:val="0"/>
              <w:rPr>
                <w:rFonts w:hint="eastAsia"/>
                <w:color w:val="auto"/>
                <w:lang w:val="en-US"/>
              </w:rPr>
            </w:pPr>
            <w:r>
              <w:rPr>
                <w:rFonts w:hint="eastAsia"/>
                <w:color w:val="auto"/>
                <w:lang w:val="en-US"/>
              </w:rPr>
              <w:t>符合</w:t>
            </w:r>
          </w:p>
        </w:tc>
      </w:tr>
      <w:tr w14:paraId="1C8A09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4565DBE5">
            <w:pPr>
              <w:pStyle w:val="20"/>
              <w:bidi w:val="0"/>
              <w:rPr>
                <w:rFonts w:hint="eastAsia"/>
                <w:color w:val="auto"/>
                <w:lang w:val="en-US" w:eastAsia="zh-CN"/>
              </w:rPr>
            </w:pPr>
            <w:r>
              <w:rPr>
                <w:rFonts w:hint="eastAsia"/>
                <w:color w:val="auto"/>
                <w:lang w:val="en-US" w:eastAsia="zh-CN"/>
              </w:rPr>
              <w:t>14</w:t>
            </w:r>
          </w:p>
        </w:tc>
        <w:tc>
          <w:tcPr>
            <w:tcW w:w="1437" w:type="pct"/>
            <w:tcBorders>
              <w:tl2br w:val="nil"/>
              <w:tr2bl w:val="nil"/>
            </w:tcBorders>
            <w:noWrap w:val="0"/>
            <w:vAlign w:val="center"/>
          </w:tcPr>
          <w:p w14:paraId="08C7540A">
            <w:pPr>
              <w:pStyle w:val="20"/>
              <w:bidi w:val="0"/>
              <w:rPr>
                <w:rFonts w:hint="eastAsia"/>
                <w:color w:val="auto"/>
                <w:lang w:val="en-US"/>
              </w:rPr>
            </w:pPr>
            <w:r>
              <w:rPr>
                <w:rFonts w:hint="eastAsia"/>
                <w:color w:val="auto"/>
                <w:lang w:val="en-US"/>
              </w:rPr>
              <w:t>具有可燃性、爆炸危险性及有毒性介质的管道，不应穿越与其无关的建筑物、构筑物、生产装置、辅助生产及仓储设施、贮罐区等。</w:t>
            </w:r>
          </w:p>
        </w:tc>
        <w:tc>
          <w:tcPr>
            <w:tcW w:w="1288" w:type="pct"/>
            <w:tcBorders>
              <w:tl2br w:val="nil"/>
              <w:tr2bl w:val="nil"/>
            </w:tcBorders>
            <w:noWrap w:val="0"/>
            <w:vAlign w:val="center"/>
          </w:tcPr>
          <w:p w14:paraId="5EC8E9C0">
            <w:pPr>
              <w:pStyle w:val="20"/>
              <w:bidi w:val="0"/>
              <w:rPr>
                <w:rFonts w:hint="eastAsia"/>
                <w:color w:val="auto"/>
                <w:lang w:val="en-US" w:eastAsia="zh-CN"/>
              </w:rPr>
            </w:pPr>
            <w:r>
              <w:rPr>
                <w:rFonts w:hint="eastAsia"/>
                <w:color w:val="auto"/>
                <w:lang w:val="en-US"/>
              </w:rPr>
              <w:t>《工业企业总平面设计规范》（GB50187-2012）</w:t>
            </w:r>
            <w:r>
              <w:rPr>
                <w:rFonts w:hint="eastAsia"/>
                <w:color w:val="auto"/>
                <w:lang w:val="en-US" w:eastAsia="zh-CN"/>
              </w:rPr>
              <w:t>第</w:t>
            </w:r>
            <w:r>
              <w:rPr>
                <w:rFonts w:hint="eastAsia"/>
                <w:color w:val="auto"/>
                <w:lang w:val="en-US"/>
              </w:rPr>
              <w:t>8.1.7</w:t>
            </w:r>
            <w:r>
              <w:rPr>
                <w:rFonts w:hint="eastAsia"/>
                <w:color w:val="auto"/>
                <w:lang w:val="en-US" w:eastAsia="zh-CN"/>
              </w:rPr>
              <w:t>条</w:t>
            </w:r>
          </w:p>
        </w:tc>
        <w:tc>
          <w:tcPr>
            <w:tcW w:w="1467" w:type="pct"/>
            <w:tcBorders>
              <w:tl2br w:val="nil"/>
              <w:tr2bl w:val="nil"/>
            </w:tcBorders>
            <w:noWrap w:val="0"/>
            <w:vAlign w:val="center"/>
          </w:tcPr>
          <w:p w14:paraId="47C8A2FA">
            <w:pPr>
              <w:pStyle w:val="20"/>
              <w:bidi w:val="0"/>
              <w:rPr>
                <w:rFonts w:hint="eastAsia"/>
                <w:color w:val="auto"/>
                <w:lang w:val="en-US"/>
              </w:rPr>
            </w:pPr>
            <w:r>
              <w:rPr>
                <w:rFonts w:hint="eastAsia"/>
                <w:color w:val="auto"/>
                <w:lang w:val="en-US"/>
              </w:rPr>
              <w:t>管道未穿越无关的建筑物、构筑物、生产装置、辅助生产及仓储设施、贮罐区等。</w:t>
            </w:r>
          </w:p>
        </w:tc>
        <w:tc>
          <w:tcPr>
            <w:tcW w:w="526" w:type="pct"/>
            <w:tcBorders>
              <w:tl2br w:val="nil"/>
              <w:tr2bl w:val="nil"/>
            </w:tcBorders>
            <w:noWrap w:val="0"/>
            <w:vAlign w:val="center"/>
          </w:tcPr>
          <w:p w14:paraId="65086D1C">
            <w:pPr>
              <w:pStyle w:val="20"/>
              <w:bidi w:val="0"/>
              <w:rPr>
                <w:rFonts w:hint="eastAsia"/>
                <w:color w:val="auto"/>
                <w:lang w:val="en-US"/>
              </w:rPr>
            </w:pPr>
            <w:r>
              <w:rPr>
                <w:rFonts w:hint="eastAsia"/>
                <w:color w:val="auto"/>
                <w:lang w:val="en-US"/>
              </w:rPr>
              <w:t>符合</w:t>
            </w:r>
          </w:p>
        </w:tc>
      </w:tr>
      <w:tr w14:paraId="3B87F9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0037E442">
            <w:pPr>
              <w:pStyle w:val="20"/>
              <w:bidi w:val="0"/>
              <w:rPr>
                <w:rFonts w:hint="eastAsia"/>
                <w:color w:val="auto"/>
                <w:lang w:val="en-US" w:eastAsia="zh-CN"/>
              </w:rPr>
            </w:pPr>
            <w:r>
              <w:rPr>
                <w:rFonts w:hint="eastAsia"/>
                <w:color w:val="auto"/>
                <w:lang w:val="en-US" w:eastAsia="zh-CN"/>
              </w:rPr>
              <w:t>15</w:t>
            </w:r>
          </w:p>
        </w:tc>
        <w:tc>
          <w:tcPr>
            <w:tcW w:w="1437" w:type="pct"/>
            <w:tcBorders>
              <w:tl2br w:val="nil"/>
              <w:tr2bl w:val="nil"/>
            </w:tcBorders>
            <w:noWrap w:val="0"/>
            <w:vAlign w:val="center"/>
          </w:tcPr>
          <w:p w14:paraId="50CAD005">
            <w:pPr>
              <w:pStyle w:val="20"/>
              <w:bidi w:val="0"/>
              <w:rPr>
                <w:rFonts w:hint="eastAsia"/>
                <w:color w:val="auto"/>
                <w:lang w:val="en-US"/>
              </w:rPr>
            </w:pPr>
            <w:r>
              <w:rPr>
                <w:rFonts w:hint="eastAsia"/>
                <w:color w:val="auto"/>
                <w:lang w:val="en-US"/>
              </w:rPr>
              <w:t>生产区宜选在大气污染物扩散条件好的地段，布置在当地全年最小频率风向的上风侧；产生并散发化学和生物等有害物质的车间，宜位于相邻车间当地全年最小频率风向的上风侧；非生产区布置在当地全年最小频率风向的下风侧；辅助生产区布置在两者之间。</w:t>
            </w:r>
          </w:p>
        </w:tc>
        <w:tc>
          <w:tcPr>
            <w:tcW w:w="1288" w:type="pct"/>
            <w:tcBorders>
              <w:tl2br w:val="nil"/>
              <w:tr2bl w:val="nil"/>
            </w:tcBorders>
            <w:noWrap w:val="0"/>
            <w:vAlign w:val="center"/>
          </w:tcPr>
          <w:p w14:paraId="5BF9080A">
            <w:pPr>
              <w:pStyle w:val="20"/>
              <w:bidi w:val="0"/>
              <w:rPr>
                <w:rFonts w:hint="eastAsia"/>
                <w:color w:val="auto"/>
                <w:lang w:val="en-US" w:eastAsia="zh-CN"/>
              </w:rPr>
            </w:pPr>
            <w:r>
              <w:rPr>
                <w:rFonts w:hint="eastAsia"/>
                <w:color w:val="auto"/>
                <w:lang w:val="en-US"/>
              </w:rPr>
              <w:t>《工业企业设计卫生标准》（GBZ1-2010）</w:t>
            </w:r>
            <w:r>
              <w:rPr>
                <w:rFonts w:hint="eastAsia"/>
                <w:color w:val="auto"/>
                <w:lang w:val="en-US" w:eastAsia="zh-CN"/>
              </w:rPr>
              <w:t>第</w:t>
            </w:r>
            <w:r>
              <w:rPr>
                <w:rFonts w:hint="eastAsia"/>
                <w:color w:val="auto"/>
                <w:lang w:val="en-US"/>
              </w:rPr>
              <w:t>5.2.1.4</w:t>
            </w:r>
            <w:r>
              <w:rPr>
                <w:rFonts w:hint="eastAsia"/>
                <w:color w:val="auto"/>
                <w:lang w:val="en-US" w:eastAsia="zh-CN"/>
              </w:rPr>
              <w:t>条</w:t>
            </w:r>
          </w:p>
        </w:tc>
        <w:tc>
          <w:tcPr>
            <w:tcW w:w="1467" w:type="pct"/>
            <w:tcBorders>
              <w:tl2br w:val="nil"/>
              <w:tr2bl w:val="nil"/>
            </w:tcBorders>
            <w:noWrap w:val="0"/>
            <w:vAlign w:val="center"/>
          </w:tcPr>
          <w:p w14:paraId="29E84214">
            <w:pPr>
              <w:pStyle w:val="20"/>
              <w:bidi w:val="0"/>
              <w:rPr>
                <w:rFonts w:hint="eastAsia"/>
                <w:color w:val="auto"/>
                <w:lang w:val="en-US"/>
              </w:rPr>
            </w:pPr>
            <w:r>
              <w:rPr>
                <w:rFonts w:hint="eastAsia"/>
                <w:color w:val="auto"/>
                <w:lang w:val="en-US"/>
              </w:rPr>
              <w:t>项目生产区布置在污染物扩散条件好的地段。</w:t>
            </w:r>
          </w:p>
        </w:tc>
        <w:tc>
          <w:tcPr>
            <w:tcW w:w="526" w:type="pct"/>
            <w:tcBorders>
              <w:tl2br w:val="nil"/>
              <w:tr2bl w:val="nil"/>
            </w:tcBorders>
            <w:noWrap w:val="0"/>
            <w:vAlign w:val="center"/>
          </w:tcPr>
          <w:p w14:paraId="1A19A7DC">
            <w:pPr>
              <w:pStyle w:val="20"/>
              <w:bidi w:val="0"/>
              <w:rPr>
                <w:rFonts w:hint="eastAsia"/>
                <w:color w:val="auto"/>
                <w:lang w:val="en-US"/>
              </w:rPr>
            </w:pPr>
            <w:r>
              <w:rPr>
                <w:rFonts w:hint="eastAsia"/>
                <w:color w:val="auto"/>
                <w:lang w:val="en-US"/>
              </w:rPr>
              <w:t>符合</w:t>
            </w:r>
          </w:p>
        </w:tc>
      </w:tr>
      <w:tr w14:paraId="7C80C0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2E0F91DD">
            <w:pPr>
              <w:pStyle w:val="20"/>
              <w:bidi w:val="0"/>
              <w:rPr>
                <w:rFonts w:hint="default"/>
                <w:color w:val="auto"/>
                <w:lang w:val="en-US" w:eastAsia="zh-CN"/>
              </w:rPr>
            </w:pPr>
            <w:r>
              <w:rPr>
                <w:rFonts w:hint="eastAsia"/>
                <w:color w:val="auto"/>
                <w:lang w:val="en-US" w:eastAsia="zh-CN"/>
              </w:rPr>
              <w:t>16</w:t>
            </w:r>
          </w:p>
        </w:tc>
        <w:tc>
          <w:tcPr>
            <w:tcW w:w="1437" w:type="pct"/>
            <w:tcBorders>
              <w:tl2br w:val="nil"/>
              <w:tr2bl w:val="nil"/>
            </w:tcBorders>
            <w:noWrap w:val="0"/>
            <w:vAlign w:val="center"/>
          </w:tcPr>
          <w:p w14:paraId="6ECF8E23">
            <w:pPr>
              <w:pStyle w:val="20"/>
              <w:bidi w:val="0"/>
              <w:rPr>
                <w:rFonts w:hint="eastAsia"/>
                <w:color w:val="auto"/>
                <w:lang w:val="en-US"/>
              </w:rPr>
            </w:pPr>
            <w:r>
              <w:rPr>
                <w:rFonts w:hint="eastAsia"/>
                <w:color w:val="auto"/>
                <w:lang w:val="en-US"/>
              </w:rPr>
              <w:t>高温热源应尽可能地布置在车间外当地夏季主导风向的下风侧；不能布置在车间外的高温热源应布置在天窗下方或靠近车间下风侧的外墙侧窗附近。</w:t>
            </w:r>
          </w:p>
        </w:tc>
        <w:tc>
          <w:tcPr>
            <w:tcW w:w="1288" w:type="pct"/>
            <w:tcBorders>
              <w:tl2br w:val="nil"/>
              <w:tr2bl w:val="nil"/>
            </w:tcBorders>
            <w:noWrap w:val="0"/>
            <w:vAlign w:val="center"/>
          </w:tcPr>
          <w:p w14:paraId="04D7390F">
            <w:pPr>
              <w:pStyle w:val="20"/>
              <w:bidi w:val="0"/>
              <w:rPr>
                <w:rFonts w:hint="eastAsia"/>
                <w:color w:val="auto"/>
                <w:lang w:val="en-US" w:eastAsia="zh-CN"/>
              </w:rPr>
            </w:pPr>
            <w:r>
              <w:rPr>
                <w:rFonts w:hint="eastAsia"/>
                <w:color w:val="auto"/>
                <w:lang w:val="en-US"/>
              </w:rPr>
              <w:t>《工业企业设计卫生标准》（GBZ1-2010）</w:t>
            </w:r>
            <w:r>
              <w:rPr>
                <w:rFonts w:hint="eastAsia"/>
                <w:color w:val="auto"/>
                <w:lang w:val="en-US" w:eastAsia="zh-CN"/>
              </w:rPr>
              <w:t>第</w:t>
            </w:r>
            <w:r>
              <w:rPr>
                <w:rFonts w:hint="eastAsia"/>
                <w:color w:val="auto"/>
                <w:lang w:val="en-US"/>
              </w:rPr>
              <w:t>5.2.1.9</w:t>
            </w:r>
            <w:r>
              <w:rPr>
                <w:rFonts w:hint="eastAsia"/>
                <w:color w:val="auto"/>
                <w:lang w:val="en-US" w:eastAsia="zh-CN"/>
              </w:rPr>
              <w:t>条</w:t>
            </w:r>
          </w:p>
        </w:tc>
        <w:tc>
          <w:tcPr>
            <w:tcW w:w="1467" w:type="pct"/>
            <w:tcBorders>
              <w:tl2br w:val="nil"/>
              <w:tr2bl w:val="nil"/>
            </w:tcBorders>
            <w:noWrap w:val="0"/>
            <w:vAlign w:val="center"/>
          </w:tcPr>
          <w:p w14:paraId="6E83E51E">
            <w:pPr>
              <w:pStyle w:val="20"/>
              <w:bidi w:val="0"/>
              <w:rPr>
                <w:rFonts w:hint="eastAsia"/>
                <w:color w:val="auto"/>
                <w:lang w:val="en-US"/>
              </w:rPr>
            </w:pPr>
            <w:r>
              <w:rPr>
                <w:rFonts w:hint="eastAsia"/>
                <w:color w:val="auto"/>
                <w:lang w:val="en-US"/>
              </w:rPr>
              <w:t>项目高温热源室外露天布置。</w:t>
            </w:r>
          </w:p>
        </w:tc>
        <w:tc>
          <w:tcPr>
            <w:tcW w:w="526" w:type="pct"/>
            <w:tcBorders>
              <w:tl2br w:val="nil"/>
              <w:tr2bl w:val="nil"/>
            </w:tcBorders>
            <w:noWrap w:val="0"/>
            <w:vAlign w:val="center"/>
          </w:tcPr>
          <w:p w14:paraId="6FE8BF69">
            <w:pPr>
              <w:pStyle w:val="20"/>
              <w:bidi w:val="0"/>
              <w:rPr>
                <w:rFonts w:hint="eastAsia"/>
                <w:color w:val="auto"/>
                <w:lang w:val="en-US"/>
              </w:rPr>
            </w:pPr>
            <w:r>
              <w:rPr>
                <w:rFonts w:hint="eastAsia"/>
                <w:color w:val="auto"/>
                <w:lang w:val="en-US"/>
              </w:rPr>
              <w:t>符合</w:t>
            </w:r>
          </w:p>
        </w:tc>
      </w:tr>
      <w:tr w14:paraId="0756E4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55D96422">
            <w:pPr>
              <w:pStyle w:val="20"/>
              <w:bidi w:val="0"/>
              <w:rPr>
                <w:rFonts w:hint="default"/>
                <w:color w:val="auto"/>
                <w:lang w:val="en-US" w:eastAsia="zh-CN"/>
              </w:rPr>
            </w:pPr>
            <w:r>
              <w:rPr>
                <w:rFonts w:hint="eastAsia"/>
                <w:color w:val="auto"/>
                <w:lang w:val="en-US" w:eastAsia="zh-CN"/>
              </w:rPr>
              <w:t>17</w:t>
            </w:r>
          </w:p>
        </w:tc>
        <w:tc>
          <w:tcPr>
            <w:tcW w:w="1437" w:type="pct"/>
            <w:tcBorders>
              <w:tl2br w:val="nil"/>
              <w:tr2bl w:val="nil"/>
            </w:tcBorders>
            <w:noWrap w:val="0"/>
            <w:vAlign w:val="center"/>
          </w:tcPr>
          <w:p w14:paraId="6CDDFBA4">
            <w:pPr>
              <w:pStyle w:val="20"/>
              <w:bidi w:val="0"/>
              <w:rPr>
                <w:rFonts w:hint="eastAsia"/>
                <w:color w:val="auto"/>
                <w:lang w:val="en-US"/>
              </w:rPr>
            </w:pPr>
            <w:r>
              <w:rPr>
                <w:rFonts w:hint="eastAsia"/>
                <w:color w:val="auto"/>
                <w:lang w:val="en-US"/>
              </w:rPr>
              <w:t>产生噪声、振动的厂房设计和设备布局应采取降噪和减振措施。</w:t>
            </w:r>
          </w:p>
        </w:tc>
        <w:tc>
          <w:tcPr>
            <w:tcW w:w="1288" w:type="pct"/>
            <w:tcBorders>
              <w:tl2br w:val="nil"/>
              <w:tr2bl w:val="nil"/>
            </w:tcBorders>
            <w:noWrap w:val="0"/>
            <w:vAlign w:val="center"/>
          </w:tcPr>
          <w:p w14:paraId="4163D02B">
            <w:pPr>
              <w:pStyle w:val="20"/>
              <w:bidi w:val="0"/>
              <w:rPr>
                <w:rFonts w:hint="eastAsia"/>
                <w:color w:val="auto"/>
                <w:lang w:val="en-US" w:eastAsia="zh-CN"/>
              </w:rPr>
            </w:pPr>
            <w:r>
              <w:rPr>
                <w:rFonts w:hint="eastAsia"/>
                <w:color w:val="auto"/>
                <w:lang w:val="en-US"/>
              </w:rPr>
              <w:t>《工业企业设计卫生标准》（GBZ1-2010）</w:t>
            </w:r>
            <w:r>
              <w:rPr>
                <w:rFonts w:hint="eastAsia"/>
                <w:color w:val="auto"/>
                <w:lang w:val="en-US" w:eastAsia="zh-CN"/>
              </w:rPr>
              <w:t>第</w:t>
            </w:r>
            <w:r>
              <w:rPr>
                <w:rFonts w:hint="eastAsia"/>
                <w:color w:val="auto"/>
                <w:lang w:val="en-US"/>
              </w:rPr>
              <w:t>5.3.4</w:t>
            </w:r>
            <w:r>
              <w:rPr>
                <w:rFonts w:hint="eastAsia"/>
                <w:color w:val="auto"/>
                <w:lang w:val="en-US" w:eastAsia="zh-CN"/>
              </w:rPr>
              <w:t>条</w:t>
            </w:r>
          </w:p>
        </w:tc>
        <w:tc>
          <w:tcPr>
            <w:tcW w:w="1467" w:type="pct"/>
            <w:tcBorders>
              <w:tl2br w:val="nil"/>
              <w:tr2bl w:val="nil"/>
            </w:tcBorders>
            <w:noWrap w:val="0"/>
            <w:vAlign w:val="center"/>
          </w:tcPr>
          <w:p w14:paraId="7AF25C75">
            <w:pPr>
              <w:pStyle w:val="20"/>
              <w:bidi w:val="0"/>
              <w:rPr>
                <w:rFonts w:hint="eastAsia"/>
                <w:color w:val="auto"/>
                <w:lang w:val="en-US"/>
              </w:rPr>
            </w:pPr>
            <w:r>
              <w:rPr>
                <w:rFonts w:hint="eastAsia"/>
                <w:color w:val="auto"/>
                <w:lang w:val="en-US"/>
              </w:rPr>
              <w:t>项目设备布局采取了降噪和减振措施。</w:t>
            </w:r>
          </w:p>
        </w:tc>
        <w:tc>
          <w:tcPr>
            <w:tcW w:w="526" w:type="pct"/>
            <w:tcBorders>
              <w:tl2br w:val="nil"/>
              <w:tr2bl w:val="nil"/>
            </w:tcBorders>
            <w:noWrap w:val="0"/>
            <w:vAlign w:val="center"/>
          </w:tcPr>
          <w:p w14:paraId="1D27CFE9">
            <w:pPr>
              <w:pStyle w:val="20"/>
              <w:bidi w:val="0"/>
              <w:rPr>
                <w:rFonts w:hint="eastAsia"/>
                <w:color w:val="auto"/>
                <w:lang w:val="en-US"/>
              </w:rPr>
            </w:pPr>
            <w:r>
              <w:rPr>
                <w:rFonts w:hint="eastAsia"/>
                <w:color w:val="auto"/>
                <w:lang w:val="en-US"/>
              </w:rPr>
              <w:t>符合</w:t>
            </w:r>
          </w:p>
        </w:tc>
      </w:tr>
      <w:tr w14:paraId="75C18F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530A1E88">
            <w:pPr>
              <w:pStyle w:val="20"/>
              <w:bidi w:val="0"/>
              <w:rPr>
                <w:rFonts w:hint="default"/>
                <w:color w:val="auto"/>
                <w:lang w:val="en-US" w:eastAsia="zh-CN"/>
              </w:rPr>
            </w:pPr>
            <w:r>
              <w:rPr>
                <w:rFonts w:hint="eastAsia"/>
                <w:color w:val="auto"/>
                <w:lang w:val="en-US" w:eastAsia="zh-CN"/>
              </w:rPr>
              <w:t>18</w:t>
            </w:r>
          </w:p>
        </w:tc>
        <w:tc>
          <w:tcPr>
            <w:tcW w:w="1437" w:type="pct"/>
            <w:tcBorders>
              <w:tl2br w:val="nil"/>
              <w:tr2bl w:val="nil"/>
            </w:tcBorders>
            <w:noWrap w:val="0"/>
            <w:vAlign w:val="center"/>
          </w:tcPr>
          <w:p w14:paraId="0591F137">
            <w:pPr>
              <w:pStyle w:val="20"/>
              <w:bidi w:val="0"/>
              <w:rPr>
                <w:rFonts w:hint="eastAsia"/>
                <w:color w:val="auto"/>
                <w:lang w:val="en-US"/>
              </w:rPr>
            </w:pPr>
            <w:r>
              <w:rPr>
                <w:rFonts w:hint="eastAsia"/>
                <w:color w:val="auto"/>
                <w:lang w:val="en-US"/>
              </w:rPr>
              <w:t>变、配电站不应设置在甲、乙类厂房内或贴邻，且不应设置在爆炸性气体、粉尘环境的危险区域内。供甲、乙类厂房专用的10kV及以下的变、配电站，当采用无门、窗、洞口的防火墙分隔时，可一面贴邻，并应符合现行国家标准《爆炸危险环境电力装置设计规范》GB50058等标准的规定。</w:t>
            </w:r>
          </w:p>
        </w:tc>
        <w:tc>
          <w:tcPr>
            <w:tcW w:w="1288" w:type="pct"/>
            <w:tcBorders>
              <w:tl2br w:val="nil"/>
              <w:tr2bl w:val="nil"/>
            </w:tcBorders>
            <w:noWrap w:val="0"/>
            <w:vAlign w:val="center"/>
          </w:tcPr>
          <w:p w14:paraId="69E4E903">
            <w:pPr>
              <w:pStyle w:val="20"/>
              <w:bidi w:val="0"/>
              <w:rPr>
                <w:rFonts w:hint="eastAsia"/>
                <w:color w:val="auto"/>
                <w:lang w:val="en-US" w:eastAsia="zh-CN"/>
              </w:rPr>
            </w:pPr>
            <w:r>
              <w:rPr>
                <w:rFonts w:hint="eastAsia"/>
                <w:color w:val="auto"/>
                <w:lang w:val="en-US"/>
              </w:rPr>
              <w:t>《建筑设计防火规范》GB50016-2014（2018版）</w:t>
            </w:r>
            <w:r>
              <w:rPr>
                <w:rFonts w:hint="eastAsia"/>
                <w:color w:val="auto"/>
                <w:lang w:val="en-US" w:eastAsia="zh-CN"/>
              </w:rPr>
              <w:t>第</w:t>
            </w:r>
            <w:r>
              <w:rPr>
                <w:rFonts w:hint="eastAsia"/>
                <w:color w:val="auto"/>
                <w:lang w:val="en-US"/>
              </w:rPr>
              <w:t>3.3.8</w:t>
            </w:r>
            <w:r>
              <w:rPr>
                <w:rFonts w:hint="eastAsia"/>
                <w:color w:val="auto"/>
                <w:lang w:val="en-US" w:eastAsia="zh-CN"/>
              </w:rPr>
              <w:t>条</w:t>
            </w:r>
          </w:p>
        </w:tc>
        <w:tc>
          <w:tcPr>
            <w:tcW w:w="1467" w:type="pct"/>
            <w:tcBorders>
              <w:tl2br w:val="nil"/>
              <w:tr2bl w:val="nil"/>
            </w:tcBorders>
            <w:noWrap w:val="0"/>
            <w:vAlign w:val="center"/>
          </w:tcPr>
          <w:p w14:paraId="0C19DB67">
            <w:pPr>
              <w:pStyle w:val="20"/>
              <w:bidi w:val="0"/>
              <w:rPr>
                <w:rFonts w:hint="eastAsia"/>
                <w:color w:val="auto"/>
                <w:lang w:val="en-US" w:eastAsia="zh-CN"/>
              </w:rPr>
            </w:pPr>
            <w:r>
              <w:rPr>
                <w:rFonts w:hint="eastAsia"/>
                <w:color w:val="auto"/>
                <w:lang w:val="en-US"/>
              </w:rPr>
              <w:t>项目变、配电站未设置在甲、乙类厂房内或贴邻，未设置在爆炸性气体、粉尘环境的危险区域内。</w:t>
            </w:r>
          </w:p>
        </w:tc>
        <w:tc>
          <w:tcPr>
            <w:tcW w:w="526" w:type="pct"/>
            <w:tcBorders>
              <w:tl2br w:val="nil"/>
              <w:tr2bl w:val="nil"/>
            </w:tcBorders>
            <w:noWrap w:val="0"/>
            <w:vAlign w:val="center"/>
          </w:tcPr>
          <w:p w14:paraId="518686AF">
            <w:pPr>
              <w:pStyle w:val="20"/>
              <w:bidi w:val="0"/>
              <w:rPr>
                <w:rFonts w:hint="eastAsia"/>
                <w:color w:val="auto"/>
                <w:lang w:val="en-US"/>
              </w:rPr>
            </w:pPr>
            <w:r>
              <w:rPr>
                <w:rFonts w:hint="eastAsia"/>
                <w:color w:val="auto"/>
                <w:lang w:val="en-US"/>
              </w:rPr>
              <w:t>符合</w:t>
            </w:r>
          </w:p>
        </w:tc>
      </w:tr>
      <w:tr w14:paraId="7544C1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1801A735">
            <w:pPr>
              <w:pStyle w:val="20"/>
              <w:bidi w:val="0"/>
              <w:rPr>
                <w:rFonts w:hint="default"/>
                <w:color w:val="auto"/>
                <w:lang w:val="en-US" w:eastAsia="zh-CN"/>
              </w:rPr>
            </w:pPr>
            <w:r>
              <w:rPr>
                <w:rFonts w:hint="eastAsia"/>
                <w:color w:val="auto"/>
                <w:lang w:val="en-US" w:eastAsia="zh-CN"/>
              </w:rPr>
              <w:t>19</w:t>
            </w:r>
          </w:p>
        </w:tc>
        <w:tc>
          <w:tcPr>
            <w:tcW w:w="1437" w:type="pct"/>
            <w:tcBorders>
              <w:tl2br w:val="nil"/>
              <w:tr2bl w:val="nil"/>
            </w:tcBorders>
            <w:noWrap w:val="0"/>
            <w:vAlign w:val="center"/>
          </w:tcPr>
          <w:p w14:paraId="31C7D6EE">
            <w:pPr>
              <w:pStyle w:val="20"/>
              <w:bidi w:val="0"/>
              <w:rPr>
                <w:rFonts w:hint="eastAsia"/>
                <w:color w:val="auto"/>
                <w:lang w:val="en-US"/>
              </w:rPr>
            </w:pPr>
            <w:r>
              <w:rPr>
                <w:rFonts w:hint="eastAsia"/>
                <w:color w:val="auto"/>
                <w:lang w:val="en-US"/>
              </w:rPr>
              <w:t>建筑内的疏散门应符合下列规定：民用建筑和厂房的疏散门，应采用向疏散方向开启的平开门，不应采用推拉门、卷帘门、吊门、转门和折叠门。除甲、乙类生产车间外，人数不超过60人且每樘门的平均疏散人数不超过30人的房间，其疏散门的开启方向不限。</w:t>
            </w:r>
          </w:p>
        </w:tc>
        <w:tc>
          <w:tcPr>
            <w:tcW w:w="1288" w:type="pct"/>
            <w:tcBorders>
              <w:tl2br w:val="nil"/>
              <w:tr2bl w:val="nil"/>
            </w:tcBorders>
            <w:noWrap w:val="0"/>
            <w:vAlign w:val="center"/>
          </w:tcPr>
          <w:p w14:paraId="0DD7006F">
            <w:pPr>
              <w:pStyle w:val="20"/>
              <w:bidi w:val="0"/>
              <w:rPr>
                <w:rFonts w:hint="eastAsia"/>
                <w:color w:val="auto"/>
                <w:lang w:val="en-US" w:eastAsia="zh-CN"/>
              </w:rPr>
            </w:pPr>
            <w:r>
              <w:rPr>
                <w:rFonts w:hint="eastAsia"/>
                <w:color w:val="auto"/>
                <w:lang w:val="en-US"/>
              </w:rPr>
              <w:t>《建筑设计防火规范》GB50016-2014（2018版）</w:t>
            </w:r>
            <w:r>
              <w:rPr>
                <w:rFonts w:hint="eastAsia"/>
                <w:color w:val="auto"/>
                <w:lang w:val="en-US" w:eastAsia="zh-CN"/>
              </w:rPr>
              <w:t>第</w:t>
            </w:r>
            <w:r>
              <w:rPr>
                <w:rFonts w:hint="eastAsia"/>
                <w:color w:val="auto"/>
                <w:lang w:val="en-US"/>
              </w:rPr>
              <w:t>6.4.11</w:t>
            </w:r>
            <w:r>
              <w:rPr>
                <w:rFonts w:hint="eastAsia"/>
                <w:color w:val="auto"/>
                <w:lang w:val="en-US" w:eastAsia="zh-CN"/>
              </w:rPr>
              <w:t>条</w:t>
            </w:r>
          </w:p>
        </w:tc>
        <w:tc>
          <w:tcPr>
            <w:tcW w:w="1467" w:type="pct"/>
            <w:tcBorders>
              <w:tl2br w:val="nil"/>
              <w:tr2bl w:val="nil"/>
            </w:tcBorders>
            <w:noWrap w:val="0"/>
            <w:vAlign w:val="center"/>
          </w:tcPr>
          <w:p w14:paraId="5583687C">
            <w:pPr>
              <w:pStyle w:val="20"/>
              <w:bidi w:val="0"/>
              <w:rPr>
                <w:rFonts w:hint="eastAsia"/>
                <w:color w:val="auto"/>
                <w:lang w:val="en-US"/>
              </w:rPr>
            </w:pPr>
            <w:r>
              <w:rPr>
                <w:rFonts w:hint="eastAsia"/>
                <w:color w:val="auto"/>
                <w:lang w:val="en-US"/>
              </w:rPr>
              <w:t>项目建筑内的疏散门向疏散方向开启。</w:t>
            </w:r>
          </w:p>
          <w:p w14:paraId="08EDB6C2">
            <w:pPr>
              <w:pStyle w:val="20"/>
              <w:bidi w:val="0"/>
              <w:rPr>
                <w:rFonts w:hint="eastAsia"/>
                <w:color w:val="auto"/>
                <w:lang w:val="en-US"/>
              </w:rPr>
            </w:pPr>
          </w:p>
        </w:tc>
        <w:tc>
          <w:tcPr>
            <w:tcW w:w="526" w:type="pct"/>
            <w:tcBorders>
              <w:tl2br w:val="nil"/>
              <w:tr2bl w:val="nil"/>
            </w:tcBorders>
            <w:noWrap w:val="0"/>
            <w:vAlign w:val="center"/>
          </w:tcPr>
          <w:p w14:paraId="12D3732C">
            <w:pPr>
              <w:pStyle w:val="20"/>
              <w:bidi w:val="0"/>
              <w:rPr>
                <w:rFonts w:hint="eastAsia"/>
                <w:color w:val="auto"/>
                <w:lang w:val="en-US"/>
              </w:rPr>
            </w:pPr>
            <w:r>
              <w:rPr>
                <w:rFonts w:hint="eastAsia"/>
                <w:color w:val="auto"/>
                <w:lang w:val="en-US"/>
              </w:rPr>
              <w:t>符合</w:t>
            </w:r>
          </w:p>
        </w:tc>
      </w:tr>
      <w:tr w14:paraId="2A11EB7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noWrap w:val="0"/>
            <w:vAlign w:val="center"/>
          </w:tcPr>
          <w:p w14:paraId="4E4B7498">
            <w:pPr>
              <w:pStyle w:val="20"/>
              <w:bidi w:val="0"/>
              <w:rPr>
                <w:rFonts w:hint="default"/>
                <w:color w:val="auto"/>
                <w:lang w:val="en-US" w:eastAsia="zh-CN"/>
              </w:rPr>
            </w:pPr>
            <w:r>
              <w:rPr>
                <w:rFonts w:hint="eastAsia"/>
                <w:color w:val="auto"/>
                <w:lang w:val="en-US" w:eastAsia="zh-CN"/>
              </w:rPr>
              <w:t>20</w:t>
            </w:r>
          </w:p>
        </w:tc>
        <w:tc>
          <w:tcPr>
            <w:tcW w:w="1437" w:type="pct"/>
            <w:tcBorders>
              <w:tl2br w:val="nil"/>
              <w:tr2bl w:val="nil"/>
            </w:tcBorders>
            <w:noWrap w:val="0"/>
            <w:vAlign w:val="center"/>
          </w:tcPr>
          <w:p w14:paraId="76BA12E0">
            <w:pPr>
              <w:pStyle w:val="20"/>
              <w:bidi w:val="0"/>
              <w:rPr>
                <w:rFonts w:hint="eastAsia"/>
                <w:color w:val="auto"/>
                <w:lang w:val="en-US"/>
              </w:rPr>
            </w:pPr>
            <w:r>
              <w:rPr>
                <w:rFonts w:hint="eastAsia"/>
                <w:color w:val="auto"/>
                <w:lang w:val="en-US"/>
              </w:rPr>
              <w:t>管道、电气线路敷设在墙体内或穿过楼板、墙体时，应采取防火保护措施，与墙体、楼板之间的缝隙应采用防火封堵材料填塞密实。</w:t>
            </w:r>
          </w:p>
        </w:tc>
        <w:tc>
          <w:tcPr>
            <w:tcW w:w="1288" w:type="pct"/>
            <w:tcBorders>
              <w:tl2br w:val="nil"/>
              <w:tr2bl w:val="nil"/>
            </w:tcBorders>
            <w:noWrap w:val="0"/>
            <w:vAlign w:val="center"/>
          </w:tcPr>
          <w:p w14:paraId="3FCE39A1">
            <w:pPr>
              <w:pStyle w:val="20"/>
              <w:bidi w:val="0"/>
              <w:rPr>
                <w:rFonts w:hint="eastAsia"/>
                <w:color w:val="auto"/>
                <w:lang w:val="en-US" w:eastAsia="zh-CN"/>
              </w:rPr>
            </w:pPr>
            <w:r>
              <w:rPr>
                <w:rFonts w:hint="eastAsia"/>
                <w:color w:val="auto"/>
                <w:lang w:val="en-US"/>
              </w:rPr>
              <w:t>《建筑设计防火规范》GB50016-2014（2018版）</w:t>
            </w:r>
            <w:r>
              <w:rPr>
                <w:rFonts w:hint="eastAsia"/>
                <w:color w:val="auto"/>
                <w:lang w:val="en-US" w:eastAsia="zh-CN"/>
              </w:rPr>
              <w:t>第</w:t>
            </w:r>
            <w:r>
              <w:rPr>
                <w:rFonts w:hint="eastAsia"/>
                <w:color w:val="auto"/>
                <w:lang w:val="en-US"/>
              </w:rPr>
              <w:t>11.0.9</w:t>
            </w:r>
            <w:r>
              <w:rPr>
                <w:rFonts w:hint="eastAsia"/>
                <w:color w:val="auto"/>
                <w:lang w:val="en-US" w:eastAsia="zh-CN"/>
              </w:rPr>
              <w:t>条</w:t>
            </w:r>
          </w:p>
        </w:tc>
        <w:tc>
          <w:tcPr>
            <w:tcW w:w="1467" w:type="pct"/>
            <w:tcBorders>
              <w:tl2br w:val="nil"/>
              <w:tr2bl w:val="nil"/>
            </w:tcBorders>
            <w:noWrap w:val="0"/>
            <w:vAlign w:val="center"/>
          </w:tcPr>
          <w:p w14:paraId="54D18AA0">
            <w:pPr>
              <w:pStyle w:val="20"/>
              <w:bidi w:val="0"/>
              <w:rPr>
                <w:rFonts w:hint="eastAsia"/>
                <w:color w:val="auto"/>
                <w:lang w:val="en-US"/>
              </w:rPr>
            </w:pPr>
            <w:r>
              <w:rPr>
                <w:rFonts w:hint="eastAsia"/>
                <w:color w:val="auto"/>
                <w:lang w:val="en-US"/>
              </w:rPr>
              <w:t>管道、电气线路穿越隔墙时采用防火封堵材料封堵。</w:t>
            </w:r>
          </w:p>
        </w:tc>
        <w:tc>
          <w:tcPr>
            <w:tcW w:w="526" w:type="pct"/>
            <w:tcBorders>
              <w:tl2br w:val="nil"/>
              <w:tr2bl w:val="nil"/>
            </w:tcBorders>
            <w:noWrap w:val="0"/>
            <w:vAlign w:val="center"/>
          </w:tcPr>
          <w:p w14:paraId="4CD54335">
            <w:pPr>
              <w:pStyle w:val="20"/>
              <w:bidi w:val="0"/>
              <w:rPr>
                <w:rFonts w:hint="eastAsia"/>
                <w:color w:val="auto"/>
                <w:lang w:val="en-US"/>
              </w:rPr>
            </w:pPr>
            <w:r>
              <w:rPr>
                <w:rFonts w:hint="eastAsia"/>
                <w:color w:val="auto"/>
                <w:lang w:val="en-US"/>
              </w:rPr>
              <w:t>符合</w:t>
            </w:r>
          </w:p>
        </w:tc>
      </w:tr>
    </w:tbl>
    <w:p w14:paraId="699B4E73">
      <w:pPr>
        <w:pageBreakBefore w:val="0"/>
        <w:widowControl w:val="0"/>
        <w:kinsoku/>
        <w:wordWrap/>
        <w:overflowPunct/>
        <w:topLinePunct w:val="0"/>
        <w:autoSpaceDE/>
        <w:autoSpaceDN/>
        <w:bidi w:val="0"/>
        <w:adjustRightInd w:val="0"/>
        <w:snapToGrid w:val="0"/>
        <w:spacing w:line="600" w:lineRule="exact"/>
        <w:textAlignment w:val="auto"/>
        <w:rPr>
          <w:rFonts w:hint="default" w:ascii="Times New Roman" w:hAnsi="Times New Roman"/>
          <w:color w:val="auto"/>
          <w:highlight w:val="none"/>
          <w:lang w:val="en-US" w:eastAsia="zh-CN"/>
        </w:rPr>
      </w:pPr>
      <w:r>
        <w:rPr>
          <w:rFonts w:ascii="Times New Roman" w:hAnsi="Times New Roman"/>
          <w:color w:val="auto"/>
          <w:lang w:val="en-US" w:eastAsia="zh-CN"/>
        </w:rPr>
        <w:t>总</w:t>
      </w:r>
      <w:r>
        <w:rPr>
          <w:rFonts w:ascii="Times New Roman" w:hAnsi="Times New Roman"/>
          <w:color w:val="auto"/>
          <w:highlight w:val="none"/>
          <w:lang w:val="en-US" w:eastAsia="zh-CN"/>
        </w:rPr>
        <w:t>平面子单元评价小结</w:t>
      </w:r>
      <w:r>
        <w:rPr>
          <w:rFonts w:hint="eastAsia" w:ascii="Times New Roman" w:hAnsi="Times New Roman"/>
          <w:color w:val="auto"/>
          <w:highlight w:val="none"/>
          <w:lang w:val="en-US" w:eastAsia="zh-CN"/>
        </w:rPr>
        <w:t>：</w:t>
      </w:r>
      <w:r>
        <w:rPr>
          <w:rFonts w:ascii="Times New Roman" w:hAnsi="Times New Roman"/>
          <w:color w:val="auto"/>
          <w:highlight w:val="none"/>
          <w:lang w:val="en-US" w:eastAsia="zh-CN"/>
        </w:rPr>
        <w:t>本单元进行了</w:t>
      </w:r>
      <w:r>
        <w:rPr>
          <w:rFonts w:hint="eastAsia" w:ascii="Times New Roman" w:hAnsi="Times New Roman"/>
          <w:color w:val="auto"/>
          <w:highlight w:val="none"/>
          <w:lang w:val="en-US" w:eastAsia="zh-CN"/>
        </w:rPr>
        <w:t>2</w:t>
      </w:r>
      <w:r>
        <w:rPr>
          <w:rFonts w:hint="eastAsia"/>
          <w:color w:val="auto"/>
          <w:highlight w:val="none"/>
          <w:lang w:val="en-US" w:eastAsia="zh-CN"/>
        </w:rPr>
        <w:t>0</w:t>
      </w:r>
      <w:r>
        <w:rPr>
          <w:rFonts w:ascii="Times New Roman" w:hAnsi="Times New Roman"/>
          <w:color w:val="auto"/>
          <w:highlight w:val="none"/>
          <w:lang w:val="en-US" w:eastAsia="zh-CN"/>
        </w:rPr>
        <w:t>项检查，</w:t>
      </w:r>
      <w:r>
        <w:rPr>
          <w:rFonts w:hint="eastAsia" w:ascii="Times New Roman" w:hAnsi="Times New Roman"/>
          <w:color w:val="auto"/>
          <w:highlight w:val="none"/>
          <w:lang w:val="en-US" w:eastAsia="zh-CN"/>
        </w:rPr>
        <w:t>2</w:t>
      </w:r>
      <w:r>
        <w:rPr>
          <w:rFonts w:hint="eastAsia"/>
          <w:color w:val="auto"/>
          <w:highlight w:val="none"/>
          <w:lang w:val="en-US" w:eastAsia="zh-CN"/>
        </w:rPr>
        <w:t>0</w:t>
      </w:r>
      <w:r>
        <w:rPr>
          <w:rFonts w:ascii="Times New Roman" w:hAnsi="Times New Roman"/>
          <w:color w:val="auto"/>
          <w:highlight w:val="none"/>
          <w:lang w:val="en-US" w:eastAsia="zh-CN"/>
        </w:rPr>
        <w:t>项符合</w:t>
      </w:r>
      <w:r>
        <w:rPr>
          <w:rFonts w:hint="eastAsia" w:ascii="Times New Roman" w:hAnsi="Times New Roman"/>
          <w:color w:val="auto"/>
          <w:highlight w:val="none"/>
          <w:lang w:val="en-US" w:eastAsia="zh-CN"/>
        </w:rPr>
        <w:t>，0项不符合。</w:t>
      </w:r>
      <w:r>
        <w:rPr>
          <w:rFonts w:hint="eastAsia" w:ascii="Times New Roman" w:hAnsi="Times New Roman"/>
          <w:color w:val="auto"/>
          <w:lang w:val="en-US" w:eastAsia="zh-CN"/>
        </w:rPr>
        <w:t>总平面布置符合法律法规、标准规范及设计要求。</w:t>
      </w:r>
    </w:p>
    <w:p w14:paraId="2CE744E6">
      <w:pPr>
        <w:pStyle w:val="4"/>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lang w:val="en-US" w:eastAsia="zh-CN"/>
        </w:rPr>
      </w:pPr>
      <w:bookmarkStart w:id="96" w:name="_Toc11883"/>
      <w:r>
        <w:rPr>
          <w:rFonts w:hint="eastAsia" w:ascii="Times New Roman" w:hAnsi="Times New Roman"/>
          <w:color w:val="auto"/>
          <w:lang w:val="en-US" w:eastAsia="zh-CN"/>
        </w:rPr>
        <w:t>5.</w:t>
      </w:r>
      <w:r>
        <w:rPr>
          <w:rFonts w:hint="eastAsia"/>
          <w:color w:val="auto"/>
          <w:lang w:val="en-US" w:eastAsia="zh-CN"/>
        </w:rPr>
        <w:t>2</w:t>
      </w:r>
      <w:r>
        <w:rPr>
          <w:rFonts w:hint="eastAsia" w:ascii="Times New Roman" w:hAnsi="Times New Roman"/>
          <w:color w:val="auto"/>
          <w:lang w:val="en-US" w:eastAsia="zh-CN"/>
        </w:rPr>
        <w:t>.2建（构）筑物子单元</w:t>
      </w:r>
      <w:bookmarkEnd w:id="96"/>
    </w:p>
    <w:p w14:paraId="1471DA48">
      <w:pPr>
        <w:pageBreakBefore w:val="0"/>
        <w:widowControl w:val="0"/>
        <w:kinsoku/>
        <w:wordWrap/>
        <w:overflowPunct/>
        <w:topLinePunct w:val="0"/>
        <w:autoSpaceDE/>
        <w:autoSpaceDN/>
        <w:bidi w:val="0"/>
        <w:adjustRightInd w:val="0"/>
        <w:snapToGrid w:val="0"/>
        <w:spacing w:line="600" w:lineRule="exact"/>
        <w:textAlignment w:val="auto"/>
        <w:rPr>
          <w:rFonts w:hint="eastAsia"/>
          <w:color w:val="auto"/>
          <w:kern w:val="0"/>
          <w:sz w:val="28"/>
          <w:szCs w:val="28"/>
          <w:lang w:val="en-US" w:eastAsia="zh-CN"/>
        </w:rPr>
      </w:pPr>
      <w:r>
        <w:rPr>
          <w:rFonts w:hint="eastAsia"/>
          <w:color w:val="auto"/>
          <w:kern w:val="0"/>
          <w:sz w:val="28"/>
          <w:szCs w:val="28"/>
        </w:rPr>
        <w:t>本项目</w:t>
      </w:r>
      <w:r>
        <w:rPr>
          <w:rFonts w:hint="eastAsia"/>
          <w:color w:val="auto"/>
          <w:kern w:val="0"/>
          <w:sz w:val="28"/>
          <w:szCs w:val="28"/>
          <w:lang w:val="en-US" w:eastAsia="zh-CN"/>
        </w:rPr>
        <w:t>配电室</w:t>
      </w:r>
      <w:r>
        <w:rPr>
          <w:rFonts w:hint="eastAsia"/>
          <w:color w:val="auto"/>
          <w:kern w:val="0"/>
          <w:sz w:val="28"/>
          <w:szCs w:val="28"/>
        </w:rPr>
        <w:t>与相邻设施之间的防火距离见表5.</w:t>
      </w:r>
      <w:r>
        <w:rPr>
          <w:rFonts w:hint="eastAsia"/>
          <w:color w:val="auto"/>
          <w:kern w:val="0"/>
          <w:sz w:val="28"/>
          <w:szCs w:val="28"/>
          <w:lang w:val="en-US" w:eastAsia="zh-CN"/>
        </w:rPr>
        <w:t>2.2</w:t>
      </w:r>
      <w:r>
        <w:rPr>
          <w:rFonts w:hint="eastAsia"/>
          <w:color w:val="auto"/>
          <w:kern w:val="0"/>
          <w:sz w:val="28"/>
          <w:szCs w:val="28"/>
        </w:rPr>
        <w:t>-</w:t>
      </w:r>
      <w:r>
        <w:rPr>
          <w:rFonts w:hint="eastAsia"/>
          <w:color w:val="auto"/>
          <w:kern w:val="0"/>
          <w:sz w:val="28"/>
          <w:szCs w:val="28"/>
          <w:lang w:val="en-US" w:eastAsia="zh-CN"/>
        </w:rPr>
        <w:t>1。</w:t>
      </w:r>
    </w:p>
    <w:p w14:paraId="76FBF01E">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Times New Roman" w:hAnsi="Times New Roman" w:eastAsia="宋体" w:cs="Times New Roman"/>
          <w:color w:val="auto"/>
          <w:kern w:val="0"/>
          <w:sz w:val="28"/>
          <w:szCs w:val="28"/>
        </w:rPr>
      </w:pPr>
    </w:p>
    <w:p w14:paraId="35C6E0BF">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Times New Roman" w:hAnsi="Times New Roman" w:eastAsia="宋体" w:cs="Times New Roman"/>
          <w:color w:val="auto"/>
          <w:kern w:val="0"/>
          <w:sz w:val="28"/>
          <w:szCs w:val="28"/>
        </w:rPr>
      </w:pPr>
      <w:r>
        <w:rPr>
          <w:rFonts w:hint="eastAsia" w:ascii="Times New Roman" w:hAnsi="Times New Roman" w:eastAsia="宋体" w:cs="Times New Roman"/>
          <w:color w:val="auto"/>
          <w:kern w:val="0"/>
          <w:sz w:val="28"/>
          <w:szCs w:val="28"/>
        </w:rPr>
        <w:t>表</w:t>
      </w:r>
      <w:r>
        <w:rPr>
          <w:rFonts w:hint="eastAsia" w:ascii="Times New Roman" w:hAnsi="Times New Roman" w:eastAsia="宋体" w:cs="Times New Roman"/>
          <w:color w:val="auto"/>
          <w:kern w:val="0"/>
          <w:sz w:val="28"/>
          <w:szCs w:val="28"/>
          <w:lang w:val="en-US" w:eastAsia="zh-CN"/>
        </w:rPr>
        <w:t>5.</w:t>
      </w:r>
      <w:r>
        <w:rPr>
          <w:rFonts w:hint="eastAsia" w:cs="Times New Roman"/>
          <w:color w:val="auto"/>
          <w:kern w:val="0"/>
          <w:sz w:val="28"/>
          <w:szCs w:val="28"/>
          <w:lang w:val="en-US" w:eastAsia="zh-CN"/>
        </w:rPr>
        <w:t>2</w:t>
      </w:r>
      <w:r>
        <w:rPr>
          <w:rFonts w:hint="eastAsia" w:ascii="Times New Roman" w:hAnsi="Times New Roman" w:eastAsia="宋体" w:cs="Times New Roman"/>
          <w:color w:val="auto"/>
          <w:kern w:val="0"/>
          <w:sz w:val="28"/>
          <w:szCs w:val="28"/>
        </w:rPr>
        <w:t>.2-1建构筑物之间防火间距一览表</w:t>
      </w:r>
    </w:p>
    <w:tbl>
      <w:tblPr>
        <w:tblStyle w:val="18"/>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400"/>
        <w:gridCol w:w="1031"/>
        <w:gridCol w:w="1242"/>
        <w:gridCol w:w="1053"/>
        <w:gridCol w:w="1042"/>
        <w:gridCol w:w="788"/>
        <w:gridCol w:w="2542"/>
      </w:tblGrid>
      <w:tr w14:paraId="1D2704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51" w:hRule="atLeast"/>
          <w:jc w:val="center"/>
        </w:trPr>
        <w:tc>
          <w:tcPr>
            <w:tcW w:w="769" w:type="pct"/>
            <w:tcBorders>
              <w:tl2br w:val="nil"/>
              <w:tr2bl w:val="nil"/>
            </w:tcBorders>
            <w:vAlign w:val="center"/>
          </w:tcPr>
          <w:p w14:paraId="0AFA9B1B">
            <w:pPr>
              <w:pStyle w:val="21"/>
              <w:bidi w:val="0"/>
              <w:rPr>
                <w:color w:val="auto"/>
              </w:rPr>
            </w:pPr>
            <w:r>
              <w:rPr>
                <w:rFonts w:hint="eastAsia"/>
                <w:color w:val="auto"/>
              </w:rPr>
              <w:t>建（构）筑物</w:t>
            </w:r>
          </w:p>
          <w:p w14:paraId="6EA1D6AB">
            <w:pPr>
              <w:pStyle w:val="21"/>
              <w:bidi w:val="0"/>
              <w:rPr>
                <w:color w:val="auto"/>
              </w:rPr>
            </w:pPr>
            <w:r>
              <w:rPr>
                <w:rFonts w:hint="eastAsia"/>
                <w:color w:val="auto"/>
              </w:rPr>
              <w:t>工艺装置名称</w:t>
            </w:r>
          </w:p>
        </w:tc>
        <w:tc>
          <w:tcPr>
            <w:tcW w:w="566" w:type="pct"/>
            <w:tcBorders>
              <w:tl2br w:val="nil"/>
              <w:tr2bl w:val="nil"/>
            </w:tcBorders>
            <w:vAlign w:val="center"/>
          </w:tcPr>
          <w:p w14:paraId="127EDCDC">
            <w:pPr>
              <w:pStyle w:val="21"/>
              <w:bidi w:val="0"/>
              <w:rPr>
                <w:color w:val="auto"/>
              </w:rPr>
            </w:pPr>
            <w:r>
              <w:rPr>
                <w:rFonts w:hint="eastAsia"/>
                <w:color w:val="auto"/>
              </w:rPr>
              <w:t>相对位置</w:t>
            </w:r>
          </w:p>
        </w:tc>
        <w:tc>
          <w:tcPr>
            <w:tcW w:w="682" w:type="pct"/>
            <w:tcBorders>
              <w:tl2br w:val="nil"/>
              <w:tr2bl w:val="nil"/>
            </w:tcBorders>
            <w:vAlign w:val="center"/>
          </w:tcPr>
          <w:p w14:paraId="04A785EB">
            <w:pPr>
              <w:pStyle w:val="21"/>
              <w:bidi w:val="0"/>
              <w:rPr>
                <w:color w:val="auto"/>
              </w:rPr>
            </w:pPr>
            <w:r>
              <w:rPr>
                <w:rFonts w:hint="eastAsia"/>
                <w:color w:val="auto"/>
              </w:rPr>
              <w:t>周边建筑</w:t>
            </w:r>
          </w:p>
        </w:tc>
        <w:tc>
          <w:tcPr>
            <w:tcW w:w="578" w:type="pct"/>
            <w:tcBorders>
              <w:tl2br w:val="nil"/>
              <w:tr2bl w:val="nil"/>
            </w:tcBorders>
            <w:vAlign w:val="center"/>
          </w:tcPr>
          <w:p w14:paraId="4496FE13">
            <w:pPr>
              <w:pStyle w:val="21"/>
              <w:bidi w:val="0"/>
              <w:rPr>
                <w:color w:val="auto"/>
              </w:rPr>
            </w:pPr>
            <w:r>
              <w:rPr>
                <w:rFonts w:hint="eastAsia"/>
                <w:color w:val="auto"/>
              </w:rPr>
              <w:t>实测间距m</w:t>
            </w:r>
          </w:p>
        </w:tc>
        <w:tc>
          <w:tcPr>
            <w:tcW w:w="572" w:type="pct"/>
            <w:tcBorders>
              <w:tl2br w:val="nil"/>
              <w:tr2bl w:val="nil"/>
            </w:tcBorders>
            <w:vAlign w:val="center"/>
          </w:tcPr>
          <w:p w14:paraId="2A8B1E0B">
            <w:pPr>
              <w:pStyle w:val="21"/>
              <w:bidi w:val="0"/>
              <w:rPr>
                <w:color w:val="auto"/>
              </w:rPr>
            </w:pPr>
            <w:r>
              <w:rPr>
                <w:rFonts w:hint="eastAsia"/>
                <w:color w:val="auto"/>
              </w:rPr>
              <w:t>规范要求</w:t>
            </w:r>
          </w:p>
          <w:p w14:paraId="02DF9308">
            <w:pPr>
              <w:pStyle w:val="21"/>
              <w:bidi w:val="0"/>
              <w:rPr>
                <w:color w:val="auto"/>
              </w:rPr>
            </w:pPr>
            <w:r>
              <w:rPr>
                <w:rFonts w:hint="eastAsia"/>
                <w:color w:val="auto"/>
              </w:rPr>
              <w:t>间距m</w:t>
            </w:r>
          </w:p>
        </w:tc>
        <w:tc>
          <w:tcPr>
            <w:tcW w:w="433" w:type="pct"/>
            <w:tcBorders>
              <w:tl2br w:val="nil"/>
              <w:tr2bl w:val="nil"/>
            </w:tcBorders>
            <w:vAlign w:val="center"/>
          </w:tcPr>
          <w:p w14:paraId="067168C9">
            <w:pPr>
              <w:pStyle w:val="21"/>
              <w:bidi w:val="0"/>
              <w:rPr>
                <w:color w:val="auto"/>
              </w:rPr>
            </w:pPr>
            <w:r>
              <w:rPr>
                <w:rFonts w:hint="eastAsia"/>
                <w:color w:val="auto"/>
              </w:rPr>
              <w:t>是否符</w:t>
            </w:r>
          </w:p>
          <w:p w14:paraId="4224DF32">
            <w:pPr>
              <w:pStyle w:val="21"/>
              <w:bidi w:val="0"/>
              <w:rPr>
                <w:color w:val="auto"/>
              </w:rPr>
            </w:pPr>
            <w:r>
              <w:rPr>
                <w:rFonts w:hint="eastAsia"/>
                <w:color w:val="auto"/>
              </w:rPr>
              <w:t>合要求</w:t>
            </w:r>
          </w:p>
        </w:tc>
        <w:tc>
          <w:tcPr>
            <w:tcW w:w="1396" w:type="pct"/>
            <w:tcBorders>
              <w:tl2br w:val="nil"/>
              <w:tr2bl w:val="nil"/>
            </w:tcBorders>
            <w:vAlign w:val="center"/>
          </w:tcPr>
          <w:p w14:paraId="7957A059">
            <w:pPr>
              <w:pStyle w:val="21"/>
              <w:bidi w:val="0"/>
              <w:rPr>
                <w:color w:val="auto"/>
              </w:rPr>
            </w:pPr>
            <w:r>
              <w:rPr>
                <w:rFonts w:hint="eastAsia"/>
                <w:color w:val="auto"/>
              </w:rPr>
              <w:t>依据</w:t>
            </w:r>
          </w:p>
        </w:tc>
      </w:tr>
      <w:tr w14:paraId="1AEE23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769" w:type="pct"/>
            <w:vMerge w:val="restart"/>
            <w:tcBorders>
              <w:tl2br w:val="nil"/>
              <w:tr2bl w:val="nil"/>
            </w:tcBorders>
            <w:vAlign w:val="center"/>
          </w:tcPr>
          <w:p w14:paraId="01E37E36">
            <w:pPr>
              <w:pStyle w:val="20"/>
              <w:bidi w:val="0"/>
              <w:rPr>
                <w:color w:val="auto"/>
              </w:rPr>
            </w:pPr>
            <w:r>
              <w:rPr>
                <w:rFonts w:hint="eastAsia"/>
                <w:color w:val="auto"/>
              </w:rPr>
              <w:t>配电室</w:t>
            </w:r>
          </w:p>
        </w:tc>
        <w:tc>
          <w:tcPr>
            <w:tcW w:w="566" w:type="pct"/>
            <w:tcBorders>
              <w:tl2br w:val="nil"/>
              <w:tr2bl w:val="nil"/>
            </w:tcBorders>
            <w:vAlign w:val="center"/>
          </w:tcPr>
          <w:p w14:paraId="039020CA">
            <w:pPr>
              <w:pStyle w:val="20"/>
              <w:bidi w:val="0"/>
              <w:rPr>
                <w:color w:val="auto"/>
              </w:rPr>
            </w:pPr>
            <w:r>
              <w:rPr>
                <w:color w:val="auto"/>
              </w:rPr>
              <w:t>西</w:t>
            </w:r>
            <w:r>
              <w:rPr>
                <w:rFonts w:hint="eastAsia"/>
                <w:color w:val="auto"/>
              </w:rPr>
              <w:t>北</w:t>
            </w:r>
            <w:r>
              <w:rPr>
                <w:color w:val="auto"/>
              </w:rPr>
              <w:t>侧</w:t>
            </w:r>
          </w:p>
        </w:tc>
        <w:tc>
          <w:tcPr>
            <w:tcW w:w="682" w:type="pct"/>
            <w:tcBorders>
              <w:tl2br w:val="nil"/>
              <w:tr2bl w:val="nil"/>
            </w:tcBorders>
            <w:vAlign w:val="center"/>
          </w:tcPr>
          <w:p w14:paraId="226BD7B8">
            <w:pPr>
              <w:pStyle w:val="20"/>
              <w:bidi w:val="0"/>
              <w:rPr>
                <w:color w:val="auto"/>
              </w:rPr>
            </w:pPr>
            <w:r>
              <w:rPr>
                <w:rFonts w:hint="eastAsia"/>
                <w:color w:val="auto"/>
              </w:rPr>
              <w:t>厕所</w:t>
            </w:r>
          </w:p>
        </w:tc>
        <w:tc>
          <w:tcPr>
            <w:tcW w:w="578" w:type="pct"/>
            <w:tcBorders>
              <w:tl2br w:val="nil"/>
              <w:tr2bl w:val="nil"/>
            </w:tcBorders>
            <w:vAlign w:val="center"/>
          </w:tcPr>
          <w:p w14:paraId="44A7F939">
            <w:pPr>
              <w:pStyle w:val="20"/>
              <w:bidi w:val="0"/>
              <w:rPr>
                <w:color w:val="auto"/>
              </w:rPr>
            </w:pPr>
            <w:r>
              <w:rPr>
                <w:color w:val="auto"/>
              </w:rPr>
              <w:t>6</w:t>
            </w:r>
            <w:r>
              <w:rPr>
                <w:rFonts w:hint="eastAsia"/>
                <w:color w:val="auto"/>
              </w:rPr>
              <w:t>.92</w:t>
            </w:r>
          </w:p>
        </w:tc>
        <w:tc>
          <w:tcPr>
            <w:tcW w:w="572" w:type="pct"/>
            <w:tcBorders>
              <w:tl2br w:val="nil"/>
              <w:tr2bl w:val="nil"/>
            </w:tcBorders>
            <w:vAlign w:val="center"/>
          </w:tcPr>
          <w:p w14:paraId="495BF9AF">
            <w:pPr>
              <w:pStyle w:val="20"/>
              <w:bidi w:val="0"/>
              <w:rPr>
                <w:color w:val="auto"/>
              </w:rPr>
            </w:pPr>
            <w:r>
              <w:rPr>
                <w:rFonts w:hint="eastAsia"/>
                <w:color w:val="auto"/>
              </w:rPr>
              <w:t>6</w:t>
            </w:r>
          </w:p>
        </w:tc>
        <w:tc>
          <w:tcPr>
            <w:tcW w:w="433" w:type="pct"/>
            <w:tcBorders>
              <w:tl2br w:val="nil"/>
              <w:tr2bl w:val="nil"/>
            </w:tcBorders>
            <w:vAlign w:val="center"/>
          </w:tcPr>
          <w:p w14:paraId="4E2D53D1">
            <w:pPr>
              <w:pStyle w:val="20"/>
              <w:bidi w:val="0"/>
              <w:rPr>
                <w:color w:val="auto"/>
              </w:rPr>
            </w:pPr>
            <w:r>
              <w:rPr>
                <w:rFonts w:hint="eastAsia"/>
                <w:color w:val="auto"/>
              </w:rPr>
              <w:t>是</w:t>
            </w:r>
          </w:p>
        </w:tc>
        <w:tc>
          <w:tcPr>
            <w:tcW w:w="1396" w:type="pct"/>
            <w:tcBorders>
              <w:tl2br w:val="nil"/>
              <w:tr2bl w:val="nil"/>
            </w:tcBorders>
            <w:vAlign w:val="center"/>
          </w:tcPr>
          <w:p w14:paraId="38A66E05">
            <w:pPr>
              <w:pStyle w:val="20"/>
              <w:bidi w:val="0"/>
              <w:rPr>
                <w:color w:val="auto"/>
              </w:rPr>
            </w:pPr>
            <w:r>
              <w:rPr>
                <w:rFonts w:hint="eastAsia"/>
                <w:color w:val="auto"/>
              </w:rPr>
              <w:t>GB50016-2014（2018版）</w:t>
            </w:r>
          </w:p>
          <w:p w14:paraId="496C1DDA">
            <w:pPr>
              <w:pStyle w:val="20"/>
              <w:bidi w:val="0"/>
              <w:rPr>
                <w:color w:val="auto"/>
              </w:rPr>
            </w:pPr>
            <w:r>
              <w:rPr>
                <w:rFonts w:hint="eastAsia"/>
                <w:color w:val="auto"/>
              </w:rPr>
              <w:t>3.4.1注3</w:t>
            </w:r>
          </w:p>
        </w:tc>
      </w:tr>
      <w:tr w14:paraId="64C003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769" w:type="pct"/>
            <w:vMerge w:val="continue"/>
            <w:tcBorders>
              <w:tl2br w:val="nil"/>
              <w:tr2bl w:val="nil"/>
            </w:tcBorders>
            <w:vAlign w:val="center"/>
          </w:tcPr>
          <w:p w14:paraId="7C28782D">
            <w:pPr>
              <w:pStyle w:val="20"/>
              <w:bidi w:val="0"/>
              <w:rPr>
                <w:color w:val="auto"/>
              </w:rPr>
            </w:pPr>
          </w:p>
        </w:tc>
        <w:tc>
          <w:tcPr>
            <w:tcW w:w="566" w:type="pct"/>
            <w:vMerge w:val="restart"/>
            <w:tcBorders>
              <w:tl2br w:val="nil"/>
              <w:tr2bl w:val="nil"/>
            </w:tcBorders>
            <w:vAlign w:val="center"/>
          </w:tcPr>
          <w:p w14:paraId="3BBEE9C4">
            <w:pPr>
              <w:pStyle w:val="20"/>
              <w:bidi w:val="0"/>
              <w:rPr>
                <w:color w:val="auto"/>
              </w:rPr>
            </w:pPr>
            <w:r>
              <w:rPr>
                <w:color w:val="auto"/>
              </w:rPr>
              <w:t>西南侧</w:t>
            </w:r>
          </w:p>
        </w:tc>
        <w:tc>
          <w:tcPr>
            <w:tcW w:w="682" w:type="pct"/>
            <w:tcBorders>
              <w:tl2br w:val="nil"/>
              <w:tr2bl w:val="nil"/>
            </w:tcBorders>
            <w:vAlign w:val="center"/>
          </w:tcPr>
          <w:p w14:paraId="7358BDE8">
            <w:pPr>
              <w:pStyle w:val="20"/>
              <w:bidi w:val="0"/>
              <w:rPr>
                <w:color w:val="auto"/>
              </w:rPr>
            </w:pPr>
            <w:r>
              <w:rPr>
                <w:rFonts w:hint="eastAsia"/>
                <w:color w:val="auto"/>
              </w:rPr>
              <w:t>道路路边</w:t>
            </w:r>
          </w:p>
        </w:tc>
        <w:tc>
          <w:tcPr>
            <w:tcW w:w="578" w:type="pct"/>
            <w:tcBorders>
              <w:tl2br w:val="nil"/>
              <w:tr2bl w:val="nil"/>
            </w:tcBorders>
            <w:vAlign w:val="center"/>
          </w:tcPr>
          <w:p w14:paraId="04C94CFE">
            <w:pPr>
              <w:pStyle w:val="20"/>
              <w:bidi w:val="0"/>
              <w:rPr>
                <w:color w:val="auto"/>
              </w:rPr>
            </w:pPr>
            <w:r>
              <w:rPr>
                <w:rFonts w:hint="eastAsia"/>
                <w:color w:val="auto"/>
              </w:rPr>
              <w:t>6.28</w:t>
            </w:r>
          </w:p>
        </w:tc>
        <w:tc>
          <w:tcPr>
            <w:tcW w:w="572" w:type="pct"/>
            <w:tcBorders>
              <w:tl2br w:val="nil"/>
              <w:tr2bl w:val="nil"/>
            </w:tcBorders>
            <w:vAlign w:val="center"/>
          </w:tcPr>
          <w:p w14:paraId="4ECBFA43">
            <w:pPr>
              <w:pStyle w:val="20"/>
              <w:bidi w:val="0"/>
              <w:rPr>
                <w:color w:val="auto"/>
              </w:rPr>
            </w:pPr>
            <w:r>
              <w:rPr>
                <w:rFonts w:hint="eastAsia"/>
                <w:color w:val="auto"/>
              </w:rPr>
              <w:t>6</w:t>
            </w:r>
          </w:p>
        </w:tc>
        <w:tc>
          <w:tcPr>
            <w:tcW w:w="433" w:type="pct"/>
            <w:tcBorders>
              <w:tl2br w:val="nil"/>
              <w:tr2bl w:val="nil"/>
            </w:tcBorders>
            <w:vAlign w:val="center"/>
          </w:tcPr>
          <w:p w14:paraId="13C6B734">
            <w:pPr>
              <w:pStyle w:val="20"/>
              <w:bidi w:val="0"/>
              <w:rPr>
                <w:color w:val="auto"/>
              </w:rPr>
            </w:pPr>
            <w:r>
              <w:rPr>
                <w:rFonts w:hint="eastAsia"/>
                <w:color w:val="auto"/>
              </w:rPr>
              <w:t>是</w:t>
            </w:r>
          </w:p>
        </w:tc>
        <w:tc>
          <w:tcPr>
            <w:tcW w:w="1396" w:type="pct"/>
            <w:tcBorders>
              <w:tl2br w:val="nil"/>
              <w:tr2bl w:val="nil"/>
            </w:tcBorders>
            <w:vAlign w:val="center"/>
          </w:tcPr>
          <w:p w14:paraId="77759886">
            <w:pPr>
              <w:pStyle w:val="20"/>
              <w:bidi w:val="0"/>
              <w:rPr>
                <w:color w:val="auto"/>
              </w:rPr>
            </w:pPr>
            <w:r>
              <w:rPr>
                <w:rFonts w:hint="eastAsia"/>
                <w:color w:val="auto"/>
              </w:rPr>
              <w:t>GB50295-2016附录A</w:t>
            </w:r>
          </w:p>
        </w:tc>
      </w:tr>
      <w:tr w14:paraId="0AB7A96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769" w:type="pct"/>
            <w:vMerge w:val="continue"/>
            <w:tcBorders>
              <w:tl2br w:val="nil"/>
              <w:tr2bl w:val="nil"/>
            </w:tcBorders>
            <w:vAlign w:val="center"/>
          </w:tcPr>
          <w:p w14:paraId="08AF8543">
            <w:pPr>
              <w:pStyle w:val="20"/>
              <w:bidi w:val="0"/>
              <w:rPr>
                <w:color w:val="auto"/>
              </w:rPr>
            </w:pPr>
          </w:p>
        </w:tc>
        <w:tc>
          <w:tcPr>
            <w:tcW w:w="566" w:type="pct"/>
            <w:vMerge w:val="continue"/>
            <w:tcBorders>
              <w:tl2br w:val="nil"/>
              <w:tr2bl w:val="nil"/>
            </w:tcBorders>
            <w:vAlign w:val="center"/>
          </w:tcPr>
          <w:p w14:paraId="6A69C17A">
            <w:pPr>
              <w:pStyle w:val="20"/>
              <w:bidi w:val="0"/>
              <w:rPr>
                <w:color w:val="auto"/>
              </w:rPr>
            </w:pPr>
          </w:p>
        </w:tc>
        <w:tc>
          <w:tcPr>
            <w:tcW w:w="682" w:type="pct"/>
            <w:tcBorders>
              <w:tl2br w:val="nil"/>
              <w:tr2bl w:val="nil"/>
            </w:tcBorders>
            <w:vAlign w:val="center"/>
          </w:tcPr>
          <w:p w14:paraId="79F02D66">
            <w:pPr>
              <w:pStyle w:val="20"/>
              <w:bidi w:val="0"/>
              <w:rPr>
                <w:color w:val="auto"/>
              </w:rPr>
            </w:pPr>
            <w:r>
              <w:rPr>
                <w:rFonts w:hint="eastAsia"/>
                <w:color w:val="auto"/>
              </w:rPr>
              <w:t>配料站</w:t>
            </w:r>
          </w:p>
        </w:tc>
        <w:tc>
          <w:tcPr>
            <w:tcW w:w="578" w:type="pct"/>
            <w:tcBorders>
              <w:tl2br w:val="nil"/>
              <w:tr2bl w:val="nil"/>
            </w:tcBorders>
            <w:vAlign w:val="center"/>
          </w:tcPr>
          <w:p w14:paraId="0D687107">
            <w:pPr>
              <w:pStyle w:val="20"/>
              <w:bidi w:val="0"/>
              <w:rPr>
                <w:color w:val="auto"/>
              </w:rPr>
            </w:pPr>
            <w:r>
              <w:rPr>
                <w:rFonts w:hint="eastAsia"/>
                <w:color w:val="auto"/>
              </w:rPr>
              <w:t>17.56</w:t>
            </w:r>
          </w:p>
        </w:tc>
        <w:tc>
          <w:tcPr>
            <w:tcW w:w="572" w:type="pct"/>
            <w:tcBorders>
              <w:tl2br w:val="nil"/>
              <w:tr2bl w:val="nil"/>
            </w:tcBorders>
            <w:vAlign w:val="center"/>
          </w:tcPr>
          <w:p w14:paraId="65969E1A">
            <w:pPr>
              <w:pStyle w:val="20"/>
              <w:bidi w:val="0"/>
              <w:rPr>
                <w:color w:val="auto"/>
              </w:rPr>
            </w:pPr>
            <w:r>
              <w:rPr>
                <w:rFonts w:hint="eastAsia"/>
                <w:color w:val="auto"/>
              </w:rPr>
              <w:t>10</w:t>
            </w:r>
          </w:p>
        </w:tc>
        <w:tc>
          <w:tcPr>
            <w:tcW w:w="433" w:type="pct"/>
            <w:tcBorders>
              <w:tl2br w:val="nil"/>
              <w:tr2bl w:val="nil"/>
            </w:tcBorders>
            <w:vAlign w:val="center"/>
          </w:tcPr>
          <w:p w14:paraId="44A65493">
            <w:pPr>
              <w:pStyle w:val="20"/>
              <w:bidi w:val="0"/>
              <w:rPr>
                <w:color w:val="auto"/>
              </w:rPr>
            </w:pPr>
            <w:r>
              <w:rPr>
                <w:rFonts w:hint="eastAsia"/>
                <w:color w:val="auto"/>
              </w:rPr>
              <w:t>是</w:t>
            </w:r>
          </w:p>
        </w:tc>
        <w:tc>
          <w:tcPr>
            <w:tcW w:w="1396" w:type="pct"/>
            <w:tcBorders>
              <w:tl2br w:val="nil"/>
              <w:tr2bl w:val="nil"/>
            </w:tcBorders>
            <w:vAlign w:val="center"/>
          </w:tcPr>
          <w:p w14:paraId="08E17952">
            <w:pPr>
              <w:pStyle w:val="20"/>
              <w:bidi w:val="0"/>
              <w:rPr>
                <w:color w:val="auto"/>
              </w:rPr>
            </w:pPr>
            <w:r>
              <w:rPr>
                <w:rFonts w:hint="eastAsia"/>
                <w:color w:val="auto"/>
              </w:rPr>
              <w:t>GB50016-2014（2018版）3.4.1</w:t>
            </w:r>
          </w:p>
        </w:tc>
      </w:tr>
    </w:tbl>
    <w:p w14:paraId="36911701">
      <w:pPr>
        <w:ind w:firstLine="840" w:firstLineChars="300"/>
        <w:rPr>
          <w:rFonts w:ascii="Times New Roman" w:hAnsi="Times New Roman"/>
          <w:color w:val="auto"/>
          <w:lang w:val="en-US" w:eastAsia="zh-CN"/>
        </w:rPr>
      </w:pPr>
      <w:r>
        <w:rPr>
          <w:rFonts w:ascii="Times New Roman" w:hAnsi="Times New Roman"/>
          <w:color w:val="auto"/>
          <w:lang w:val="en-US" w:eastAsia="zh-CN"/>
        </w:rPr>
        <w:t>依据</w:t>
      </w:r>
      <w:r>
        <w:rPr>
          <w:rFonts w:hint="eastAsia"/>
          <w:color w:val="auto"/>
          <w:lang w:val="en-US" w:eastAsia="zh-CN"/>
        </w:rPr>
        <w:t>《建筑设计防火规范》、《建筑抗震设计标准》等法规、规范，使用安全检查表法检查建（构）筑物子单元是否符合相关要求，检查情况见</w:t>
      </w:r>
      <w:r>
        <w:rPr>
          <w:rFonts w:ascii="Times New Roman" w:hAnsi="Times New Roman"/>
          <w:color w:val="auto"/>
          <w:lang w:val="en-US" w:eastAsia="zh-CN"/>
        </w:rPr>
        <w:t>表</w:t>
      </w:r>
      <w:r>
        <w:rPr>
          <w:rFonts w:hint="eastAsia" w:ascii="Times New Roman" w:hAnsi="Times New Roman"/>
          <w:color w:val="auto"/>
          <w:lang w:val="en-US" w:eastAsia="zh-CN"/>
        </w:rPr>
        <w:t>5</w:t>
      </w:r>
      <w:r>
        <w:rPr>
          <w:rFonts w:hint="eastAsia"/>
          <w:color w:val="auto"/>
          <w:lang w:val="en-US" w:eastAsia="zh-CN"/>
        </w:rPr>
        <w:t>.2.2-2</w:t>
      </w:r>
      <w:r>
        <w:rPr>
          <w:rFonts w:ascii="Times New Roman" w:hAnsi="Times New Roman"/>
          <w:color w:val="auto"/>
          <w:lang w:val="en-US" w:eastAsia="zh-CN"/>
        </w:rPr>
        <w:t>。</w:t>
      </w:r>
    </w:p>
    <w:p w14:paraId="3AB8CF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ascii="Times New Roman" w:hAnsi="Times New Roman" w:eastAsia="宋体" w:cs="Times New Roman"/>
          <w:color w:val="auto"/>
          <w:lang w:val="en-US" w:eastAsia="zh-CN"/>
        </w:rPr>
        <w:t>5</w:t>
      </w:r>
      <w:r>
        <w:rPr>
          <w:rFonts w:hint="eastAsia" w:cs="Times New Roman"/>
          <w:color w:val="auto"/>
          <w:lang w:val="en-US" w:eastAsia="zh-CN"/>
        </w:rPr>
        <w:t>.2.2</w:t>
      </w:r>
      <w:r>
        <w:rPr>
          <w:rFonts w:hint="eastAsia" w:ascii="Times New Roman" w:hAnsi="Times New Roman" w:eastAsia="宋体" w:cs="Times New Roman"/>
          <w:color w:val="auto"/>
          <w:lang w:val="en-US" w:eastAsia="zh-CN"/>
        </w:rPr>
        <w:t>-</w:t>
      </w:r>
      <w:r>
        <w:rPr>
          <w:rFonts w:hint="eastAsia" w:cs="Times New Roman"/>
          <w:color w:val="auto"/>
          <w:lang w:val="en-US" w:eastAsia="zh-CN"/>
        </w:rPr>
        <w:t>2</w:t>
      </w:r>
      <w:r>
        <w:rPr>
          <w:rFonts w:ascii="Times New Roman" w:hAnsi="Times New Roman" w:eastAsia="宋体" w:cs="Times New Roman"/>
          <w:color w:val="auto"/>
          <w:lang w:val="en-US" w:eastAsia="zh-CN"/>
        </w:rPr>
        <w:t>建（构）筑物安全检查表</w:t>
      </w:r>
    </w:p>
    <w:tbl>
      <w:tblPr>
        <w:tblStyle w:val="14"/>
        <w:tblW w:w="505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453"/>
        <w:gridCol w:w="3549"/>
        <w:gridCol w:w="2178"/>
        <w:gridCol w:w="2081"/>
        <w:gridCol w:w="947"/>
      </w:tblGrid>
      <w:tr w14:paraId="0E54F6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4" w:hRule="atLeast"/>
          <w:jc w:val="center"/>
        </w:trPr>
        <w:tc>
          <w:tcPr>
            <w:tcW w:w="246" w:type="pct"/>
            <w:tcBorders>
              <w:tl2br w:val="nil"/>
              <w:tr2bl w:val="nil"/>
            </w:tcBorders>
            <w:noWrap w:val="0"/>
            <w:textDirection w:val="tbRlV"/>
            <w:vAlign w:val="center"/>
          </w:tcPr>
          <w:p w14:paraId="1C2A1C23">
            <w:pPr>
              <w:pStyle w:val="21"/>
              <w:bidi w:val="0"/>
              <w:rPr>
                <w:color w:val="auto"/>
                <w:lang w:val="en-US"/>
              </w:rPr>
            </w:pPr>
            <w:r>
              <w:rPr>
                <w:color w:val="auto"/>
                <w:lang w:val="en-US"/>
              </w:rPr>
              <w:t>序号</w:t>
            </w:r>
          </w:p>
        </w:tc>
        <w:tc>
          <w:tcPr>
            <w:tcW w:w="1926" w:type="pct"/>
            <w:tcBorders>
              <w:tl2br w:val="nil"/>
              <w:tr2bl w:val="nil"/>
            </w:tcBorders>
            <w:noWrap w:val="0"/>
            <w:vAlign w:val="center"/>
          </w:tcPr>
          <w:p w14:paraId="6B435D57">
            <w:pPr>
              <w:pStyle w:val="21"/>
              <w:bidi w:val="0"/>
              <w:rPr>
                <w:color w:val="auto"/>
                <w:lang w:val="en-US"/>
              </w:rPr>
            </w:pPr>
            <w:r>
              <w:rPr>
                <w:color w:val="auto"/>
                <w:lang w:val="en-US"/>
              </w:rPr>
              <w:t>检查项目和内容</w:t>
            </w:r>
          </w:p>
        </w:tc>
        <w:tc>
          <w:tcPr>
            <w:tcW w:w="1182" w:type="pct"/>
            <w:tcBorders>
              <w:tl2br w:val="nil"/>
              <w:tr2bl w:val="nil"/>
            </w:tcBorders>
            <w:noWrap w:val="0"/>
            <w:vAlign w:val="center"/>
          </w:tcPr>
          <w:p w14:paraId="200C19C7">
            <w:pPr>
              <w:pStyle w:val="21"/>
              <w:bidi w:val="0"/>
              <w:rPr>
                <w:color w:val="auto"/>
                <w:lang w:val="en-US"/>
              </w:rPr>
            </w:pPr>
            <w:r>
              <w:rPr>
                <w:color w:val="auto"/>
                <w:lang w:val="en-US"/>
              </w:rPr>
              <w:t>检查依据</w:t>
            </w:r>
          </w:p>
        </w:tc>
        <w:tc>
          <w:tcPr>
            <w:tcW w:w="1129" w:type="pct"/>
            <w:tcBorders>
              <w:tl2br w:val="nil"/>
              <w:tr2bl w:val="nil"/>
            </w:tcBorders>
            <w:noWrap w:val="0"/>
            <w:vAlign w:val="center"/>
          </w:tcPr>
          <w:p w14:paraId="6DEE0995">
            <w:pPr>
              <w:pStyle w:val="21"/>
              <w:bidi w:val="0"/>
              <w:rPr>
                <w:color w:val="auto"/>
                <w:lang w:val="en-US"/>
              </w:rPr>
            </w:pPr>
            <w:r>
              <w:rPr>
                <w:rFonts w:hint="eastAsia"/>
                <w:color w:val="auto"/>
                <w:lang w:val="en-US" w:eastAsia="zh-CN"/>
              </w:rPr>
              <w:t>检查情况</w:t>
            </w:r>
          </w:p>
        </w:tc>
        <w:tc>
          <w:tcPr>
            <w:tcW w:w="514" w:type="pct"/>
            <w:tcBorders>
              <w:tl2br w:val="nil"/>
              <w:tr2bl w:val="nil"/>
            </w:tcBorders>
            <w:noWrap w:val="0"/>
            <w:vAlign w:val="center"/>
          </w:tcPr>
          <w:p w14:paraId="2A206508">
            <w:pPr>
              <w:pStyle w:val="21"/>
              <w:bidi w:val="0"/>
              <w:rPr>
                <w:color w:val="auto"/>
                <w:lang w:val="en-US"/>
              </w:rPr>
            </w:pPr>
            <w:r>
              <w:rPr>
                <w:color w:val="auto"/>
                <w:lang w:val="en-US"/>
              </w:rPr>
              <w:t>检查结果</w:t>
            </w:r>
          </w:p>
        </w:tc>
      </w:tr>
      <w:tr w14:paraId="1CD391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697" w:hRule="atLeast"/>
          <w:jc w:val="center"/>
        </w:trPr>
        <w:tc>
          <w:tcPr>
            <w:tcW w:w="246" w:type="pct"/>
            <w:tcBorders>
              <w:tl2br w:val="nil"/>
              <w:tr2bl w:val="nil"/>
            </w:tcBorders>
            <w:noWrap w:val="0"/>
            <w:vAlign w:val="center"/>
          </w:tcPr>
          <w:p w14:paraId="61FFCDEB">
            <w:pPr>
              <w:pStyle w:val="20"/>
              <w:bidi w:val="0"/>
              <w:rPr>
                <w:rFonts w:hint="eastAsia"/>
                <w:color w:val="auto"/>
                <w:lang w:val="en-US" w:eastAsia="zh-CN"/>
              </w:rPr>
            </w:pPr>
            <w:r>
              <w:rPr>
                <w:rFonts w:hint="eastAsia"/>
                <w:color w:val="auto"/>
                <w:lang w:val="en-US" w:eastAsia="zh-CN"/>
              </w:rPr>
              <w:t>1</w:t>
            </w:r>
          </w:p>
        </w:tc>
        <w:tc>
          <w:tcPr>
            <w:tcW w:w="1926" w:type="pct"/>
            <w:tcBorders>
              <w:tl2br w:val="nil"/>
              <w:tr2bl w:val="nil"/>
            </w:tcBorders>
            <w:noWrap w:val="0"/>
            <w:vAlign w:val="center"/>
          </w:tcPr>
          <w:p w14:paraId="52DD250E">
            <w:pPr>
              <w:pStyle w:val="20"/>
              <w:bidi w:val="0"/>
              <w:rPr>
                <w:rFonts w:hint="default"/>
                <w:color w:val="auto"/>
                <w:lang w:val="en-US" w:eastAsia="zh-CN"/>
              </w:rPr>
            </w:pPr>
            <w:r>
              <w:rPr>
                <w:rFonts w:hint="default"/>
                <w:color w:val="auto"/>
                <w:lang w:val="en-US" w:eastAsia="zh-CN"/>
              </w:rPr>
              <w:t>甲、乙类厂房的耐火等级不应低于二级，丙类厂房（仓库）的耐火等级可为三级，丁、戊类厂房(仓库)可为四级。</w:t>
            </w:r>
          </w:p>
          <w:p w14:paraId="5B67C9FC">
            <w:pPr>
              <w:pStyle w:val="20"/>
              <w:bidi w:val="0"/>
              <w:rPr>
                <w:rFonts w:hint="default"/>
                <w:color w:val="auto"/>
                <w:lang w:val="en-US" w:eastAsia="zh-CN"/>
              </w:rPr>
            </w:pPr>
            <w:r>
              <w:rPr>
                <w:rFonts w:hint="default"/>
                <w:color w:val="auto"/>
                <w:lang w:val="en-US" w:eastAsia="zh-CN"/>
              </w:rPr>
              <w:t>建筑面积大于300m</w:t>
            </w:r>
            <w:r>
              <w:rPr>
                <w:rFonts w:hint="default"/>
                <w:color w:val="auto"/>
                <w:vertAlign w:val="superscript"/>
                <w:lang w:val="en-US" w:eastAsia="zh-CN"/>
              </w:rPr>
              <w:t>2</w:t>
            </w:r>
            <w:r>
              <w:rPr>
                <w:rFonts w:hint="default"/>
                <w:color w:val="auto"/>
                <w:lang w:val="en-US" w:eastAsia="zh-CN"/>
              </w:rPr>
              <w:t>的甲、乙类厂房、仓库（变配电室等）的耐火等级不应低于二级。</w:t>
            </w:r>
          </w:p>
        </w:tc>
        <w:tc>
          <w:tcPr>
            <w:tcW w:w="1182" w:type="pct"/>
            <w:tcBorders>
              <w:tl2br w:val="nil"/>
              <w:tr2bl w:val="nil"/>
            </w:tcBorders>
            <w:noWrap w:val="0"/>
            <w:vAlign w:val="center"/>
          </w:tcPr>
          <w:p w14:paraId="688E6C40">
            <w:pPr>
              <w:pStyle w:val="20"/>
              <w:bidi w:val="0"/>
              <w:rPr>
                <w:rFonts w:hint="eastAsia"/>
                <w:color w:val="auto"/>
                <w:lang w:val="en-US" w:eastAsia="zh-CN"/>
              </w:rPr>
            </w:pPr>
            <w:r>
              <w:rPr>
                <w:rFonts w:hint="eastAsia"/>
                <w:color w:val="auto"/>
                <w:lang w:val="en-US" w:eastAsia="zh-CN"/>
              </w:rPr>
              <w:t>《建筑设计防火规范》GB50016-2014（2018版）</w:t>
            </w:r>
          </w:p>
          <w:p w14:paraId="61DB08D9">
            <w:pPr>
              <w:pStyle w:val="20"/>
              <w:bidi w:val="0"/>
              <w:rPr>
                <w:rFonts w:hint="default"/>
                <w:color w:val="auto"/>
                <w:lang w:val="en-US" w:eastAsia="zh-CN"/>
              </w:rPr>
            </w:pPr>
            <w:r>
              <w:rPr>
                <w:rFonts w:hint="eastAsia"/>
                <w:color w:val="auto"/>
                <w:lang w:val="en-US" w:eastAsia="zh-CN"/>
              </w:rPr>
              <w:t>第3.3.1、3.3.2条</w:t>
            </w:r>
          </w:p>
        </w:tc>
        <w:tc>
          <w:tcPr>
            <w:tcW w:w="1129" w:type="pct"/>
            <w:tcBorders>
              <w:tl2br w:val="nil"/>
              <w:tr2bl w:val="nil"/>
            </w:tcBorders>
            <w:noWrap w:val="0"/>
            <w:vAlign w:val="center"/>
          </w:tcPr>
          <w:p w14:paraId="6E422086">
            <w:pPr>
              <w:pStyle w:val="20"/>
              <w:bidi w:val="0"/>
              <w:rPr>
                <w:rFonts w:hint="default"/>
                <w:color w:val="auto"/>
                <w:lang w:val="en-US" w:eastAsia="zh-CN"/>
              </w:rPr>
            </w:pPr>
            <w:r>
              <w:rPr>
                <w:rFonts w:hint="eastAsia"/>
                <w:color w:val="auto"/>
                <w:lang w:val="en-US" w:eastAsia="zh-CN"/>
              </w:rPr>
              <w:t>本项目配电室耐火等级为二级。</w:t>
            </w:r>
          </w:p>
        </w:tc>
        <w:tc>
          <w:tcPr>
            <w:tcW w:w="514" w:type="pct"/>
            <w:tcBorders>
              <w:tl2br w:val="nil"/>
              <w:tr2bl w:val="nil"/>
            </w:tcBorders>
            <w:noWrap w:val="0"/>
            <w:vAlign w:val="center"/>
          </w:tcPr>
          <w:p w14:paraId="7E0C1619">
            <w:pPr>
              <w:pStyle w:val="20"/>
              <w:bidi w:val="0"/>
              <w:rPr>
                <w:color w:val="auto"/>
              </w:rPr>
            </w:pPr>
          </w:p>
          <w:p w14:paraId="1D03EAE3">
            <w:pPr>
              <w:pStyle w:val="20"/>
              <w:bidi w:val="0"/>
              <w:rPr>
                <w:color w:val="auto"/>
                <w:lang w:val="en-US"/>
              </w:rPr>
            </w:pPr>
            <w:r>
              <w:rPr>
                <w:color w:val="auto"/>
                <w:lang w:val="en-US"/>
              </w:rPr>
              <w:t>符合</w:t>
            </w:r>
          </w:p>
        </w:tc>
      </w:tr>
      <w:tr w14:paraId="3D7D0A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16" w:hRule="atLeast"/>
          <w:jc w:val="center"/>
        </w:trPr>
        <w:tc>
          <w:tcPr>
            <w:tcW w:w="246" w:type="pct"/>
            <w:tcBorders>
              <w:tl2br w:val="nil"/>
              <w:tr2bl w:val="nil"/>
            </w:tcBorders>
            <w:noWrap w:val="0"/>
            <w:vAlign w:val="center"/>
          </w:tcPr>
          <w:p w14:paraId="5535C5D0">
            <w:pPr>
              <w:pStyle w:val="20"/>
              <w:bidi w:val="0"/>
              <w:rPr>
                <w:rFonts w:hint="default"/>
                <w:color w:val="auto"/>
                <w:lang w:val="en-US" w:eastAsia="zh-CN"/>
              </w:rPr>
            </w:pPr>
            <w:r>
              <w:rPr>
                <w:rFonts w:hint="eastAsia"/>
                <w:color w:val="auto"/>
                <w:lang w:val="en-US" w:eastAsia="zh-CN"/>
              </w:rPr>
              <w:t>2</w:t>
            </w:r>
          </w:p>
        </w:tc>
        <w:tc>
          <w:tcPr>
            <w:tcW w:w="1926" w:type="pct"/>
            <w:tcBorders>
              <w:tl2br w:val="nil"/>
              <w:tr2bl w:val="nil"/>
            </w:tcBorders>
            <w:noWrap w:val="0"/>
            <w:vAlign w:val="center"/>
          </w:tcPr>
          <w:p w14:paraId="329FD4CB">
            <w:pPr>
              <w:pStyle w:val="20"/>
              <w:bidi w:val="0"/>
              <w:rPr>
                <w:rFonts w:hint="eastAsia"/>
                <w:color w:val="auto"/>
                <w:lang w:val="en-US" w:eastAsia="zh-CN"/>
              </w:rPr>
            </w:pPr>
            <w:r>
              <w:rPr>
                <w:rFonts w:hint="eastAsia"/>
                <w:color w:val="auto"/>
                <w:lang w:val="en-US" w:eastAsia="zh-CN"/>
              </w:rPr>
              <w:t>厂房内任一点到最近安全出口的距离不应大于表3.7.4的规定。</w:t>
            </w:r>
          </w:p>
        </w:tc>
        <w:tc>
          <w:tcPr>
            <w:tcW w:w="1182" w:type="pct"/>
            <w:tcBorders>
              <w:tl2br w:val="nil"/>
              <w:tr2bl w:val="nil"/>
            </w:tcBorders>
            <w:noWrap w:val="0"/>
            <w:vAlign w:val="center"/>
          </w:tcPr>
          <w:p w14:paraId="49E317DB">
            <w:pPr>
              <w:pStyle w:val="20"/>
              <w:bidi w:val="0"/>
              <w:rPr>
                <w:rFonts w:hint="eastAsia"/>
                <w:color w:val="auto"/>
                <w:lang w:val="en-US" w:eastAsia="zh-CN"/>
              </w:rPr>
            </w:pPr>
            <w:r>
              <w:rPr>
                <w:rFonts w:hint="eastAsia"/>
                <w:color w:val="auto"/>
                <w:lang w:val="en-US" w:eastAsia="zh-CN"/>
              </w:rPr>
              <w:t>《建筑设计防火规范》GB50016-2014（2018版）</w:t>
            </w:r>
          </w:p>
          <w:p w14:paraId="6C7B9C15">
            <w:pPr>
              <w:pStyle w:val="20"/>
              <w:bidi w:val="0"/>
              <w:rPr>
                <w:rFonts w:hint="default"/>
                <w:color w:val="auto"/>
                <w:lang w:val="en-US" w:eastAsia="zh-CN"/>
              </w:rPr>
            </w:pPr>
            <w:r>
              <w:rPr>
                <w:rFonts w:hint="eastAsia"/>
                <w:color w:val="auto"/>
                <w:lang w:val="en-US" w:eastAsia="zh-CN"/>
              </w:rPr>
              <w:t>第3.7.4条</w:t>
            </w:r>
          </w:p>
        </w:tc>
        <w:tc>
          <w:tcPr>
            <w:tcW w:w="1129" w:type="pct"/>
            <w:tcBorders>
              <w:tl2br w:val="nil"/>
              <w:tr2bl w:val="nil"/>
            </w:tcBorders>
            <w:noWrap w:val="0"/>
            <w:vAlign w:val="center"/>
          </w:tcPr>
          <w:p w14:paraId="5F82640B">
            <w:pPr>
              <w:pStyle w:val="20"/>
              <w:bidi w:val="0"/>
              <w:rPr>
                <w:rFonts w:hint="default"/>
                <w:color w:val="auto"/>
                <w:lang w:val="en-US" w:eastAsia="zh-CN"/>
              </w:rPr>
            </w:pPr>
            <w:r>
              <w:rPr>
                <w:rFonts w:hint="eastAsia"/>
                <w:color w:val="auto"/>
                <w:lang w:val="en-US" w:eastAsia="zh-CN"/>
              </w:rPr>
              <w:t>配电室耐火等级为二级，火灾危险性类别为丙类，到最近安全出口距离小于80m。</w:t>
            </w:r>
          </w:p>
        </w:tc>
        <w:tc>
          <w:tcPr>
            <w:tcW w:w="514" w:type="pct"/>
            <w:tcBorders>
              <w:tl2br w:val="nil"/>
              <w:tr2bl w:val="nil"/>
            </w:tcBorders>
            <w:noWrap w:val="0"/>
            <w:vAlign w:val="center"/>
          </w:tcPr>
          <w:p w14:paraId="13049592">
            <w:pPr>
              <w:pStyle w:val="20"/>
              <w:bidi w:val="0"/>
              <w:rPr>
                <w:rFonts w:hint="default"/>
                <w:color w:val="auto"/>
                <w:lang w:val="en-US" w:eastAsia="zh-CN"/>
              </w:rPr>
            </w:pPr>
            <w:r>
              <w:rPr>
                <w:rFonts w:hint="eastAsia"/>
                <w:color w:val="auto"/>
                <w:lang w:val="en-US" w:eastAsia="zh-CN"/>
              </w:rPr>
              <w:t>符合</w:t>
            </w:r>
          </w:p>
        </w:tc>
      </w:tr>
      <w:tr w14:paraId="03858F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451" w:hRule="atLeast"/>
          <w:jc w:val="center"/>
        </w:trPr>
        <w:tc>
          <w:tcPr>
            <w:tcW w:w="246" w:type="pct"/>
            <w:tcBorders>
              <w:tl2br w:val="nil"/>
              <w:tr2bl w:val="nil"/>
            </w:tcBorders>
            <w:noWrap w:val="0"/>
            <w:vAlign w:val="center"/>
          </w:tcPr>
          <w:p w14:paraId="48578AEA">
            <w:pPr>
              <w:pStyle w:val="20"/>
              <w:bidi w:val="0"/>
              <w:rPr>
                <w:rFonts w:hint="default"/>
                <w:color w:val="auto"/>
                <w:lang w:val="en-US" w:eastAsia="zh-CN"/>
              </w:rPr>
            </w:pPr>
            <w:r>
              <w:rPr>
                <w:rFonts w:hint="eastAsia"/>
                <w:color w:val="auto"/>
                <w:lang w:val="en-US" w:eastAsia="zh-CN"/>
              </w:rPr>
              <w:t>3</w:t>
            </w:r>
          </w:p>
        </w:tc>
        <w:tc>
          <w:tcPr>
            <w:tcW w:w="1926" w:type="pct"/>
            <w:tcBorders>
              <w:tl2br w:val="nil"/>
              <w:tr2bl w:val="nil"/>
            </w:tcBorders>
            <w:noWrap w:val="0"/>
            <w:vAlign w:val="center"/>
          </w:tcPr>
          <w:p w14:paraId="03E54E86">
            <w:pPr>
              <w:pStyle w:val="20"/>
              <w:bidi w:val="0"/>
              <w:rPr>
                <w:rFonts w:hint="eastAsia"/>
                <w:color w:val="auto"/>
                <w:lang w:val="en-US" w:eastAsia="zh-CN"/>
              </w:rPr>
            </w:pPr>
            <w:r>
              <w:rPr>
                <w:rFonts w:hint="eastAsia"/>
                <w:color w:val="auto"/>
                <w:lang w:val="en-US" w:eastAsia="zh-CN"/>
              </w:rPr>
              <w:t>抗震设防烈度为6度及以上地区的建筑，必须进行抗震设计。</w:t>
            </w:r>
          </w:p>
        </w:tc>
        <w:tc>
          <w:tcPr>
            <w:tcW w:w="1182" w:type="pct"/>
            <w:tcBorders>
              <w:tl2br w:val="nil"/>
              <w:tr2bl w:val="nil"/>
            </w:tcBorders>
            <w:noWrap w:val="0"/>
            <w:vAlign w:val="center"/>
          </w:tcPr>
          <w:p w14:paraId="59D71CE1">
            <w:pPr>
              <w:pStyle w:val="20"/>
              <w:bidi w:val="0"/>
              <w:rPr>
                <w:rFonts w:hint="eastAsia"/>
                <w:color w:val="auto"/>
                <w:lang w:val="en-US" w:eastAsia="zh-CN"/>
              </w:rPr>
            </w:pPr>
            <w:r>
              <w:rPr>
                <w:rFonts w:hint="eastAsia"/>
                <w:color w:val="auto"/>
                <w:lang w:val="en-US" w:eastAsia="zh-CN"/>
              </w:rPr>
              <w:t>《建筑抗震设计标准》GB/T50011-2010</w:t>
            </w:r>
          </w:p>
          <w:p w14:paraId="2003E8B1">
            <w:pPr>
              <w:pStyle w:val="20"/>
              <w:bidi w:val="0"/>
              <w:rPr>
                <w:rFonts w:hint="eastAsia"/>
                <w:color w:val="auto"/>
                <w:lang w:val="en-US" w:eastAsia="zh-CN"/>
              </w:rPr>
            </w:pPr>
            <w:r>
              <w:rPr>
                <w:rFonts w:hint="eastAsia"/>
                <w:color w:val="auto"/>
                <w:lang w:val="en-US" w:eastAsia="zh-CN"/>
              </w:rPr>
              <w:t>第1.0.2条</w:t>
            </w:r>
          </w:p>
        </w:tc>
        <w:tc>
          <w:tcPr>
            <w:tcW w:w="1129" w:type="pct"/>
            <w:tcBorders>
              <w:tl2br w:val="nil"/>
              <w:tr2bl w:val="nil"/>
            </w:tcBorders>
            <w:noWrap w:val="0"/>
            <w:vAlign w:val="center"/>
          </w:tcPr>
          <w:p w14:paraId="6A0B681A">
            <w:pPr>
              <w:pStyle w:val="20"/>
              <w:bidi w:val="0"/>
              <w:rPr>
                <w:rFonts w:hint="eastAsia"/>
                <w:color w:val="auto"/>
                <w:lang w:val="en-US" w:eastAsia="zh-CN"/>
              </w:rPr>
            </w:pPr>
            <w:r>
              <w:rPr>
                <w:rFonts w:hint="eastAsia"/>
                <w:color w:val="auto"/>
                <w:lang w:val="en-US" w:eastAsia="zh-CN"/>
              </w:rPr>
              <w:t>本项目抗震设防烈度为6度，用钢结构建造生产厂房，采用钢筋混凝土结构建造办公设施和设备基础。</w:t>
            </w:r>
          </w:p>
        </w:tc>
        <w:tc>
          <w:tcPr>
            <w:tcW w:w="514" w:type="pct"/>
            <w:tcBorders>
              <w:tl2br w:val="nil"/>
              <w:tr2bl w:val="nil"/>
            </w:tcBorders>
            <w:noWrap w:val="0"/>
            <w:vAlign w:val="center"/>
          </w:tcPr>
          <w:p w14:paraId="6C72DA7E">
            <w:pPr>
              <w:pStyle w:val="20"/>
              <w:bidi w:val="0"/>
              <w:rPr>
                <w:rFonts w:hint="default"/>
                <w:color w:val="auto"/>
                <w:lang w:val="en-US" w:eastAsia="zh-CN"/>
              </w:rPr>
            </w:pPr>
            <w:r>
              <w:rPr>
                <w:rFonts w:hint="eastAsia"/>
                <w:color w:val="auto"/>
                <w:lang w:val="en-US" w:eastAsia="zh-CN"/>
              </w:rPr>
              <w:t>符合</w:t>
            </w:r>
          </w:p>
        </w:tc>
      </w:tr>
    </w:tbl>
    <w:p w14:paraId="6ADFCEDF">
      <w:pPr>
        <w:bidi w:val="0"/>
        <w:rPr>
          <w:rFonts w:ascii="Times New Roman" w:hAnsi="Times New Roman"/>
          <w:color w:val="auto"/>
          <w:lang w:val="en-US" w:eastAsia="zh-CN"/>
        </w:rPr>
      </w:pPr>
      <w:r>
        <w:rPr>
          <w:rFonts w:hint="eastAsia" w:ascii="Times New Roman" w:hAnsi="Times New Roman"/>
          <w:color w:val="auto"/>
          <w:lang w:val="en-US" w:eastAsia="zh-CN"/>
        </w:rPr>
        <w:t>建筑物</w:t>
      </w:r>
      <w:r>
        <w:rPr>
          <w:rFonts w:ascii="Times New Roman" w:hAnsi="Times New Roman"/>
          <w:color w:val="auto"/>
          <w:lang w:val="en-US" w:eastAsia="zh-CN"/>
        </w:rPr>
        <w:t>子单元评价小结</w:t>
      </w:r>
      <w:r>
        <w:rPr>
          <w:rFonts w:hint="eastAsia" w:ascii="Times New Roman" w:hAnsi="Times New Roman"/>
          <w:color w:val="auto"/>
          <w:lang w:val="en-US" w:eastAsia="zh-CN"/>
        </w:rPr>
        <w:t>：</w:t>
      </w:r>
      <w:r>
        <w:rPr>
          <w:rFonts w:ascii="Times New Roman" w:hAnsi="Times New Roman"/>
          <w:color w:val="auto"/>
          <w:lang w:val="en-US" w:eastAsia="zh-CN"/>
        </w:rPr>
        <w:t>本单元对</w:t>
      </w:r>
      <w:r>
        <w:rPr>
          <w:rFonts w:hint="eastAsia"/>
          <w:color w:val="auto"/>
          <w:lang w:val="en-US" w:eastAsia="zh-CN"/>
        </w:rPr>
        <w:t>本项目</w:t>
      </w:r>
      <w:r>
        <w:rPr>
          <w:rFonts w:ascii="Times New Roman" w:hAnsi="Times New Roman"/>
          <w:color w:val="auto"/>
          <w:lang w:val="en-US" w:eastAsia="zh-CN"/>
        </w:rPr>
        <w:t>建构筑单位进行了</w:t>
      </w:r>
      <w:r>
        <w:rPr>
          <w:rFonts w:hint="eastAsia"/>
          <w:color w:val="auto"/>
          <w:lang w:val="en-US" w:eastAsia="zh-CN"/>
        </w:rPr>
        <w:t>3</w:t>
      </w:r>
      <w:r>
        <w:rPr>
          <w:rFonts w:ascii="Times New Roman" w:hAnsi="Times New Roman"/>
          <w:color w:val="auto"/>
          <w:lang w:val="en-US" w:eastAsia="zh-CN"/>
        </w:rPr>
        <w:t>项检查，符合项</w:t>
      </w:r>
      <w:r>
        <w:rPr>
          <w:rFonts w:hint="eastAsia"/>
          <w:color w:val="auto"/>
          <w:lang w:val="en-US" w:eastAsia="zh-CN"/>
        </w:rPr>
        <w:t>3</w:t>
      </w:r>
      <w:r>
        <w:rPr>
          <w:rFonts w:ascii="Times New Roman" w:hAnsi="Times New Roman"/>
          <w:color w:val="auto"/>
          <w:lang w:val="en-US" w:eastAsia="zh-CN"/>
        </w:rPr>
        <w:t>项</w:t>
      </w:r>
      <w:r>
        <w:rPr>
          <w:rFonts w:hint="eastAsia" w:ascii="Times New Roman" w:hAnsi="Times New Roman"/>
          <w:color w:val="auto"/>
          <w:lang w:val="en-US" w:eastAsia="zh-CN"/>
        </w:rPr>
        <w:t>，不符合项0项</w:t>
      </w:r>
      <w:r>
        <w:rPr>
          <w:rFonts w:ascii="Times New Roman" w:hAnsi="Times New Roman"/>
          <w:color w:val="auto"/>
          <w:lang w:val="en-US" w:eastAsia="zh-CN"/>
        </w:rPr>
        <w:t>。</w:t>
      </w:r>
      <w:r>
        <w:rPr>
          <w:rFonts w:hint="eastAsia" w:ascii="Times New Roman" w:hAnsi="Times New Roman"/>
          <w:color w:val="auto"/>
          <w:lang w:val="en-US" w:eastAsia="zh-CN"/>
        </w:rPr>
        <w:t>建（构）筑物子单元符合法律法规、标准规范及设计要求。</w:t>
      </w:r>
    </w:p>
    <w:p w14:paraId="0D2EE793">
      <w:pPr>
        <w:pStyle w:val="4"/>
        <w:bidi w:val="0"/>
        <w:rPr>
          <w:rFonts w:ascii="Times New Roman" w:hAnsi="Times New Roman"/>
          <w:color w:val="auto"/>
          <w:lang w:val="en-US" w:eastAsia="zh-CN"/>
        </w:rPr>
      </w:pPr>
      <w:bookmarkStart w:id="97" w:name="_Toc27018"/>
      <w:r>
        <w:rPr>
          <w:rFonts w:ascii="Times New Roman" w:hAnsi="Times New Roman"/>
          <w:color w:val="auto"/>
          <w:lang w:val="en-US" w:eastAsia="zh-CN"/>
        </w:rPr>
        <w:t>5.</w:t>
      </w:r>
      <w:r>
        <w:rPr>
          <w:rFonts w:hint="eastAsia"/>
          <w:color w:val="auto"/>
          <w:lang w:val="en-US" w:eastAsia="zh-CN"/>
        </w:rPr>
        <w:t>2</w:t>
      </w:r>
      <w:r>
        <w:rPr>
          <w:rFonts w:ascii="Times New Roman" w:hAnsi="Times New Roman"/>
          <w:color w:val="auto"/>
          <w:lang w:val="en-US" w:eastAsia="zh-CN"/>
        </w:rPr>
        <w:t>.3道路及运输子单元</w:t>
      </w:r>
      <w:bookmarkEnd w:id="97"/>
    </w:p>
    <w:p w14:paraId="445557BA">
      <w:pPr>
        <w:bidi w:val="0"/>
        <w:rPr>
          <w:color w:val="auto"/>
          <w:lang w:val="en-US" w:eastAsia="zh-CN"/>
        </w:rPr>
      </w:pPr>
      <w:r>
        <w:rPr>
          <w:color w:val="auto"/>
          <w:lang w:val="en-US" w:eastAsia="zh-CN"/>
        </w:rPr>
        <w:t>依据《工业企业总平面设计规范》等法规、规范，使用安全检查表法对厂区道路及运输单元是否符合相关要求进行检查，检查情况见表</w:t>
      </w:r>
      <w:r>
        <w:rPr>
          <w:rFonts w:hint="eastAsia"/>
          <w:color w:val="auto"/>
          <w:lang w:val="en-US" w:eastAsia="zh-CN"/>
        </w:rPr>
        <w:t>5.2.3</w:t>
      </w:r>
      <w:r>
        <w:rPr>
          <w:color w:val="auto"/>
          <w:lang w:val="en-US" w:eastAsia="zh-CN"/>
        </w:rPr>
        <w:t>-</w:t>
      </w:r>
      <w:r>
        <w:rPr>
          <w:rFonts w:hint="eastAsia"/>
          <w:color w:val="auto"/>
          <w:lang w:val="en-US" w:eastAsia="zh-CN"/>
        </w:rPr>
        <w:t>1</w:t>
      </w:r>
      <w:r>
        <w:rPr>
          <w:color w:val="auto"/>
          <w:lang w:val="en-US" w:eastAsia="zh-CN"/>
        </w:rPr>
        <w:t>。</w:t>
      </w:r>
    </w:p>
    <w:p w14:paraId="2135E4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lang w:val="en-US" w:eastAsia="zh-CN"/>
        </w:rPr>
      </w:pPr>
    </w:p>
    <w:p w14:paraId="5CE791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表5</w:t>
      </w:r>
      <w:r>
        <w:rPr>
          <w:rFonts w:hint="eastAsia" w:cs="Times New Roman"/>
          <w:color w:val="auto"/>
          <w:lang w:val="en-US" w:eastAsia="zh-CN"/>
        </w:rPr>
        <w:t>.2.3</w:t>
      </w:r>
      <w:r>
        <w:rPr>
          <w:rFonts w:hint="eastAsia" w:ascii="Times New Roman" w:hAnsi="Times New Roman" w:eastAsia="宋体" w:cs="Times New Roman"/>
          <w:color w:val="auto"/>
          <w:lang w:val="en-US" w:eastAsia="zh-CN"/>
        </w:rPr>
        <w:t>-</w:t>
      </w:r>
      <w:r>
        <w:rPr>
          <w:rFonts w:hint="eastAsia" w:cs="Times New Roman"/>
          <w:color w:val="auto"/>
          <w:lang w:val="en-US" w:eastAsia="zh-CN"/>
        </w:rPr>
        <w:t>1</w:t>
      </w:r>
      <w:r>
        <w:rPr>
          <w:rFonts w:hint="eastAsia" w:ascii="Times New Roman" w:hAnsi="Times New Roman" w:eastAsia="宋体" w:cs="Times New Roman"/>
          <w:color w:val="auto"/>
          <w:lang w:val="en-US" w:eastAsia="zh-CN"/>
        </w:rPr>
        <w:t>道路及运输安全检查表</w:t>
      </w:r>
    </w:p>
    <w:tbl>
      <w:tblPr>
        <w:tblStyle w:val="14"/>
        <w:tblW w:w="507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94"/>
        <w:gridCol w:w="4102"/>
        <w:gridCol w:w="1169"/>
        <w:gridCol w:w="2327"/>
        <w:gridCol w:w="1052"/>
      </w:tblGrid>
      <w:tr w14:paraId="28F001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321" w:type="pct"/>
            <w:tcBorders>
              <w:tl2br w:val="nil"/>
              <w:tr2bl w:val="nil"/>
            </w:tcBorders>
            <w:noWrap w:val="0"/>
            <w:vAlign w:val="center"/>
          </w:tcPr>
          <w:p w14:paraId="389ED1C0">
            <w:pPr>
              <w:pStyle w:val="21"/>
              <w:bidi w:val="0"/>
              <w:rPr>
                <w:color w:val="auto"/>
                <w:lang w:val="en-US"/>
              </w:rPr>
            </w:pPr>
            <w:r>
              <w:rPr>
                <w:color w:val="auto"/>
                <w:lang w:val="en-US"/>
              </w:rPr>
              <w:t>序号</w:t>
            </w:r>
          </w:p>
        </w:tc>
        <w:tc>
          <w:tcPr>
            <w:tcW w:w="2218" w:type="pct"/>
            <w:tcBorders>
              <w:tl2br w:val="nil"/>
              <w:tr2bl w:val="nil"/>
            </w:tcBorders>
            <w:noWrap w:val="0"/>
            <w:vAlign w:val="center"/>
          </w:tcPr>
          <w:p w14:paraId="2F86F273">
            <w:pPr>
              <w:pStyle w:val="21"/>
              <w:bidi w:val="0"/>
              <w:rPr>
                <w:color w:val="auto"/>
                <w:lang w:val="en-US"/>
              </w:rPr>
            </w:pPr>
            <w:r>
              <w:rPr>
                <w:color w:val="auto"/>
                <w:lang w:val="en-US"/>
              </w:rPr>
              <w:t>检查项目</w:t>
            </w:r>
          </w:p>
        </w:tc>
        <w:tc>
          <w:tcPr>
            <w:tcW w:w="632" w:type="pct"/>
            <w:tcBorders>
              <w:tl2br w:val="nil"/>
              <w:tr2bl w:val="nil"/>
            </w:tcBorders>
            <w:noWrap w:val="0"/>
            <w:vAlign w:val="center"/>
          </w:tcPr>
          <w:p w14:paraId="72DD099C">
            <w:pPr>
              <w:pStyle w:val="21"/>
              <w:bidi w:val="0"/>
              <w:rPr>
                <w:color w:val="auto"/>
                <w:lang w:val="en-US"/>
              </w:rPr>
            </w:pPr>
            <w:r>
              <w:rPr>
                <w:color w:val="auto"/>
                <w:lang w:val="en-US"/>
              </w:rPr>
              <w:t>检查依据</w:t>
            </w:r>
          </w:p>
        </w:tc>
        <w:tc>
          <w:tcPr>
            <w:tcW w:w="1258" w:type="pct"/>
            <w:tcBorders>
              <w:tl2br w:val="nil"/>
              <w:tr2bl w:val="nil"/>
            </w:tcBorders>
            <w:noWrap w:val="0"/>
            <w:vAlign w:val="center"/>
          </w:tcPr>
          <w:p w14:paraId="2FB4E75D">
            <w:pPr>
              <w:pStyle w:val="21"/>
              <w:bidi w:val="0"/>
              <w:rPr>
                <w:rFonts w:hint="eastAsia"/>
                <w:color w:val="auto"/>
                <w:lang w:val="en-US" w:eastAsia="zh-CN"/>
              </w:rPr>
            </w:pPr>
            <w:r>
              <w:rPr>
                <w:rFonts w:hint="eastAsia"/>
                <w:color w:val="auto"/>
                <w:lang w:val="en-US" w:eastAsia="zh-CN"/>
              </w:rPr>
              <w:t>检查情况</w:t>
            </w:r>
          </w:p>
        </w:tc>
        <w:tc>
          <w:tcPr>
            <w:tcW w:w="569" w:type="pct"/>
            <w:tcBorders>
              <w:tl2br w:val="nil"/>
              <w:tr2bl w:val="nil"/>
            </w:tcBorders>
            <w:noWrap w:val="0"/>
            <w:vAlign w:val="center"/>
          </w:tcPr>
          <w:p w14:paraId="0763858C">
            <w:pPr>
              <w:pStyle w:val="21"/>
              <w:bidi w:val="0"/>
              <w:rPr>
                <w:color w:val="auto"/>
                <w:lang w:val="en-US"/>
              </w:rPr>
            </w:pPr>
            <w:r>
              <w:rPr>
                <w:color w:val="auto"/>
                <w:lang w:val="en-US"/>
              </w:rPr>
              <w:t>结果</w:t>
            </w:r>
          </w:p>
        </w:tc>
      </w:tr>
      <w:tr w14:paraId="7DFA36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1" w:type="pct"/>
            <w:tcBorders>
              <w:tl2br w:val="nil"/>
              <w:tr2bl w:val="nil"/>
            </w:tcBorders>
            <w:noWrap w:val="0"/>
            <w:vAlign w:val="center"/>
          </w:tcPr>
          <w:p w14:paraId="3741A910">
            <w:pPr>
              <w:pStyle w:val="20"/>
              <w:bidi w:val="0"/>
              <w:rPr>
                <w:color w:val="auto"/>
                <w:lang w:val="en-US"/>
              </w:rPr>
            </w:pPr>
            <w:r>
              <w:rPr>
                <w:color w:val="auto"/>
                <w:lang w:val="en-US"/>
              </w:rPr>
              <w:t>1</w:t>
            </w:r>
          </w:p>
        </w:tc>
        <w:tc>
          <w:tcPr>
            <w:tcW w:w="2218" w:type="pct"/>
            <w:tcBorders>
              <w:tl2br w:val="nil"/>
              <w:tr2bl w:val="nil"/>
            </w:tcBorders>
            <w:noWrap w:val="0"/>
            <w:vAlign w:val="center"/>
          </w:tcPr>
          <w:p w14:paraId="5858F873">
            <w:pPr>
              <w:pStyle w:val="20"/>
              <w:bidi w:val="0"/>
              <w:rPr>
                <w:rFonts w:hint="eastAsia"/>
                <w:color w:val="auto"/>
                <w:lang w:val="en-US" w:eastAsia="zh-CN"/>
              </w:rPr>
            </w:pPr>
            <w:r>
              <w:rPr>
                <w:color w:val="auto"/>
                <w:lang w:val="en-US"/>
              </w:rPr>
              <w:t>厂内道路的布置，应符合下列要求：</w:t>
            </w:r>
          </w:p>
          <w:p w14:paraId="50DC05EA">
            <w:pPr>
              <w:pStyle w:val="20"/>
              <w:bidi w:val="0"/>
              <w:rPr>
                <w:color w:val="auto"/>
                <w:lang w:val="en-US"/>
              </w:rPr>
            </w:pPr>
            <w:r>
              <w:rPr>
                <w:color w:val="auto"/>
                <w:lang w:val="en-US"/>
              </w:rPr>
              <w:t>1.满足生产、运输、安装、检修、消防及环境卫生的要求；</w:t>
            </w:r>
          </w:p>
          <w:p w14:paraId="4C39DE03">
            <w:pPr>
              <w:pStyle w:val="20"/>
              <w:bidi w:val="0"/>
              <w:rPr>
                <w:color w:val="auto"/>
                <w:lang w:val="en-US"/>
              </w:rPr>
            </w:pPr>
            <w:r>
              <w:rPr>
                <w:color w:val="auto"/>
                <w:lang w:val="en-US"/>
              </w:rPr>
              <w:t>2.划分功能分区，并与区内主要建筑物轴线平等或垂直，宜呈环形布置；</w:t>
            </w:r>
          </w:p>
          <w:p w14:paraId="580F0F60">
            <w:pPr>
              <w:pStyle w:val="20"/>
              <w:bidi w:val="0"/>
              <w:rPr>
                <w:color w:val="auto"/>
                <w:lang w:val="en-US"/>
              </w:rPr>
            </w:pPr>
            <w:r>
              <w:rPr>
                <w:color w:val="auto"/>
                <w:lang w:val="en-US"/>
              </w:rPr>
              <w:t>3.与竖向设计相协调，有利于场地及道路的雨水排除；</w:t>
            </w:r>
          </w:p>
          <w:p w14:paraId="7E99B3EA">
            <w:pPr>
              <w:pStyle w:val="20"/>
              <w:bidi w:val="0"/>
              <w:rPr>
                <w:color w:val="auto"/>
                <w:lang w:val="en-US"/>
              </w:rPr>
            </w:pPr>
            <w:r>
              <w:rPr>
                <w:color w:val="auto"/>
                <w:lang w:val="en-US"/>
              </w:rPr>
              <w:t>4.与厂外道路连接方便、短捷；</w:t>
            </w:r>
          </w:p>
          <w:p w14:paraId="37901031">
            <w:pPr>
              <w:pStyle w:val="20"/>
              <w:bidi w:val="0"/>
              <w:rPr>
                <w:color w:val="auto"/>
                <w:lang w:val="en-US"/>
              </w:rPr>
            </w:pPr>
            <w:r>
              <w:rPr>
                <w:color w:val="auto"/>
                <w:lang w:val="en-US"/>
              </w:rPr>
              <w:t>5.建设工程施工道路应与永久性道路相结合。</w:t>
            </w:r>
          </w:p>
        </w:tc>
        <w:tc>
          <w:tcPr>
            <w:tcW w:w="632" w:type="pct"/>
            <w:tcBorders>
              <w:tl2br w:val="nil"/>
              <w:tr2bl w:val="nil"/>
            </w:tcBorders>
            <w:noWrap w:val="0"/>
            <w:vAlign w:val="center"/>
          </w:tcPr>
          <w:p w14:paraId="1ABFC5F8">
            <w:pPr>
              <w:pStyle w:val="20"/>
              <w:bidi w:val="0"/>
              <w:rPr>
                <w:color w:val="auto"/>
                <w:lang w:val="en-US"/>
              </w:rPr>
            </w:pPr>
            <w:r>
              <w:rPr>
                <w:color w:val="auto"/>
                <w:lang w:val="en-US"/>
              </w:rPr>
              <w:t>《工业企业总平面设计</w:t>
            </w:r>
          </w:p>
          <w:p w14:paraId="607836C3">
            <w:pPr>
              <w:pStyle w:val="20"/>
              <w:bidi w:val="0"/>
              <w:rPr>
                <w:color w:val="auto"/>
                <w:lang w:val="en-US"/>
              </w:rPr>
            </w:pPr>
            <w:r>
              <w:rPr>
                <w:color w:val="auto"/>
                <w:lang w:val="en-US"/>
              </w:rPr>
              <w:t>规范》</w:t>
            </w:r>
          </w:p>
          <w:p w14:paraId="6F3C2D9F">
            <w:pPr>
              <w:pStyle w:val="20"/>
              <w:bidi w:val="0"/>
              <w:rPr>
                <w:color w:val="auto"/>
                <w:lang w:val="en-US"/>
              </w:rPr>
            </w:pPr>
            <w:r>
              <w:rPr>
                <w:color w:val="auto"/>
                <w:lang w:val="en-US"/>
              </w:rPr>
              <w:t>（GB50187-2</w:t>
            </w:r>
          </w:p>
          <w:p w14:paraId="29E6B31B">
            <w:pPr>
              <w:pStyle w:val="20"/>
              <w:bidi w:val="0"/>
              <w:rPr>
                <w:color w:val="auto"/>
                <w:lang w:val="en-US"/>
              </w:rPr>
            </w:pPr>
            <w:r>
              <w:rPr>
                <w:color w:val="auto"/>
                <w:lang w:val="en-US"/>
              </w:rPr>
              <w:t>012）第</w:t>
            </w:r>
            <w:r>
              <w:rPr>
                <w:rFonts w:hint="eastAsia"/>
                <w:color w:val="auto"/>
                <w:lang w:val="en-US" w:eastAsia="zh-CN"/>
              </w:rPr>
              <w:t>6.4</w:t>
            </w:r>
            <w:r>
              <w:rPr>
                <w:color w:val="auto"/>
                <w:lang w:val="en-US"/>
              </w:rPr>
              <w:t>.1条</w:t>
            </w:r>
          </w:p>
        </w:tc>
        <w:tc>
          <w:tcPr>
            <w:tcW w:w="1258" w:type="pct"/>
            <w:tcBorders>
              <w:tl2br w:val="nil"/>
              <w:tr2bl w:val="nil"/>
            </w:tcBorders>
            <w:noWrap w:val="0"/>
            <w:vAlign w:val="center"/>
          </w:tcPr>
          <w:p w14:paraId="0762473C">
            <w:pPr>
              <w:pStyle w:val="20"/>
              <w:bidi w:val="0"/>
              <w:rPr>
                <w:rFonts w:hint="eastAsia"/>
                <w:color w:val="auto"/>
                <w:lang w:val="en-US" w:eastAsia="zh-CN"/>
              </w:rPr>
            </w:pPr>
            <w:r>
              <w:rPr>
                <w:rFonts w:hint="eastAsia"/>
                <w:color w:val="auto"/>
                <w:lang w:val="en-US" w:eastAsia="zh-CN"/>
              </w:rPr>
              <w:t>1.</w:t>
            </w:r>
            <w:r>
              <w:rPr>
                <w:rFonts w:hint="default"/>
                <w:color w:val="auto"/>
                <w:lang w:val="en-US" w:eastAsia="zh-CN"/>
              </w:rPr>
              <w:t>满足生产、运输、安装、检修、消防及环境卫生的要</w:t>
            </w:r>
            <w:r>
              <w:rPr>
                <w:rFonts w:hint="eastAsia"/>
                <w:color w:val="auto"/>
                <w:lang w:val="en-US" w:eastAsia="zh-CN"/>
              </w:rPr>
              <w:t>求。</w:t>
            </w:r>
          </w:p>
          <w:p w14:paraId="1A7F9493">
            <w:pPr>
              <w:pStyle w:val="20"/>
              <w:bidi w:val="0"/>
              <w:rPr>
                <w:rFonts w:hint="default"/>
                <w:color w:val="auto"/>
                <w:lang w:val="en-US" w:eastAsia="zh-CN"/>
              </w:rPr>
            </w:pPr>
            <w:r>
              <w:rPr>
                <w:rFonts w:hint="default"/>
                <w:color w:val="auto"/>
                <w:lang w:val="en-US" w:eastAsia="zh-CN"/>
              </w:rPr>
              <w:t>2.厂区内主要道路环行</w:t>
            </w:r>
            <w:r>
              <w:rPr>
                <w:rFonts w:hint="eastAsia"/>
                <w:color w:val="auto"/>
                <w:lang w:val="en-US" w:eastAsia="zh-CN"/>
              </w:rPr>
              <w:t>布置。</w:t>
            </w:r>
          </w:p>
          <w:p w14:paraId="37F82892">
            <w:pPr>
              <w:pStyle w:val="20"/>
              <w:bidi w:val="0"/>
              <w:rPr>
                <w:rFonts w:hint="default"/>
                <w:color w:val="auto"/>
                <w:lang w:val="en-US" w:eastAsia="zh-CN"/>
              </w:rPr>
            </w:pPr>
            <w:r>
              <w:rPr>
                <w:rFonts w:hint="eastAsia"/>
                <w:color w:val="auto"/>
                <w:lang w:val="en-US" w:eastAsia="zh-CN"/>
              </w:rPr>
              <w:t>3.与厂外道路连接方便、短捷。</w:t>
            </w:r>
          </w:p>
        </w:tc>
        <w:tc>
          <w:tcPr>
            <w:tcW w:w="569" w:type="pct"/>
            <w:tcBorders>
              <w:tl2br w:val="nil"/>
              <w:tr2bl w:val="nil"/>
            </w:tcBorders>
            <w:noWrap w:val="0"/>
            <w:vAlign w:val="center"/>
          </w:tcPr>
          <w:p w14:paraId="6057C488">
            <w:pPr>
              <w:pStyle w:val="20"/>
              <w:bidi w:val="0"/>
              <w:rPr>
                <w:color w:val="auto"/>
                <w:lang w:val="en-US"/>
              </w:rPr>
            </w:pPr>
            <w:r>
              <w:rPr>
                <w:color w:val="auto"/>
                <w:lang w:val="en-US"/>
              </w:rPr>
              <w:t>符合</w:t>
            </w:r>
          </w:p>
        </w:tc>
      </w:tr>
      <w:tr w14:paraId="6A721B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321" w:type="pct"/>
            <w:tcBorders>
              <w:tl2br w:val="nil"/>
              <w:tr2bl w:val="nil"/>
            </w:tcBorders>
            <w:noWrap w:val="0"/>
            <w:vAlign w:val="center"/>
          </w:tcPr>
          <w:p w14:paraId="701E74F7">
            <w:pPr>
              <w:pStyle w:val="20"/>
              <w:bidi w:val="0"/>
              <w:rPr>
                <w:rFonts w:hint="eastAsia"/>
                <w:color w:val="auto"/>
                <w:lang w:val="en-US" w:eastAsia="zh-CN"/>
              </w:rPr>
            </w:pPr>
            <w:r>
              <w:rPr>
                <w:rFonts w:hint="eastAsia"/>
                <w:color w:val="auto"/>
                <w:lang w:val="en-US" w:eastAsia="zh-CN"/>
              </w:rPr>
              <w:t>2</w:t>
            </w:r>
          </w:p>
        </w:tc>
        <w:tc>
          <w:tcPr>
            <w:tcW w:w="2218" w:type="pct"/>
            <w:tcBorders>
              <w:tl2br w:val="nil"/>
              <w:tr2bl w:val="nil"/>
            </w:tcBorders>
            <w:noWrap w:val="0"/>
            <w:vAlign w:val="center"/>
          </w:tcPr>
          <w:p w14:paraId="142C2D46">
            <w:pPr>
              <w:pStyle w:val="20"/>
              <w:bidi w:val="0"/>
              <w:rPr>
                <w:color w:val="auto"/>
                <w:lang w:val="en-US"/>
              </w:rPr>
            </w:pPr>
            <w:r>
              <w:rPr>
                <w:rFonts w:hint="eastAsia"/>
                <w:color w:val="auto"/>
                <w:lang w:val="en-US"/>
              </w:rPr>
              <w:t>厂内道路路面宽度应根据车辆、行人通行和消防需要确定，并宜按现行国 家标准《厂矿道路设计规范》GBJ 22 的有关规定执行</w:t>
            </w:r>
          </w:p>
        </w:tc>
        <w:tc>
          <w:tcPr>
            <w:tcW w:w="632" w:type="pct"/>
            <w:tcBorders>
              <w:tl2br w:val="nil"/>
              <w:tr2bl w:val="nil"/>
            </w:tcBorders>
            <w:noWrap w:val="0"/>
            <w:vAlign w:val="center"/>
          </w:tcPr>
          <w:p w14:paraId="0DC8CFBA">
            <w:pPr>
              <w:pStyle w:val="20"/>
              <w:bidi w:val="0"/>
              <w:rPr>
                <w:rFonts w:hint="eastAsia"/>
                <w:color w:val="auto"/>
                <w:spacing w:val="-6"/>
                <w:sz w:val="21"/>
                <w:lang w:val="en-US"/>
              </w:rPr>
            </w:pPr>
            <w:r>
              <w:rPr>
                <w:rFonts w:hint="eastAsia"/>
                <w:color w:val="auto"/>
                <w:spacing w:val="-6"/>
                <w:sz w:val="21"/>
                <w:lang w:val="en-US"/>
              </w:rPr>
              <w:t>《工业企业总平面设计</w:t>
            </w:r>
          </w:p>
          <w:p w14:paraId="6C7289BA">
            <w:pPr>
              <w:pStyle w:val="20"/>
              <w:bidi w:val="0"/>
              <w:rPr>
                <w:rFonts w:hint="eastAsia"/>
                <w:color w:val="auto"/>
                <w:spacing w:val="-6"/>
                <w:sz w:val="21"/>
                <w:lang w:val="en-US"/>
              </w:rPr>
            </w:pPr>
            <w:r>
              <w:rPr>
                <w:rFonts w:hint="eastAsia"/>
                <w:color w:val="auto"/>
                <w:spacing w:val="-6"/>
                <w:sz w:val="21"/>
                <w:lang w:val="en-US"/>
              </w:rPr>
              <w:t>规范》</w:t>
            </w:r>
          </w:p>
          <w:p w14:paraId="188272DB">
            <w:pPr>
              <w:pStyle w:val="20"/>
              <w:bidi w:val="0"/>
              <w:rPr>
                <w:rFonts w:hint="eastAsia"/>
                <w:color w:val="auto"/>
                <w:spacing w:val="-6"/>
                <w:sz w:val="21"/>
                <w:lang w:val="en-US"/>
              </w:rPr>
            </w:pPr>
            <w:r>
              <w:rPr>
                <w:rFonts w:hint="eastAsia"/>
                <w:color w:val="auto"/>
                <w:spacing w:val="-6"/>
                <w:sz w:val="21"/>
                <w:lang w:val="en-US"/>
              </w:rPr>
              <w:t>（GB50187-2</w:t>
            </w:r>
          </w:p>
          <w:p w14:paraId="2EF06DCE">
            <w:pPr>
              <w:pStyle w:val="20"/>
              <w:bidi w:val="0"/>
              <w:rPr>
                <w:color w:val="auto"/>
                <w:lang w:val="en-US"/>
              </w:rPr>
            </w:pPr>
            <w:r>
              <w:rPr>
                <w:rFonts w:hint="eastAsia"/>
                <w:color w:val="auto"/>
                <w:spacing w:val="-6"/>
                <w:sz w:val="21"/>
                <w:lang w:val="en-US"/>
              </w:rPr>
              <w:t>012）第6.4.</w:t>
            </w:r>
            <w:r>
              <w:rPr>
                <w:rFonts w:hint="eastAsia"/>
                <w:color w:val="auto"/>
                <w:spacing w:val="-6"/>
                <w:sz w:val="21"/>
                <w:lang w:val="en-US" w:eastAsia="zh-CN"/>
              </w:rPr>
              <w:t>5</w:t>
            </w:r>
            <w:r>
              <w:rPr>
                <w:rFonts w:hint="eastAsia"/>
                <w:color w:val="auto"/>
                <w:spacing w:val="-6"/>
                <w:sz w:val="21"/>
                <w:lang w:val="en-US"/>
              </w:rPr>
              <w:t>条</w:t>
            </w:r>
          </w:p>
        </w:tc>
        <w:tc>
          <w:tcPr>
            <w:tcW w:w="1258" w:type="pct"/>
            <w:tcBorders>
              <w:tl2br w:val="nil"/>
              <w:tr2bl w:val="nil"/>
            </w:tcBorders>
            <w:noWrap w:val="0"/>
            <w:vAlign w:val="center"/>
          </w:tcPr>
          <w:p w14:paraId="370E0489">
            <w:pPr>
              <w:pStyle w:val="20"/>
              <w:bidi w:val="0"/>
              <w:rPr>
                <w:rFonts w:hint="default"/>
                <w:color w:val="auto"/>
                <w:lang w:val="en-US" w:eastAsia="zh-CN"/>
              </w:rPr>
            </w:pPr>
            <w:r>
              <w:rPr>
                <w:rFonts w:hint="eastAsia"/>
                <w:color w:val="auto"/>
                <w:lang w:val="en-US" w:eastAsia="zh-CN"/>
              </w:rPr>
              <w:t>厂内道路路面宽度根据车辆、行人通行和消防需要确定，不小于4m。</w:t>
            </w:r>
          </w:p>
        </w:tc>
        <w:tc>
          <w:tcPr>
            <w:tcW w:w="569" w:type="pct"/>
            <w:tcBorders>
              <w:tl2br w:val="nil"/>
              <w:tr2bl w:val="nil"/>
            </w:tcBorders>
            <w:noWrap w:val="0"/>
            <w:vAlign w:val="center"/>
          </w:tcPr>
          <w:p w14:paraId="235DA0FF">
            <w:pPr>
              <w:pStyle w:val="20"/>
              <w:bidi w:val="0"/>
              <w:rPr>
                <w:rFonts w:hint="eastAsia"/>
                <w:color w:val="auto"/>
                <w:lang w:val="en-US" w:eastAsia="zh-CN"/>
              </w:rPr>
            </w:pPr>
            <w:r>
              <w:rPr>
                <w:rFonts w:hint="eastAsia"/>
                <w:color w:val="auto"/>
                <w:lang w:val="en-US" w:eastAsia="zh-CN"/>
              </w:rPr>
              <w:t>符合</w:t>
            </w:r>
          </w:p>
        </w:tc>
      </w:tr>
      <w:tr w14:paraId="03101A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46" w:hRule="atLeast"/>
        </w:trPr>
        <w:tc>
          <w:tcPr>
            <w:tcW w:w="321" w:type="pct"/>
            <w:tcBorders>
              <w:tl2br w:val="nil"/>
              <w:tr2bl w:val="nil"/>
            </w:tcBorders>
            <w:noWrap w:val="0"/>
            <w:vAlign w:val="center"/>
          </w:tcPr>
          <w:p w14:paraId="163CF0E0">
            <w:pPr>
              <w:pStyle w:val="20"/>
              <w:bidi w:val="0"/>
              <w:rPr>
                <w:rFonts w:hint="eastAsia"/>
                <w:color w:val="auto"/>
                <w:lang w:val="en-US" w:eastAsia="zh-CN"/>
              </w:rPr>
            </w:pPr>
            <w:r>
              <w:rPr>
                <w:rFonts w:hint="eastAsia"/>
                <w:color w:val="auto"/>
                <w:lang w:val="en-US" w:eastAsia="zh-CN"/>
              </w:rPr>
              <w:t>3</w:t>
            </w:r>
          </w:p>
        </w:tc>
        <w:tc>
          <w:tcPr>
            <w:tcW w:w="2218" w:type="pct"/>
            <w:tcBorders>
              <w:tl2br w:val="nil"/>
              <w:tr2bl w:val="nil"/>
            </w:tcBorders>
            <w:noWrap w:val="0"/>
            <w:vAlign w:val="center"/>
          </w:tcPr>
          <w:p w14:paraId="61AC0FCE">
            <w:pPr>
              <w:pStyle w:val="20"/>
              <w:bidi w:val="0"/>
              <w:rPr>
                <w:color w:val="auto"/>
                <w:lang w:val="en-US"/>
              </w:rPr>
            </w:pPr>
            <w:r>
              <w:rPr>
                <w:color w:val="auto"/>
                <w:lang w:val="en-US"/>
              </w:rPr>
              <w:t>消防车道的布置，应符合下列要求：</w:t>
            </w:r>
          </w:p>
          <w:p w14:paraId="35C9A41E">
            <w:pPr>
              <w:pStyle w:val="20"/>
              <w:bidi w:val="0"/>
              <w:rPr>
                <w:color w:val="auto"/>
                <w:lang w:val="en-US"/>
              </w:rPr>
            </w:pPr>
            <w:r>
              <w:rPr>
                <w:color w:val="auto"/>
                <w:lang w:val="en-US"/>
              </w:rPr>
              <w:t>1.与厂区道路连通，且距离短捷；</w:t>
            </w:r>
          </w:p>
          <w:p w14:paraId="658A42BE">
            <w:pPr>
              <w:pStyle w:val="20"/>
              <w:bidi w:val="0"/>
              <w:rPr>
                <w:color w:val="auto"/>
                <w:lang w:val="en-US"/>
              </w:rPr>
            </w:pPr>
            <w:r>
              <w:rPr>
                <w:color w:val="auto"/>
                <w:lang w:val="en-US"/>
              </w:rPr>
              <w:t>2.避免与铁路平交。当必须平交时，应设备用车道；两车道之间的距离，不应小于进入厂内最长列车的长度；</w:t>
            </w:r>
          </w:p>
          <w:p w14:paraId="283E376A">
            <w:pPr>
              <w:pStyle w:val="20"/>
              <w:bidi w:val="0"/>
              <w:rPr>
                <w:color w:val="auto"/>
                <w:lang w:val="en-US"/>
              </w:rPr>
            </w:pPr>
            <w:r>
              <w:rPr>
                <w:color w:val="auto"/>
                <w:lang w:val="en-US"/>
              </w:rPr>
              <w:t>3.车道的宽度，不应小于3.5m。</w:t>
            </w:r>
          </w:p>
        </w:tc>
        <w:tc>
          <w:tcPr>
            <w:tcW w:w="632" w:type="pct"/>
            <w:tcBorders>
              <w:tl2br w:val="nil"/>
              <w:tr2bl w:val="nil"/>
            </w:tcBorders>
            <w:noWrap w:val="0"/>
            <w:vAlign w:val="center"/>
          </w:tcPr>
          <w:p w14:paraId="28EAD9CB">
            <w:pPr>
              <w:pStyle w:val="20"/>
              <w:bidi w:val="0"/>
              <w:rPr>
                <w:color w:val="auto"/>
                <w:lang w:val="en-US"/>
              </w:rPr>
            </w:pPr>
            <w:r>
              <w:rPr>
                <w:color w:val="auto"/>
                <w:lang w:val="en-US"/>
              </w:rPr>
              <w:t>《工业企业总平面设计</w:t>
            </w:r>
          </w:p>
          <w:p w14:paraId="5D5DCA99">
            <w:pPr>
              <w:pStyle w:val="20"/>
              <w:bidi w:val="0"/>
              <w:rPr>
                <w:color w:val="auto"/>
                <w:lang w:val="en-US"/>
              </w:rPr>
            </w:pPr>
            <w:r>
              <w:rPr>
                <w:color w:val="auto"/>
                <w:lang w:val="en-US"/>
              </w:rPr>
              <w:t>规范》</w:t>
            </w:r>
          </w:p>
          <w:p w14:paraId="71E9EB7E">
            <w:pPr>
              <w:pStyle w:val="20"/>
              <w:bidi w:val="0"/>
              <w:rPr>
                <w:color w:val="auto"/>
                <w:lang w:val="en-US"/>
              </w:rPr>
            </w:pPr>
            <w:r>
              <w:rPr>
                <w:color w:val="auto"/>
                <w:lang w:val="en-US"/>
              </w:rPr>
              <w:t>（GB50187-2</w:t>
            </w:r>
          </w:p>
          <w:p w14:paraId="34A91FE7">
            <w:pPr>
              <w:pStyle w:val="20"/>
              <w:bidi w:val="0"/>
              <w:rPr>
                <w:color w:val="auto"/>
                <w:lang w:val="en-US"/>
              </w:rPr>
            </w:pPr>
            <w:r>
              <w:rPr>
                <w:color w:val="auto"/>
                <w:lang w:val="en-US"/>
              </w:rPr>
              <w:t>012）第</w:t>
            </w:r>
            <w:r>
              <w:rPr>
                <w:rFonts w:hint="eastAsia"/>
                <w:color w:val="auto"/>
                <w:lang w:val="en-US" w:eastAsia="zh-CN"/>
              </w:rPr>
              <w:t>6.4.11</w:t>
            </w:r>
            <w:r>
              <w:rPr>
                <w:color w:val="auto"/>
                <w:lang w:val="en-US"/>
              </w:rPr>
              <w:t>条</w:t>
            </w:r>
          </w:p>
        </w:tc>
        <w:tc>
          <w:tcPr>
            <w:tcW w:w="1258" w:type="pct"/>
            <w:tcBorders>
              <w:tl2br w:val="nil"/>
              <w:tr2bl w:val="nil"/>
            </w:tcBorders>
            <w:noWrap w:val="0"/>
            <w:vAlign w:val="center"/>
          </w:tcPr>
          <w:p w14:paraId="26F2FDB3">
            <w:pPr>
              <w:pStyle w:val="20"/>
              <w:bidi w:val="0"/>
              <w:rPr>
                <w:color w:val="auto"/>
                <w:lang w:val="en-US"/>
              </w:rPr>
            </w:pPr>
            <w:r>
              <w:rPr>
                <w:color w:val="auto"/>
                <w:lang w:val="en-US"/>
              </w:rPr>
              <w:t>厂区内主要道路环行，均可满足消防车通行，消防车均可达到建筑物前。消防车道宽</w:t>
            </w:r>
            <w:r>
              <w:rPr>
                <w:rFonts w:hint="eastAsia"/>
                <w:color w:val="auto"/>
                <w:lang w:val="en-US" w:eastAsia="zh-CN"/>
              </w:rPr>
              <w:t>不小于3.5m</w:t>
            </w:r>
            <w:r>
              <w:rPr>
                <w:color w:val="auto"/>
                <w:lang w:val="en-US"/>
              </w:rPr>
              <w:t>。</w:t>
            </w:r>
          </w:p>
        </w:tc>
        <w:tc>
          <w:tcPr>
            <w:tcW w:w="569" w:type="pct"/>
            <w:tcBorders>
              <w:tl2br w:val="nil"/>
              <w:tr2bl w:val="nil"/>
            </w:tcBorders>
            <w:noWrap w:val="0"/>
            <w:vAlign w:val="center"/>
          </w:tcPr>
          <w:p w14:paraId="183D4675">
            <w:pPr>
              <w:pStyle w:val="20"/>
              <w:bidi w:val="0"/>
              <w:rPr>
                <w:color w:val="auto"/>
                <w:lang w:val="en-US"/>
              </w:rPr>
            </w:pPr>
            <w:r>
              <w:rPr>
                <w:color w:val="auto"/>
                <w:lang w:val="en-US"/>
              </w:rPr>
              <w:t>符合</w:t>
            </w:r>
          </w:p>
        </w:tc>
      </w:tr>
    </w:tbl>
    <w:p w14:paraId="4E8D1404">
      <w:pPr>
        <w:bidi w:val="0"/>
        <w:rPr>
          <w:rFonts w:hint="eastAsia"/>
          <w:color w:val="auto"/>
        </w:rPr>
      </w:pPr>
      <w:r>
        <w:rPr>
          <w:rFonts w:hint="eastAsia" w:ascii="Times New Roman" w:hAnsi="Times New Roman"/>
          <w:color w:val="auto"/>
          <w:lang w:val="en-US" w:eastAsia="zh-CN"/>
        </w:rPr>
        <w:t>道路及运输子单元评价小结：本子单元对</w:t>
      </w:r>
      <w:r>
        <w:rPr>
          <w:rFonts w:hint="eastAsia"/>
          <w:color w:val="auto"/>
          <w:lang w:val="en-US" w:eastAsia="zh-CN"/>
        </w:rPr>
        <w:t>本项目</w:t>
      </w:r>
      <w:r>
        <w:rPr>
          <w:rFonts w:hint="eastAsia" w:ascii="Times New Roman" w:hAnsi="Times New Roman"/>
          <w:color w:val="auto"/>
          <w:lang w:val="en-US" w:eastAsia="zh-CN"/>
        </w:rPr>
        <w:t>道路及运输进行检查，检查</w:t>
      </w:r>
      <w:r>
        <w:rPr>
          <w:rFonts w:hint="eastAsia"/>
          <w:color w:val="auto"/>
          <w:lang w:val="en-US" w:eastAsia="zh-CN"/>
        </w:rPr>
        <w:t>3</w:t>
      </w:r>
      <w:r>
        <w:rPr>
          <w:rFonts w:hint="eastAsia" w:ascii="Times New Roman" w:hAnsi="Times New Roman"/>
          <w:color w:val="auto"/>
          <w:lang w:val="en-US" w:eastAsia="zh-CN"/>
        </w:rPr>
        <w:t>项，符合项</w:t>
      </w:r>
      <w:r>
        <w:rPr>
          <w:rFonts w:hint="eastAsia"/>
          <w:color w:val="auto"/>
          <w:lang w:val="en-US" w:eastAsia="zh-CN"/>
        </w:rPr>
        <w:t>3</w:t>
      </w:r>
      <w:r>
        <w:rPr>
          <w:rFonts w:hint="eastAsia" w:ascii="Times New Roman" w:hAnsi="Times New Roman"/>
          <w:color w:val="auto"/>
          <w:lang w:val="en-US" w:eastAsia="zh-CN"/>
        </w:rPr>
        <w:t>项，</w:t>
      </w:r>
      <w:r>
        <w:rPr>
          <w:rFonts w:hint="eastAsia"/>
          <w:color w:val="auto"/>
          <w:lang w:val="en-US" w:eastAsia="zh-CN"/>
        </w:rPr>
        <w:t>0项不符合</w:t>
      </w:r>
      <w:r>
        <w:rPr>
          <w:rFonts w:hint="eastAsia" w:ascii="Times New Roman" w:hAnsi="Times New Roman"/>
          <w:color w:val="auto"/>
          <w:lang w:val="en-US" w:eastAsia="zh-CN"/>
        </w:rPr>
        <w:t>。</w:t>
      </w:r>
    </w:p>
    <w:p w14:paraId="7FDD6DB3">
      <w:pPr>
        <w:pStyle w:val="4"/>
        <w:bidi w:val="0"/>
        <w:rPr>
          <w:rFonts w:ascii="Times New Roman" w:hAnsi="Times New Roman"/>
          <w:color w:val="auto"/>
          <w:lang w:val="en-US" w:eastAsia="zh-CN"/>
        </w:rPr>
      </w:pPr>
      <w:bookmarkStart w:id="98" w:name="_Toc4491"/>
      <w:r>
        <w:rPr>
          <w:rFonts w:ascii="Times New Roman" w:hAnsi="Times New Roman"/>
          <w:color w:val="auto"/>
          <w:lang w:val="en-US" w:eastAsia="zh-CN"/>
        </w:rPr>
        <w:t>5.</w:t>
      </w:r>
      <w:r>
        <w:rPr>
          <w:rFonts w:hint="eastAsia"/>
          <w:color w:val="auto"/>
          <w:lang w:val="en-US" w:eastAsia="zh-CN"/>
        </w:rPr>
        <w:t>2</w:t>
      </w:r>
      <w:r>
        <w:rPr>
          <w:rFonts w:ascii="Times New Roman" w:hAnsi="Times New Roman"/>
          <w:color w:val="auto"/>
          <w:lang w:val="en-US" w:eastAsia="zh-CN"/>
        </w:rPr>
        <w:t>.4单元评价小结</w:t>
      </w:r>
      <w:bookmarkEnd w:id="98"/>
    </w:p>
    <w:p w14:paraId="51089761">
      <w:pPr>
        <w:bidi w:val="0"/>
        <w:rPr>
          <w:rFonts w:hint="default" w:ascii="Times New Roman" w:hAnsi="Times New Roman"/>
          <w:color w:val="auto"/>
          <w:highlight w:val="none"/>
          <w:lang w:val="en-US" w:eastAsia="zh-CN"/>
        </w:rPr>
      </w:pPr>
      <w:r>
        <w:rPr>
          <w:rFonts w:ascii="Times New Roman" w:hAnsi="Times New Roman"/>
          <w:color w:val="auto"/>
          <w:highlight w:val="none"/>
          <w:shd w:val="clear" w:color="auto" w:fill="auto"/>
          <w:lang w:val="en-US" w:eastAsia="zh-CN"/>
        </w:rPr>
        <w:t>通过对总图运输单元进行了</w:t>
      </w:r>
      <w:r>
        <w:rPr>
          <w:rFonts w:hint="eastAsia"/>
          <w:color w:val="auto"/>
          <w:highlight w:val="none"/>
          <w:shd w:val="clear" w:color="auto" w:fill="auto"/>
          <w:lang w:val="en-US" w:eastAsia="zh-CN"/>
        </w:rPr>
        <w:t>26</w:t>
      </w:r>
      <w:r>
        <w:rPr>
          <w:rFonts w:ascii="Times New Roman" w:hAnsi="Times New Roman"/>
          <w:color w:val="auto"/>
          <w:highlight w:val="none"/>
          <w:shd w:val="clear" w:color="auto" w:fill="auto"/>
          <w:lang w:val="en-US" w:eastAsia="zh-CN"/>
        </w:rPr>
        <w:t>项检查，</w:t>
      </w:r>
      <w:r>
        <w:rPr>
          <w:rFonts w:hint="eastAsia"/>
          <w:color w:val="auto"/>
          <w:highlight w:val="none"/>
          <w:shd w:val="clear" w:color="auto" w:fill="auto"/>
          <w:lang w:val="en-US" w:eastAsia="zh-CN"/>
        </w:rPr>
        <w:t>26</w:t>
      </w:r>
      <w:r>
        <w:rPr>
          <w:rFonts w:hint="eastAsia" w:ascii="Times New Roman" w:hAnsi="Times New Roman"/>
          <w:color w:val="auto"/>
          <w:highlight w:val="none"/>
          <w:shd w:val="clear" w:color="auto" w:fill="auto"/>
          <w:lang w:val="en-US" w:eastAsia="zh-CN"/>
        </w:rPr>
        <w:t>项符合，</w:t>
      </w:r>
      <w:r>
        <w:rPr>
          <w:rFonts w:hint="eastAsia"/>
          <w:color w:val="auto"/>
          <w:highlight w:val="none"/>
          <w:shd w:val="clear" w:color="auto" w:fill="auto"/>
          <w:lang w:val="en-US" w:eastAsia="zh-CN"/>
        </w:rPr>
        <w:t>0项不符合</w:t>
      </w:r>
      <w:r>
        <w:rPr>
          <w:rFonts w:hint="eastAsia" w:ascii="Times New Roman" w:hAnsi="Times New Roman"/>
          <w:color w:val="auto"/>
          <w:highlight w:val="none"/>
          <w:shd w:val="clear" w:color="auto" w:fill="auto"/>
          <w:lang w:val="en-US" w:eastAsia="zh-CN"/>
        </w:rPr>
        <w:t>。</w:t>
      </w:r>
      <w:r>
        <w:rPr>
          <w:rFonts w:hint="eastAsia" w:ascii="Times New Roman" w:hAnsi="Times New Roman"/>
          <w:color w:val="auto"/>
          <w:lang w:val="en-US" w:eastAsia="zh-CN"/>
        </w:rPr>
        <w:t>总</w:t>
      </w:r>
      <w:r>
        <w:rPr>
          <w:rFonts w:hint="eastAsia"/>
          <w:color w:val="auto"/>
          <w:lang w:val="en-US" w:eastAsia="zh-CN"/>
        </w:rPr>
        <w:t>图运输</w:t>
      </w:r>
      <w:r>
        <w:rPr>
          <w:rFonts w:hint="eastAsia" w:ascii="Times New Roman" w:hAnsi="Times New Roman"/>
          <w:color w:val="auto"/>
          <w:lang w:val="en-US" w:eastAsia="zh-CN"/>
        </w:rPr>
        <w:t>符合法律法规、标准规范及设计要求。</w:t>
      </w:r>
    </w:p>
    <w:p w14:paraId="48D64AB6">
      <w:pPr>
        <w:pStyle w:val="3"/>
        <w:bidi w:val="0"/>
        <w:rPr>
          <w:rFonts w:hint="eastAsia" w:ascii="Times New Roman" w:hAnsi="Times New Roman"/>
          <w:color w:val="auto"/>
          <w:lang w:val="en-US" w:eastAsia="zh-CN"/>
        </w:rPr>
      </w:pPr>
      <w:bookmarkStart w:id="99" w:name="_Toc16794"/>
      <w:r>
        <w:rPr>
          <w:rFonts w:hint="eastAsia" w:ascii="Times New Roman" w:hAnsi="Times New Roman"/>
          <w:color w:val="auto"/>
          <w:lang w:val="en-US" w:eastAsia="zh-CN"/>
        </w:rPr>
        <w:t>5.</w:t>
      </w:r>
      <w:r>
        <w:rPr>
          <w:rFonts w:hint="eastAsia"/>
          <w:color w:val="auto"/>
          <w:lang w:val="en-US" w:eastAsia="zh-CN"/>
        </w:rPr>
        <w:t>3</w:t>
      </w:r>
      <w:r>
        <w:rPr>
          <w:rFonts w:hint="eastAsia" w:ascii="Times New Roman" w:hAnsi="Times New Roman"/>
          <w:color w:val="auto"/>
          <w:lang w:val="en-US" w:eastAsia="zh-CN"/>
        </w:rPr>
        <w:t>生产工艺设备设施单元</w:t>
      </w:r>
      <w:bookmarkEnd w:id="99"/>
    </w:p>
    <w:p w14:paraId="397871B3">
      <w:pPr>
        <w:pStyle w:val="4"/>
        <w:bidi w:val="0"/>
        <w:rPr>
          <w:rFonts w:hint="eastAsia" w:ascii="Times New Roman" w:hAnsi="Times New Roman"/>
          <w:color w:val="auto"/>
          <w:lang w:val="en-US" w:eastAsia="zh-CN"/>
        </w:rPr>
      </w:pPr>
      <w:bookmarkStart w:id="100" w:name="_Toc23720"/>
      <w:r>
        <w:rPr>
          <w:rFonts w:hint="eastAsia" w:ascii="Times New Roman" w:hAnsi="Times New Roman"/>
          <w:color w:val="auto"/>
          <w:lang w:val="en-US" w:eastAsia="zh-CN"/>
        </w:rPr>
        <w:t>5.</w:t>
      </w:r>
      <w:r>
        <w:rPr>
          <w:rFonts w:hint="eastAsia"/>
          <w:color w:val="auto"/>
          <w:lang w:val="en-US" w:eastAsia="zh-CN"/>
        </w:rPr>
        <w:t>3</w:t>
      </w:r>
      <w:r>
        <w:rPr>
          <w:rFonts w:hint="eastAsia" w:ascii="Times New Roman" w:hAnsi="Times New Roman"/>
          <w:color w:val="auto"/>
          <w:lang w:val="en-US" w:eastAsia="zh-CN"/>
        </w:rPr>
        <w:t>.1工艺设备设施单元</w:t>
      </w:r>
      <w:bookmarkEnd w:id="100"/>
    </w:p>
    <w:p w14:paraId="684FE89C">
      <w:pPr>
        <w:rPr>
          <w:rFonts w:hint="eastAsia" w:ascii="Times New Roman" w:hAnsi="Times New Roman" w:eastAsia="宋体" w:cs="Times New Roman"/>
          <w:color w:val="auto"/>
          <w:lang w:val="en-US" w:eastAsia="zh-CN"/>
        </w:rPr>
      </w:pPr>
      <w:r>
        <w:rPr>
          <w:rFonts w:ascii="Times New Roman" w:hAnsi="Times New Roman"/>
          <w:color w:val="auto"/>
          <w:lang w:val="en-US" w:eastAsia="zh-CN"/>
        </w:rPr>
        <w:t>依据</w:t>
      </w:r>
      <w:r>
        <w:rPr>
          <w:rFonts w:hint="eastAsia"/>
          <w:color w:val="auto"/>
          <w:lang w:val="en-US" w:eastAsia="zh-CN"/>
        </w:rPr>
        <w:t>《石灰石/石灰-石膏湿法烟气脱硫工程通用技术规范》</w:t>
      </w:r>
      <w:r>
        <w:rPr>
          <w:rFonts w:ascii="Times New Roman" w:hAnsi="Times New Roman"/>
          <w:color w:val="auto"/>
          <w:lang w:val="en-US" w:eastAsia="zh-CN"/>
        </w:rPr>
        <w:t>等法规、规范，使用安全检查表法对</w:t>
      </w:r>
      <w:r>
        <w:rPr>
          <w:rFonts w:hint="eastAsia"/>
          <w:color w:val="auto"/>
          <w:lang w:val="en-US" w:eastAsia="zh-CN"/>
        </w:rPr>
        <w:t>工艺设备设施</w:t>
      </w:r>
      <w:r>
        <w:rPr>
          <w:rFonts w:ascii="Times New Roman" w:hAnsi="Times New Roman"/>
          <w:color w:val="auto"/>
          <w:lang w:val="en-US" w:eastAsia="zh-CN"/>
        </w:rPr>
        <w:t>单元是否符合相关要求进行检查，检查情况见表</w:t>
      </w:r>
      <w:r>
        <w:rPr>
          <w:rFonts w:hint="eastAsia" w:ascii="Times New Roman" w:hAnsi="Times New Roman"/>
          <w:color w:val="auto"/>
          <w:lang w:val="en-US" w:eastAsia="zh-CN"/>
        </w:rPr>
        <w:t>5</w:t>
      </w:r>
      <w:r>
        <w:rPr>
          <w:rFonts w:hint="eastAsia"/>
          <w:color w:val="auto"/>
          <w:lang w:val="en-US" w:eastAsia="zh-CN"/>
        </w:rPr>
        <w:t>.3.1</w:t>
      </w:r>
      <w:r>
        <w:rPr>
          <w:rFonts w:ascii="Times New Roman" w:hAnsi="Times New Roman"/>
          <w:color w:val="auto"/>
          <w:lang w:val="en-US" w:eastAsia="zh-CN"/>
        </w:rPr>
        <w:t>-</w:t>
      </w:r>
      <w:r>
        <w:rPr>
          <w:rFonts w:hint="eastAsia"/>
          <w:color w:val="auto"/>
          <w:lang w:val="en-US" w:eastAsia="zh-CN"/>
        </w:rPr>
        <w:t>1</w:t>
      </w:r>
      <w:r>
        <w:rPr>
          <w:rFonts w:ascii="Times New Roman" w:hAnsi="Times New Roman"/>
          <w:color w:val="auto"/>
          <w:lang w:val="en-US" w:eastAsia="zh-CN"/>
        </w:rPr>
        <w:t>。</w:t>
      </w:r>
    </w:p>
    <w:p w14:paraId="74EEF77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eastAsia="zh-CN"/>
        </w:rPr>
      </w:pPr>
      <w:r>
        <w:rPr>
          <w:rFonts w:hint="eastAsia"/>
          <w:color w:val="auto"/>
          <w:lang w:val="en-US" w:eastAsia="zh-CN"/>
        </w:rPr>
        <w:t>表5.3.1-1工艺设备设施安全检查表</w:t>
      </w:r>
    </w:p>
    <w:tbl>
      <w:tblPr>
        <w:tblStyle w:val="14"/>
        <w:tblW w:w="9218"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99"/>
        <w:gridCol w:w="2783"/>
        <w:gridCol w:w="2178"/>
        <w:gridCol w:w="2608"/>
        <w:gridCol w:w="1050"/>
      </w:tblGrid>
      <w:tr w14:paraId="125088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599" w:type="dxa"/>
            <w:tcBorders>
              <w:tl2br w:val="nil"/>
              <w:tr2bl w:val="nil"/>
            </w:tcBorders>
            <w:noWrap w:val="0"/>
            <w:vAlign w:val="center"/>
          </w:tcPr>
          <w:p w14:paraId="5477E48F">
            <w:pPr>
              <w:pStyle w:val="21"/>
              <w:bidi w:val="0"/>
              <w:rPr>
                <w:color w:val="auto"/>
                <w:lang w:val="en-US"/>
              </w:rPr>
            </w:pPr>
            <w:r>
              <w:rPr>
                <w:color w:val="auto"/>
                <w:lang w:val="en-US"/>
              </w:rPr>
              <w:t>序号</w:t>
            </w:r>
          </w:p>
        </w:tc>
        <w:tc>
          <w:tcPr>
            <w:tcW w:w="2783" w:type="dxa"/>
            <w:tcBorders>
              <w:tl2br w:val="nil"/>
              <w:tr2bl w:val="nil"/>
            </w:tcBorders>
            <w:noWrap w:val="0"/>
            <w:vAlign w:val="center"/>
          </w:tcPr>
          <w:p w14:paraId="5854E7F8">
            <w:pPr>
              <w:pStyle w:val="21"/>
              <w:bidi w:val="0"/>
              <w:rPr>
                <w:color w:val="auto"/>
                <w:lang w:val="en-US"/>
              </w:rPr>
            </w:pPr>
            <w:r>
              <w:rPr>
                <w:color w:val="auto"/>
                <w:lang w:val="en-US"/>
              </w:rPr>
              <w:t>检查项目</w:t>
            </w:r>
          </w:p>
        </w:tc>
        <w:tc>
          <w:tcPr>
            <w:tcW w:w="2178" w:type="dxa"/>
            <w:tcBorders>
              <w:tl2br w:val="nil"/>
              <w:tr2bl w:val="nil"/>
            </w:tcBorders>
            <w:noWrap w:val="0"/>
            <w:vAlign w:val="center"/>
          </w:tcPr>
          <w:p w14:paraId="439B3C2C">
            <w:pPr>
              <w:pStyle w:val="21"/>
              <w:bidi w:val="0"/>
              <w:rPr>
                <w:color w:val="auto"/>
                <w:lang w:val="en-US"/>
              </w:rPr>
            </w:pPr>
            <w:r>
              <w:rPr>
                <w:color w:val="auto"/>
                <w:lang w:val="en-US"/>
              </w:rPr>
              <w:t>检查依据</w:t>
            </w:r>
          </w:p>
        </w:tc>
        <w:tc>
          <w:tcPr>
            <w:tcW w:w="2608" w:type="dxa"/>
            <w:tcBorders>
              <w:tl2br w:val="nil"/>
              <w:tr2bl w:val="nil"/>
            </w:tcBorders>
            <w:noWrap w:val="0"/>
            <w:vAlign w:val="center"/>
          </w:tcPr>
          <w:p w14:paraId="4F6D26B1">
            <w:pPr>
              <w:pStyle w:val="21"/>
              <w:bidi w:val="0"/>
              <w:rPr>
                <w:rFonts w:hint="eastAsia"/>
                <w:color w:val="auto"/>
                <w:lang w:val="en-US" w:eastAsia="zh-CN"/>
              </w:rPr>
            </w:pPr>
            <w:r>
              <w:rPr>
                <w:rFonts w:hint="eastAsia"/>
                <w:color w:val="auto"/>
                <w:lang w:val="en-US" w:eastAsia="zh-CN"/>
              </w:rPr>
              <w:t>检查情况</w:t>
            </w:r>
          </w:p>
        </w:tc>
        <w:tc>
          <w:tcPr>
            <w:tcW w:w="1050" w:type="dxa"/>
            <w:tcBorders>
              <w:tl2br w:val="nil"/>
              <w:tr2bl w:val="nil"/>
            </w:tcBorders>
            <w:noWrap w:val="0"/>
            <w:vAlign w:val="center"/>
          </w:tcPr>
          <w:p w14:paraId="34334F88">
            <w:pPr>
              <w:pStyle w:val="21"/>
              <w:bidi w:val="0"/>
              <w:rPr>
                <w:color w:val="auto"/>
                <w:lang w:val="en-US"/>
              </w:rPr>
            </w:pPr>
            <w:r>
              <w:rPr>
                <w:color w:val="auto"/>
                <w:lang w:val="en-US"/>
              </w:rPr>
              <w:t>结果</w:t>
            </w:r>
          </w:p>
        </w:tc>
      </w:tr>
      <w:tr w14:paraId="092BB7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99" w:type="dxa"/>
            <w:tcBorders>
              <w:tl2br w:val="nil"/>
              <w:tr2bl w:val="nil"/>
            </w:tcBorders>
            <w:noWrap w:val="0"/>
            <w:vAlign w:val="center"/>
          </w:tcPr>
          <w:p w14:paraId="2C701038">
            <w:pPr>
              <w:pStyle w:val="20"/>
              <w:bidi w:val="0"/>
              <w:rPr>
                <w:color w:val="auto"/>
                <w:lang w:val="en-US"/>
              </w:rPr>
            </w:pPr>
            <w:r>
              <w:rPr>
                <w:color w:val="auto"/>
                <w:lang w:val="en-US"/>
              </w:rPr>
              <w:t>1</w:t>
            </w:r>
          </w:p>
        </w:tc>
        <w:tc>
          <w:tcPr>
            <w:tcW w:w="2783" w:type="dxa"/>
            <w:tcBorders>
              <w:tl2br w:val="nil"/>
              <w:tr2bl w:val="nil"/>
            </w:tcBorders>
            <w:noWrap w:val="0"/>
            <w:vAlign w:val="center"/>
          </w:tcPr>
          <w:p w14:paraId="2339F8B7">
            <w:pPr>
              <w:pStyle w:val="20"/>
              <w:bidi w:val="0"/>
              <w:rPr>
                <w:rFonts w:hint="eastAsia"/>
                <w:color w:val="auto"/>
                <w:lang w:val="en-US"/>
              </w:rPr>
            </w:pPr>
            <w:r>
              <w:rPr>
                <w:rFonts w:hint="eastAsia"/>
                <w:color w:val="auto"/>
                <w:lang w:val="en-US"/>
              </w:rPr>
              <w:t>脱硫工艺设计应采用成熟可靠、运行安全稳定、技术经济合理的工艺技术，应在满足</w:t>
            </w:r>
          </w:p>
          <w:p w14:paraId="0A5EF596">
            <w:pPr>
              <w:pStyle w:val="20"/>
              <w:bidi w:val="0"/>
              <w:rPr>
                <w:color w:val="auto"/>
                <w:lang w:val="en-US"/>
              </w:rPr>
            </w:pPr>
            <w:r>
              <w:rPr>
                <w:rFonts w:hint="eastAsia"/>
                <w:color w:val="auto"/>
                <w:lang w:val="en-US"/>
              </w:rPr>
              <w:t>环保管理要求的前提下，充分考虑脱硫工程长期运行的可靠性和稳定性。</w:t>
            </w:r>
          </w:p>
        </w:tc>
        <w:tc>
          <w:tcPr>
            <w:tcW w:w="2178" w:type="dxa"/>
            <w:tcBorders>
              <w:tl2br w:val="nil"/>
              <w:tr2bl w:val="nil"/>
            </w:tcBorders>
            <w:noWrap w:val="0"/>
            <w:vAlign w:val="center"/>
          </w:tcPr>
          <w:p w14:paraId="0C866444">
            <w:pPr>
              <w:pStyle w:val="20"/>
              <w:bidi w:val="0"/>
              <w:rPr>
                <w:rFonts w:hint="default" w:eastAsia="宋体"/>
                <w:color w:val="auto"/>
                <w:lang w:val="en-US" w:eastAsia="zh-CN"/>
              </w:rPr>
            </w:pPr>
            <w:r>
              <w:rPr>
                <w:rFonts w:hint="eastAsia"/>
                <w:color w:val="auto"/>
                <w:lang w:val="en-US"/>
              </w:rPr>
              <w:t>《石灰石/石灰-石膏湿法烟气脱硫工程通用技术规范》</w:t>
            </w:r>
            <w:r>
              <w:rPr>
                <w:rFonts w:hint="eastAsia"/>
                <w:color w:val="auto"/>
                <w:lang w:val="en-US" w:eastAsia="zh-CN"/>
              </w:rPr>
              <w:t>HJ179-2018第6.1.1条</w:t>
            </w:r>
          </w:p>
        </w:tc>
        <w:tc>
          <w:tcPr>
            <w:tcW w:w="2608" w:type="dxa"/>
            <w:tcBorders>
              <w:tl2br w:val="nil"/>
              <w:tr2bl w:val="nil"/>
            </w:tcBorders>
            <w:noWrap w:val="0"/>
            <w:vAlign w:val="center"/>
          </w:tcPr>
          <w:p w14:paraId="1BAC7661">
            <w:pPr>
              <w:pStyle w:val="20"/>
              <w:bidi w:val="0"/>
              <w:rPr>
                <w:rFonts w:hint="default"/>
                <w:color w:val="auto"/>
                <w:lang w:val="en-US" w:eastAsia="zh-CN"/>
              </w:rPr>
            </w:pPr>
            <w:r>
              <w:rPr>
                <w:rFonts w:hint="eastAsia"/>
                <w:color w:val="auto"/>
                <w:lang w:val="en-US" w:eastAsia="zh-CN"/>
              </w:rPr>
              <w:t>本项目采用湿法脱硫工艺，成熟可靠、运行安全稳定、技术经济合理。</w:t>
            </w:r>
          </w:p>
        </w:tc>
        <w:tc>
          <w:tcPr>
            <w:tcW w:w="1050" w:type="dxa"/>
            <w:tcBorders>
              <w:tl2br w:val="nil"/>
              <w:tr2bl w:val="nil"/>
            </w:tcBorders>
            <w:noWrap w:val="0"/>
            <w:vAlign w:val="center"/>
          </w:tcPr>
          <w:p w14:paraId="3EB1E27E">
            <w:pPr>
              <w:pStyle w:val="20"/>
              <w:bidi w:val="0"/>
              <w:rPr>
                <w:color w:val="auto"/>
                <w:lang w:val="en-US"/>
              </w:rPr>
            </w:pPr>
            <w:r>
              <w:rPr>
                <w:color w:val="auto"/>
                <w:lang w:val="en-US"/>
              </w:rPr>
              <w:t>符合</w:t>
            </w:r>
          </w:p>
        </w:tc>
      </w:tr>
      <w:tr w14:paraId="34140E3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148" w:hRule="atLeast"/>
        </w:trPr>
        <w:tc>
          <w:tcPr>
            <w:tcW w:w="599" w:type="dxa"/>
            <w:tcBorders>
              <w:tl2br w:val="nil"/>
              <w:tr2bl w:val="nil"/>
            </w:tcBorders>
            <w:noWrap w:val="0"/>
            <w:vAlign w:val="center"/>
          </w:tcPr>
          <w:p w14:paraId="7DCED287">
            <w:pPr>
              <w:pStyle w:val="20"/>
              <w:bidi w:val="0"/>
              <w:rPr>
                <w:rFonts w:hint="eastAsia"/>
                <w:color w:val="auto"/>
                <w:lang w:val="en-US" w:eastAsia="zh-CN"/>
              </w:rPr>
            </w:pPr>
            <w:r>
              <w:rPr>
                <w:rFonts w:hint="eastAsia"/>
                <w:color w:val="auto"/>
                <w:lang w:val="en-US" w:eastAsia="zh-CN"/>
              </w:rPr>
              <w:t>2</w:t>
            </w:r>
          </w:p>
        </w:tc>
        <w:tc>
          <w:tcPr>
            <w:tcW w:w="2783" w:type="dxa"/>
            <w:tcBorders>
              <w:tl2br w:val="nil"/>
              <w:tr2bl w:val="nil"/>
            </w:tcBorders>
            <w:noWrap w:val="0"/>
            <w:vAlign w:val="center"/>
          </w:tcPr>
          <w:p w14:paraId="4419CC73">
            <w:pPr>
              <w:pStyle w:val="20"/>
              <w:bidi w:val="0"/>
              <w:rPr>
                <w:color w:val="auto"/>
                <w:lang w:val="en-US"/>
              </w:rPr>
            </w:pPr>
            <w:r>
              <w:rPr>
                <w:rFonts w:hint="eastAsia"/>
                <w:color w:val="auto"/>
                <w:lang w:val="en-US"/>
              </w:rPr>
              <w:t>烟气系统挡板门应具有防止泄漏功能。</w:t>
            </w:r>
          </w:p>
        </w:tc>
        <w:tc>
          <w:tcPr>
            <w:tcW w:w="2178" w:type="dxa"/>
            <w:tcBorders>
              <w:tl2br w:val="nil"/>
              <w:tr2bl w:val="nil"/>
            </w:tcBorders>
            <w:noWrap w:val="0"/>
            <w:vAlign w:val="center"/>
          </w:tcPr>
          <w:p w14:paraId="0435775A">
            <w:pPr>
              <w:pStyle w:val="20"/>
              <w:bidi w:val="0"/>
              <w:rPr>
                <w:color w:val="auto"/>
                <w:lang w:val="en-US"/>
              </w:rPr>
            </w:pPr>
            <w:r>
              <w:rPr>
                <w:rFonts w:hint="eastAsia"/>
                <w:color w:val="auto"/>
                <w:lang w:val="en-US"/>
              </w:rPr>
              <w:t>《石灰石/石灰-石膏湿法烟气脱硫工程通用技术规范》HJ179-2018第6.</w:t>
            </w:r>
            <w:r>
              <w:rPr>
                <w:rFonts w:hint="eastAsia"/>
                <w:color w:val="auto"/>
                <w:lang w:val="en-US" w:eastAsia="zh-CN"/>
              </w:rPr>
              <w:t>3.4</w:t>
            </w:r>
            <w:r>
              <w:rPr>
                <w:rFonts w:hint="eastAsia"/>
                <w:color w:val="auto"/>
                <w:lang w:val="en-US"/>
              </w:rPr>
              <w:t>条</w:t>
            </w:r>
          </w:p>
        </w:tc>
        <w:tc>
          <w:tcPr>
            <w:tcW w:w="2608" w:type="dxa"/>
            <w:tcBorders>
              <w:tl2br w:val="nil"/>
              <w:tr2bl w:val="nil"/>
            </w:tcBorders>
            <w:noWrap w:val="0"/>
            <w:vAlign w:val="center"/>
          </w:tcPr>
          <w:p w14:paraId="04A32719">
            <w:pPr>
              <w:pStyle w:val="20"/>
              <w:bidi w:val="0"/>
              <w:rPr>
                <w:rFonts w:hint="default"/>
                <w:color w:val="auto"/>
                <w:lang w:val="en-US" w:eastAsia="zh-CN"/>
              </w:rPr>
            </w:pPr>
            <w:r>
              <w:rPr>
                <w:rFonts w:hint="eastAsia"/>
                <w:color w:val="auto"/>
                <w:lang w:val="en-US" w:eastAsia="zh-CN"/>
              </w:rPr>
              <w:t>烟气系统挡板门具有防止泄漏功能。</w:t>
            </w:r>
          </w:p>
        </w:tc>
        <w:tc>
          <w:tcPr>
            <w:tcW w:w="1050" w:type="dxa"/>
            <w:tcBorders>
              <w:tl2br w:val="nil"/>
              <w:tr2bl w:val="nil"/>
            </w:tcBorders>
            <w:noWrap w:val="0"/>
            <w:vAlign w:val="center"/>
          </w:tcPr>
          <w:p w14:paraId="6738C01F">
            <w:pPr>
              <w:pStyle w:val="20"/>
              <w:bidi w:val="0"/>
              <w:rPr>
                <w:rFonts w:hint="eastAsia"/>
                <w:color w:val="auto"/>
                <w:lang w:val="en-US" w:eastAsia="zh-CN"/>
              </w:rPr>
            </w:pPr>
            <w:r>
              <w:rPr>
                <w:rFonts w:hint="eastAsia"/>
                <w:color w:val="auto"/>
                <w:lang w:val="en-US" w:eastAsia="zh-CN"/>
              </w:rPr>
              <w:t>符合</w:t>
            </w:r>
          </w:p>
        </w:tc>
      </w:tr>
      <w:tr w14:paraId="1A52A1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46" w:hRule="atLeast"/>
        </w:trPr>
        <w:tc>
          <w:tcPr>
            <w:tcW w:w="599" w:type="dxa"/>
            <w:tcBorders>
              <w:tl2br w:val="nil"/>
              <w:tr2bl w:val="nil"/>
            </w:tcBorders>
            <w:noWrap w:val="0"/>
            <w:vAlign w:val="center"/>
          </w:tcPr>
          <w:p w14:paraId="70904EF6">
            <w:pPr>
              <w:pStyle w:val="20"/>
              <w:bidi w:val="0"/>
              <w:rPr>
                <w:rFonts w:hint="eastAsia"/>
                <w:color w:val="auto"/>
                <w:lang w:val="en-US" w:eastAsia="zh-CN"/>
              </w:rPr>
            </w:pPr>
            <w:r>
              <w:rPr>
                <w:rFonts w:hint="eastAsia"/>
                <w:color w:val="auto"/>
                <w:lang w:val="en-US" w:eastAsia="zh-CN"/>
              </w:rPr>
              <w:t>3</w:t>
            </w:r>
          </w:p>
        </w:tc>
        <w:tc>
          <w:tcPr>
            <w:tcW w:w="2783" w:type="dxa"/>
            <w:tcBorders>
              <w:tl2br w:val="nil"/>
              <w:tr2bl w:val="nil"/>
            </w:tcBorders>
            <w:noWrap w:val="0"/>
            <w:vAlign w:val="center"/>
          </w:tcPr>
          <w:p w14:paraId="3919B51F">
            <w:pPr>
              <w:pStyle w:val="20"/>
              <w:bidi w:val="0"/>
              <w:rPr>
                <w:rFonts w:hint="eastAsia"/>
                <w:color w:val="auto"/>
                <w:lang w:val="en-US"/>
              </w:rPr>
            </w:pPr>
            <w:r>
              <w:rPr>
                <w:rFonts w:hint="eastAsia"/>
                <w:color w:val="auto"/>
                <w:lang w:val="en-US"/>
              </w:rPr>
              <w:t>脱硫吸收塔入口烟道可能接触浆液的区域，以及脱硫吸收塔出口至烟囱入口之间的净烟道应采用防腐措施。</w:t>
            </w:r>
          </w:p>
        </w:tc>
        <w:tc>
          <w:tcPr>
            <w:tcW w:w="2178" w:type="dxa"/>
            <w:tcBorders>
              <w:tl2br w:val="nil"/>
              <w:tr2bl w:val="nil"/>
            </w:tcBorders>
            <w:noWrap w:val="0"/>
            <w:vAlign w:val="center"/>
          </w:tcPr>
          <w:p w14:paraId="506922F3">
            <w:pPr>
              <w:pStyle w:val="20"/>
              <w:bidi w:val="0"/>
              <w:rPr>
                <w:rFonts w:hint="eastAsia"/>
                <w:color w:val="auto"/>
                <w:lang w:val="en-US"/>
              </w:rPr>
            </w:pPr>
            <w:r>
              <w:rPr>
                <w:rFonts w:hint="eastAsia"/>
                <w:color w:val="auto"/>
                <w:lang w:val="en-US"/>
              </w:rPr>
              <w:t>《石灰石/石灰-石膏湿法烟气脱硫工程通用技术规范》HJ179-2018第6.3.</w:t>
            </w:r>
            <w:r>
              <w:rPr>
                <w:rFonts w:hint="eastAsia"/>
                <w:color w:val="auto"/>
                <w:lang w:val="en-US" w:eastAsia="zh-CN"/>
              </w:rPr>
              <w:t>6</w:t>
            </w:r>
            <w:r>
              <w:rPr>
                <w:rFonts w:hint="eastAsia"/>
                <w:color w:val="auto"/>
                <w:lang w:val="en-US"/>
              </w:rPr>
              <w:t>条</w:t>
            </w:r>
          </w:p>
        </w:tc>
        <w:tc>
          <w:tcPr>
            <w:tcW w:w="2608" w:type="dxa"/>
            <w:tcBorders>
              <w:tl2br w:val="nil"/>
              <w:tr2bl w:val="nil"/>
            </w:tcBorders>
            <w:noWrap w:val="0"/>
            <w:vAlign w:val="center"/>
          </w:tcPr>
          <w:p w14:paraId="5E115694">
            <w:pPr>
              <w:pStyle w:val="20"/>
              <w:bidi w:val="0"/>
              <w:rPr>
                <w:rFonts w:hint="default"/>
                <w:color w:val="auto"/>
                <w:lang w:val="en-US" w:eastAsia="zh-CN"/>
              </w:rPr>
            </w:pPr>
            <w:r>
              <w:rPr>
                <w:rFonts w:hint="eastAsia"/>
                <w:color w:val="auto"/>
                <w:lang w:val="en-US" w:eastAsia="zh-CN"/>
              </w:rPr>
              <w:t>脱硫吸收塔入口烟道可能接触浆液的区域，以及脱硫吸收塔出口至烟囱入口之间的净烟道采用防腐措施。</w:t>
            </w:r>
          </w:p>
        </w:tc>
        <w:tc>
          <w:tcPr>
            <w:tcW w:w="1050" w:type="dxa"/>
            <w:tcBorders>
              <w:tl2br w:val="nil"/>
              <w:tr2bl w:val="nil"/>
            </w:tcBorders>
            <w:noWrap w:val="0"/>
            <w:vAlign w:val="center"/>
          </w:tcPr>
          <w:p w14:paraId="002B22DB">
            <w:pPr>
              <w:pStyle w:val="20"/>
              <w:bidi w:val="0"/>
              <w:rPr>
                <w:rFonts w:hint="eastAsia"/>
                <w:color w:val="auto"/>
                <w:lang w:val="en-US"/>
              </w:rPr>
            </w:pPr>
            <w:r>
              <w:rPr>
                <w:rFonts w:hint="eastAsia"/>
                <w:color w:val="auto"/>
                <w:lang w:val="en-US"/>
              </w:rPr>
              <w:t>符合</w:t>
            </w:r>
          </w:p>
        </w:tc>
      </w:tr>
      <w:tr w14:paraId="2095AA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17" w:hRule="atLeast"/>
        </w:trPr>
        <w:tc>
          <w:tcPr>
            <w:tcW w:w="599" w:type="dxa"/>
            <w:tcBorders>
              <w:tl2br w:val="nil"/>
              <w:tr2bl w:val="nil"/>
            </w:tcBorders>
            <w:noWrap w:val="0"/>
            <w:vAlign w:val="center"/>
          </w:tcPr>
          <w:p w14:paraId="6992FE6B">
            <w:pPr>
              <w:pStyle w:val="20"/>
              <w:bidi w:val="0"/>
              <w:rPr>
                <w:rFonts w:hint="eastAsia"/>
                <w:color w:val="auto"/>
                <w:lang w:val="en-US" w:eastAsia="zh-CN"/>
              </w:rPr>
            </w:pPr>
            <w:r>
              <w:rPr>
                <w:rFonts w:hint="eastAsia"/>
                <w:color w:val="auto"/>
                <w:lang w:val="en-US" w:eastAsia="zh-CN"/>
              </w:rPr>
              <w:t>4</w:t>
            </w:r>
          </w:p>
        </w:tc>
        <w:tc>
          <w:tcPr>
            <w:tcW w:w="2783" w:type="dxa"/>
            <w:tcBorders>
              <w:tl2br w:val="nil"/>
              <w:tr2bl w:val="nil"/>
            </w:tcBorders>
            <w:noWrap w:val="0"/>
            <w:vAlign w:val="center"/>
          </w:tcPr>
          <w:p w14:paraId="75C5AF38">
            <w:pPr>
              <w:pStyle w:val="20"/>
              <w:bidi w:val="0"/>
              <w:rPr>
                <w:rFonts w:hint="eastAsia"/>
                <w:color w:val="auto"/>
                <w:lang w:val="en-US" w:eastAsia="zh-CN"/>
              </w:rPr>
            </w:pPr>
            <w:r>
              <w:rPr>
                <w:rFonts w:hint="eastAsia"/>
                <w:color w:val="auto"/>
                <w:lang w:val="en-US"/>
              </w:rPr>
              <w:t>烟道设计应满足烟道的强度、刚度和振动在允许范围内，防腐烟道应尽量减少内撑杆数量。</w:t>
            </w:r>
          </w:p>
        </w:tc>
        <w:tc>
          <w:tcPr>
            <w:tcW w:w="2178" w:type="dxa"/>
            <w:tcBorders>
              <w:tl2br w:val="nil"/>
              <w:tr2bl w:val="nil"/>
            </w:tcBorders>
            <w:noWrap w:val="0"/>
            <w:vAlign w:val="center"/>
          </w:tcPr>
          <w:p w14:paraId="2D93A129">
            <w:pPr>
              <w:pStyle w:val="20"/>
              <w:bidi w:val="0"/>
              <w:rPr>
                <w:rFonts w:hint="eastAsia"/>
                <w:color w:val="auto"/>
                <w:lang w:val="en-US"/>
              </w:rPr>
            </w:pPr>
            <w:r>
              <w:rPr>
                <w:rFonts w:hint="eastAsia"/>
                <w:color w:val="auto"/>
                <w:lang w:val="en-US"/>
              </w:rPr>
              <w:t>《石灰石/石灰-石膏湿法烟气脱硫工程通用技术规范》HJ179-2018第6.3.</w:t>
            </w:r>
            <w:r>
              <w:rPr>
                <w:rFonts w:hint="eastAsia"/>
                <w:color w:val="auto"/>
                <w:lang w:val="en-US" w:eastAsia="zh-CN"/>
              </w:rPr>
              <w:t>7</w:t>
            </w:r>
            <w:r>
              <w:rPr>
                <w:rFonts w:hint="eastAsia"/>
                <w:color w:val="auto"/>
                <w:lang w:val="en-US"/>
              </w:rPr>
              <w:t>条</w:t>
            </w:r>
          </w:p>
        </w:tc>
        <w:tc>
          <w:tcPr>
            <w:tcW w:w="2608" w:type="dxa"/>
            <w:tcBorders>
              <w:tl2br w:val="nil"/>
              <w:tr2bl w:val="nil"/>
            </w:tcBorders>
            <w:noWrap w:val="0"/>
            <w:vAlign w:val="center"/>
          </w:tcPr>
          <w:p w14:paraId="120AA366">
            <w:pPr>
              <w:pStyle w:val="20"/>
              <w:bidi w:val="0"/>
              <w:rPr>
                <w:rFonts w:hint="eastAsia"/>
                <w:color w:val="auto"/>
                <w:lang w:val="en-US" w:eastAsia="zh-CN"/>
              </w:rPr>
            </w:pPr>
            <w:r>
              <w:rPr>
                <w:rFonts w:hint="eastAsia"/>
                <w:color w:val="auto"/>
                <w:lang w:val="en-US"/>
              </w:rPr>
              <w:t>烟道设计满足烟道的强度、刚度和振动在允许范围内，防腐烟道尽量减少内撑杆数量。</w:t>
            </w:r>
          </w:p>
          <w:p w14:paraId="4C1D4D38">
            <w:pPr>
              <w:pStyle w:val="20"/>
              <w:bidi w:val="0"/>
              <w:rPr>
                <w:rFonts w:hint="eastAsia"/>
                <w:color w:val="auto"/>
                <w:lang w:val="en-US" w:eastAsia="zh-CN"/>
              </w:rPr>
            </w:pPr>
          </w:p>
        </w:tc>
        <w:tc>
          <w:tcPr>
            <w:tcW w:w="1050" w:type="dxa"/>
            <w:tcBorders>
              <w:tl2br w:val="nil"/>
              <w:tr2bl w:val="nil"/>
            </w:tcBorders>
            <w:noWrap w:val="0"/>
            <w:vAlign w:val="center"/>
          </w:tcPr>
          <w:p w14:paraId="73827807">
            <w:pPr>
              <w:pStyle w:val="20"/>
              <w:bidi w:val="0"/>
              <w:rPr>
                <w:rFonts w:hint="eastAsia"/>
                <w:color w:val="auto"/>
                <w:lang w:val="en-US"/>
              </w:rPr>
            </w:pPr>
            <w:r>
              <w:rPr>
                <w:rFonts w:hint="eastAsia"/>
                <w:color w:val="auto"/>
                <w:lang w:val="en-US"/>
              </w:rPr>
              <w:t>符合</w:t>
            </w:r>
          </w:p>
        </w:tc>
      </w:tr>
      <w:tr w14:paraId="11DC31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599" w:type="dxa"/>
            <w:tcBorders>
              <w:tl2br w:val="nil"/>
              <w:tr2bl w:val="nil"/>
            </w:tcBorders>
            <w:noWrap w:val="0"/>
            <w:vAlign w:val="center"/>
          </w:tcPr>
          <w:p w14:paraId="5A86ABED">
            <w:pPr>
              <w:pStyle w:val="20"/>
              <w:bidi w:val="0"/>
              <w:rPr>
                <w:rFonts w:hint="default"/>
                <w:color w:val="auto"/>
                <w:lang w:val="en-US" w:eastAsia="zh-CN"/>
              </w:rPr>
            </w:pPr>
            <w:r>
              <w:rPr>
                <w:rFonts w:hint="eastAsia"/>
                <w:color w:val="auto"/>
                <w:lang w:val="en-US" w:eastAsia="zh-CN"/>
              </w:rPr>
              <w:t>5</w:t>
            </w:r>
          </w:p>
        </w:tc>
        <w:tc>
          <w:tcPr>
            <w:tcW w:w="2783" w:type="dxa"/>
            <w:tcBorders>
              <w:tl2br w:val="nil"/>
              <w:tr2bl w:val="nil"/>
            </w:tcBorders>
            <w:noWrap w:val="0"/>
            <w:vAlign w:val="center"/>
          </w:tcPr>
          <w:p w14:paraId="6F6E9367">
            <w:pPr>
              <w:pStyle w:val="20"/>
              <w:bidi w:val="0"/>
              <w:rPr>
                <w:rFonts w:hint="eastAsia"/>
                <w:color w:val="auto"/>
                <w:lang w:val="en-US" w:eastAsia="zh-CN"/>
              </w:rPr>
            </w:pPr>
            <w:r>
              <w:rPr>
                <w:rFonts w:hint="eastAsia"/>
                <w:color w:val="auto"/>
                <w:lang w:val="en-US" w:eastAsia="zh-CN"/>
              </w:rPr>
              <w:t>脱硫烟道与连接设备应使用补偿器连接，补偿器宜采用非金属材质。</w:t>
            </w:r>
          </w:p>
        </w:tc>
        <w:tc>
          <w:tcPr>
            <w:tcW w:w="2178" w:type="dxa"/>
            <w:tcBorders>
              <w:tl2br w:val="nil"/>
              <w:tr2bl w:val="nil"/>
            </w:tcBorders>
            <w:noWrap w:val="0"/>
            <w:vAlign w:val="center"/>
          </w:tcPr>
          <w:p w14:paraId="68ABB3EC">
            <w:pPr>
              <w:pStyle w:val="20"/>
              <w:bidi w:val="0"/>
              <w:rPr>
                <w:rFonts w:hint="eastAsia"/>
                <w:color w:val="auto"/>
                <w:lang w:val="en-US"/>
              </w:rPr>
            </w:pPr>
            <w:r>
              <w:rPr>
                <w:rFonts w:hint="eastAsia"/>
                <w:color w:val="auto"/>
                <w:lang w:val="en-US"/>
              </w:rPr>
              <w:t>《石灰石/石灰-石膏湿法烟气脱硫工程通用技术规范》HJ179-2018第6.3.</w:t>
            </w:r>
            <w:r>
              <w:rPr>
                <w:rFonts w:hint="eastAsia"/>
                <w:color w:val="auto"/>
                <w:lang w:val="en-US" w:eastAsia="zh-CN"/>
              </w:rPr>
              <w:t>8</w:t>
            </w:r>
            <w:r>
              <w:rPr>
                <w:rFonts w:hint="eastAsia"/>
                <w:color w:val="auto"/>
                <w:lang w:val="en-US"/>
              </w:rPr>
              <w:t>条</w:t>
            </w:r>
          </w:p>
        </w:tc>
        <w:tc>
          <w:tcPr>
            <w:tcW w:w="2608" w:type="dxa"/>
            <w:tcBorders>
              <w:tl2br w:val="nil"/>
              <w:tr2bl w:val="nil"/>
            </w:tcBorders>
            <w:noWrap w:val="0"/>
            <w:vAlign w:val="center"/>
          </w:tcPr>
          <w:p w14:paraId="55B72C23">
            <w:pPr>
              <w:pStyle w:val="20"/>
              <w:bidi w:val="0"/>
              <w:rPr>
                <w:rFonts w:hint="default"/>
                <w:color w:val="auto"/>
                <w:lang w:val="en-US" w:eastAsia="zh-CN"/>
              </w:rPr>
            </w:pPr>
            <w:r>
              <w:rPr>
                <w:rFonts w:hint="eastAsia"/>
                <w:color w:val="auto"/>
                <w:lang w:val="en-US" w:eastAsia="zh-CN"/>
              </w:rPr>
              <w:t>脱硫烟道与连接设备使用补偿器连接，补偿器采用非金属材质。</w:t>
            </w:r>
          </w:p>
        </w:tc>
        <w:tc>
          <w:tcPr>
            <w:tcW w:w="1050" w:type="dxa"/>
            <w:tcBorders>
              <w:tl2br w:val="nil"/>
              <w:tr2bl w:val="nil"/>
            </w:tcBorders>
            <w:noWrap w:val="0"/>
            <w:vAlign w:val="center"/>
          </w:tcPr>
          <w:p w14:paraId="41DD2F4B">
            <w:pPr>
              <w:pStyle w:val="20"/>
              <w:bidi w:val="0"/>
              <w:rPr>
                <w:rFonts w:hint="default"/>
                <w:color w:val="auto"/>
                <w:lang w:val="en-US" w:eastAsia="zh-CN"/>
              </w:rPr>
            </w:pPr>
            <w:r>
              <w:rPr>
                <w:rFonts w:hint="eastAsia"/>
                <w:color w:val="auto"/>
                <w:lang w:val="en-US" w:eastAsia="zh-CN"/>
              </w:rPr>
              <w:t>符合</w:t>
            </w:r>
          </w:p>
        </w:tc>
      </w:tr>
      <w:tr w14:paraId="586962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604" w:hRule="atLeast"/>
        </w:trPr>
        <w:tc>
          <w:tcPr>
            <w:tcW w:w="599" w:type="dxa"/>
            <w:tcBorders>
              <w:tl2br w:val="nil"/>
              <w:tr2bl w:val="nil"/>
            </w:tcBorders>
            <w:noWrap w:val="0"/>
            <w:vAlign w:val="center"/>
          </w:tcPr>
          <w:p w14:paraId="042F74A7">
            <w:pPr>
              <w:pStyle w:val="20"/>
              <w:bidi w:val="0"/>
              <w:rPr>
                <w:rFonts w:hint="default"/>
                <w:color w:val="auto"/>
                <w:lang w:val="en-US" w:eastAsia="zh-CN"/>
              </w:rPr>
            </w:pPr>
            <w:r>
              <w:rPr>
                <w:rFonts w:hint="eastAsia"/>
                <w:color w:val="auto"/>
                <w:lang w:val="en-US" w:eastAsia="zh-CN"/>
              </w:rPr>
              <w:t>6</w:t>
            </w:r>
          </w:p>
        </w:tc>
        <w:tc>
          <w:tcPr>
            <w:tcW w:w="2783" w:type="dxa"/>
            <w:tcBorders>
              <w:tl2br w:val="nil"/>
              <w:tr2bl w:val="nil"/>
            </w:tcBorders>
            <w:noWrap w:val="0"/>
            <w:vAlign w:val="center"/>
          </w:tcPr>
          <w:p w14:paraId="0838BF68">
            <w:pPr>
              <w:pStyle w:val="20"/>
              <w:bidi w:val="0"/>
              <w:rPr>
                <w:rFonts w:hint="eastAsia"/>
                <w:color w:val="auto"/>
                <w:lang w:val="en-US" w:eastAsia="zh-CN"/>
              </w:rPr>
            </w:pPr>
            <w:r>
              <w:rPr>
                <w:rFonts w:hint="eastAsia"/>
                <w:color w:val="auto"/>
                <w:lang w:val="en-US" w:eastAsia="zh-CN"/>
              </w:rPr>
              <w:t>脱硫烟道应在低位点装设自动疏放水系统。烟道低位点疏水和烟囱冷凝水疏水应通过脱硫工程回用。</w:t>
            </w:r>
          </w:p>
        </w:tc>
        <w:tc>
          <w:tcPr>
            <w:tcW w:w="2178" w:type="dxa"/>
            <w:tcBorders>
              <w:tl2br w:val="nil"/>
              <w:tr2bl w:val="nil"/>
            </w:tcBorders>
            <w:noWrap w:val="0"/>
            <w:vAlign w:val="center"/>
          </w:tcPr>
          <w:p w14:paraId="7F76D2FE">
            <w:pPr>
              <w:pStyle w:val="20"/>
              <w:bidi w:val="0"/>
              <w:rPr>
                <w:rFonts w:hint="eastAsia"/>
                <w:color w:val="auto"/>
                <w:lang w:val="en-US"/>
              </w:rPr>
            </w:pPr>
            <w:r>
              <w:rPr>
                <w:rFonts w:hint="eastAsia"/>
                <w:color w:val="auto"/>
                <w:lang w:val="en-US"/>
              </w:rPr>
              <w:t>《石灰石/石灰-石膏湿法烟气脱硫工程通用技术规范》HJ179-2018第6.3.</w:t>
            </w:r>
            <w:r>
              <w:rPr>
                <w:rFonts w:hint="eastAsia"/>
                <w:color w:val="auto"/>
                <w:lang w:val="en-US" w:eastAsia="zh-CN"/>
              </w:rPr>
              <w:t>9</w:t>
            </w:r>
            <w:r>
              <w:rPr>
                <w:rFonts w:hint="eastAsia"/>
                <w:color w:val="auto"/>
                <w:lang w:val="en-US"/>
              </w:rPr>
              <w:t>条</w:t>
            </w:r>
          </w:p>
        </w:tc>
        <w:tc>
          <w:tcPr>
            <w:tcW w:w="2608" w:type="dxa"/>
            <w:tcBorders>
              <w:tl2br w:val="nil"/>
              <w:tr2bl w:val="nil"/>
            </w:tcBorders>
            <w:noWrap w:val="0"/>
            <w:vAlign w:val="center"/>
          </w:tcPr>
          <w:p w14:paraId="4A8470D3">
            <w:pPr>
              <w:pStyle w:val="20"/>
              <w:bidi w:val="0"/>
              <w:rPr>
                <w:rFonts w:hint="default"/>
                <w:color w:val="auto"/>
                <w:lang w:val="en-US" w:eastAsia="zh-CN"/>
              </w:rPr>
            </w:pPr>
            <w:r>
              <w:rPr>
                <w:rFonts w:hint="eastAsia"/>
                <w:color w:val="auto"/>
                <w:lang w:val="en-US" w:eastAsia="zh-CN"/>
              </w:rPr>
              <w:t>脱硫烟道在低位点装设自动疏放水系统，烟道低位点疏水和烟囱冷凝水疏水通过脱硫工程回用。</w:t>
            </w:r>
          </w:p>
        </w:tc>
        <w:tc>
          <w:tcPr>
            <w:tcW w:w="1050" w:type="dxa"/>
            <w:tcBorders>
              <w:tl2br w:val="nil"/>
              <w:tr2bl w:val="nil"/>
            </w:tcBorders>
            <w:noWrap w:val="0"/>
            <w:vAlign w:val="center"/>
          </w:tcPr>
          <w:p w14:paraId="71FE24D3">
            <w:pPr>
              <w:pStyle w:val="20"/>
              <w:bidi w:val="0"/>
              <w:rPr>
                <w:rFonts w:hint="eastAsia"/>
                <w:color w:val="auto"/>
                <w:lang w:val="en-US" w:eastAsia="zh-CN"/>
              </w:rPr>
            </w:pPr>
            <w:r>
              <w:rPr>
                <w:rFonts w:hint="eastAsia"/>
                <w:color w:val="auto"/>
                <w:lang w:val="en-US" w:eastAsia="zh-CN"/>
              </w:rPr>
              <w:t>符合</w:t>
            </w:r>
          </w:p>
        </w:tc>
      </w:tr>
      <w:tr w14:paraId="62F0BD3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599" w:type="dxa"/>
            <w:tcBorders>
              <w:tl2br w:val="nil"/>
              <w:tr2bl w:val="nil"/>
            </w:tcBorders>
            <w:noWrap w:val="0"/>
            <w:vAlign w:val="center"/>
          </w:tcPr>
          <w:p w14:paraId="0CD80F30">
            <w:pPr>
              <w:pStyle w:val="20"/>
              <w:bidi w:val="0"/>
              <w:rPr>
                <w:rFonts w:hint="default"/>
                <w:color w:val="auto"/>
                <w:lang w:val="en-US" w:eastAsia="zh-CN"/>
              </w:rPr>
            </w:pPr>
            <w:r>
              <w:rPr>
                <w:rFonts w:hint="eastAsia"/>
                <w:color w:val="auto"/>
                <w:lang w:val="en-US" w:eastAsia="zh-CN"/>
              </w:rPr>
              <w:t>7</w:t>
            </w:r>
          </w:p>
        </w:tc>
        <w:tc>
          <w:tcPr>
            <w:tcW w:w="2783" w:type="dxa"/>
            <w:tcBorders>
              <w:tl2br w:val="nil"/>
              <w:tr2bl w:val="nil"/>
            </w:tcBorders>
            <w:noWrap w:val="0"/>
            <w:vAlign w:val="center"/>
          </w:tcPr>
          <w:p w14:paraId="41A0F4AA">
            <w:pPr>
              <w:pStyle w:val="20"/>
              <w:bidi w:val="0"/>
              <w:rPr>
                <w:rFonts w:hint="eastAsia"/>
                <w:color w:val="auto"/>
                <w:lang w:val="en-US" w:eastAsia="zh-CN"/>
              </w:rPr>
            </w:pPr>
            <w:r>
              <w:rPr>
                <w:rFonts w:hint="eastAsia"/>
                <w:color w:val="auto"/>
                <w:lang w:val="en-US" w:eastAsia="zh-CN"/>
              </w:rPr>
              <w:t>脱水石膏堆放可采用石膏仓或石膏库。石膏仓或石膏库应满足石膏转运要求。</w:t>
            </w:r>
          </w:p>
        </w:tc>
        <w:tc>
          <w:tcPr>
            <w:tcW w:w="2178" w:type="dxa"/>
            <w:tcBorders>
              <w:tl2br w:val="nil"/>
              <w:tr2bl w:val="nil"/>
            </w:tcBorders>
            <w:noWrap w:val="0"/>
            <w:vAlign w:val="center"/>
          </w:tcPr>
          <w:p w14:paraId="43B50431">
            <w:pPr>
              <w:pStyle w:val="20"/>
              <w:bidi w:val="0"/>
              <w:rPr>
                <w:rFonts w:hint="eastAsia"/>
                <w:color w:val="auto"/>
                <w:lang w:val="en-US"/>
              </w:rPr>
            </w:pPr>
            <w:r>
              <w:rPr>
                <w:rFonts w:hint="eastAsia"/>
                <w:color w:val="auto"/>
                <w:lang w:val="en-US"/>
              </w:rPr>
              <w:t>《石灰石/石灰-石膏湿法烟气脱硫工程通用技术规范》HJ179-2018第6.3.</w:t>
            </w:r>
            <w:r>
              <w:rPr>
                <w:rFonts w:hint="eastAsia"/>
                <w:color w:val="auto"/>
                <w:lang w:val="en-US" w:eastAsia="zh-CN"/>
              </w:rPr>
              <w:t>9</w:t>
            </w:r>
            <w:r>
              <w:rPr>
                <w:rFonts w:hint="eastAsia"/>
                <w:color w:val="auto"/>
                <w:lang w:val="en-US"/>
              </w:rPr>
              <w:t>条</w:t>
            </w:r>
          </w:p>
        </w:tc>
        <w:tc>
          <w:tcPr>
            <w:tcW w:w="2608" w:type="dxa"/>
            <w:tcBorders>
              <w:tl2br w:val="nil"/>
              <w:tr2bl w:val="nil"/>
            </w:tcBorders>
            <w:noWrap w:val="0"/>
            <w:vAlign w:val="center"/>
          </w:tcPr>
          <w:p w14:paraId="6BFE0C45">
            <w:pPr>
              <w:pStyle w:val="20"/>
              <w:bidi w:val="0"/>
              <w:rPr>
                <w:rFonts w:hint="default"/>
                <w:color w:val="auto"/>
                <w:lang w:val="en-US" w:eastAsia="zh-CN"/>
              </w:rPr>
            </w:pPr>
            <w:r>
              <w:rPr>
                <w:rFonts w:hint="eastAsia"/>
                <w:color w:val="auto"/>
                <w:lang w:val="en-US" w:eastAsia="zh-CN"/>
              </w:rPr>
              <w:t>本项目采用石膏仓，但石膏仓料位计读数显示不正常。</w:t>
            </w:r>
          </w:p>
        </w:tc>
        <w:tc>
          <w:tcPr>
            <w:tcW w:w="1050" w:type="dxa"/>
            <w:tcBorders>
              <w:tl2br w:val="nil"/>
              <w:tr2bl w:val="nil"/>
            </w:tcBorders>
            <w:noWrap w:val="0"/>
            <w:vAlign w:val="center"/>
          </w:tcPr>
          <w:p w14:paraId="3719EBA1">
            <w:pPr>
              <w:pStyle w:val="20"/>
              <w:bidi w:val="0"/>
              <w:rPr>
                <w:rFonts w:hint="default"/>
                <w:color w:val="auto"/>
                <w:lang w:val="en-US" w:eastAsia="zh-CN"/>
              </w:rPr>
            </w:pPr>
            <w:r>
              <w:rPr>
                <w:rFonts w:hint="eastAsia"/>
                <w:color w:val="auto"/>
                <w:lang w:val="en-US" w:eastAsia="zh-CN"/>
              </w:rPr>
              <w:t>不符合</w:t>
            </w:r>
          </w:p>
        </w:tc>
      </w:tr>
    </w:tbl>
    <w:p w14:paraId="1ABBA1B2">
      <w:pPr>
        <w:pStyle w:val="4"/>
        <w:bidi w:val="0"/>
        <w:rPr>
          <w:rFonts w:ascii="Times New Roman" w:hAnsi="Times New Roman"/>
          <w:color w:val="auto"/>
          <w:lang w:val="en-US" w:eastAsia="zh-CN"/>
        </w:rPr>
      </w:pPr>
      <w:bookmarkStart w:id="101" w:name="_Toc24447"/>
      <w:r>
        <w:rPr>
          <w:rFonts w:ascii="Times New Roman" w:hAnsi="Times New Roman"/>
          <w:color w:val="auto"/>
          <w:lang w:val="en-US" w:eastAsia="zh-CN"/>
        </w:rPr>
        <w:t>5.</w:t>
      </w:r>
      <w:r>
        <w:rPr>
          <w:rFonts w:hint="eastAsia"/>
          <w:color w:val="auto"/>
          <w:lang w:val="en-US" w:eastAsia="zh-CN"/>
        </w:rPr>
        <w:t>3.2</w:t>
      </w:r>
      <w:r>
        <w:rPr>
          <w:rFonts w:ascii="Times New Roman" w:hAnsi="Times New Roman"/>
          <w:color w:val="auto"/>
          <w:lang w:val="en-US" w:eastAsia="zh-CN"/>
        </w:rPr>
        <w:t>单元评价小结</w:t>
      </w:r>
      <w:bookmarkEnd w:id="101"/>
    </w:p>
    <w:p w14:paraId="777C04AF">
      <w:pPr>
        <w:bidi w:val="0"/>
        <w:rPr>
          <w:rFonts w:hint="default" w:ascii="Times New Roman" w:hAnsi="Times New Roman"/>
          <w:color w:val="auto"/>
          <w:highlight w:val="none"/>
          <w:shd w:val="clear" w:color="auto" w:fill="auto"/>
          <w:lang w:val="en-US" w:eastAsia="zh-CN"/>
        </w:rPr>
      </w:pPr>
      <w:r>
        <w:rPr>
          <w:rFonts w:ascii="Times New Roman" w:hAnsi="Times New Roman"/>
          <w:color w:val="auto"/>
          <w:highlight w:val="none"/>
          <w:shd w:val="clear" w:color="auto" w:fill="auto"/>
          <w:lang w:val="en-US" w:eastAsia="zh-CN"/>
        </w:rPr>
        <w:t>通过对</w:t>
      </w:r>
      <w:r>
        <w:rPr>
          <w:rFonts w:hint="eastAsia"/>
          <w:color w:val="auto"/>
          <w:highlight w:val="none"/>
          <w:shd w:val="clear" w:color="auto" w:fill="auto"/>
          <w:lang w:val="en-US" w:eastAsia="zh-CN"/>
        </w:rPr>
        <w:t>工艺设备设施</w:t>
      </w:r>
      <w:r>
        <w:rPr>
          <w:rFonts w:ascii="Times New Roman" w:hAnsi="Times New Roman"/>
          <w:color w:val="auto"/>
          <w:highlight w:val="none"/>
          <w:shd w:val="clear" w:color="auto" w:fill="auto"/>
          <w:lang w:val="en-US" w:eastAsia="zh-CN"/>
        </w:rPr>
        <w:t>单元进行了</w:t>
      </w:r>
      <w:r>
        <w:rPr>
          <w:rFonts w:hint="eastAsia"/>
          <w:color w:val="auto"/>
          <w:highlight w:val="none"/>
          <w:shd w:val="clear" w:color="auto" w:fill="auto"/>
          <w:lang w:val="en-US" w:eastAsia="zh-CN"/>
        </w:rPr>
        <w:t>7</w:t>
      </w:r>
      <w:r>
        <w:rPr>
          <w:rFonts w:ascii="Times New Roman" w:hAnsi="Times New Roman"/>
          <w:color w:val="auto"/>
          <w:highlight w:val="none"/>
          <w:shd w:val="clear" w:color="auto" w:fill="auto"/>
          <w:lang w:val="en-US" w:eastAsia="zh-CN"/>
        </w:rPr>
        <w:t>项检查，</w:t>
      </w:r>
      <w:r>
        <w:rPr>
          <w:rFonts w:hint="eastAsia"/>
          <w:color w:val="auto"/>
          <w:highlight w:val="none"/>
          <w:shd w:val="clear" w:color="auto" w:fill="auto"/>
          <w:lang w:val="en-US" w:eastAsia="zh-CN"/>
        </w:rPr>
        <w:t>6</w:t>
      </w:r>
      <w:r>
        <w:rPr>
          <w:rFonts w:hint="eastAsia" w:ascii="Times New Roman" w:hAnsi="Times New Roman"/>
          <w:color w:val="auto"/>
          <w:highlight w:val="none"/>
          <w:shd w:val="clear" w:color="auto" w:fill="auto"/>
          <w:lang w:val="en-US" w:eastAsia="zh-CN"/>
        </w:rPr>
        <w:t>项符合，</w:t>
      </w:r>
      <w:r>
        <w:rPr>
          <w:rFonts w:hint="eastAsia"/>
          <w:color w:val="auto"/>
          <w:highlight w:val="none"/>
          <w:shd w:val="clear" w:color="auto" w:fill="auto"/>
          <w:lang w:val="en-US" w:eastAsia="zh-CN"/>
        </w:rPr>
        <w:t>1项不符合</w:t>
      </w:r>
      <w:r>
        <w:rPr>
          <w:rFonts w:hint="eastAsia" w:ascii="Times New Roman" w:hAnsi="Times New Roman"/>
          <w:color w:val="auto"/>
          <w:highlight w:val="none"/>
          <w:shd w:val="clear" w:color="auto" w:fill="auto"/>
          <w:lang w:val="en-US" w:eastAsia="zh-CN"/>
        </w:rPr>
        <w:t>。</w:t>
      </w:r>
      <w:r>
        <w:rPr>
          <w:rFonts w:hint="eastAsia"/>
          <w:color w:val="auto"/>
          <w:highlight w:val="none"/>
          <w:shd w:val="clear" w:color="auto" w:fill="auto"/>
          <w:lang w:val="en-US" w:eastAsia="zh-CN"/>
        </w:rPr>
        <w:t>不符合项为：</w:t>
      </w:r>
      <w:r>
        <w:rPr>
          <w:rFonts w:hint="eastAsia" w:ascii="Times New Roman" w:hAnsi="Times New Roman"/>
          <w:color w:val="auto"/>
          <w:highlight w:val="none"/>
          <w:shd w:val="clear" w:color="auto" w:fill="auto"/>
          <w:lang w:val="en-US" w:eastAsia="zh-CN"/>
        </w:rPr>
        <w:t>石膏仓料位计读数显示不正常</w:t>
      </w:r>
      <w:r>
        <w:rPr>
          <w:rFonts w:hint="eastAsia"/>
          <w:color w:val="auto"/>
          <w:highlight w:val="none"/>
          <w:shd w:val="clear" w:color="auto" w:fill="auto"/>
          <w:lang w:val="en-US" w:eastAsia="zh-CN"/>
        </w:rPr>
        <w:t>。经询问，现场实际无料仓料位计。</w:t>
      </w:r>
    </w:p>
    <w:p w14:paraId="1841CD76">
      <w:pPr>
        <w:pStyle w:val="3"/>
        <w:bidi w:val="0"/>
        <w:rPr>
          <w:color w:val="auto"/>
          <w:lang w:val="en-US" w:eastAsia="zh-CN"/>
        </w:rPr>
      </w:pPr>
      <w:bookmarkStart w:id="102" w:name="_Toc6626"/>
      <w:r>
        <w:rPr>
          <w:color w:val="auto"/>
          <w:lang w:val="en-US" w:eastAsia="zh-CN"/>
        </w:rPr>
        <w:t>5.</w:t>
      </w:r>
      <w:r>
        <w:rPr>
          <w:rFonts w:hint="eastAsia"/>
          <w:color w:val="auto"/>
          <w:lang w:val="en-US" w:eastAsia="zh-CN"/>
        </w:rPr>
        <w:t>4</w:t>
      </w:r>
      <w:r>
        <w:rPr>
          <w:color w:val="auto"/>
          <w:lang w:val="en-US" w:eastAsia="zh-CN"/>
        </w:rPr>
        <w:t>公辅设施单元</w:t>
      </w:r>
      <w:bookmarkEnd w:id="102"/>
    </w:p>
    <w:p w14:paraId="6D1F937A">
      <w:pPr>
        <w:pStyle w:val="4"/>
        <w:bidi w:val="0"/>
        <w:rPr>
          <w:rFonts w:hint="default"/>
          <w:color w:val="auto"/>
          <w:lang w:val="en-US" w:eastAsia="zh-CN"/>
        </w:rPr>
      </w:pPr>
      <w:bookmarkStart w:id="103" w:name="_Toc9523"/>
      <w:r>
        <w:rPr>
          <w:rFonts w:hint="eastAsia"/>
          <w:color w:val="auto"/>
          <w:lang w:val="en-US" w:eastAsia="zh-CN"/>
        </w:rPr>
        <w:t>5.4.1供配电子单元</w:t>
      </w:r>
      <w:bookmarkEnd w:id="103"/>
    </w:p>
    <w:p w14:paraId="62C56B22">
      <w:pPr>
        <w:bidi w:val="0"/>
        <w:rPr>
          <w:rFonts w:hint="eastAsia"/>
          <w:color w:val="auto"/>
          <w:lang w:val="en-US" w:eastAsia="zh-CN"/>
        </w:rPr>
      </w:pPr>
      <w:r>
        <w:rPr>
          <w:color w:val="auto"/>
          <w:lang w:val="en-US" w:eastAsia="zh-CN"/>
        </w:rPr>
        <w:t>依据</w:t>
      </w:r>
      <w:r>
        <w:rPr>
          <w:rFonts w:hint="eastAsia" w:ascii="Times New Roman" w:hAnsi="Times New Roman"/>
          <w:color w:val="auto"/>
          <w:lang w:val="en-US" w:eastAsia="zh-CN"/>
        </w:rPr>
        <w:t>《20kV及以下变电所设计规范》、《建筑设计防火规范》</w:t>
      </w:r>
      <w:r>
        <w:rPr>
          <w:color w:val="auto"/>
          <w:lang w:val="en-US" w:eastAsia="zh-CN"/>
        </w:rPr>
        <w:t>等法规、规范，使用安全检查表法对</w:t>
      </w:r>
      <w:r>
        <w:rPr>
          <w:rFonts w:hint="eastAsia"/>
          <w:color w:val="auto"/>
          <w:lang w:val="en-US" w:eastAsia="zh-CN"/>
        </w:rPr>
        <w:t>供配电子</w:t>
      </w:r>
      <w:r>
        <w:rPr>
          <w:color w:val="auto"/>
          <w:lang w:val="en-US" w:eastAsia="zh-CN"/>
        </w:rPr>
        <w:t>单元是否符合相关要求进行检查，检查情况见表</w:t>
      </w:r>
      <w:r>
        <w:rPr>
          <w:rFonts w:hint="eastAsia"/>
          <w:color w:val="auto"/>
          <w:lang w:val="en-US" w:eastAsia="zh-CN"/>
        </w:rPr>
        <w:t>5.4.1</w:t>
      </w:r>
      <w:r>
        <w:rPr>
          <w:color w:val="auto"/>
          <w:lang w:val="en-US" w:eastAsia="zh-CN"/>
        </w:rPr>
        <w:t>-</w:t>
      </w:r>
      <w:r>
        <w:rPr>
          <w:rFonts w:hint="eastAsia"/>
          <w:color w:val="auto"/>
          <w:lang w:val="en-US" w:eastAsia="zh-CN"/>
        </w:rPr>
        <w:t>1</w:t>
      </w:r>
    </w:p>
    <w:p w14:paraId="6700BF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表5.</w:t>
      </w:r>
      <w:r>
        <w:rPr>
          <w:rFonts w:hint="eastAsia" w:cs="Times New Roman"/>
          <w:color w:val="auto"/>
          <w:lang w:val="en-US" w:eastAsia="zh-CN"/>
        </w:rPr>
        <w:t>4</w:t>
      </w:r>
      <w:r>
        <w:rPr>
          <w:rFonts w:hint="eastAsia" w:ascii="Times New Roman" w:hAnsi="Times New Roman" w:eastAsia="宋体" w:cs="Times New Roman"/>
          <w:color w:val="auto"/>
          <w:lang w:val="en-US" w:eastAsia="zh-CN"/>
        </w:rPr>
        <w:t>.1-1</w:t>
      </w:r>
      <w:r>
        <w:rPr>
          <w:rFonts w:hint="eastAsia" w:cs="Times New Roman"/>
          <w:color w:val="auto"/>
          <w:lang w:val="en-US" w:eastAsia="zh-CN"/>
        </w:rPr>
        <w:t>供配电设施</w:t>
      </w:r>
      <w:r>
        <w:rPr>
          <w:rFonts w:hint="eastAsia" w:ascii="Times New Roman" w:hAnsi="Times New Roman" w:eastAsia="宋体" w:cs="Times New Roman"/>
          <w:color w:val="auto"/>
          <w:lang w:val="en-US" w:eastAsia="zh-CN"/>
        </w:rPr>
        <w:t>安全检查表</w:t>
      </w:r>
    </w:p>
    <w:tbl>
      <w:tblPr>
        <w:tblStyle w:val="14"/>
        <w:tblW w:w="5004"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452"/>
        <w:gridCol w:w="3509"/>
        <w:gridCol w:w="2153"/>
        <w:gridCol w:w="2058"/>
        <w:gridCol w:w="937"/>
      </w:tblGrid>
      <w:tr w14:paraId="79C002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247" w:type="pct"/>
            <w:tcBorders>
              <w:tl2br w:val="nil"/>
              <w:tr2bl w:val="nil"/>
            </w:tcBorders>
            <w:noWrap w:val="0"/>
            <w:textDirection w:val="tbRlV"/>
            <w:vAlign w:val="center"/>
          </w:tcPr>
          <w:p w14:paraId="39AE3B4C">
            <w:pPr>
              <w:pStyle w:val="21"/>
              <w:bidi w:val="0"/>
              <w:rPr>
                <w:color w:val="auto"/>
                <w:lang w:val="en-US"/>
              </w:rPr>
            </w:pPr>
            <w:r>
              <w:rPr>
                <w:color w:val="auto"/>
                <w:lang w:val="en-US"/>
              </w:rPr>
              <w:t>序号</w:t>
            </w:r>
          </w:p>
        </w:tc>
        <w:tc>
          <w:tcPr>
            <w:tcW w:w="1926" w:type="pct"/>
            <w:tcBorders>
              <w:tl2br w:val="nil"/>
              <w:tr2bl w:val="nil"/>
            </w:tcBorders>
            <w:noWrap w:val="0"/>
            <w:vAlign w:val="center"/>
          </w:tcPr>
          <w:p w14:paraId="26AAF2F1">
            <w:pPr>
              <w:pStyle w:val="21"/>
              <w:bidi w:val="0"/>
              <w:rPr>
                <w:color w:val="auto"/>
                <w:lang w:val="en-US"/>
              </w:rPr>
            </w:pPr>
            <w:r>
              <w:rPr>
                <w:color w:val="auto"/>
                <w:lang w:val="en-US"/>
              </w:rPr>
              <w:t>检查项目和内容</w:t>
            </w:r>
          </w:p>
        </w:tc>
        <w:tc>
          <w:tcPr>
            <w:tcW w:w="1182" w:type="pct"/>
            <w:tcBorders>
              <w:tl2br w:val="nil"/>
              <w:tr2bl w:val="nil"/>
            </w:tcBorders>
            <w:noWrap w:val="0"/>
            <w:vAlign w:val="center"/>
          </w:tcPr>
          <w:p w14:paraId="43E2F61C">
            <w:pPr>
              <w:pStyle w:val="21"/>
              <w:bidi w:val="0"/>
              <w:rPr>
                <w:color w:val="auto"/>
                <w:lang w:val="en-US"/>
              </w:rPr>
            </w:pPr>
            <w:r>
              <w:rPr>
                <w:color w:val="auto"/>
                <w:lang w:val="en-US"/>
              </w:rPr>
              <w:t>检查依据</w:t>
            </w:r>
          </w:p>
        </w:tc>
        <w:tc>
          <w:tcPr>
            <w:tcW w:w="1129" w:type="pct"/>
            <w:tcBorders>
              <w:tl2br w:val="nil"/>
              <w:tr2bl w:val="nil"/>
            </w:tcBorders>
            <w:noWrap w:val="0"/>
            <w:vAlign w:val="center"/>
          </w:tcPr>
          <w:p w14:paraId="3671836C">
            <w:pPr>
              <w:pStyle w:val="21"/>
              <w:bidi w:val="0"/>
              <w:rPr>
                <w:color w:val="auto"/>
                <w:lang w:val="en-US"/>
              </w:rPr>
            </w:pPr>
            <w:r>
              <w:rPr>
                <w:rFonts w:hint="eastAsia"/>
                <w:color w:val="auto"/>
                <w:lang w:val="en-US" w:eastAsia="zh-CN"/>
              </w:rPr>
              <w:t>检查情况</w:t>
            </w:r>
          </w:p>
        </w:tc>
        <w:tc>
          <w:tcPr>
            <w:tcW w:w="514" w:type="pct"/>
            <w:tcBorders>
              <w:tl2br w:val="nil"/>
              <w:tr2bl w:val="nil"/>
            </w:tcBorders>
            <w:noWrap w:val="0"/>
            <w:vAlign w:val="center"/>
          </w:tcPr>
          <w:p w14:paraId="3F032FD6">
            <w:pPr>
              <w:pStyle w:val="21"/>
              <w:bidi w:val="0"/>
              <w:rPr>
                <w:color w:val="auto"/>
                <w:lang w:val="en-US"/>
              </w:rPr>
            </w:pPr>
            <w:r>
              <w:rPr>
                <w:color w:val="auto"/>
                <w:lang w:val="en-US"/>
              </w:rPr>
              <w:t>检查结果</w:t>
            </w:r>
          </w:p>
        </w:tc>
      </w:tr>
      <w:tr w14:paraId="624ECE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247" w:type="pct"/>
            <w:tcBorders>
              <w:tl2br w:val="nil"/>
              <w:tr2bl w:val="nil"/>
            </w:tcBorders>
            <w:noWrap w:val="0"/>
            <w:vAlign w:val="center"/>
          </w:tcPr>
          <w:p w14:paraId="410BB6B4">
            <w:pPr>
              <w:pStyle w:val="20"/>
              <w:bidi w:val="0"/>
              <w:rPr>
                <w:rFonts w:hint="eastAsia"/>
                <w:color w:val="auto"/>
                <w:lang w:val="en-US" w:eastAsia="zh-CN"/>
              </w:rPr>
            </w:pPr>
            <w:r>
              <w:rPr>
                <w:rFonts w:hint="eastAsia"/>
                <w:color w:val="auto"/>
                <w:lang w:val="en-US" w:eastAsia="zh-CN"/>
              </w:rPr>
              <w:t>1</w:t>
            </w:r>
          </w:p>
        </w:tc>
        <w:tc>
          <w:tcPr>
            <w:tcW w:w="1926" w:type="pct"/>
            <w:tcBorders>
              <w:tl2br w:val="nil"/>
              <w:tr2bl w:val="nil"/>
            </w:tcBorders>
            <w:noWrap w:val="0"/>
            <w:vAlign w:val="center"/>
          </w:tcPr>
          <w:p w14:paraId="1227CA9B">
            <w:pPr>
              <w:pStyle w:val="20"/>
              <w:bidi w:val="0"/>
              <w:rPr>
                <w:rFonts w:hint="default"/>
                <w:color w:val="auto"/>
                <w:lang w:val="en-US" w:eastAsia="zh-CN"/>
              </w:rPr>
            </w:pPr>
            <w:r>
              <w:rPr>
                <w:rFonts w:hint="default"/>
                <w:color w:val="auto"/>
                <w:lang w:val="en-US" w:eastAsia="zh-CN"/>
              </w:rPr>
              <w:t>变压器室、配电室和电容器室的耐火等级不应低于二级。</w:t>
            </w:r>
          </w:p>
        </w:tc>
        <w:tc>
          <w:tcPr>
            <w:tcW w:w="1182" w:type="pct"/>
            <w:tcBorders>
              <w:tl2br w:val="nil"/>
              <w:tr2bl w:val="nil"/>
            </w:tcBorders>
            <w:noWrap w:val="0"/>
            <w:vAlign w:val="center"/>
          </w:tcPr>
          <w:p w14:paraId="76FEF73E">
            <w:pPr>
              <w:pStyle w:val="20"/>
              <w:bidi w:val="0"/>
              <w:rPr>
                <w:rFonts w:hint="default"/>
                <w:color w:val="auto"/>
                <w:lang w:val="en-US" w:eastAsia="zh-CN"/>
              </w:rPr>
            </w:pPr>
            <w:r>
              <w:rPr>
                <w:rFonts w:hint="eastAsia"/>
                <w:color w:val="auto"/>
                <w:lang w:val="en-US"/>
              </w:rPr>
              <w:t>《20kV及以下变电所设计规范》GB50053-2013</w:t>
            </w:r>
            <w:r>
              <w:rPr>
                <w:rFonts w:hint="eastAsia"/>
                <w:color w:val="auto"/>
                <w:lang w:val="en-US" w:eastAsia="zh-CN"/>
              </w:rPr>
              <w:t>第6.1.1条</w:t>
            </w:r>
          </w:p>
        </w:tc>
        <w:tc>
          <w:tcPr>
            <w:tcW w:w="1129" w:type="pct"/>
            <w:tcBorders>
              <w:tl2br w:val="nil"/>
              <w:tr2bl w:val="nil"/>
            </w:tcBorders>
            <w:noWrap w:val="0"/>
            <w:vAlign w:val="center"/>
          </w:tcPr>
          <w:p w14:paraId="31490DE0">
            <w:pPr>
              <w:pStyle w:val="20"/>
              <w:bidi w:val="0"/>
              <w:rPr>
                <w:rFonts w:hint="default"/>
                <w:color w:val="auto"/>
                <w:lang w:val="en-US" w:eastAsia="zh-CN"/>
              </w:rPr>
            </w:pPr>
            <w:r>
              <w:rPr>
                <w:rFonts w:hint="eastAsia"/>
                <w:color w:val="auto"/>
                <w:lang w:val="en-US" w:eastAsia="zh-CN"/>
              </w:rPr>
              <w:t>耐火等级为二级。</w:t>
            </w:r>
          </w:p>
        </w:tc>
        <w:tc>
          <w:tcPr>
            <w:tcW w:w="514" w:type="pct"/>
            <w:tcBorders>
              <w:tl2br w:val="nil"/>
              <w:tr2bl w:val="nil"/>
            </w:tcBorders>
            <w:noWrap w:val="0"/>
            <w:vAlign w:val="center"/>
          </w:tcPr>
          <w:p w14:paraId="5268E3E5">
            <w:pPr>
              <w:pStyle w:val="20"/>
              <w:bidi w:val="0"/>
              <w:rPr>
                <w:color w:val="auto"/>
              </w:rPr>
            </w:pPr>
          </w:p>
          <w:p w14:paraId="4806AFB2">
            <w:pPr>
              <w:pStyle w:val="20"/>
              <w:bidi w:val="0"/>
              <w:rPr>
                <w:color w:val="auto"/>
                <w:lang w:val="en-US"/>
              </w:rPr>
            </w:pPr>
            <w:r>
              <w:rPr>
                <w:color w:val="auto"/>
                <w:lang w:val="en-US"/>
              </w:rPr>
              <w:t>符合</w:t>
            </w:r>
          </w:p>
        </w:tc>
      </w:tr>
      <w:tr w14:paraId="0975D6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2" w:hRule="atLeast"/>
          <w:jc w:val="center"/>
        </w:trPr>
        <w:tc>
          <w:tcPr>
            <w:tcW w:w="247" w:type="pct"/>
            <w:tcBorders>
              <w:tl2br w:val="nil"/>
              <w:tr2bl w:val="nil"/>
            </w:tcBorders>
            <w:noWrap w:val="0"/>
            <w:vAlign w:val="center"/>
          </w:tcPr>
          <w:p w14:paraId="6A5AA067">
            <w:pPr>
              <w:pStyle w:val="20"/>
              <w:bidi w:val="0"/>
              <w:rPr>
                <w:rFonts w:hint="default"/>
                <w:color w:val="auto"/>
                <w:lang w:val="en-US" w:eastAsia="zh-CN"/>
              </w:rPr>
            </w:pPr>
            <w:r>
              <w:rPr>
                <w:rFonts w:hint="eastAsia"/>
                <w:color w:val="auto"/>
                <w:lang w:val="en-US" w:eastAsia="zh-CN"/>
              </w:rPr>
              <w:t>2</w:t>
            </w:r>
          </w:p>
        </w:tc>
        <w:tc>
          <w:tcPr>
            <w:tcW w:w="1926" w:type="pct"/>
            <w:tcBorders>
              <w:tl2br w:val="nil"/>
              <w:tr2bl w:val="nil"/>
            </w:tcBorders>
            <w:noWrap w:val="0"/>
            <w:vAlign w:val="center"/>
          </w:tcPr>
          <w:p w14:paraId="17AB359A">
            <w:pPr>
              <w:pStyle w:val="20"/>
              <w:bidi w:val="0"/>
              <w:rPr>
                <w:rFonts w:hint="eastAsia"/>
                <w:color w:val="auto"/>
                <w:lang w:val="en-US" w:eastAsia="zh-CN"/>
              </w:rPr>
            </w:pPr>
            <w:r>
              <w:rPr>
                <w:rFonts w:hint="eastAsia"/>
                <w:color w:val="auto"/>
                <w:lang w:val="en-US" w:eastAsia="zh-CN"/>
              </w:rPr>
              <w:t>变电所各房间经常开启的门、窗，不应直通相邻的酸、碱、蒸汽、粉尘和噪声严重的场所。</w:t>
            </w:r>
          </w:p>
        </w:tc>
        <w:tc>
          <w:tcPr>
            <w:tcW w:w="1182" w:type="pct"/>
            <w:tcBorders>
              <w:tl2br w:val="nil"/>
              <w:tr2bl w:val="nil"/>
            </w:tcBorders>
            <w:noWrap w:val="0"/>
            <w:vAlign w:val="center"/>
          </w:tcPr>
          <w:p w14:paraId="5D39AFED">
            <w:pPr>
              <w:pStyle w:val="20"/>
              <w:bidi w:val="0"/>
              <w:rPr>
                <w:rFonts w:hint="eastAsia"/>
                <w:color w:val="auto"/>
                <w:lang w:val="en-US"/>
              </w:rPr>
            </w:pPr>
            <w:r>
              <w:rPr>
                <w:rFonts w:hint="eastAsia"/>
                <w:color w:val="auto"/>
                <w:lang w:val="en-US"/>
              </w:rPr>
              <w:t>《20kV及以下变电所设计规范》GB50053-2013第</w:t>
            </w:r>
            <w:r>
              <w:rPr>
                <w:rFonts w:hint="eastAsia"/>
                <w:color w:val="auto"/>
                <w:lang w:val="en-US" w:eastAsia="zh-CN"/>
              </w:rPr>
              <w:t>6.2.3</w:t>
            </w:r>
            <w:r>
              <w:rPr>
                <w:rFonts w:hint="eastAsia"/>
                <w:color w:val="auto"/>
                <w:lang w:val="en-US"/>
              </w:rPr>
              <w:t>条</w:t>
            </w:r>
          </w:p>
        </w:tc>
        <w:tc>
          <w:tcPr>
            <w:tcW w:w="1129" w:type="pct"/>
            <w:tcBorders>
              <w:tl2br w:val="nil"/>
              <w:tr2bl w:val="nil"/>
            </w:tcBorders>
            <w:noWrap w:val="0"/>
            <w:vAlign w:val="center"/>
          </w:tcPr>
          <w:p w14:paraId="04CAED7D">
            <w:pPr>
              <w:pStyle w:val="20"/>
              <w:bidi w:val="0"/>
              <w:rPr>
                <w:rFonts w:hint="default"/>
                <w:color w:val="auto"/>
                <w:lang w:val="en-US" w:eastAsia="zh-CN"/>
              </w:rPr>
            </w:pPr>
            <w:r>
              <w:rPr>
                <w:rFonts w:hint="eastAsia"/>
                <w:color w:val="auto"/>
                <w:lang w:val="en-US" w:eastAsia="zh-CN"/>
              </w:rPr>
              <w:t>不直通相邻的酸、碱、蒸汽、粉尘和噪声严重的场所。</w:t>
            </w:r>
          </w:p>
        </w:tc>
        <w:tc>
          <w:tcPr>
            <w:tcW w:w="514" w:type="pct"/>
            <w:tcBorders>
              <w:tl2br w:val="nil"/>
              <w:tr2bl w:val="nil"/>
            </w:tcBorders>
            <w:noWrap w:val="0"/>
            <w:vAlign w:val="center"/>
          </w:tcPr>
          <w:p w14:paraId="21A94E51">
            <w:pPr>
              <w:pStyle w:val="20"/>
              <w:bidi w:val="0"/>
              <w:rPr>
                <w:rFonts w:hint="default"/>
                <w:color w:val="auto"/>
                <w:lang w:val="en-US" w:eastAsia="zh-CN"/>
              </w:rPr>
            </w:pPr>
            <w:r>
              <w:rPr>
                <w:rFonts w:hint="eastAsia"/>
                <w:color w:val="auto"/>
                <w:lang w:val="en-US" w:eastAsia="zh-CN"/>
              </w:rPr>
              <w:t>符合</w:t>
            </w:r>
          </w:p>
        </w:tc>
      </w:tr>
      <w:tr w14:paraId="51C3D8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12976E08">
            <w:pPr>
              <w:pStyle w:val="20"/>
              <w:bidi w:val="0"/>
              <w:rPr>
                <w:rFonts w:hint="default"/>
                <w:color w:val="auto"/>
                <w:lang w:val="en-US" w:eastAsia="zh-CN"/>
              </w:rPr>
            </w:pPr>
            <w:r>
              <w:rPr>
                <w:rFonts w:hint="eastAsia"/>
                <w:color w:val="auto"/>
                <w:lang w:val="en-US" w:eastAsia="zh-CN"/>
              </w:rPr>
              <w:t>3</w:t>
            </w:r>
          </w:p>
        </w:tc>
        <w:tc>
          <w:tcPr>
            <w:tcW w:w="1926" w:type="pct"/>
            <w:tcBorders>
              <w:tl2br w:val="nil"/>
              <w:tr2bl w:val="nil"/>
            </w:tcBorders>
            <w:noWrap w:val="0"/>
            <w:vAlign w:val="center"/>
          </w:tcPr>
          <w:p w14:paraId="1ABB0BC9">
            <w:pPr>
              <w:pStyle w:val="20"/>
              <w:bidi w:val="0"/>
              <w:rPr>
                <w:color w:val="auto"/>
                <w:lang w:val="en-US"/>
              </w:rPr>
            </w:pPr>
            <w:r>
              <w:rPr>
                <w:rFonts w:hint="eastAsia"/>
                <w:color w:val="auto"/>
                <w:lang w:val="en-US" w:eastAsia="zh-CN"/>
              </w:rPr>
              <w:t>变压器室、配电室、电容器室等房间应设置防止雨、雪和蛇、鼠等小动物从采光窗、通风窗、门、电缆沟等处进入室内的设施。</w:t>
            </w:r>
          </w:p>
        </w:tc>
        <w:tc>
          <w:tcPr>
            <w:tcW w:w="1182" w:type="pct"/>
            <w:tcBorders>
              <w:tl2br w:val="nil"/>
              <w:tr2bl w:val="nil"/>
            </w:tcBorders>
            <w:noWrap w:val="0"/>
            <w:vAlign w:val="center"/>
          </w:tcPr>
          <w:p w14:paraId="0AF01FDA">
            <w:pPr>
              <w:pStyle w:val="20"/>
              <w:bidi w:val="0"/>
              <w:rPr>
                <w:color w:val="auto"/>
                <w:lang w:val="en-US"/>
              </w:rPr>
            </w:pPr>
            <w:r>
              <w:rPr>
                <w:rFonts w:hint="eastAsia"/>
                <w:color w:val="auto"/>
                <w:lang w:val="en-US"/>
              </w:rPr>
              <w:t>《20kV及以下变电所设计规范》GB50053-2013第</w:t>
            </w:r>
            <w:r>
              <w:rPr>
                <w:rFonts w:hint="eastAsia"/>
                <w:color w:val="auto"/>
                <w:lang w:val="en-US" w:eastAsia="zh-CN"/>
              </w:rPr>
              <w:t>6.2.4</w:t>
            </w:r>
            <w:r>
              <w:rPr>
                <w:rFonts w:hint="eastAsia"/>
                <w:color w:val="auto"/>
                <w:lang w:val="en-US"/>
              </w:rPr>
              <w:t>条</w:t>
            </w:r>
          </w:p>
        </w:tc>
        <w:tc>
          <w:tcPr>
            <w:tcW w:w="1129" w:type="pct"/>
            <w:tcBorders>
              <w:tl2br w:val="nil"/>
              <w:tr2bl w:val="nil"/>
            </w:tcBorders>
            <w:noWrap w:val="0"/>
            <w:vAlign w:val="center"/>
          </w:tcPr>
          <w:p w14:paraId="145B15CF">
            <w:pPr>
              <w:pStyle w:val="20"/>
              <w:bidi w:val="0"/>
              <w:rPr>
                <w:rFonts w:hint="default"/>
                <w:color w:val="auto"/>
                <w:lang w:val="en-US" w:eastAsia="zh-CN"/>
              </w:rPr>
            </w:pPr>
            <w:r>
              <w:rPr>
                <w:rFonts w:hint="eastAsia"/>
                <w:color w:val="auto"/>
                <w:lang w:val="en-US" w:eastAsia="zh-CN"/>
              </w:rPr>
              <w:t>门口设挡鼠板、窗户上设纱网、封堵电缆进口等防止老鼠等动物进入途径。</w:t>
            </w:r>
          </w:p>
        </w:tc>
        <w:tc>
          <w:tcPr>
            <w:tcW w:w="514" w:type="pct"/>
            <w:tcBorders>
              <w:tl2br w:val="nil"/>
              <w:tr2bl w:val="nil"/>
            </w:tcBorders>
            <w:noWrap w:val="0"/>
            <w:vAlign w:val="center"/>
          </w:tcPr>
          <w:p w14:paraId="656C9D06">
            <w:pPr>
              <w:pStyle w:val="20"/>
              <w:bidi w:val="0"/>
              <w:rPr>
                <w:color w:val="auto"/>
                <w:lang w:val="en-US"/>
              </w:rPr>
            </w:pPr>
            <w:r>
              <w:rPr>
                <w:color w:val="auto"/>
                <w:lang w:val="en-US"/>
              </w:rPr>
              <w:t>符合</w:t>
            </w:r>
          </w:p>
        </w:tc>
      </w:tr>
      <w:tr w14:paraId="62F5C5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2A64226F">
            <w:pPr>
              <w:pStyle w:val="20"/>
              <w:bidi w:val="0"/>
              <w:rPr>
                <w:rFonts w:hint="default"/>
                <w:color w:val="auto"/>
                <w:lang w:val="en-US" w:eastAsia="zh-CN"/>
              </w:rPr>
            </w:pPr>
            <w:r>
              <w:rPr>
                <w:rFonts w:hint="eastAsia"/>
                <w:color w:val="auto"/>
                <w:lang w:val="en-US" w:eastAsia="zh-CN"/>
              </w:rPr>
              <w:t>4</w:t>
            </w:r>
          </w:p>
        </w:tc>
        <w:tc>
          <w:tcPr>
            <w:tcW w:w="1926" w:type="pct"/>
            <w:tcBorders>
              <w:tl2br w:val="nil"/>
              <w:tr2bl w:val="nil"/>
            </w:tcBorders>
            <w:noWrap w:val="0"/>
            <w:vAlign w:val="center"/>
          </w:tcPr>
          <w:p w14:paraId="2E322D01">
            <w:pPr>
              <w:pStyle w:val="20"/>
              <w:bidi w:val="0"/>
              <w:rPr>
                <w:color w:val="auto"/>
                <w:lang w:val="en-US"/>
              </w:rPr>
            </w:pPr>
            <w:r>
              <w:rPr>
                <w:rFonts w:hint="eastAsia"/>
                <w:color w:val="auto"/>
                <w:lang w:val="en-US"/>
              </w:rPr>
              <w:t>长度大于7m的配电室应设两个安全出口，并宜布置在配电室的两端。当配电室的长度大于60m时，宜增加一个安全出口，相邻安全出口之间的距离不应大于40m。</w:t>
            </w:r>
          </w:p>
        </w:tc>
        <w:tc>
          <w:tcPr>
            <w:tcW w:w="1182" w:type="pct"/>
            <w:tcBorders>
              <w:tl2br w:val="nil"/>
              <w:tr2bl w:val="nil"/>
            </w:tcBorders>
            <w:noWrap w:val="0"/>
            <w:vAlign w:val="center"/>
          </w:tcPr>
          <w:p w14:paraId="37ED5308">
            <w:pPr>
              <w:pStyle w:val="20"/>
              <w:bidi w:val="0"/>
              <w:rPr>
                <w:rFonts w:hint="eastAsia"/>
                <w:color w:val="auto"/>
                <w:lang w:val="en-US"/>
              </w:rPr>
            </w:pPr>
            <w:r>
              <w:rPr>
                <w:rFonts w:hint="eastAsia"/>
                <w:color w:val="auto"/>
                <w:lang w:val="en-US"/>
              </w:rPr>
              <w:t>《20kV及以下变电所设计规范》GB50053-2013第</w:t>
            </w:r>
            <w:r>
              <w:rPr>
                <w:rFonts w:hint="eastAsia"/>
                <w:color w:val="auto"/>
                <w:lang w:val="en-US" w:eastAsia="zh-CN"/>
              </w:rPr>
              <w:t>6.2.6</w:t>
            </w:r>
            <w:r>
              <w:rPr>
                <w:rFonts w:hint="eastAsia"/>
                <w:color w:val="auto"/>
                <w:lang w:val="en-US"/>
              </w:rPr>
              <w:t>条</w:t>
            </w:r>
          </w:p>
        </w:tc>
        <w:tc>
          <w:tcPr>
            <w:tcW w:w="1129" w:type="pct"/>
            <w:tcBorders>
              <w:tl2br w:val="nil"/>
              <w:tr2bl w:val="nil"/>
            </w:tcBorders>
            <w:noWrap w:val="0"/>
            <w:vAlign w:val="center"/>
          </w:tcPr>
          <w:p w14:paraId="2A8828F7">
            <w:pPr>
              <w:pStyle w:val="20"/>
              <w:bidi w:val="0"/>
              <w:rPr>
                <w:rFonts w:hint="default"/>
                <w:color w:val="auto"/>
                <w:lang w:val="en-US" w:eastAsia="zh-CN"/>
              </w:rPr>
            </w:pPr>
            <w:r>
              <w:rPr>
                <w:rFonts w:hint="eastAsia"/>
                <w:color w:val="auto"/>
                <w:lang w:val="en-US" w:eastAsia="zh-CN"/>
              </w:rPr>
              <w:t>已设置两个出口。</w:t>
            </w:r>
          </w:p>
        </w:tc>
        <w:tc>
          <w:tcPr>
            <w:tcW w:w="514" w:type="pct"/>
            <w:tcBorders>
              <w:tl2br w:val="nil"/>
              <w:tr2bl w:val="nil"/>
            </w:tcBorders>
            <w:noWrap w:val="0"/>
            <w:vAlign w:val="center"/>
          </w:tcPr>
          <w:p w14:paraId="1C4071C1">
            <w:pPr>
              <w:pStyle w:val="20"/>
              <w:bidi w:val="0"/>
              <w:rPr>
                <w:rFonts w:hint="eastAsia"/>
                <w:color w:val="auto"/>
                <w:lang w:val="en-US" w:eastAsia="zh-CN"/>
              </w:rPr>
            </w:pPr>
            <w:r>
              <w:rPr>
                <w:rFonts w:hint="eastAsia"/>
                <w:color w:val="auto"/>
                <w:lang w:val="en-US" w:eastAsia="zh-CN"/>
              </w:rPr>
              <w:t>符合</w:t>
            </w:r>
          </w:p>
        </w:tc>
      </w:tr>
      <w:tr w14:paraId="3E444E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72DEECE1">
            <w:pPr>
              <w:pStyle w:val="20"/>
              <w:bidi w:val="0"/>
              <w:rPr>
                <w:rFonts w:hint="default"/>
                <w:color w:val="auto"/>
                <w:lang w:val="en-US" w:eastAsia="zh-CN"/>
              </w:rPr>
            </w:pPr>
            <w:r>
              <w:rPr>
                <w:rFonts w:hint="eastAsia"/>
                <w:color w:val="auto"/>
                <w:lang w:val="en-US" w:eastAsia="zh-CN"/>
              </w:rPr>
              <w:t>5</w:t>
            </w:r>
          </w:p>
        </w:tc>
        <w:tc>
          <w:tcPr>
            <w:tcW w:w="1926" w:type="pct"/>
            <w:tcBorders>
              <w:tl2br w:val="nil"/>
              <w:tr2bl w:val="nil"/>
            </w:tcBorders>
            <w:noWrap w:val="0"/>
            <w:vAlign w:val="center"/>
          </w:tcPr>
          <w:p w14:paraId="0F9630C0">
            <w:pPr>
              <w:pStyle w:val="20"/>
              <w:bidi w:val="0"/>
              <w:rPr>
                <w:rFonts w:hint="eastAsia"/>
                <w:color w:val="auto"/>
                <w:lang w:val="en-US" w:eastAsia="zh-CN"/>
              </w:rPr>
            </w:pPr>
            <w:r>
              <w:rPr>
                <w:rFonts w:hint="eastAsia"/>
                <w:color w:val="auto"/>
                <w:lang w:val="en-US" w:eastAsia="zh-CN"/>
              </w:rPr>
              <w:t>变压器室之间、变压器室与配电室之间，应设置耐火极限不低于2.00h 的防火隔墙。</w:t>
            </w:r>
          </w:p>
          <w:p w14:paraId="638D0C71">
            <w:pPr>
              <w:pStyle w:val="20"/>
              <w:bidi w:val="0"/>
              <w:rPr>
                <w:rFonts w:hint="eastAsia"/>
                <w:color w:val="auto"/>
                <w:lang w:val="en-US"/>
              </w:rPr>
            </w:pPr>
          </w:p>
        </w:tc>
        <w:tc>
          <w:tcPr>
            <w:tcW w:w="1182" w:type="pct"/>
            <w:tcBorders>
              <w:tl2br w:val="nil"/>
              <w:tr2bl w:val="nil"/>
            </w:tcBorders>
            <w:noWrap w:val="0"/>
            <w:vAlign w:val="center"/>
          </w:tcPr>
          <w:p w14:paraId="53559ADA">
            <w:pPr>
              <w:pStyle w:val="20"/>
              <w:bidi w:val="0"/>
              <w:rPr>
                <w:rFonts w:hint="default"/>
                <w:color w:val="auto"/>
                <w:lang w:val="en-US" w:eastAsia="zh-CN"/>
              </w:rPr>
            </w:pPr>
            <w:r>
              <w:rPr>
                <w:rFonts w:hint="eastAsia"/>
                <w:color w:val="auto"/>
                <w:lang w:val="en-US" w:eastAsia="zh-CN"/>
              </w:rPr>
              <w:t>《建筑设计防火规范》GB50016</w:t>
            </w:r>
            <w:r>
              <w:rPr>
                <w:rFonts w:hint="eastAsia"/>
                <w:color w:val="auto"/>
                <w:lang w:val="en-US"/>
              </w:rPr>
              <w:t>-2014（2018版）</w:t>
            </w:r>
            <w:r>
              <w:rPr>
                <w:rFonts w:hint="eastAsia"/>
                <w:color w:val="auto"/>
                <w:lang w:val="en-US" w:eastAsia="zh-CN"/>
              </w:rPr>
              <w:t>第5.4.12条</w:t>
            </w:r>
          </w:p>
        </w:tc>
        <w:tc>
          <w:tcPr>
            <w:tcW w:w="1129" w:type="pct"/>
            <w:tcBorders>
              <w:tl2br w:val="nil"/>
              <w:tr2bl w:val="nil"/>
            </w:tcBorders>
            <w:noWrap w:val="0"/>
            <w:vAlign w:val="center"/>
          </w:tcPr>
          <w:p w14:paraId="5493697F">
            <w:pPr>
              <w:pStyle w:val="20"/>
              <w:bidi w:val="0"/>
              <w:rPr>
                <w:rFonts w:hint="eastAsia"/>
                <w:color w:val="auto"/>
                <w:lang w:val="en-US" w:eastAsia="zh-CN"/>
              </w:rPr>
            </w:pPr>
            <w:r>
              <w:rPr>
                <w:rFonts w:hint="eastAsia"/>
                <w:color w:val="auto"/>
                <w:lang w:val="en-US" w:eastAsia="zh-CN"/>
              </w:rPr>
              <w:t>设置耐火极限在3.0h以上的防火墙、房间隔墙</w:t>
            </w:r>
          </w:p>
        </w:tc>
        <w:tc>
          <w:tcPr>
            <w:tcW w:w="514" w:type="pct"/>
            <w:tcBorders>
              <w:tl2br w:val="nil"/>
              <w:tr2bl w:val="nil"/>
            </w:tcBorders>
            <w:noWrap w:val="0"/>
            <w:vAlign w:val="center"/>
          </w:tcPr>
          <w:p w14:paraId="60D057F5">
            <w:pPr>
              <w:pStyle w:val="20"/>
              <w:bidi w:val="0"/>
              <w:rPr>
                <w:rFonts w:hint="default"/>
                <w:color w:val="auto"/>
                <w:lang w:val="en-US" w:eastAsia="zh-CN"/>
              </w:rPr>
            </w:pPr>
            <w:r>
              <w:rPr>
                <w:rFonts w:hint="eastAsia"/>
                <w:color w:val="auto"/>
                <w:lang w:val="en-US" w:eastAsia="zh-CN"/>
              </w:rPr>
              <w:t>符合</w:t>
            </w:r>
          </w:p>
        </w:tc>
      </w:tr>
      <w:tr w14:paraId="621DA7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13452EE3">
            <w:pPr>
              <w:pStyle w:val="20"/>
              <w:bidi w:val="0"/>
              <w:rPr>
                <w:rFonts w:hint="default"/>
                <w:color w:val="auto"/>
                <w:lang w:val="en-US" w:eastAsia="zh-CN"/>
              </w:rPr>
            </w:pPr>
            <w:r>
              <w:rPr>
                <w:rFonts w:hint="eastAsia"/>
                <w:color w:val="auto"/>
                <w:lang w:val="en-US" w:eastAsia="zh-CN"/>
              </w:rPr>
              <w:t>6</w:t>
            </w:r>
          </w:p>
        </w:tc>
        <w:tc>
          <w:tcPr>
            <w:tcW w:w="1926" w:type="pct"/>
            <w:tcBorders>
              <w:tl2br w:val="nil"/>
              <w:tr2bl w:val="nil"/>
            </w:tcBorders>
            <w:noWrap w:val="0"/>
            <w:vAlign w:val="center"/>
          </w:tcPr>
          <w:p w14:paraId="176B5247">
            <w:pPr>
              <w:pStyle w:val="20"/>
              <w:bidi w:val="0"/>
              <w:rPr>
                <w:rFonts w:hint="eastAsia"/>
                <w:color w:val="auto"/>
                <w:lang w:val="en-US"/>
              </w:rPr>
            </w:pPr>
            <w:r>
              <w:rPr>
                <w:rFonts w:hint="eastAsia"/>
                <w:color w:val="auto"/>
                <w:lang w:val="en-US"/>
              </w:rPr>
              <w:t>油浸变压器、多油开关室、高压电容器室，应设置防止油品流散的设施。油浸变压器下面应设置能储存变压器全部油量的事故储油设施。</w:t>
            </w:r>
          </w:p>
        </w:tc>
        <w:tc>
          <w:tcPr>
            <w:tcW w:w="1182" w:type="pct"/>
            <w:tcBorders>
              <w:tl2br w:val="nil"/>
              <w:tr2bl w:val="nil"/>
            </w:tcBorders>
            <w:noWrap w:val="0"/>
            <w:vAlign w:val="center"/>
          </w:tcPr>
          <w:p w14:paraId="6AB21089">
            <w:pPr>
              <w:pStyle w:val="20"/>
              <w:bidi w:val="0"/>
              <w:rPr>
                <w:rFonts w:hint="eastAsia"/>
                <w:color w:val="auto"/>
                <w:lang w:val="en-US" w:eastAsia="zh-CN"/>
              </w:rPr>
            </w:pPr>
            <w:r>
              <w:rPr>
                <w:rFonts w:hint="eastAsia"/>
                <w:color w:val="auto"/>
                <w:lang w:val="en-US" w:eastAsia="zh-CN"/>
              </w:rPr>
              <w:t>《建筑设计防火规范》GB50016</w:t>
            </w:r>
            <w:r>
              <w:rPr>
                <w:rFonts w:hint="eastAsia"/>
                <w:color w:val="auto"/>
                <w:lang w:val="en-US"/>
              </w:rPr>
              <w:t>-2014（2018版）</w:t>
            </w:r>
            <w:r>
              <w:rPr>
                <w:rFonts w:hint="eastAsia"/>
                <w:color w:val="auto"/>
                <w:lang w:val="en-US" w:eastAsia="zh-CN"/>
              </w:rPr>
              <w:t>第5.4.12条</w:t>
            </w:r>
          </w:p>
        </w:tc>
        <w:tc>
          <w:tcPr>
            <w:tcW w:w="1129" w:type="pct"/>
            <w:tcBorders>
              <w:tl2br w:val="nil"/>
              <w:tr2bl w:val="nil"/>
            </w:tcBorders>
            <w:noWrap w:val="0"/>
            <w:vAlign w:val="center"/>
          </w:tcPr>
          <w:p w14:paraId="30076C6C">
            <w:pPr>
              <w:pStyle w:val="20"/>
              <w:bidi w:val="0"/>
              <w:rPr>
                <w:rFonts w:hint="eastAsia"/>
                <w:color w:val="auto"/>
                <w:lang w:val="en-US" w:eastAsia="zh-CN"/>
              </w:rPr>
            </w:pPr>
            <w:r>
              <w:rPr>
                <w:rFonts w:hint="eastAsia"/>
                <w:color w:val="auto"/>
                <w:lang w:val="en-US" w:eastAsia="zh-CN"/>
              </w:rPr>
              <w:t>油浸式变压器室设置贮油坑及公共集油池，并放置变压器鹅卵石以备用来防火以及卸油。</w:t>
            </w:r>
          </w:p>
        </w:tc>
        <w:tc>
          <w:tcPr>
            <w:tcW w:w="514" w:type="pct"/>
            <w:tcBorders>
              <w:tl2br w:val="nil"/>
              <w:tr2bl w:val="nil"/>
            </w:tcBorders>
            <w:noWrap w:val="0"/>
            <w:vAlign w:val="center"/>
          </w:tcPr>
          <w:p w14:paraId="5692012F">
            <w:pPr>
              <w:pStyle w:val="20"/>
              <w:bidi w:val="0"/>
              <w:rPr>
                <w:rFonts w:hint="default"/>
                <w:color w:val="auto"/>
                <w:lang w:val="en-US" w:eastAsia="zh-CN"/>
              </w:rPr>
            </w:pPr>
            <w:r>
              <w:rPr>
                <w:rFonts w:hint="eastAsia"/>
                <w:color w:val="auto"/>
                <w:lang w:val="en-US" w:eastAsia="zh-CN"/>
              </w:rPr>
              <w:t>符合</w:t>
            </w:r>
          </w:p>
        </w:tc>
      </w:tr>
      <w:tr w14:paraId="2D4E59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5CE44711">
            <w:pPr>
              <w:pStyle w:val="20"/>
              <w:bidi w:val="0"/>
              <w:rPr>
                <w:rFonts w:hint="default"/>
                <w:color w:val="auto"/>
                <w:lang w:val="en-US" w:eastAsia="zh-CN"/>
              </w:rPr>
            </w:pPr>
            <w:r>
              <w:rPr>
                <w:rFonts w:hint="eastAsia"/>
                <w:color w:val="auto"/>
                <w:lang w:val="en-US" w:eastAsia="zh-CN"/>
              </w:rPr>
              <w:t>7</w:t>
            </w:r>
          </w:p>
        </w:tc>
        <w:tc>
          <w:tcPr>
            <w:tcW w:w="1926" w:type="pct"/>
            <w:tcBorders>
              <w:tl2br w:val="nil"/>
              <w:tr2bl w:val="nil"/>
            </w:tcBorders>
            <w:noWrap w:val="0"/>
            <w:vAlign w:val="center"/>
          </w:tcPr>
          <w:p w14:paraId="4E412819">
            <w:pPr>
              <w:pStyle w:val="20"/>
              <w:bidi w:val="0"/>
              <w:rPr>
                <w:rFonts w:hint="eastAsia"/>
                <w:color w:val="auto"/>
                <w:lang w:val="en-US"/>
              </w:rPr>
            </w:pPr>
            <w:r>
              <w:rPr>
                <w:rFonts w:hint="eastAsia"/>
                <w:color w:val="auto"/>
                <w:lang w:val="en-US"/>
              </w:rPr>
              <w:t>高、低压配电室内，不应有与其无关的管道和线路通过。</w:t>
            </w:r>
          </w:p>
        </w:tc>
        <w:tc>
          <w:tcPr>
            <w:tcW w:w="1182" w:type="pct"/>
            <w:tcBorders>
              <w:tl2br w:val="nil"/>
              <w:tr2bl w:val="nil"/>
            </w:tcBorders>
            <w:noWrap w:val="0"/>
            <w:vAlign w:val="center"/>
          </w:tcPr>
          <w:p w14:paraId="7B8E0569">
            <w:pPr>
              <w:pStyle w:val="20"/>
              <w:bidi w:val="0"/>
              <w:rPr>
                <w:rFonts w:hint="eastAsia"/>
                <w:color w:val="auto"/>
                <w:lang w:val="en-US" w:eastAsia="zh-CN"/>
              </w:rPr>
            </w:pPr>
            <w:r>
              <w:rPr>
                <w:rFonts w:hint="eastAsia"/>
                <w:color w:val="auto"/>
                <w:lang w:val="en-US" w:eastAsia="zh-CN"/>
              </w:rPr>
              <w:t>《20kV及以下变电所设计规范》GB50053-2013</w:t>
            </w:r>
          </w:p>
          <w:p w14:paraId="68486383">
            <w:pPr>
              <w:pStyle w:val="20"/>
              <w:bidi w:val="0"/>
              <w:rPr>
                <w:rFonts w:hint="default"/>
                <w:color w:val="auto"/>
                <w:lang w:val="en-US" w:eastAsia="zh-CN"/>
              </w:rPr>
            </w:pPr>
            <w:r>
              <w:rPr>
                <w:rFonts w:hint="eastAsia"/>
                <w:color w:val="auto"/>
                <w:lang w:val="en-US" w:eastAsia="zh-CN"/>
              </w:rPr>
              <w:t>第6.4.1条</w:t>
            </w:r>
          </w:p>
        </w:tc>
        <w:tc>
          <w:tcPr>
            <w:tcW w:w="1129" w:type="pct"/>
            <w:tcBorders>
              <w:tl2br w:val="nil"/>
              <w:tr2bl w:val="nil"/>
            </w:tcBorders>
            <w:noWrap w:val="0"/>
            <w:vAlign w:val="center"/>
          </w:tcPr>
          <w:p w14:paraId="6CD38CDC">
            <w:pPr>
              <w:pStyle w:val="20"/>
              <w:bidi w:val="0"/>
              <w:rPr>
                <w:rFonts w:hint="default"/>
                <w:color w:val="auto"/>
                <w:lang w:val="en-US" w:eastAsia="zh-CN"/>
              </w:rPr>
            </w:pPr>
            <w:r>
              <w:rPr>
                <w:rFonts w:hint="eastAsia"/>
                <w:color w:val="auto"/>
                <w:lang w:val="en-US" w:eastAsia="zh-CN"/>
              </w:rPr>
              <w:t>无与其无关的管道和线路通过。</w:t>
            </w:r>
          </w:p>
        </w:tc>
        <w:tc>
          <w:tcPr>
            <w:tcW w:w="514" w:type="pct"/>
            <w:tcBorders>
              <w:tl2br w:val="nil"/>
              <w:tr2bl w:val="nil"/>
            </w:tcBorders>
            <w:noWrap w:val="0"/>
            <w:vAlign w:val="center"/>
          </w:tcPr>
          <w:p w14:paraId="1C3FBD15">
            <w:pPr>
              <w:pStyle w:val="20"/>
              <w:bidi w:val="0"/>
              <w:rPr>
                <w:rFonts w:hint="default"/>
                <w:color w:val="auto"/>
                <w:lang w:val="en-US" w:eastAsia="zh-CN"/>
              </w:rPr>
            </w:pPr>
            <w:r>
              <w:rPr>
                <w:rFonts w:hint="eastAsia"/>
                <w:color w:val="auto"/>
                <w:lang w:val="en-US" w:eastAsia="zh-CN"/>
              </w:rPr>
              <w:t>符合</w:t>
            </w:r>
          </w:p>
        </w:tc>
      </w:tr>
      <w:tr w14:paraId="486DD5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19CBC0E8">
            <w:pPr>
              <w:pStyle w:val="20"/>
              <w:bidi w:val="0"/>
              <w:rPr>
                <w:rFonts w:hint="default"/>
                <w:color w:val="auto"/>
                <w:lang w:val="en-US" w:eastAsia="zh-CN"/>
              </w:rPr>
            </w:pPr>
            <w:r>
              <w:rPr>
                <w:rFonts w:hint="eastAsia"/>
                <w:color w:val="auto"/>
                <w:lang w:val="en-US" w:eastAsia="zh-CN"/>
              </w:rPr>
              <w:t>8</w:t>
            </w:r>
          </w:p>
        </w:tc>
        <w:tc>
          <w:tcPr>
            <w:tcW w:w="1926" w:type="pct"/>
            <w:tcBorders>
              <w:tl2br w:val="nil"/>
              <w:tr2bl w:val="nil"/>
            </w:tcBorders>
            <w:noWrap w:val="0"/>
            <w:vAlign w:val="center"/>
          </w:tcPr>
          <w:p w14:paraId="3E69F9BA">
            <w:pPr>
              <w:pStyle w:val="20"/>
              <w:bidi w:val="0"/>
              <w:rPr>
                <w:rFonts w:hint="eastAsia"/>
                <w:color w:val="auto"/>
                <w:lang w:val="en-US"/>
              </w:rPr>
            </w:pPr>
            <w:r>
              <w:rPr>
                <w:rFonts w:hint="eastAsia"/>
                <w:color w:val="auto"/>
                <w:lang w:val="en-US"/>
              </w:rPr>
              <w:t>配电装置室应设防火门，并应向外开启，装弹簧锁。相邻配电装置室之间有门时，应能双向开启。</w:t>
            </w:r>
          </w:p>
        </w:tc>
        <w:tc>
          <w:tcPr>
            <w:tcW w:w="1182" w:type="pct"/>
            <w:tcBorders>
              <w:tl2br w:val="nil"/>
              <w:tr2bl w:val="nil"/>
            </w:tcBorders>
            <w:noWrap w:val="0"/>
            <w:vAlign w:val="center"/>
          </w:tcPr>
          <w:p w14:paraId="51E78FF1">
            <w:pPr>
              <w:pStyle w:val="20"/>
              <w:bidi w:val="0"/>
              <w:rPr>
                <w:rFonts w:hint="eastAsia"/>
                <w:color w:val="auto"/>
                <w:lang w:val="en-US" w:eastAsia="zh-CN"/>
              </w:rPr>
            </w:pPr>
            <w:r>
              <w:rPr>
                <w:rFonts w:hint="eastAsia"/>
                <w:color w:val="auto"/>
                <w:lang w:val="en-US" w:eastAsia="zh-CN"/>
              </w:rPr>
              <w:t>《3-110kV高压配电装置设计规范》GB50060-2008</w:t>
            </w:r>
          </w:p>
          <w:p w14:paraId="755C11BC">
            <w:pPr>
              <w:pStyle w:val="20"/>
              <w:bidi w:val="0"/>
              <w:rPr>
                <w:rFonts w:hint="default"/>
                <w:color w:val="auto"/>
                <w:lang w:val="en-US" w:eastAsia="zh-CN"/>
              </w:rPr>
            </w:pPr>
            <w:r>
              <w:rPr>
                <w:rFonts w:hint="eastAsia"/>
                <w:color w:val="auto"/>
                <w:lang w:val="en-US" w:eastAsia="zh-CN"/>
              </w:rPr>
              <w:t>第6.0.1条</w:t>
            </w:r>
          </w:p>
        </w:tc>
        <w:tc>
          <w:tcPr>
            <w:tcW w:w="1129" w:type="pct"/>
            <w:tcBorders>
              <w:tl2br w:val="nil"/>
              <w:tr2bl w:val="nil"/>
            </w:tcBorders>
            <w:noWrap w:val="0"/>
            <w:vAlign w:val="center"/>
          </w:tcPr>
          <w:p w14:paraId="4229E56E">
            <w:pPr>
              <w:pStyle w:val="20"/>
              <w:bidi w:val="0"/>
              <w:rPr>
                <w:rFonts w:hint="default"/>
                <w:color w:val="auto"/>
                <w:lang w:val="en-US" w:eastAsia="zh-CN"/>
              </w:rPr>
            </w:pPr>
            <w:r>
              <w:rPr>
                <w:rFonts w:hint="eastAsia"/>
                <w:color w:val="auto"/>
                <w:lang w:val="en-US" w:eastAsia="zh-CN"/>
              </w:rPr>
              <w:t>配电室已设置乙级防火门，并向外开启，装弹簧锁。</w:t>
            </w:r>
          </w:p>
        </w:tc>
        <w:tc>
          <w:tcPr>
            <w:tcW w:w="514" w:type="pct"/>
            <w:tcBorders>
              <w:tl2br w:val="nil"/>
              <w:tr2bl w:val="nil"/>
            </w:tcBorders>
            <w:noWrap w:val="0"/>
            <w:vAlign w:val="center"/>
          </w:tcPr>
          <w:p w14:paraId="3C521A8E">
            <w:pPr>
              <w:pStyle w:val="20"/>
              <w:bidi w:val="0"/>
              <w:rPr>
                <w:rFonts w:hint="default"/>
                <w:color w:val="auto"/>
                <w:lang w:val="en-US" w:eastAsia="zh-CN"/>
              </w:rPr>
            </w:pPr>
            <w:r>
              <w:rPr>
                <w:rFonts w:hint="eastAsia"/>
                <w:color w:val="auto"/>
                <w:lang w:val="en-US" w:eastAsia="zh-CN"/>
              </w:rPr>
              <w:t>符合</w:t>
            </w:r>
          </w:p>
        </w:tc>
      </w:tr>
    </w:tbl>
    <w:p w14:paraId="7FBDDF15">
      <w:pPr>
        <w:bidi w:val="0"/>
        <w:rPr>
          <w:rFonts w:hint="eastAsia"/>
          <w:color w:val="auto"/>
        </w:rPr>
      </w:pPr>
      <w:r>
        <w:rPr>
          <w:rFonts w:hint="eastAsia" w:ascii="Times New Roman" w:hAnsi="Times New Roman"/>
          <w:color w:val="auto"/>
          <w:lang w:val="en-US" w:eastAsia="zh-CN"/>
        </w:rPr>
        <w:t>供配电设施</w:t>
      </w:r>
      <w:r>
        <w:rPr>
          <w:rFonts w:ascii="Times New Roman" w:hAnsi="Times New Roman"/>
          <w:color w:val="auto"/>
          <w:lang w:val="en-US" w:eastAsia="zh-CN"/>
        </w:rPr>
        <w:t>单元评价小结</w:t>
      </w:r>
      <w:r>
        <w:rPr>
          <w:rFonts w:hint="eastAsia" w:ascii="Times New Roman" w:hAnsi="Times New Roman"/>
          <w:color w:val="auto"/>
          <w:lang w:val="en-US" w:eastAsia="zh-CN"/>
        </w:rPr>
        <w:t>：</w:t>
      </w:r>
      <w:r>
        <w:rPr>
          <w:rFonts w:ascii="Times New Roman" w:hAnsi="Times New Roman"/>
          <w:color w:val="auto"/>
          <w:lang w:val="en-US" w:eastAsia="zh-CN"/>
        </w:rPr>
        <w:t>本单元对</w:t>
      </w:r>
      <w:r>
        <w:rPr>
          <w:rFonts w:hint="eastAsia"/>
          <w:color w:val="auto"/>
          <w:lang w:val="en-US" w:eastAsia="zh-CN"/>
        </w:rPr>
        <w:t>本项目</w:t>
      </w:r>
      <w:r>
        <w:rPr>
          <w:rFonts w:ascii="Times New Roman" w:hAnsi="Times New Roman"/>
          <w:color w:val="auto"/>
          <w:lang w:val="en-US" w:eastAsia="zh-CN"/>
        </w:rPr>
        <w:t>建构筑单位进行了</w:t>
      </w:r>
      <w:r>
        <w:rPr>
          <w:rFonts w:hint="eastAsia"/>
          <w:color w:val="auto"/>
          <w:lang w:val="en-US" w:eastAsia="zh-CN"/>
        </w:rPr>
        <w:t>8</w:t>
      </w:r>
      <w:r>
        <w:rPr>
          <w:rFonts w:ascii="Times New Roman" w:hAnsi="Times New Roman"/>
          <w:color w:val="auto"/>
          <w:lang w:val="en-US" w:eastAsia="zh-CN"/>
        </w:rPr>
        <w:t>项检查，符合项</w:t>
      </w:r>
      <w:r>
        <w:rPr>
          <w:rFonts w:hint="eastAsia"/>
          <w:color w:val="auto"/>
          <w:lang w:val="en-US" w:eastAsia="zh-CN"/>
        </w:rPr>
        <w:t>8</w:t>
      </w:r>
      <w:r>
        <w:rPr>
          <w:rFonts w:ascii="Times New Roman" w:hAnsi="Times New Roman"/>
          <w:color w:val="auto"/>
          <w:lang w:val="en-US" w:eastAsia="zh-CN"/>
        </w:rPr>
        <w:t>项</w:t>
      </w:r>
      <w:r>
        <w:rPr>
          <w:rFonts w:hint="eastAsia" w:ascii="Times New Roman" w:hAnsi="Times New Roman"/>
          <w:color w:val="auto"/>
          <w:lang w:val="en-US" w:eastAsia="zh-CN"/>
        </w:rPr>
        <w:t>，不符合项0项</w:t>
      </w:r>
      <w:r>
        <w:rPr>
          <w:rFonts w:ascii="Times New Roman" w:hAnsi="Times New Roman"/>
          <w:color w:val="auto"/>
          <w:lang w:val="en-US" w:eastAsia="zh-CN"/>
        </w:rPr>
        <w:t>。</w:t>
      </w:r>
      <w:r>
        <w:rPr>
          <w:rFonts w:hint="eastAsia" w:ascii="Times New Roman" w:hAnsi="Times New Roman"/>
          <w:color w:val="auto"/>
          <w:lang w:val="en-US" w:eastAsia="zh-CN"/>
        </w:rPr>
        <w:t>本单元符合法律法规、标准规范及设计要求</w:t>
      </w:r>
    </w:p>
    <w:p w14:paraId="7F0EAA33">
      <w:pPr>
        <w:pStyle w:val="4"/>
        <w:bidi w:val="0"/>
        <w:rPr>
          <w:rFonts w:hint="eastAsia" w:eastAsia="黑体"/>
          <w:color w:val="auto"/>
          <w:lang w:val="en-US" w:eastAsia="zh-CN"/>
        </w:rPr>
      </w:pPr>
      <w:bookmarkStart w:id="104" w:name="_Toc2624"/>
      <w:r>
        <w:rPr>
          <w:rFonts w:hint="eastAsia"/>
          <w:color w:val="auto"/>
        </w:rPr>
        <w:t>5.</w:t>
      </w:r>
      <w:r>
        <w:rPr>
          <w:rFonts w:hint="eastAsia"/>
          <w:color w:val="auto"/>
          <w:lang w:val="en-US" w:eastAsia="zh-CN"/>
        </w:rPr>
        <w:t>4</w:t>
      </w:r>
      <w:r>
        <w:rPr>
          <w:rFonts w:hint="eastAsia"/>
          <w:color w:val="auto"/>
        </w:rPr>
        <w:t>.</w:t>
      </w:r>
      <w:r>
        <w:rPr>
          <w:rFonts w:hint="eastAsia"/>
          <w:color w:val="auto"/>
          <w:lang w:val="en-US" w:eastAsia="zh-CN"/>
        </w:rPr>
        <w:t>2</w:t>
      </w:r>
      <w:r>
        <w:rPr>
          <w:rFonts w:hint="eastAsia"/>
          <w:color w:val="auto"/>
        </w:rPr>
        <w:t>消防</w:t>
      </w:r>
      <w:r>
        <w:rPr>
          <w:rFonts w:hint="eastAsia"/>
          <w:color w:val="auto"/>
          <w:lang w:val="en-US" w:eastAsia="zh-CN"/>
        </w:rPr>
        <w:t>子单元</w:t>
      </w:r>
      <w:bookmarkEnd w:id="104"/>
    </w:p>
    <w:p w14:paraId="5D251007">
      <w:pPr>
        <w:rPr>
          <w:rFonts w:hint="eastAsia"/>
          <w:color w:val="auto"/>
          <w:lang w:eastAsia="zh-CN"/>
        </w:rPr>
      </w:pPr>
      <w:r>
        <w:rPr>
          <w:rFonts w:hint="eastAsia"/>
          <w:color w:val="auto"/>
        </w:rPr>
        <w:t>依据《消防给水及消火栓系统技术规范》、《建筑设计防火规范》</w:t>
      </w:r>
      <w:r>
        <w:rPr>
          <w:rFonts w:hint="eastAsia"/>
          <w:color w:val="auto"/>
          <w:lang w:eastAsia="zh-CN"/>
        </w:rPr>
        <w:t>、《建筑灭火器配置设计规范》、《火灾自动报警系统设计规范》</w:t>
      </w:r>
      <w:r>
        <w:rPr>
          <w:rFonts w:hint="eastAsia"/>
          <w:color w:val="auto"/>
        </w:rPr>
        <w:t>等法规、规范，使用安全检查表法对</w:t>
      </w:r>
      <w:r>
        <w:rPr>
          <w:rFonts w:hint="eastAsia"/>
          <w:color w:val="auto"/>
          <w:lang w:val="en-US" w:eastAsia="zh-CN"/>
        </w:rPr>
        <w:t>消防子</w:t>
      </w:r>
      <w:r>
        <w:rPr>
          <w:rFonts w:hint="eastAsia"/>
          <w:color w:val="auto"/>
        </w:rPr>
        <w:t>单元是否符合相关要求进行检查，检查情况见表5.</w:t>
      </w:r>
      <w:r>
        <w:rPr>
          <w:rFonts w:hint="eastAsia"/>
          <w:color w:val="auto"/>
          <w:lang w:val="en-US" w:eastAsia="zh-CN"/>
        </w:rPr>
        <w:t>4</w:t>
      </w:r>
      <w:r>
        <w:rPr>
          <w:rFonts w:hint="eastAsia"/>
          <w:color w:val="auto"/>
        </w:rPr>
        <w:t>.</w:t>
      </w:r>
      <w:r>
        <w:rPr>
          <w:rFonts w:hint="eastAsia"/>
          <w:color w:val="auto"/>
          <w:lang w:val="en-US" w:eastAsia="zh-CN"/>
        </w:rPr>
        <w:t>2</w:t>
      </w:r>
      <w:r>
        <w:rPr>
          <w:rFonts w:hint="eastAsia"/>
          <w:color w:val="auto"/>
        </w:rPr>
        <w:t>-1</w:t>
      </w:r>
      <w:r>
        <w:rPr>
          <w:rFonts w:hint="eastAsia"/>
          <w:color w:val="auto"/>
          <w:lang w:eastAsia="zh-CN"/>
        </w:rPr>
        <w:t>。</w:t>
      </w:r>
    </w:p>
    <w:p w14:paraId="0C9EC18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eastAsia="宋体"/>
          <w:color w:val="auto"/>
          <w:lang w:val="en-US" w:eastAsia="zh-CN"/>
        </w:rPr>
      </w:pPr>
      <w:r>
        <w:rPr>
          <w:rFonts w:hint="eastAsia"/>
          <w:color w:val="auto"/>
        </w:rPr>
        <w:t>表5.</w:t>
      </w:r>
      <w:r>
        <w:rPr>
          <w:rFonts w:hint="eastAsia"/>
          <w:color w:val="auto"/>
          <w:lang w:val="en-US" w:eastAsia="zh-CN"/>
        </w:rPr>
        <w:t>4</w:t>
      </w:r>
      <w:r>
        <w:rPr>
          <w:rFonts w:hint="eastAsia"/>
          <w:color w:val="auto"/>
        </w:rPr>
        <w:t>.</w:t>
      </w:r>
      <w:r>
        <w:rPr>
          <w:rFonts w:hint="eastAsia"/>
          <w:color w:val="auto"/>
          <w:lang w:val="en-US" w:eastAsia="zh-CN"/>
        </w:rPr>
        <w:t>2</w:t>
      </w:r>
      <w:r>
        <w:rPr>
          <w:rFonts w:hint="eastAsia"/>
          <w:color w:val="auto"/>
        </w:rPr>
        <w:t>-1</w:t>
      </w:r>
      <w:r>
        <w:rPr>
          <w:rFonts w:hint="eastAsia"/>
          <w:color w:val="auto"/>
          <w:lang w:val="en-US" w:eastAsia="zh-CN"/>
        </w:rPr>
        <w:t>消防子单元安全检查表</w:t>
      </w:r>
    </w:p>
    <w:tbl>
      <w:tblPr>
        <w:tblStyle w:val="14"/>
        <w:tblW w:w="502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453"/>
        <w:gridCol w:w="3530"/>
        <w:gridCol w:w="2164"/>
        <w:gridCol w:w="2068"/>
        <w:gridCol w:w="940"/>
      </w:tblGrid>
      <w:tr w14:paraId="638364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50" w:hRule="atLeast"/>
          <w:jc w:val="center"/>
        </w:trPr>
        <w:tc>
          <w:tcPr>
            <w:tcW w:w="247" w:type="pct"/>
            <w:tcBorders>
              <w:tl2br w:val="nil"/>
              <w:tr2bl w:val="nil"/>
            </w:tcBorders>
            <w:noWrap w:val="0"/>
            <w:textDirection w:val="tbRlV"/>
            <w:vAlign w:val="center"/>
          </w:tcPr>
          <w:p w14:paraId="342D3357">
            <w:pPr>
              <w:pStyle w:val="21"/>
              <w:bidi w:val="0"/>
              <w:rPr>
                <w:rFonts w:hint="eastAsia"/>
                <w:color w:val="auto"/>
                <w:lang w:val="en-US"/>
              </w:rPr>
            </w:pPr>
            <w:r>
              <w:rPr>
                <w:rFonts w:hint="eastAsia"/>
                <w:color w:val="auto"/>
                <w:lang w:val="en-US"/>
              </w:rPr>
              <w:t>序号</w:t>
            </w:r>
          </w:p>
        </w:tc>
        <w:tc>
          <w:tcPr>
            <w:tcW w:w="1927" w:type="pct"/>
            <w:tcBorders>
              <w:tl2br w:val="nil"/>
              <w:tr2bl w:val="nil"/>
            </w:tcBorders>
            <w:noWrap w:val="0"/>
            <w:vAlign w:val="center"/>
          </w:tcPr>
          <w:p w14:paraId="24E95552">
            <w:pPr>
              <w:pStyle w:val="21"/>
              <w:bidi w:val="0"/>
              <w:rPr>
                <w:rFonts w:hint="eastAsia"/>
                <w:color w:val="auto"/>
                <w:lang w:val="en-US"/>
              </w:rPr>
            </w:pPr>
            <w:r>
              <w:rPr>
                <w:rFonts w:hint="eastAsia"/>
                <w:color w:val="auto"/>
                <w:lang w:val="en-US"/>
              </w:rPr>
              <w:t>检查项目和内容</w:t>
            </w:r>
          </w:p>
        </w:tc>
        <w:tc>
          <w:tcPr>
            <w:tcW w:w="1181" w:type="pct"/>
            <w:tcBorders>
              <w:tl2br w:val="nil"/>
              <w:tr2bl w:val="nil"/>
            </w:tcBorders>
            <w:noWrap w:val="0"/>
            <w:vAlign w:val="center"/>
          </w:tcPr>
          <w:p w14:paraId="41EE9730">
            <w:pPr>
              <w:pStyle w:val="21"/>
              <w:bidi w:val="0"/>
              <w:rPr>
                <w:rFonts w:hint="eastAsia"/>
                <w:color w:val="auto"/>
                <w:lang w:val="en-US"/>
              </w:rPr>
            </w:pPr>
            <w:r>
              <w:rPr>
                <w:rFonts w:hint="eastAsia"/>
                <w:color w:val="auto"/>
                <w:lang w:val="en-US"/>
              </w:rPr>
              <w:t>检查依据</w:t>
            </w:r>
          </w:p>
        </w:tc>
        <w:tc>
          <w:tcPr>
            <w:tcW w:w="1129" w:type="pct"/>
            <w:tcBorders>
              <w:tl2br w:val="nil"/>
              <w:tr2bl w:val="nil"/>
            </w:tcBorders>
            <w:noWrap w:val="0"/>
            <w:vAlign w:val="center"/>
          </w:tcPr>
          <w:p w14:paraId="7BEE1889">
            <w:pPr>
              <w:pStyle w:val="21"/>
              <w:bidi w:val="0"/>
              <w:rPr>
                <w:rFonts w:hint="eastAsia"/>
                <w:color w:val="auto"/>
                <w:lang w:val="en-US"/>
              </w:rPr>
            </w:pPr>
            <w:r>
              <w:rPr>
                <w:rFonts w:hint="eastAsia"/>
                <w:color w:val="auto"/>
                <w:lang w:val="en-US" w:eastAsia="zh-CN"/>
              </w:rPr>
              <w:t>检查情况</w:t>
            </w:r>
          </w:p>
        </w:tc>
        <w:tc>
          <w:tcPr>
            <w:tcW w:w="513" w:type="pct"/>
            <w:tcBorders>
              <w:tl2br w:val="nil"/>
              <w:tr2bl w:val="nil"/>
            </w:tcBorders>
            <w:noWrap w:val="0"/>
            <w:vAlign w:val="center"/>
          </w:tcPr>
          <w:p w14:paraId="54AD8586">
            <w:pPr>
              <w:pStyle w:val="21"/>
              <w:bidi w:val="0"/>
              <w:rPr>
                <w:rFonts w:hint="eastAsia"/>
                <w:color w:val="auto"/>
                <w:lang w:val="en-US"/>
              </w:rPr>
            </w:pPr>
            <w:r>
              <w:rPr>
                <w:rFonts w:hint="eastAsia"/>
                <w:color w:val="auto"/>
                <w:lang w:val="en-US"/>
              </w:rPr>
              <w:t>检查结果</w:t>
            </w:r>
          </w:p>
        </w:tc>
      </w:tr>
      <w:tr w14:paraId="3C6261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247" w:type="pct"/>
            <w:tcBorders>
              <w:tl2br w:val="nil"/>
              <w:tr2bl w:val="nil"/>
            </w:tcBorders>
            <w:noWrap w:val="0"/>
            <w:vAlign w:val="center"/>
          </w:tcPr>
          <w:p w14:paraId="07B3F0FD">
            <w:pPr>
              <w:pStyle w:val="20"/>
              <w:bidi w:val="0"/>
              <w:rPr>
                <w:rFonts w:hint="eastAsia"/>
                <w:color w:val="auto"/>
                <w:lang w:val="en-US" w:eastAsia="zh-CN"/>
              </w:rPr>
            </w:pPr>
            <w:r>
              <w:rPr>
                <w:rFonts w:hint="eastAsia"/>
                <w:color w:val="auto"/>
                <w:lang w:val="en-US" w:eastAsia="zh-CN"/>
              </w:rPr>
              <w:t>1</w:t>
            </w:r>
          </w:p>
        </w:tc>
        <w:tc>
          <w:tcPr>
            <w:tcW w:w="1927" w:type="pct"/>
            <w:tcBorders>
              <w:tl2br w:val="nil"/>
              <w:tr2bl w:val="nil"/>
            </w:tcBorders>
            <w:noWrap w:val="0"/>
            <w:vAlign w:val="center"/>
          </w:tcPr>
          <w:p w14:paraId="75409299">
            <w:pPr>
              <w:pStyle w:val="20"/>
              <w:bidi w:val="0"/>
              <w:rPr>
                <w:rFonts w:hint="default"/>
                <w:color w:val="auto"/>
                <w:lang w:val="en-US" w:eastAsia="zh-CN"/>
              </w:rPr>
            </w:pPr>
            <w:r>
              <w:rPr>
                <w:rFonts w:hint="default"/>
                <w:color w:val="auto"/>
                <w:lang w:val="en-US" w:eastAsia="zh-CN"/>
              </w:rPr>
              <w:t>消防车道应符合下列要求：</w:t>
            </w:r>
          </w:p>
          <w:p w14:paraId="0D50FB0F">
            <w:pPr>
              <w:pStyle w:val="20"/>
              <w:bidi w:val="0"/>
              <w:rPr>
                <w:rFonts w:hint="default"/>
                <w:color w:val="auto"/>
                <w:lang w:val="en-US" w:eastAsia="zh-CN"/>
              </w:rPr>
            </w:pPr>
            <w:r>
              <w:rPr>
                <w:rFonts w:hint="default"/>
                <w:color w:val="auto"/>
                <w:lang w:val="en-US" w:eastAsia="zh-CN"/>
              </w:rPr>
              <w:t>1车道的净宽度和净空高度均不应小于4m；</w:t>
            </w:r>
          </w:p>
          <w:p w14:paraId="4A60F690">
            <w:pPr>
              <w:pStyle w:val="20"/>
              <w:bidi w:val="0"/>
              <w:rPr>
                <w:rFonts w:hint="default"/>
                <w:color w:val="auto"/>
                <w:lang w:val="en-US" w:eastAsia="zh-CN"/>
              </w:rPr>
            </w:pPr>
            <w:r>
              <w:rPr>
                <w:rFonts w:hint="default"/>
                <w:color w:val="auto"/>
                <w:lang w:val="en-US" w:eastAsia="zh-CN"/>
              </w:rPr>
              <w:t>2转弯半径应满足消防车转弯的要求；</w:t>
            </w:r>
          </w:p>
          <w:p w14:paraId="59C1EF1E">
            <w:pPr>
              <w:pStyle w:val="20"/>
              <w:bidi w:val="0"/>
              <w:rPr>
                <w:rFonts w:hint="default"/>
                <w:color w:val="auto"/>
                <w:lang w:val="en-US" w:eastAsia="zh-CN"/>
              </w:rPr>
            </w:pPr>
            <w:r>
              <w:rPr>
                <w:rFonts w:hint="default"/>
                <w:color w:val="auto"/>
                <w:lang w:val="en-US" w:eastAsia="zh-CN"/>
              </w:rPr>
              <w:t>3消防车道与建筑之间不应设置妨碍消防车操作的树木、架空管线等障碍物；</w:t>
            </w:r>
          </w:p>
          <w:p w14:paraId="6FFF0115">
            <w:pPr>
              <w:pStyle w:val="20"/>
              <w:bidi w:val="0"/>
              <w:rPr>
                <w:rFonts w:hint="default"/>
                <w:color w:val="auto"/>
                <w:lang w:val="en-US" w:eastAsia="zh-CN"/>
              </w:rPr>
            </w:pPr>
          </w:p>
        </w:tc>
        <w:tc>
          <w:tcPr>
            <w:tcW w:w="1181" w:type="pct"/>
            <w:tcBorders>
              <w:tl2br w:val="nil"/>
              <w:tr2bl w:val="nil"/>
            </w:tcBorders>
            <w:noWrap w:val="0"/>
            <w:vAlign w:val="center"/>
          </w:tcPr>
          <w:p w14:paraId="032AC5D3">
            <w:pPr>
              <w:pStyle w:val="20"/>
              <w:bidi w:val="0"/>
              <w:rPr>
                <w:rFonts w:hint="eastAsia"/>
                <w:color w:val="auto"/>
                <w:lang w:val="en-US"/>
              </w:rPr>
            </w:pPr>
            <w:r>
              <w:rPr>
                <w:rFonts w:hint="eastAsia"/>
                <w:color w:val="auto"/>
                <w:lang w:val="en-US"/>
              </w:rPr>
              <w:t>《建筑设计防火规范》GB50016-2014（2018版）</w:t>
            </w:r>
          </w:p>
          <w:p w14:paraId="79D8B2B4">
            <w:pPr>
              <w:pStyle w:val="20"/>
              <w:bidi w:val="0"/>
              <w:rPr>
                <w:rFonts w:hint="default"/>
                <w:color w:val="auto"/>
                <w:lang w:val="en-US" w:eastAsia="zh-CN"/>
              </w:rPr>
            </w:pPr>
            <w:r>
              <w:rPr>
                <w:rFonts w:hint="eastAsia"/>
                <w:color w:val="auto"/>
                <w:lang w:val="en-US"/>
              </w:rPr>
              <w:t>第7.1.8条</w:t>
            </w:r>
          </w:p>
        </w:tc>
        <w:tc>
          <w:tcPr>
            <w:tcW w:w="1129" w:type="pct"/>
            <w:tcBorders>
              <w:tl2br w:val="nil"/>
              <w:tr2bl w:val="nil"/>
            </w:tcBorders>
            <w:noWrap w:val="0"/>
            <w:vAlign w:val="center"/>
          </w:tcPr>
          <w:p w14:paraId="15F08B67">
            <w:pPr>
              <w:pStyle w:val="20"/>
              <w:bidi w:val="0"/>
              <w:rPr>
                <w:rFonts w:hint="default"/>
                <w:color w:val="auto"/>
                <w:lang w:val="en-US" w:eastAsia="zh-CN"/>
              </w:rPr>
            </w:pPr>
            <w:r>
              <w:rPr>
                <w:rFonts w:hint="eastAsia"/>
                <w:color w:val="auto"/>
                <w:lang w:val="en-US" w:eastAsia="zh-CN"/>
              </w:rPr>
              <w:t>1.厂区</w:t>
            </w:r>
            <w:r>
              <w:rPr>
                <w:rFonts w:hint="default"/>
                <w:color w:val="auto"/>
                <w:lang w:val="en-US" w:eastAsia="zh-CN"/>
              </w:rPr>
              <w:t>车道宽度不小于4m</w:t>
            </w:r>
            <w:r>
              <w:rPr>
                <w:rFonts w:hint="eastAsia"/>
                <w:color w:val="auto"/>
                <w:lang w:val="en-US" w:eastAsia="zh-CN"/>
              </w:rPr>
              <w:t>。</w:t>
            </w:r>
          </w:p>
          <w:p w14:paraId="4603755D">
            <w:pPr>
              <w:pStyle w:val="20"/>
              <w:bidi w:val="0"/>
              <w:rPr>
                <w:rFonts w:hint="eastAsia"/>
                <w:color w:val="auto"/>
                <w:lang w:val="en-US" w:eastAsia="zh-CN"/>
              </w:rPr>
            </w:pPr>
            <w:r>
              <w:rPr>
                <w:rFonts w:hint="eastAsia"/>
                <w:color w:val="auto"/>
                <w:lang w:val="en-US" w:eastAsia="zh-CN"/>
              </w:rPr>
              <w:t>2..转弯半径为9m。</w:t>
            </w:r>
          </w:p>
          <w:p w14:paraId="3810BC45">
            <w:pPr>
              <w:pStyle w:val="20"/>
              <w:bidi w:val="0"/>
              <w:rPr>
                <w:rFonts w:hint="eastAsia"/>
                <w:color w:val="auto"/>
                <w:lang w:val="en-US" w:eastAsia="zh-CN"/>
              </w:rPr>
            </w:pPr>
            <w:r>
              <w:rPr>
                <w:rFonts w:hint="eastAsia"/>
                <w:color w:val="auto"/>
                <w:lang w:val="en-US" w:eastAsia="zh-CN"/>
              </w:rPr>
              <w:t>3.无相关障碍物。</w:t>
            </w:r>
          </w:p>
          <w:p w14:paraId="258C5824">
            <w:pPr>
              <w:pStyle w:val="20"/>
              <w:bidi w:val="0"/>
              <w:rPr>
                <w:rFonts w:hint="default"/>
                <w:color w:val="auto"/>
                <w:lang w:val="en-US" w:eastAsia="zh-CN"/>
              </w:rPr>
            </w:pPr>
          </w:p>
        </w:tc>
        <w:tc>
          <w:tcPr>
            <w:tcW w:w="513" w:type="pct"/>
            <w:tcBorders>
              <w:tl2br w:val="nil"/>
              <w:tr2bl w:val="nil"/>
            </w:tcBorders>
            <w:noWrap w:val="0"/>
            <w:vAlign w:val="center"/>
          </w:tcPr>
          <w:p w14:paraId="21B02B60">
            <w:pPr>
              <w:pStyle w:val="20"/>
              <w:bidi w:val="0"/>
              <w:rPr>
                <w:rFonts w:hint="eastAsia"/>
                <w:color w:val="auto"/>
                <w:lang w:val="en-US"/>
              </w:rPr>
            </w:pPr>
          </w:p>
          <w:p w14:paraId="48A7A481">
            <w:pPr>
              <w:pStyle w:val="20"/>
              <w:bidi w:val="0"/>
              <w:rPr>
                <w:rFonts w:hint="eastAsia"/>
                <w:color w:val="auto"/>
                <w:lang w:val="en-US"/>
              </w:rPr>
            </w:pPr>
            <w:r>
              <w:rPr>
                <w:rFonts w:hint="eastAsia"/>
                <w:color w:val="auto"/>
                <w:lang w:val="en-US"/>
              </w:rPr>
              <w:t>符合</w:t>
            </w:r>
          </w:p>
        </w:tc>
      </w:tr>
      <w:tr w14:paraId="4904DE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2" w:hRule="atLeast"/>
          <w:jc w:val="center"/>
        </w:trPr>
        <w:tc>
          <w:tcPr>
            <w:tcW w:w="247" w:type="pct"/>
            <w:tcBorders>
              <w:tl2br w:val="nil"/>
              <w:tr2bl w:val="nil"/>
            </w:tcBorders>
            <w:noWrap w:val="0"/>
            <w:vAlign w:val="center"/>
          </w:tcPr>
          <w:p w14:paraId="127A7F2D">
            <w:pPr>
              <w:pStyle w:val="20"/>
              <w:bidi w:val="0"/>
              <w:rPr>
                <w:rFonts w:hint="default"/>
                <w:color w:val="auto"/>
                <w:lang w:val="en-US" w:eastAsia="zh-CN"/>
              </w:rPr>
            </w:pPr>
            <w:r>
              <w:rPr>
                <w:rFonts w:hint="eastAsia"/>
                <w:color w:val="auto"/>
                <w:lang w:val="en-US" w:eastAsia="zh-CN"/>
              </w:rPr>
              <w:t>2</w:t>
            </w:r>
          </w:p>
        </w:tc>
        <w:tc>
          <w:tcPr>
            <w:tcW w:w="1927" w:type="pct"/>
            <w:tcBorders>
              <w:tl2br w:val="nil"/>
              <w:tr2bl w:val="nil"/>
            </w:tcBorders>
            <w:noWrap w:val="0"/>
            <w:vAlign w:val="center"/>
          </w:tcPr>
          <w:p w14:paraId="39F58FBC">
            <w:pPr>
              <w:pStyle w:val="20"/>
              <w:bidi w:val="0"/>
              <w:rPr>
                <w:rFonts w:hint="eastAsia"/>
                <w:color w:val="auto"/>
                <w:lang w:val="en-US" w:eastAsia="zh-CN"/>
              </w:rPr>
            </w:pPr>
            <w:r>
              <w:rPr>
                <w:rFonts w:hint="eastAsia"/>
                <w:color w:val="auto"/>
                <w:lang w:val="en-US" w:eastAsia="zh-CN"/>
              </w:rPr>
              <w:t>消防车道的路面、救援操作场地、消防车道和救援操作场地下面的管道和暗沟等，应能承受重型消防车的压力。</w:t>
            </w:r>
          </w:p>
        </w:tc>
        <w:tc>
          <w:tcPr>
            <w:tcW w:w="1181" w:type="pct"/>
            <w:tcBorders>
              <w:tl2br w:val="nil"/>
              <w:tr2bl w:val="nil"/>
            </w:tcBorders>
            <w:noWrap w:val="0"/>
            <w:vAlign w:val="center"/>
          </w:tcPr>
          <w:p w14:paraId="2F73BF1E">
            <w:pPr>
              <w:pStyle w:val="20"/>
              <w:bidi w:val="0"/>
              <w:rPr>
                <w:rFonts w:hint="eastAsia"/>
                <w:color w:val="auto"/>
                <w:lang w:val="en-US"/>
              </w:rPr>
            </w:pPr>
            <w:r>
              <w:rPr>
                <w:rFonts w:hint="eastAsia"/>
                <w:color w:val="auto"/>
                <w:lang w:val="en-US"/>
              </w:rPr>
              <w:t>《建筑设计防火规范》GB50016-2014（2018版）</w:t>
            </w:r>
          </w:p>
          <w:p w14:paraId="5A3B0CBD">
            <w:pPr>
              <w:pStyle w:val="20"/>
              <w:bidi w:val="0"/>
              <w:rPr>
                <w:rFonts w:hint="eastAsia"/>
                <w:color w:val="auto"/>
                <w:lang w:val="en-US"/>
              </w:rPr>
            </w:pPr>
            <w:r>
              <w:rPr>
                <w:rFonts w:hint="eastAsia"/>
                <w:color w:val="auto"/>
                <w:lang w:val="en-US"/>
              </w:rPr>
              <w:t>第7.1.9条</w:t>
            </w:r>
          </w:p>
        </w:tc>
        <w:tc>
          <w:tcPr>
            <w:tcW w:w="1129" w:type="pct"/>
            <w:tcBorders>
              <w:tl2br w:val="nil"/>
              <w:tr2bl w:val="nil"/>
            </w:tcBorders>
            <w:noWrap w:val="0"/>
            <w:vAlign w:val="center"/>
          </w:tcPr>
          <w:p w14:paraId="1E8540CB">
            <w:pPr>
              <w:pStyle w:val="20"/>
              <w:bidi w:val="0"/>
              <w:rPr>
                <w:rFonts w:hint="default"/>
                <w:color w:val="auto"/>
                <w:lang w:val="en-US" w:eastAsia="zh-CN"/>
              </w:rPr>
            </w:pPr>
            <w:r>
              <w:rPr>
                <w:rFonts w:hint="eastAsia"/>
                <w:color w:val="auto"/>
                <w:lang w:val="en-US" w:eastAsia="zh-CN"/>
              </w:rPr>
              <w:t>可以承受重型消防车的压力。</w:t>
            </w:r>
          </w:p>
        </w:tc>
        <w:tc>
          <w:tcPr>
            <w:tcW w:w="513" w:type="pct"/>
            <w:tcBorders>
              <w:tl2br w:val="nil"/>
              <w:tr2bl w:val="nil"/>
            </w:tcBorders>
            <w:noWrap w:val="0"/>
            <w:vAlign w:val="center"/>
          </w:tcPr>
          <w:p w14:paraId="0B97E6D9">
            <w:pPr>
              <w:pStyle w:val="20"/>
              <w:bidi w:val="0"/>
              <w:rPr>
                <w:rFonts w:hint="default"/>
                <w:color w:val="auto"/>
                <w:lang w:val="en-US" w:eastAsia="zh-CN"/>
              </w:rPr>
            </w:pPr>
            <w:r>
              <w:rPr>
                <w:rFonts w:hint="eastAsia"/>
                <w:color w:val="auto"/>
                <w:lang w:val="en-US" w:eastAsia="zh-CN"/>
              </w:rPr>
              <w:t>符合</w:t>
            </w:r>
          </w:p>
        </w:tc>
      </w:tr>
      <w:tr w14:paraId="192E00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11D28AF3">
            <w:pPr>
              <w:pStyle w:val="20"/>
              <w:bidi w:val="0"/>
              <w:rPr>
                <w:rFonts w:hint="default"/>
                <w:color w:val="auto"/>
                <w:lang w:val="en-US" w:eastAsia="zh-CN"/>
              </w:rPr>
            </w:pPr>
            <w:r>
              <w:rPr>
                <w:rFonts w:hint="eastAsia"/>
                <w:color w:val="auto"/>
                <w:lang w:val="en-US" w:eastAsia="zh-CN"/>
              </w:rPr>
              <w:t>3</w:t>
            </w:r>
          </w:p>
        </w:tc>
        <w:tc>
          <w:tcPr>
            <w:tcW w:w="1927" w:type="pct"/>
            <w:tcBorders>
              <w:tl2br w:val="nil"/>
              <w:tr2bl w:val="nil"/>
            </w:tcBorders>
            <w:noWrap w:val="0"/>
            <w:vAlign w:val="center"/>
          </w:tcPr>
          <w:p w14:paraId="7AB2EDF0">
            <w:pPr>
              <w:pStyle w:val="20"/>
              <w:bidi w:val="0"/>
              <w:rPr>
                <w:rFonts w:hint="eastAsia"/>
                <w:color w:val="auto"/>
                <w:lang w:val="en-US" w:eastAsia="zh-CN"/>
              </w:rPr>
            </w:pPr>
            <w:r>
              <w:rPr>
                <w:rFonts w:hint="eastAsia"/>
                <w:color w:val="auto"/>
                <w:lang w:val="en-US" w:eastAsia="zh-CN"/>
              </w:rPr>
              <w:t>建筑物室外消火栓设计流量，应根据建筑物的用途功能、体积、耐火等级、火灾危险性等因素综合分析确定。</w:t>
            </w:r>
          </w:p>
          <w:p w14:paraId="66DCFAB6">
            <w:pPr>
              <w:pStyle w:val="20"/>
              <w:bidi w:val="0"/>
              <w:rPr>
                <w:rFonts w:hint="eastAsia"/>
                <w:color w:val="auto"/>
                <w:lang w:val="en-US"/>
              </w:rPr>
            </w:pPr>
          </w:p>
        </w:tc>
        <w:tc>
          <w:tcPr>
            <w:tcW w:w="1181" w:type="pct"/>
            <w:tcBorders>
              <w:tl2br w:val="nil"/>
              <w:tr2bl w:val="nil"/>
            </w:tcBorders>
            <w:noWrap w:val="0"/>
            <w:vAlign w:val="center"/>
          </w:tcPr>
          <w:p w14:paraId="2CFDED91">
            <w:pPr>
              <w:pStyle w:val="20"/>
              <w:bidi w:val="0"/>
              <w:rPr>
                <w:rFonts w:hint="eastAsia"/>
                <w:color w:val="auto"/>
                <w:lang w:val="en-US"/>
              </w:rPr>
            </w:pPr>
            <w:r>
              <w:rPr>
                <w:rFonts w:hint="eastAsia"/>
                <w:color w:val="auto"/>
                <w:lang w:val="en-US"/>
              </w:rPr>
              <w:t>《消防给水及消火栓系统技术规范》GB50974-2014</w:t>
            </w:r>
          </w:p>
          <w:p w14:paraId="47BE3EE8">
            <w:pPr>
              <w:pStyle w:val="20"/>
              <w:bidi w:val="0"/>
              <w:rPr>
                <w:rFonts w:hint="eastAsia"/>
                <w:color w:val="auto"/>
                <w:lang w:val="en-US"/>
              </w:rPr>
            </w:pPr>
            <w:r>
              <w:rPr>
                <w:rFonts w:hint="eastAsia"/>
                <w:color w:val="auto"/>
                <w:lang w:val="en-US"/>
              </w:rPr>
              <w:t>第3.3.1条、第3.3.2条</w:t>
            </w:r>
          </w:p>
        </w:tc>
        <w:tc>
          <w:tcPr>
            <w:tcW w:w="1129" w:type="pct"/>
            <w:tcBorders>
              <w:tl2br w:val="nil"/>
              <w:tr2bl w:val="nil"/>
            </w:tcBorders>
            <w:noWrap w:val="0"/>
            <w:vAlign w:val="center"/>
          </w:tcPr>
          <w:p w14:paraId="57F7C396">
            <w:pPr>
              <w:pStyle w:val="20"/>
              <w:bidi w:val="0"/>
              <w:rPr>
                <w:rFonts w:hint="default"/>
                <w:color w:val="auto"/>
                <w:lang w:val="en-US" w:eastAsia="zh-CN"/>
              </w:rPr>
            </w:pPr>
            <w:r>
              <w:rPr>
                <w:rFonts w:hint="eastAsia"/>
                <w:color w:val="auto"/>
                <w:lang w:val="en-US" w:eastAsia="zh-CN"/>
              </w:rPr>
              <w:t>原有室外消火栓系统设计流量为40L/S，火灾延续时间为3h，室外消火栓系统一次灭火用水量为432m</w:t>
            </w:r>
            <w:r>
              <w:rPr>
                <w:rFonts w:hint="eastAsia"/>
                <w:color w:val="auto"/>
                <w:vertAlign w:val="superscript"/>
                <w:lang w:val="en-US" w:eastAsia="zh-CN"/>
              </w:rPr>
              <w:t>3</w:t>
            </w:r>
            <w:r>
              <w:rPr>
                <w:rFonts w:hint="eastAsia"/>
                <w:color w:val="auto"/>
                <w:lang w:val="en-US" w:eastAsia="zh-CN"/>
              </w:rPr>
              <w:t>。</w:t>
            </w:r>
          </w:p>
        </w:tc>
        <w:tc>
          <w:tcPr>
            <w:tcW w:w="513" w:type="pct"/>
            <w:tcBorders>
              <w:tl2br w:val="nil"/>
              <w:tr2bl w:val="nil"/>
            </w:tcBorders>
            <w:noWrap w:val="0"/>
            <w:vAlign w:val="center"/>
          </w:tcPr>
          <w:p w14:paraId="50EA27C1">
            <w:pPr>
              <w:pStyle w:val="20"/>
              <w:bidi w:val="0"/>
              <w:rPr>
                <w:rFonts w:hint="eastAsia"/>
                <w:color w:val="auto"/>
                <w:lang w:val="en-US"/>
              </w:rPr>
            </w:pPr>
            <w:r>
              <w:rPr>
                <w:rFonts w:hint="eastAsia"/>
                <w:color w:val="auto"/>
                <w:lang w:val="en-US"/>
              </w:rPr>
              <w:t>符合</w:t>
            </w:r>
          </w:p>
        </w:tc>
      </w:tr>
      <w:tr w14:paraId="3D517A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7881D3BE">
            <w:pPr>
              <w:pStyle w:val="20"/>
              <w:bidi w:val="0"/>
              <w:rPr>
                <w:rFonts w:hint="default"/>
                <w:color w:val="auto"/>
                <w:lang w:val="en-US" w:eastAsia="zh-CN"/>
              </w:rPr>
            </w:pPr>
            <w:r>
              <w:rPr>
                <w:rFonts w:hint="eastAsia"/>
                <w:color w:val="auto"/>
                <w:lang w:val="en-US" w:eastAsia="zh-CN"/>
              </w:rPr>
              <w:t>4</w:t>
            </w:r>
          </w:p>
        </w:tc>
        <w:tc>
          <w:tcPr>
            <w:tcW w:w="1927" w:type="pct"/>
            <w:tcBorders>
              <w:tl2br w:val="nil"/>
              <w:tr2bl w:val="nil"/>
            </w:tcBorders>
            <w:noWrap w:val="0"/>
            <w:vAlign w:val="center"/>
          </w:tcPr>
          <w:p w14:paraId="4CD7A172">
            <w:pPr>
              <w:pStyle w:val="20"/>
              <w:bidi w:val="0"/>
              <w:rPr>
                <w:rFonts w:hint="eastAsia"/>
                <w:color w:val="auto"/>
                <w:lang w:val="en-US"/>
              </w:rPr>
            </w:pPr>
            <w:r>
              <w:rPr>
                <w:rFonts w:hint="eastAsia"/>
                <w:color w:val="auto"/>
                <w:lang w:val="en-US"/>
              </w:rPr>
              <w:t>建筑物室内消火栓设计流量，应根据建筑物的用途功能、体积、高度、耐火等级、火灾危险性等因素综合确定。</w:t>
            </w:r>
          </w:p>
          <w:p w14:paraId="4AF1DF0C">
            <w:pPr>
              <w:pStyle w:val="20"/>
              <w:bidi w:val="0"/>
              <w:rPr>
                <w:rFonts w:hint="eastAsia"/>
                <w:color w:val="auto"/>
                <w:lang w:val="en-US"/>
              </w:rPr>
            </w:pPr>
          </w:p>
        </w:tc>
        <w:tc>
          <w:tcPr>
            <w:tcW w:w="1181" w:type="pct"/>
            <w:tcBorders>
              <w:tl2br w:val="nil"/>
              <w:tr2bl w:val="nil"/>
            </w:tcBorders>
            <w:noWrap w:val="0"/>
            <w:vAlign w:val="center"/>
          </w:tcPr>
          <w:p w14:paraId="30CE9174">
            <w:pPr>
              <w:pStyle w:val="20"/>
              <w:bidi w:val="0"/>
              <w:rPr>
                <w:rFonts w:hint="eastAsia"/>
                <w:color w:val="auto"/>
                <w:lang w:val="en-US"/>
              </w:rPr>
            </w:pPr>
            <w:r>
              <w:rPr>
                <w:rFonts w:hint="eastAsia"/>
                <w:color w:val="auto"/>
                <w:lang w:val="en-US"/>
              </w:rPr>
              <w:t>《消防给水及消火栓系统技术规范》GB50974-2014</w:t>
            </w:r>
          </w:p>
          <w:p w14:paraId="68546E5B">
            <w:pPr>
              <w:pStyle w:val="20"/>
              <w:bidi w:val="0"/>
              <w:rPr>
                <w:rFonts w:hint="eastAsia"/>
                <w:color w:val="auto"/>
                <w:lang w:val="en-US"/>
              </w:rPr>
            </w:pPr>
            <w:r>
              <w:rPr>
                <w:rFonts w:hint="eastAsia"/>
                <w:color w:val="auto"/>
                <w:lang w:val="en-US"/>
              </w:rPr>
              <w:t>第3.5.1条、第3.5.2条</w:t>
            </w:r>
          </w:p>
        </w:tc>
        <w:tc>
          <w:tcPr>
            <w:tcW w:w="1129" w:type="pct"/>
            <w:tcBorders>
              <w:tl2br w:val="nil"/>
              <w:tr2bl w:val="nil"/>
            </w:tcBorders>
            <w:noWrap w:val="0"/>
            <w:vAlign w:val="center"/>
          </w:tcPr>
          <w:p w14:paraId="10EEE29B">
            <w:pPr>
              <w:pStyle w:val="20"/>
              <w:bidi w:val="0"/>
              <w:rPr>
                <w:rFonts w:hint="default"/>
                <w:color w:val="auto"/>
                <w:lang w:val="en-US" w:eastAsia="zh-CN"/>
              </w:rPr>
            </w:pPr>
            <w:r>
              <w:rPr>
                <w:rFonts w:hint="eastAsia"/>
                <w:color w:val="auto"/>
                <w:lang w:val="en-US" w:eastAsia="zh-CN"/>
              </w:rPr>
              <w:t>新增脱硫装置为露天设备，新增配电室不设置室内消火栓系统，不涉及室内消防用水。</w:t>
            </w:r>
          </w:p>
        </w:tc>
        <w:tc>
          <w:tcPr>
            <w:tcW w:w="513" w:type="pct"/>
            <w:tcBorders>
              <w:tl2br w:val="nil"/>
              <w:tr2bl w:val="nil"/>
            </w:tcBorders>
            <w:noWrap w:val="0"/>
            <w:vAlign w:val="center"/>
          </w:tcPr>
          <w:p w14:paraId="756B5D99">
            <w:pPr>
              <w:pStyle w:val="20"/>
              <w:bidi w:val="0"/>
              <w:rPr>
                <w:rFonts w:hint="eastAsia"/>
                <w:color w:val="auto"/>
                <w:lang w:val="en-US" w:eastAsia="zh-CN"/>
              </w:rPr>
            </w:pPr>
            <w:r>
              <w:rPr>
                <w:rFonts w:hint="eastAsia"/>
                <w:color w:val="auto"/>
                <w:lang w:val="en-US" w:eastAsia="zh-CN"/>
              </w:rPr>
              <w:t>符合</w:t>
            </w:r>
          </w:p>
        </w:tc>
      </w:tr>
      <w:tr w14:paraId="7FDD08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6B46D3C0">
            <w:pPr>
              <w:pStyle w:val="20"/>
              <w:bidi w:val="0"/>
              <w:rPr>
                <w:rFonts w:hint="default"/>
                <w:color w:val="auto"/>
                <w:lang w:val="en-US" w:eastAsia="zh-CN"/>
              </w:rPr>
            </w:pPr>
            <w:r>
              <w:rPr>
                <w:rFonts w:hint="eastAsia"/>
                <w:color w:val="auto"/>
                <w:lang w:val="en-US" w:eastAsia="zh-CN"/>
              </w:rPr>
              <w:t>5</w:t>
            </w:r>
          </w:p>
        </w:tc>
        <w:tc>
          <w:tcPr>
            <w:tcW w:w="1927" w:type="pct"/>
            <w:tcBorders>
              <w:tl2br w:val="nil"/>
              <w:tr2bl w:val="nil"/>
            </w:tcBorders>
            <w:noWrap w:val="0"/>
            <w:vAlign w:val="center"/>
          </w:tcPr>
          <w:p w14:paraId="770AD51B">
            <w:pPr>
              <w:pStyle w:val="20"/>
              <w:bidi w:val="0"/>
              <w:rPr>
                <w:rFonts w:hint="eastAsia"/>
                <w:color w:val="auto"/>
                <w:lang w:val="en-US"/>
              </w:rPr>
            </w:pPr>
            <w:r>
              <w:rPr>
                <w:rFonts w:hint="eastAsia"/>
                <w:color w:val="auto"/>
                <w:lang w:val="en-US"/>
              </w:rPr>
              <w:t>室外消火栓宜沿建筑周围均匀布置，且不宜集中布置在建筑一侧；建筑消防扑救面一侧的室外消火栓数量不宜少于2个。</w:t>
            </w:r>
          </w:p>
        </w:tc>
        <w:tc>
          <w:tcPr>
            <w:tcW w:w="1181" w:type="pct"/>
            <w:tcBorders>
              <w:tl2br w:val="nil"/>
              <w:tr2bl w:val="nil"/>
            </w:tcBorders>
            <w:noWrap w:val="0"/>
            <w:vAlign w:val="center"/>
          </w:tcPr>
          <w:p w14:paraId="0B497BAF">
            <w:pPr>
              <w:pStyle w:val="20"/>
              <w:bidi w:val="0"/>
              <w:rPr>
                <w:rFonts w:hint="eastAsia"/>
                <w:color w:val="auto"/>
                <w:lang w:val="en-US" w:eastAsia="zh-CN"/>
              </w:rPr>
            </w:pPr>
            <w:r>
              <w:rPr>
                <w:rFonts w:hint="eastAsia"/>
                <w:color w:val="auto"/>
                <w:lang w:val="en-US" w:eastAsia="zh-CN"/>
              </w:rPr>
              <w:t>《消防给水及消火栓系统技术规范》GB50974-2014</w:t>
            </w:r>
          </w:p>
          <w:p w14:paraId="6DEC4B1A">
            <w:pPr>
              <w:pStyle w:val="20"/>
              <w:bidi w:val="0"/>
              <w:rPr>
                <w:rFonts w:hint="eastAsia"/>
                <w:color w:val="auto"/>
                <w:lang w:val="en-US" w:eastAsia="zh-CN"/>
              </w:rPr>
            </w:pPr>
            <w:r>
              <w:rPr>
                <w:rFonts w:hint="eastAsia"/>
                <w:color w:val="auto"/>
                <w:lang w:val="en-US" w:eastAsia="zh-CN"/>
              </w:rPr>
              <w:t>第7.3.3条</w:t>
            </w:r>
          </w:p>
        </w:tc>
        <w:tc>
          <w:tcPr>
            <w:tcW w:w="1129" w:type="pct"/>
            <w:tcBorders>
              <w:tl2br w:val="nil"/>
              <w:tr2bl w:val="nil"/>
            </w:tcBorders>
            <w:noWrap w:val="0"/>
            <w:vAlign w:val="center"/>
          </w:tcPr>
          <w:p w14:paraId="01037CC3">
            <w:pPr>
              <w:pStyle w:val="20"/>
              <w:bidi w:val="0"/>
              <w:rPr>
                <w:rFonts w:hint="eastAsia"/>
                <w:color w:val="auto"/>
                <w:lang w:val="en-US" w:eastAsia="zh-CN"/>
              </w:rPr>
            </w:pPr>
            <w:r>
              <w:rPr>
                <w:rFonts w:hint="eastAsia"/>
                <w:color w:val="auto"/>
                <w:lang w:val="en-US" w:eastAsia="zh-CN"/>
              </w:rPr>
              <w:t>室外消火栓利用厂区原有。</w:t>
            </w:r>
          </w:p>
        </w:tc>
        <w:tc>
          <w:tcPr>
            <w:tcW w:w="513" w:type="pct"/>
            <w:tcBorders>
              <w:tl2br w:val="nil"/>
              <w:tr2bl w:val="nil"/>
            </w:tcBorders>
            <w:noWrap w:val="0"/>
            <w:vAlign w:val="center"/>
          </w:tcPr>
          <w:p w14:paraId="25A98EBB">
            <w:pPr>
              <w:pStyle w:val="20"/>
              <w:bidi w:val="0"/>
              <w:rPr>
                <w:rFonts w:hint="default"/>
                <w:color w:val="auto"/>
                <w:lang w:val="en-US" w:eastAsia="zh-CN"/>
              </w:rPr>
            </w:pPr>
            <w:r>
              <w:rPr>
                <w:rFonts w:hint="eastAsia"/>
                <w:color w:val="auto"/>
                <w:lang w:val="en-US" w:eastAsia="zh-CN"/>
              </w:rPr>
              <w:t>符合</w:t>
            </w:r>
          </w:p>
        </w:tc>
      </w:tr>
      <w:tr w14:paraId="3B8D7F8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427A8CFC">
            <w:pPr>
              <w:pStyle w:val="20"/>
              <w:bidi w:val="0"/>
              <w:rPr>
                <w:rFonts w:hint="default"/>
                <w:color w:val="auto"/>
                <w:lang w:val="en-US" w:eastAsia="zh-CN"/>
              </w:rPr>
            </w:pPr>
            <w:r>
              <w:rPr>
                <w:rFonts w:hint="eastAsia"/>
                <w:color w:val="auto"/>
                <w:lang w:val="en-US" w:eastAsia="zh-CN"/>
              </w:rPr>
              <w:t>6</w:t>
            </w:r>
          </w:p>
        </w:tc>
        <w:tc>
          <w:tcPr>
            <w:tcW w:w="1927" w:type="pct"/>
            <w:tcBorders>
              <w:tl2br w:val="nil"/>
              <w:tr2bl w:val="nil"/>
            </w:tcBorders>
            <w:noWrap w:val="0"/>
            <w:vAlign w:val="center"/>
          </w:tcPr>
          <w:p w14:paraId="7985AEFA">
            <w:pPr>
              <w:pStyle w:val="20"/>
              <w:bidi w:val="0"/>
              <w:rPr>
                <w:rFonts w:hint="eastAsia"/>
                <w:color w:val="auto"/>
                <w:lang w:val="en-US" w:eastAsia="zh-CN"/>
              </w:rPr>
            </w:pPr>
            <w:r>
              <w:rPr>
                <w:rFonts w:hint="eastAsia"/>
                <w:color w:val="auto"/>
                <w:lang w:val="en-US"/>
              </w:rPr>
              <w:t>灭火器应设置在位置明显和便于取用的地点,且不得影响安全疏散</w:t>
            </w:r>
            <w:r>
              <w:rPr>
                <w:rFonts w:hint="eastAsia"/>
                <w:color w:val="auto"/>
                <w:lang w:val="en-US" w:eastAsia="zh-CN"/>
              </w:rPr>
              <w:t>。</w:t>
            </w:r>
          </w:p>
        </w:tc>
        <w:tc>
          <w:tcPr>
            <w:tcW w:w="1181" w:type="pct"/>
            <w:tcBorders>
              <w:tl2br w:val="nil"/>
              <w:tr2bl w:val="nil"/>
            </w:tcBorders>
            <w:noWrap w:val="0"/>
            <w:vAlign w:val="center"/>
          </w:tcPr>
          <w:p w14:paraId="38880CA9">
            <w:pPr>
              <w:pStyle w:val="20"/>
              <w:bidi w:val="0"/>
              <w:rPr>
                <w:rFonts w:hint="eastAsia"/>
                <w:color w:val="auto"/>
                <w:lang w:val="en-US" w:eastAsia="zh-CN"/>
              </w:rPr>
            </w:pPr>
            <w:r>
              <w:rPr>
                <w:rFonts w:hint="eastAsia"/>
                <w:color w:val="auto"/>
                <w:lang w:val="en-US" w:eastAsia="zh-CN"/>
              </w:rPr>
              <w:t>《建筑灭火器配置设计规范》GB50140-2005第5.1.1条</w:t>
            </w:r>
          </w:p>
        </w:tc>
        <w:tc>
          <w:tcPr>
            <w:tcW w:w="1129" w:type="pct"/>
            <w:tcBorders>
              <w:tl2br w:val="nil"/>
              <w:tr2bl w:val="nil"/>
            </w:tcBorders>
            <w:noWrap w:val="0"/>
            <w:vAlign w:val="center"/>
          </w:tcPr>
          <w:p w14:paraId="43D1E5A8">
            <w:pPr>
              <w:pStyle w:val="20"/>
              <w:bidi w:val="0"/>
              <w:rPr>
                <w:rFonts w:hint="default"/>
                <w:color w:val="auto"/>
                <w:lang w:val="en-US" w:eastAsia="zh-CN"/>
              </w:rPr>
            </w:pPr>
            <w:r>
              <w:rPr>
                <w:rFonts w:hint="eastAsia"/>
                <w:color w:val="auto"/>
                <w:lang w:val="en-US" w:eastAsia="zh-CN"/>
              </w:rPr>
              <w:t>灭火器设置在明显区域。</w:t>
            </w:r>
          </w:p>
        </w:tc>
        <w:tc>
          <w:tcPr>
            <w:tcW w:w="513" w:type="pct"/>
            <w:tcBorders>
              <w:tl2br w:val="nil"/>
              <w:tr2bl w:val="nil"/>
            </w:tcBorders>
            <w:noWrap w:val="0"/>
            <w:vAlign w:val="center"/>
          </w:tcPr>
          <w:p w14:paraId="76278D38">
            <w:pPr>
              <w:pStyle w:val="20"/>
              <w:bidi w:val="0"/>
              <w:rPr>
                <w:rFonts w:hint="default"/>
                <w:color w:val="auto"/>
                <w:lang w:val="en-US" w:eastAsia="zh-CN"/>
              </w:rPr>
            </w:pPr>
            <w:r>
              <w:rPr>
                <w:rFonts w:hint="eastAsia"/>
                <w:color w:val="auto"/>
                <w:lang w:val="en-US" w:eastAsia="zh-CN"/>
              </w:rPr>
              <w:t>符合</w:t>
            </w:r>
          </w:p>
        </w:tc>
      </w:tr>
      <w:tr w14:paraId="788CE1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57EFE2B7">
            <w:pPr>
              <w:pStyle w:val="20"/>
              <w:bidi w:val="0"/>
              <w:rPr>
                <w:rFonts w:hint="default"/>
                <w:color w:val="auto"/>
                <w:lang w:val="en-US" w:eastAsia="zh-CN"/>
              </w:rPr>
            </w:pPr>
            <w:r>
              <w:rPr>
                <w:rFonts w:hint="eastAsia"/>
                <w:color w:val="auto"/>
                <w:lang w:val="en-US" w:eastAsia="zh-CN"/>
              </w:rPr>
              <w:t>7</w:t>
            </w:r>
          </w:p>
        </w:tc>
        <w:tc>
          <w:tcPr>
            <w:tcW w:w="1927" w:type="pct"/>
            <w:tcBorders>
              <w:tl2br w:val="nil"/>
              <w:tr2bl w:val="nil"/>
            </w:tcBorders>
            <w:noWrap w:val="0"/>
            <w:vAlign w:val="center"/>
          </w:tcPr>
          <w:p w14:paraId="54BB9A92">
            <w:pPr>
              <w:pStyle w:val="20"/>
              <w:bidi w:val="0"/>
              <w:rPr>
                <w:rFonts w:hint="eastAsia"/>
                <w:color w:val="auto"/>
                <w:lang w:val="en-US"/>
              </w:rPr>
            </w:pPr>
            <w:r>
              <w:rPr>
                <w:rFonts w:hint="eastAsia"/>
                <w:color w:val="auto"/>
                <w:lang w:val="en-US"/>
              </w:rPr>
              <w:t>建筑内消防应急照明灯具和灯光疏散指示标志的备用电源的连续供电时间应符合下列规定：</w:t>
            </w:r>
          </w:p>
          <w:p w14:paraId="6B02676C">
            <w:pPr>
              <w:pStyle w:val="20"/>
              <w:bidi w:val="0"/>
              <w:rPr>
                <w:rFonts w:hint="eastAsia"/>
                <w:color w:val="auto"/>
                <w:lang w:val="en-US"/>
              </w:rPr>
            </w:pPr>
            <w:r>
              <w:rPr>
                <w:rFonts w:hint="eastAsia"/>
                <w:color w:val="auto"/>
                <w:lang w:val="en-US"/>
              </w:rPr>
              <w:t>1建筑高度大于100m的民用建筑，不应小于1.5h；</w:t>
            </w:r>
          </w:p>
          <w:p w14:paraId="7EA113C8">
            <w:pPr>
              <w:pStyle w:val="20"/>
              <w:bidi w:val="0"/>
              <w:rPr>
                <w:rFonts w:hint="eastAsia"/>
                <w:color w:val="auto"/>
                <w:lang w:val="en-US"/>
              </w:rPr>
            </w:pPr>
            <w:r>
              <w:rPr>
                <w:rFonts w:hint="eastAsia"/>
                <w:color w:val="auto"/>
                <w:lang w:val="en-US"/>
              </w:rPr>
              <w:t>2医疗建筑、老年人建筑、总建筑面积大于100000m</w:t>
            </w:r>
            <w:r>
              <w:rPr>
                <w:rFonts w:hint="eastAsia"/>
                <w:color w:val="auto"/>
                <w:vertAlign w:val="superscript"/>
                <w:lang w:val="en-US"/>
              </w:rPr>
              <w:t>2</w:t>
            </w:r>
            <w:r>
              <w:rPr>
                <w:rFonts w:hint="eastAsia"/>
                <w:color w:val="auto"/>
                <w:lang w:val="en-US"/>
              </w:rPr>
              <w:t>的公共建筑，不应少于1.0h；</w:t>
            </w:r>
          </w:p>
          <w:p w14:paraId="147C7DA5">
            <w:pPr>
              <w:pStyle w:val="20"/>
              <w:bidi w:val="0"/>
              <w:rPr>
                <w:rFonts w:hint="eastAsia"/>
                <w:color w:val="auto"/>
                <w:lang w:val="en-US"/>
              </w:rPr>
            </w:pPr>
            <w:r>
              <w:rPr>
                <w:rFonts w:hint="eastAsia"/>
                <w:color w:val="auto"/>
                <w:lang w:val="en-US"/>
              </w:rPr>
              <w:t>3其他建筑，不应少于0.5h。</w:t>
            </w:r>
          </w:p>
        </w:tc>
        <w:tc>
          <w:tcPr>
            <w:tcW w:w="1181" w:type="pct"/>
            <w:tcBorders>
              <w:tl2br w:val="nil"/>
              <w:tr2bl w:val="nil"/>
            </w:tcBorders>
            <w:noWrap w:val="0"/>
            <w:vAlign w:val="center"/>
          </w:tcPr>
          <w:p w14:paraId="667196B1">
            <w:pPr>
              <w:pStyle w:val="20"/>
              <w:bidi w:val="0"/>
              <w:rPr>
                <w:rFonts w:hint="eastAsia"/>
                <w:color w:val="auto"/>
                <w:lang w:val="en-US" w:eastAsia="zh-CN"/>
              </w:rPr>
            </w:pPr>
            <w:r>
              <w:rPr>
                <w:rFonts w:hint="eastAsia"/>
                <w:color w:val="auto"/>
                <w:lang w:val="en-US" w:eastAsia="zh-CN"/>
              </w:rPr>
              <w:t>《建筑设计防火规范》GB50016-2014（2018版）</w:t>
            </w:r>
          </w:p>
          <w:p w14:paraId="363D2354">
            <w:pPr>
              <w:pStyle w:val="20"/>
              <w:bidi w:val="0"/>
              <w:rPr>
                <w:rFonts w:hint="default"/>
                <w:color w:val="auto"/>
                <w:lang w:val="en-US" w:eastAsia="zh-CN"/>
              </w:rPr>
            </w:pPr>
            <w:r>
              <w:rPr>
                <w:rFonts w:hint="eastAsia"/>
                <w:color w:val="auto"/>
                <w:lang w:val="en-US" w:eastAsia="zh-CN"/>
              </w:rPr>
              <w:t>第10.1.5条</w:t>
            </w:r>
          </w:p>
        </w:tc>
        <w:tc>
          <w:tcPr>
            <w:tcW w:w="1129" w:type="pct"/>
            <w:tcBorders>
              <w:tl2br w:val="nil"/>
              <w:tr2bl w:val="nil"/>
            </w:tcBorders>
            <w:noWrap w:val="0"/>
            <w:vAlign w:val="center"/>
          </w:tcPr>
          <w:p w14:paraId="389406DC">
            <w:pPr>
              <w:pStyle w:val="20"/>
              <w:bidi w:val="0"/>
              <w:rPr>
                <w:rFonts w:hint="default"/>
                <w:color w:val="auto"/>
                <w:lang w:val="en-US" w:eastAsia="zh-CN"/>
              </w:rPr>
            </w:pPr>
            <w:r>
              <w:rPr>
                <w:rFonts w:hint="eastAsia"/>
                <w:color w:val="auto"/>
                <w:lang w:val="en-US" w:eastAsia="zh-CN"/>
              </w:rPr>
              <w:t>本项目建筑内消防应急照明灯具和灯光疏散指示标志的备用电源的连续供电时间不小于0.5h。</w:t>
            </w:r>
          </w:p>
        </w:tc>
        <w:tc>
          <w:tcPr>
            <w:tcW w:w="513" w:type="pct"/>
            <w:tcBorders>
              <w:tl2br w:val="nil"/>
              <w:tr2bl w:val="nil"/>
            </w:tcBorders>
            <w:noWrap w:val="0"/>
            <w:vAlign w:val="center"/>
          </w:tcPr>
          <w:p w14:paraId="1C808A35">
            <w:pPr>
              <w:pStyle w:val="20"/>
              <w:bidi w:val="0"/>
              <w:rPr>
                <w:rFonts w:hint="default"/>
                <w:color w:val="auto"/>
                <w:lang w:val="en-US" w:eastAsia="zh-CN"/>
              </w:rPr>
            </w:pPr>
            <w:r>
              <w:rPr>
                <w:rFonts w:hint="eastAsia"/>
                <w:color w:val="auto"/>
                <w:lang w:val="en-US" w:eastAsia="zh-CN"/>
              </w:rPr>
              <w:t>符合</w:t>
            </w:r>
          </w:p>
        </w:tc>
      </w:tr>
      <w:tr w14:paraId="52BE05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7EC693D9">
            <w:pPr>
              <w:pStyle w:val="20"/>
              <w:bidi w:val="0"/>
              <w:rPr>
                <w:rFonts w:hint="default"/>
                <w:color w:val="auto"/>
                <w:lang w:val="en-US" w:eastAsia="zh-CN"/>
              </w:rPr>
            </w:pPr>
            <w:r>
              <w:rPr>
                <w:rFonts w:hint="eastAsia"/>
                <w:color w:val="auto"/>
                <w:lang w:val="en-US" w:eastAsia="zh-CN"/>
              </w:rPr>
              <w:t>8</w:t>
            </w:r>
          </w:p>
        </w:tc>
        <w:tc>
          <w:tcPr>
            <w:tcW w:w="1927" w:type="pct"/>
            <w:tcBorders>
              <w:tl2br w:val="nil"/>
              <w:tr2bl w:val="nil"/>
            </w:tcBorders>
            <w:noWrap w:val="0"/>
            <w:vAlign w:val="center"/>
          </w:tcPr>
          <w:p w14:paraId="41EE6724">
            <w:pPr>
              <w:pStyle w:val="20"/>
              <w:bidi w:val="0"/>
              <w:rPr>
                <w:rFonts w:hint="eastAsia"/>
                <w:color w:val="auto"/>
                <w:lang w:val="en-US"/>
              </w:rPr>
            </w:pPr>
            <w:r>
              <w:rPr>
                <w:rFonts w:hint="eastAsia"/>
                <w:color w:val="auto"/>
                <w:lang w:val="en-US"/>
              </w:rPr>
              <w:t>灭火器的配置一般规定</w:t>
            </w:r>
            <w:r>
              <w:rPr>
                <w:rFonts w:hint="eastAsia"/>
                <w:color w:val="auto"/>
                <w:lang w:val="en-US" w:eastAsia="zh-CN"/>
              </w:rPr>
              <w:t>：</w:t>
            </w:r>
            <w:r>
              <w:rPr>
                <w:rFonts w:hint="eastAsia"/>
                <w:color w:val="auto"/>
                <w:lang w:val="en-US"/>
              </w:rPr>
              <w:t>一个计算单元内配置的灭火器数量不得少于2具。每个设置点的灭火器数量不宜多于5具。</w:t>
            </w:r>
          </w:p>
        </w:tc>
        <w:tc>
          <w:tcPr>
            <w:tcW w:w="1181" w:type="pct"/>
            <w:tcBorders>
              <w:tl2br w:val="nil"/>
              <w:tr2bl w:val="nil"/>
            </w:tcBorders>
            <w:noWrap w:val="0"/>
            <w:vAlign w:val="center"/>
          </w:tcPr>
          <w:p w14:paraId="4BEB2BB5">
            <w:pPr>
              <w:pStyle w:val="20"/>
              <w:bidi w:val="0"/>
              <w:rPr>
                <w:rFonts w:hint="default"/>
                <w:color w:val="auto"/>
                <w:lang w:val="en-US" w:eastAsia="zh-CN"/>
              </w:rPr>
            </w:pPr>
            <w:r>
              <w:rPr>
                <w:rFonts w:hint="eastAsia"/>
                <w:color w:val="auto"/>
                <w:lang w:val="en-US" w:eastAsia="zh-CN"/>
              </w:rPr>
              <w:t>《建筑灭火器配置设计规范》GB50140-2005第6.1条</w:t>
            </w:r>
          </w:p>
        </w:tc>
        <w:tc>
          <w:tcPr>
            <w:tcW w:w="1129" w:type="pct"/>
            <w:tcBorders>
              <w:tl2br w:val="nil"/>
              <w:tr2bl w:val="nil"/>
            </w:tcBorders>
            <w:noWrap w:val="0"/>
            <w:vAlign w:val="center"/>
          </w:tcPr>
          <w:p w14:paraId="3F555758">
            <w:pPr>
              <w:pStyle w:val="20"/>
              <w:bidi w:val="0"/>
              <w:rPr>
                <w:rFonts w:hint="default"/>
                <w:color w:val="auto"/>
                <w:lang w:val="en-US" w:eastAsia="zh-CN"/>
              </w:rPr>
            </w:pPr>
            <w:r>
              <w:rPr>
                <w:rFonts w:hint="eastAsia"/>
                <w:color w:val="auto"/>
                <w:lang w:val="en-US" w:eastAsia="zh-CN"/>
              </w:rPr>
              <w:t>皮带脱水机房未配备灭火器。</w:t>
            </w:r>
          </w:p>
        </w:tc>
        <w:tc>
          <w:tcPr>
            <w:tcW w:w="513" w:type="pct"/>
            <w:tcBorders>
              <w:tl2br w:val="nil"/>
              <w:tr2bl w:val="nil"/>
            </w:tcBorders>
            <w:noWrap w:val="0"/>
            <w:vAlign w:val="center"/>
          </w:tcPr>
          <w:p w14:paraId="20DFDE65">
            <w:pPr>
              <w:pStyle w:val="20"/>
              <w:bidi w:val="0"/>
              <w:rPr>
                <w:rFonts w:hint="default"/>
                <w:color w:val="auto"/>
                <w:lang w:val="en-US" w:eastAsia="zh-CN"/>
              </w:rPr>
            </w:pPr>
            <w:r>
              <w:rPr>
                <w:rFonts w:hint="eastAsia"/>
                <w:color w:val="auto"/>
                <w:lang w:val="en-US" w:eastAsia="zh-CN"/>
              </w:rPr>
              <w:t>不符合</w:t>
            </w:r>
          </w:p>
        </w:tc>
      </w:tr>
      <w:tr w14:paraId="046211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7A86E3C1">
            <w:pPr>
              <w:pStyle w:val="20"/>
              <w:bidi w:val="0"/>
              <w:rPr>
                <w:rFonts w:hint="default"/>
                <w:color w:val="auto"/>
                <w:lang w:val="en-US" w:eastAsia="zh-CN"/>
              </w:rPr>
            </w:pPr>
            <w:r>
              <w:rPr>
                <w:rFonts w:hint="eastAsia"/>
                <w:color w:val="auto"/>
                <w:lang w:val="en-US" w:eastAsia="zh-CN"/>
              </w:rPr>
              <w:t>9</w:t>
            </w:r>
          </w:p>
        </w:tc>
        <w:tc>
          <w:tcPr>
            <w:tcW w:w="1927" w:type="pct"/>
            <w:tcBorders>
              <w:tl2br w:val="nil"/>
              <w:tr2bl w:val="nil"/>
            </w:tcBorders>
            <w:noWrap w:val="0"/>
            <w:vAlign w:val="center"/>
          </w:tcPr>
          <w:p w14:paraId="62AD7FCC">
            <w:pPr>
              <w:pStyle w:val="20"/>
              <w:bidi w:val="0"/>
              <w:rPr>
                <w:rFonts w:hint="eastAsia"/>
                <w:color w:val="auto"/>
                <w:lang w:val="en-US"/>
              </w:rPr>
            </w:pPr>
            <w:r>
              <w:rPr>
                <w:rFonts w:hint="eastAsia"/>
                <w:color w:val="auto"/>
                <w:lang w:val="en-US"/>
              </w:rPr>
              <w:t>火灾自动报警系统可用于人员居住和经常有人滞留的场所、存放重要物资或燃烧后产生严重污染需要及时报警的场所。</w:t>
            </w:r>
          </w:p>
        </w:tc>
        <w:tc>
          <w:tcPr>
            <w:tcW w:w="1181" w:type="pct"/>
            <w:tcBorders>
              <w:tl2br w:val="nil"/>
              <w:tr2bl w:val="nil"/>
            </w:tcBorders>
            <w:noWrap w:val="0"/>
            <w:vAlign w:val="center"/>
          </w:tcPr>
          <w:p w14:paraId="1C4BCAB7">
            <w:pPr>
              <w:pStyle w:val="20"/>
              <w:bidi w:val="0"/>
              <w:rPr>
                <w:rFonts w:hint="eastAsia"/>
                <w:color w:val="auto"/>
                <w:lang w:val="en-US" w:eastAsia="zh-CN"/>
              </w:rPr>
            </w:pPr>
            <w:r>
              <w:rPr>
                <w:rFonts w:hint="eastAsia"/>
                <w:color w:val="auto"/>
                <w:lang w:val="en-US" w:eastAsia="zh-CN"/>
              </w:rPr>
              <w:t>《火灾自动报警系统设计规范》GB50116-2013</w:t>
            </w:r>
          </w:p>
          <w:p w14:paraId="3F88251F">
            <w:pPr>
              <w:pStyle w:val="20"/>
              <w:bidi w:val="0"/>
              <w:rPr>
                <w:rFonts w:hint="eastAsia"/>
                <w:color w:val="auto"/>
                <w:lang w:val="en-US" w:eastAsia="zh-CN"/>
              </w:rPr>
            </w:pPr>
            <w:r>
              <w:rPr>
                <w:rFonts w:hint="eastAsia"/>
                <w:color w:val="auto"/>
                <w:lang w:val="en-US" w:eastAsia="zh-CN"/>
              </w:rPr>
              <w:t>第3.1.1条</w:t>
            </w:r>
          </w:p>
        </w:tc>
        <w:tc>
          <w:tcPr>
            <w:tcW w:w="1129" w:type="pct"/>
            <w:tcBorders>
              <w:tl2br w:val="nil"/>
              <w:tr2bl w:val="nil"/>
            </w:tcBorders>
            <w:noWrap w:val="0"/>
            <w:vAlign w:val="center"/>
          </w:tcPr>
          <w:p w14:paraId="1FA84B8F">
            <w:pPr>
              <w:pStyle w:val="20"/>
              <w:bidi w:val="0"/>
              <w:rPr>
                <w:rFonts w:hint="eastAsia"/>
                <w:color w:val="auto"/>
                <w:lang w:val="en-US" w:eastAsia="zh-CN"/>
              </w:rPr>
            </w:pPr>
            <w:r>
              <w:rPr>
                <w:rFonts w:hint="eastAsia"/>
                <w:color w:val="auto"/>
                <w:lang w:val="en-US" w:eastAsia="zh-CN"/>
              </w:rPr>
              <w:t>本项目在配电室设置火灾自动报警系统。</w:t>
            </w:r>
          </w:p>
        </w:tc>
        <w:tc>
          <w:tcPr>
            <w:tcW w:w="513" w:type="pct"/>
            <w:tcBorders>
              <w:tl2br w:val="nil"/>
              <w:tr2bl w:val="nil"/>
            </w:tcBorders>
            <w:noWrap w:val="0"/>
            <w:vAlign w:val="center"/>
          </w:tcPr>
          <w:p w14:paraId="57B7D13C">
            <w:pPr>
              <w:pStyle w:val="20"/>
              <w:bidi w:val="0"/>
              <w:rPr>
                <w:rFonts w:hint="default"/>
                <w:color w:val="auto"/>
                <w:lang w:val="en-US" w:eastAsia="zh-CN"/>
              </w:rPr>
            </w:pPr>
            <w:r>
              <w:rPr>
                <w:rFonts w:hint="eastAsia"/>
                <w:color w:val="auto"/>
                <w:lang w:val="en-US" w:eastAsia="zh-CN"/>
              </w:rPr>
              <w:t>符合</w:t>
            </w:r>
          </w:p>
        </w:tc>
      </w:tr>
      <w:tr w14:paraId="501845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119207C1">
            <w:pPr>
              <w:pStyle w:val="20"/>
              <w:bidi w:val="0"/>
              <w:rPr>
                <w:rFonts w:hint="default"/>
                <w:color w:val="auto"/>
                <w:lang w:val="en-US" w:eastAsia="zh-CN"/>
              </w:rPr>
            </w:pPr>
            <w:r>
              <w:rPr>
                <w:rFonts w:hint="eastAsia"/>
                <w:color w:val="auto"/>
                <w:lang w:val="en-US" w:eastAsia="zh-CN"/>
              </w:rPr>
              <w:t>10</w:t>
            </w:r>
          </w:p>
        </w:tc>
        <w:tc>
          <w:tcPr>
            <w:tcW w:w="1927" w:type="pct"/>
            <w:tcBorders>
              <w:tl2br w:val="nil"/>
              <w:tr2bl w:val="nil"/>
            </w:tcBorders>
            <w:noWrap w:val="0"/>
            <w:vAlign w:val="center"/>
          </w:tcPr>
          <w:p w14:paraId="0762543A">
            <w:pPr>
              <w:pStyle w:val="20"/>
              <w:bidi w:val="0"/>
              <w:rPr>
                <w:rFonts w:hint="eastAsia"/>
                <w:color w:val="auto"/>
                <w:lang w:val="en-US"/>
              </w:rPr>
            </w:pPr>
            <w:r>
              <w:rPr>
                <w:rFonts w:hint="eastAsia"/>
                <w:color w:val="auto"/>
                <w:lang w:val="en-US"/>
              </w:rPr>
              <w:t>火灾自动报警系统应设有自动和手动两种触发装置。</w:t>
            </w:r>
          </w:p>
        </w:tc>
        <w:tc>
          <w:tcPr>
            <w:tcW w:w="1181" w:type="pct"/>
            <w:tcBorders>
              <w:tl2br w:val="nil"/>
              <w:tr2bl w:val="nil"/>
            </w:tcBorders>
            <w:noWrap w:val="0"/>
            <w:vAlign w:val="center"/>
          </w:tcPr>
          <w:p w14:paraId="3420CA15">
            <w:pPr>
              <w:pStyle w:val="20"/>
              <w:bidi w:val="0"/>
              <w:rPr>
                <w:rFonts w:hint="eastAsia"/>
                <w:color w:val="auto"/>
                <w:lang w:val="en-US" w:eastAsia="zh-CN"/>
              </w:rPr>
            </w:pPr>
            <w:r>
              <w:rPr>
                <w:rFonts w:hint="eastAsia"/>
                <w:color w:val="auto"/>
                <w:lang w:val="en-US" w:eastAsia="zh-CN"/>
              </w:rPr>
              <w:t>《火灾自动报警系统设计规范》GB50116-2013</w:t>
            </w:r>
          </w:p>
          <w:p w14:paraId="566C5783">
            <w:pPr>
              <w:pStyle w:val="20"/>
              <w:bidi w:val="0"/>
              <w:rPr>
                <w:rFonts w:hint="eastAsia"/>
                <w:color w:val="auto"/>
                <w:lang w:val="en-US" w:eastAsia="zh-CN"/>
              </w:rPr>
            </w:pPr>
            <w:r>
              <w:rPr>
                <w:rFonts w:hint="eastAsia"/>
                <w:color w:val="auto"/>
                <w:lang w:val="en-US" w:eastAsia="zh-CN"/>
              </w:rPr>
              <w:t>第3.1.2条</w:t>
            </w:r>
          </w:p>
        </w:tc>
        <w:tc>
          <w:tcPr>
            <w:tcW w:w="1129" w:type="pct"/>
            <w:tcBorders>
              <w:tl2br w:val="nil"/>
              <w:tr2bl w:val="nil"/>
            </w:tcBorders>
            <w:noWrap w:val="0"/>
            <w:vAlign w:val="center"/>
          </w:tcPr>
          <w:p w14:paraId="7817DB1C">
            <w:pPr>
              <w:pStyle w:val="20"/>
              <w:bidi w:val="0"/>
              <w:rPr>
                <w:rFonts w:hint="default"/>
                <w:color w:val="auto"/>
                <w:lang w:val="en-US" w:eastAsia="zh-CN"/>
              </w:rPr>
            </w:pPr>
            <w:r>
              <w:rPr>
                <w:rFonts w:hint="eastAsia"/>
                <w:color w:val="auto"/>
                <w:lang w:val="en-US" w:eastAsia="zh-CN"/>
              </w:rPr>
              <w:t>设有自动和收到两种触发装置。</w:t>
            </w:r>
          </w:p>
        </w:tc>
        <w:tc>
          <w:tcPr>
            <w:tcW w:w="513" w:type="pct"/>
            <w:tcBorders>
              <w:tl2br w:val="nil"/>
              <w:tr2bl w:val="nil"/>
            </w:tcBorders>
            <w:noWrap w:val="0"/>
            <w:vAlign w:val="center"/>
          </w:tcPr>
          <w:p w14:paraId="5539A664">
            <w:pPr>
              <w:pStyle w:val="20"/>
              <w:bidi w:val="0"/>
              <w:rPr>
                <w:rFonts w:hint="default"/>
                <w:color w:val="auto"/>
                <w:lang w:val="en-US" w:eastAsia="zh-CN"/>
              </w:rPr>
            </w:pPr>
            <w:r>
              <w:rPr>
                <w:rFonts w:hint="eastAsia"/>
                <w:color w:val="auto"/>
                <w:lang w:val="en-US" w:eastAsia="zh-CN"/>
              </w:rPr>
              <w:t>符合</w:t>
            </w:r>
          </w:p>
        </w:tc>
      </w:tr>
      <w:tr w14:paraId="72FDD4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011E58E7">
            <w:pPr>
              <w:pStyle w:val="20"/>
              <w:bidi w:val="0"/>
              <w:rPr>
                <w:rFonts w:hint="default"/>
                <w:color w:val="auto"/>
                <w:lang w:val="en-US" w:eastAsia="zh-CN"/>
              </w:rPr>
            </w:pPr>
            <w:r>
              <w:rPr>
                <w:rFonts w:hint="eastAsia"/>
                <w:color w:val="auto"/>
                <w:lang w:val="en-US" w:eastAsia="zh-CN"/>
              </w:rPr>
              <w:t>11</w:t>
            </w:r>
          </w:p>
        </w:tc>
        <w:tc>
          <w:tcPr>
            <w:tcW w:w="1927" w:type="pct"/>
            <w:tcBorders>
              <w:tl2br w:val="nil"/>
              <w:tr2bl w:val="nil"/>
            </w:tcBorders>
            <w:noWrap w:val="0"/>
            <w:vAlign w:val="center"/>
          </w:tcPr>
          <w:p w14:paraId="6F7746DF">
            <w:pPr>
              <w:pStyle w:val="20"/>
              <w:bidi w:val="0"/>
              <w:rPr>
                <w:rFonts w:hint="eastAsia"/>
                <w:color w:val="auto"/>
                <w:lang w:val="en-US"/>
              </w:rPr>
            </w:pPr>
            <w:r>
              <w:rPr>
                <w:rFonts w:hint="eastAsia"/>
                <w:color w:val="auto"/>
                <w:lang w:val="en-US"/>
              </w:rPr>
              <w:t>火灾自动报警系统设备应选择符合国家有关标准和有关市场准入制度的产品。</w:t>
            </w:r>
          </w:p>
        </w:tc>
        <w:tc>
          <w:tcPr>
            <w:tcW w:w="1181" w:type="pct"/>
            <w:tcBorders>
              <w:tl2br w:val="nil"/>
              <w:tr2bl w:val="nil"/>
            </w:tcBorders>
            <w:noWrap w:val="0"/>
            <w:vAlign w:val="center"/>
          </w:tcPr>
          <w:p w14:paraId="3EDC610C">
            <w:pPr>
              <w:pStyle w:val="20"/>
              <w:bidi w:val="0"/>
              <w:rPr>
                <w:rFonts w:hint="eastAsia"/>
                <w:color w:val="auto"/>
                <w:lang w:val="en-US" w:eastAsia="zh-CN"/>
              </w:rPr>
            </w:pPr>
            <w:r>
              <w:rPr>
                <w:rFonts w:hint="eastAsia"/>
                <w:color w:val="auto"/>
                <w:lang w:val="en-US" w:eastAsia="zh-CN"/>
              </w:rPr>
              <w:t>《火灾自动报警系统设计规范》GB50116-2013</w:t>
            </w:r>
          </w:p>
          <w:p w14:paraId="4029B923">
            <w:pPr>
              <w:pStyle w:val="20"/>
              <w:bidi w:val="0"/>
              <w:rPr>
                <w:rFonts w:hint="eastAsia"/>
                <w:color w:val="auto"/>
                <w:lang w:val="en-US" w:eastAsia="zh-CN"/>
              </w:rPr>
            </w:pPr>
            <w:r>
              <w:rPr>
                <w:rFonts w:hint="eastAsia"/>
                <w:color w:val="auto"/>
                <w:lang w:val="en-US" w:eastAsia="zh-CN"/>
              </w:rPr>
              <w:t>第3.1.3条</w:t>
            </w:r>
          </w:p>
        </w:tc>
        <w:tc>
          <w:tcPr>
            <w:tcW w:w="1129" w:type="pct"/>
            <w:tcBorders>
              <w:tl2br w:val="nil"/>
              <w:tr2bl w:val="nil"/>
            </w:tcBorders>
            <w:noWrap w:val="0"/>
            <w:vAlign w:val="center"/>
          </w:tcPr>
          <w:p w14:paraId="0278AC84">
            <w:pPr>
              <w:pStyle w:val="20"/>
              <w:bidi w:val="0"/>
              <w:rPr>
                <w:rFonts w:hint="eastAsia"/>
                <w:color w:val="auto"/>
                <w:lang w:val="en-US" w:eastAsia="zh-CN"/>
              </w:rPr>
            </w:pPr>
            <w:r>
              <w:rPr>
                <w:rFonts w:hint="eastAsia"/>
                <w:color w:val="auto"/>
                <w:lang w:val="en-US" w:eastAsia="zh-CN"/>
              </w:rPr>
              <w:t>设备符合国家有关标准和市场准入制度。</w:t>
            </w:r>
          </w:p>
        </w:tc>
        <w:tc>
          <w:tcPr>
            <w:tcW w:w="513" w:type="pct"/>
            <w:tcBorders>
              <w:tl2br w:val="nil"/>
              <w:tr2bl w:val="nil"/>
            </w:tcBorders>
            <w:noWrap w:val="0"/>
            <w:vAlign w:val="center"/>
          </w:tcPr>
          <w:p w14:paraId="2A483778">
            <w:pPr>
              <w:pStyle w:val="20"/>
              <w:bidi w:val="0"/>
              <w:rPr>
                <w:rFonts w:hint="default"/>
                <w:color w:val="auto"/>
                <w:lang w:val="en-US" w:eastAsia="zh-CN"/>
              </w:rPr>
            </w:pPr>
            <w:r>
              <w:rPr>
                <w:rFonts w:hint="eastAsia"/>
                <w:color w:val="auto"/>
                <w:lang w:val="en-US" w:eastAsia="zh-CN"/>
              </w:rPr>
              <w:t>符合</w:t>
            </w:r>
          </w:p>
        </w:tc>
      </w:tr>
      <w:tr w14:paraId="132B69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47" w:type="pct"/>
            <w:tcBorders>
              <w:tl2br w:val="nil"/>
              <w:tr2bl w:val="nil"/>
            </w:tcBorders>
            <w:noWrap w:val="0"/>
            <w:vAlign w:val="center"/>
          </w:tcPr>
          <w:p w14:paraId="7DA7F63B">
            <w:pPr>
              <w:pStyle w:val="20"/>
              <w:bidi w:val="0"/>
              <w:rPr>
                <w:rFonts w:hint="default"/>
                <w:color w:val="auto"/>
                <w:lang w:val="en-US" w:eastAsia="zh-CN"/>
              </w:rPr>
            </w:pPr>
            <w:r>
              <w:rPr>
                <w:rFonts w:hint="eastAsia"/>
                <w:color w:val="auto"/>
                <w:lang w:val="en-US" w:eastAsia="zh-CN"/>
              </w:rPr>
              <w:t>12</w:t>
            </w:r>
          </w:p>
        </w:tc>
        <w:tc>
          <w:tcPr>
            <w:tcW w:w="1927" w:type="pct"/>
            <w:tcBorders>
              <w:tl2br w:val="nil"/>
              <w:tr2bl w:val="nil"/>
            </w:tcBorders>
            <w:noWrap w:val="0"/>
            <w:vAlign w:val="center"/>
          </w:tcPr>
          <w:p w14:paraId="5D37299F">
            <w:pPr>
              <w:pStyle w:val="20"/>
              <w:bidi w:val="0"/>
              <w:rPr>
                <w:rFonts w:hint="eastAsia"/>
                <w:color w:val="auto"/>
                <w:lang w:val="en-US"/>
              </w:rPr>
            </w:pPr>
            <w:r>
              <w:rPr>
                <w:rFonts w:hint="eastAsia"/>
                <w:color w:val="auto"/>
                <w:lang w:val="en-US"/>
              </w:rPr>
              <w:t>具有消防联动功能的火灾自动报警系统的保护对象中应设置消防控制室。</w:t>
            </w:r>
          </w:p>
        </w:tc>
        <w:tc>
          <w:tcPr>
            <w:tcW w:w="1181" w:type="pct"/>
            <w:tcBorders>
              <w:tl2br w:val="nil"/>
              <w:tr2bl w:val="nil"/>
            </w:tcBorders>
            <w:noWrap w:val="0"/>
            <w:vAlign w:val="center"/>
          </w:tcPr>
          <w:p w14:paraId="20DE34C0">
            <w:pPr>
              <w:pStyle w:val="20"/>
              <w:bidi w:val="0"/>
              <w:rPr>
                <w:rFonts w:hint="eastAsia"/>
                <w:color w:val="auto"/>
                <w:lang w:val="en-US" w:eastAsia="zh-CN"/>
              </w:rPr>
            </w:pPr>
            <w:r>
              <w:rPr>
                <w:rFonts w:hint="eastAsia"/>
                <w:color w:val="auto"/>
                <w:lang w:val="en-US" w:eastAsia="zh-CN"/>
              </w:rPr>
              <w:t>《火灾自动报警系统设计规范》GB50116-2013</w:t>
            </w:r>
          </w:p>
          <w:p w14:paraId="135A4BDB">
            <w:pPr>
              <w:pStyle w:val="20"/>
              <w:bidi w:val="0"/>
              <w:rPr>
                <w:rFonts w:hint="eastAsia"/>
                <w:color w:val="auto"/>
                <w:lang w:val="en-US" w:eastAsia="zh-CN"/>
              </w:rPr>
            </w:pPr>
            <w:r>
              <w:rPr>
                <w:rFonts w:hint="eastAsia"/>
                <w:color w:val="auto"/>
                <w:lang w:val="en-US" w:eastAsia="zh-CN"/>
              </w:rPr>
              <w:t>第3.4.1条</w:t>
            </w:r>
          </w:p>
        </w:tc>
        <w:tc>
          <w:tcPr>
            <w:tcW w:w="1129" w:type="pct"/>
            <w:tcBorders>
              <w:tl2br w:val="nil"/>
              <w:tr2bl w:val="nil"/>
            </w:tcBorders>
            <w:noWrap w:val="0"/>
            <w:vAlign w:val="center"/>
          </w:tcPr>
          <w:p w14:paraId="6F3579E2">
            <w:pPr>
              <w:pStyle w:val="20"/>
              <w:bidi w:val="0"/>
              <w:rPr>
                <w:rFonts w:hint="default"/>
                <w:color w:val="auto"/>
                <w:lang w:val="en-US" w:eastAsia="zh-CN"/>
              </w:rPr>
            </w:pPr>
            <w:r>
              <w:rPr>
                <w:rFonts w:hint="eastAsia"/>
                <w:color w:val="auto"/>
                <w:lang w:val="en-US" w:eastAsia="zh-CN"/>
              </w:rPr>
              <w:t>本项目火灾自动报警系统与厂区原有消防控制室相连。</w:t>
            </w:r>
          </w:p>
        </w:tc>
        <w:tc>
          <w:tcPr>
            <w:tcW w:w="513" w:type="pct"/>
            <w:tcBorders>
              <w:tl2br w:val="nil"/>
              <w:tr2bl w:val="nil"/>
            </w:tcBorders>
            <w:noWrap w:val="0"/>
            <w:vAlign w:val="center"/>
          </w:tcPr>
          <w:p w14:paraId="738DC883">
            <w:pPr>
              <w:pStyle w:val="20"/>
              <w:bidi w:val="0"/>
              <w:rPr>
                <w:rFonts w:hint="default"/>
                <w:color w:val="auto"/>
                <w:lang w:val="en-US" w:eastAsia="zh-CN"/>
              </w:rPr>
            </w:pPr>
            <w:r>
              <w:rPr>
                <w:rFonts w:hint="eastAsia"/>
                <w:color w:val="auto"/>
                <w:lang w:val="en-US" w:eastAsia="zh-CN"/>
              </w:rPr>
              <w:t>符合</w:t>
            </w:r>
          </w:p>
        </w:tc>
      </w:tr>
      <w:tr w14:paraId="408104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029" w:hRule="atLeast"/>
          <w:jc w:val="center"/>
        </w:trPr>
        <w:tc>
          <w:tcPr>
            <w:tcW w:w="247" w:type="pct"/>
            <w:tcBorders>
              <w:tl2br w:val="nil"/>
              <w:tr2bl w:val="nil"/>
            </w:tcBorders>
            <w:noWrap w:val="0"/>
            <w:vAlign w:val="center"/>
          </w:tcPr>
          <w:p w14:paraId="65145DE0">
            <w:pPr>
              <w:pStyle w:val="20"/>
              <w:bidi w:val="0"/>
              <w:rPr>
                <w:rFonts w:hint="default"/>
                <w:color w:val="auto"/>
                <w:lang w:val="en-US" w:eastAsia="zh-CN"/>
              </w:rPr>
            </w:pPr>
            <w:r>
              <w:rPr>
                <w:rFonts w:hint="eastAsia"/>
                <w:color w:val="auto"/>
                <w:lang w:val="en-US" w:eastAsia="zh-CN"/>
              </w:rPr>
              <w:t>13</w:t>
            </w:r>
          </w:p>
        </w:tc>
        <w:tc>
          <w:tcPr>
            <w:tcW w:w="1927" w:type="pct"/>
            <w:tcBorders>
              <w:tl2br w:val="nil"/>
              <w:tr2bl w:val="nil"/>
            </w:tcBorders>
            <w:noWrap w:val="0"/>
            <w:vAlign w:val="center"/>
          </w:tcPr>
          <w:p w14:paraId="7794E531">
            <w:pPr>
              <w:pStyle w:val="20"/>
              <w:bidi w:val="0"/>
              <w:rPr>
                <w:rFonts w:hint="eastAsia"/>
                <w:color w:val="auto"/>
                <w:lang w:val="en-US"/>
              </w:rPr>
            </w:pPr>
            <w:r>
              <w:rPr>
                <w:rFonts w:hint="eastAsia"/>
                <w:color w:val="auto"/>
                <w:lang w:val="en-US"/>
              </w:rPr>
              <w:t>消防控制室内严禁穿过与消防设施无关的电气线路及管路。</w:t>
            </w:r>
          </w:p>
        </w:tc>
        <w:tc>
          <w:tcPr>
            <w:tcW w:w="1181" w:type="pct"/>
            <w:tcBorders>
              <w:tl2br w:val="nil"/>
              <w:tr2bl w:val="nil"/>
            </w:tcBorders>
            <w:noWrap w:val="0"/>
            <w:vAlign w:val="center"/>
          </w:tcPr>
          <w:p w14:paraId="61DAF0D3">
            <w:pPr>
              <w:pStyle w:val="20"/>
              <w:bidi w:val="0"/>
              <w:rPr>
                <w:rFonts w:hint="eastAsia"/>
                <w:color w:val="auto"/>
                <w:lang w:val="en-US" w:eastAsia="zh-CN"/>
              </w:rPr>
            </w:pPr>
            <w:r>
              <w:rPr>
                <w:rFonts w:hint="eastAsia"/>
                <w:color w:val="auto"/>
                <w:lang w:val="en-US" w:eastAsia="zh-CN"/>
              </w:rPr>
              <w:t>《火灾自动报警系统设计规范》GB50116-2013</w:t>
            </w:r>
          </w:p>
          <w:p w14:paraId="31274665">
            <w:pPr>
              <w:pStyle w:val="20"/>
              <w:bidi w:val="0"/>
              <w:rPr>
                <w:rFonts w:hint="eastAsia"/>
                <w:color w:val="auto"/>
                <w:lang w:val="en-US" w:eastAsia="zh-CN"/>
              </w:rPr>
            </w:pPr>
            <w:r>
              <w:rPr>
                <w:rFonts w:hint="eastAsia"/>
                <w:color w:val="auto"/>
                <w:lang w:val="en-US" w:eastAsia="zh-CN"/>
              </w:rPr>
              <w:t>第3.4.6条</w:t>
            </w:r>
          </w:p>
        </w:tc>
        <w:tc>
          <w:tcPr>
            <w:tcW w:w="1129" w:type="pct"/>
            <w:tcBorders>
              <w:tl2br w:val="nil"/>
              <w:tr2bl w:val="nil"/>
            </w:tcBorders>
            <w:noWrap w:val="0"/>
            <w:vAlign w:val="center"/>
          </w:tcPr>
          <w:p w14:paraId="09071AED">
            <w:pPr>
              <w:pStyle w:val="20"/>
              <w:bidi w:val="0"/>
              <w:rPr>
                <w:rFonts w:hint="default"/>
                <w:color w:val="auto"/>
                <w:lang w:val="en-US" w:eastAsia="zh-CN"/>
              </w:rPr>
            </w:pPr>
            <w:r>
              <w:rPr>
                <w:rFonts w:hint="eastAsia"/>
                <w:color w:val="auto"/>
                <w:lang w:val="en-US" w:eastAsia="zh-CN"/>
              </w:rPr>
              <w:t>不穿过电气线路及管路。</w:t>
            </w:r>
          </w:p>
        </w:tc>
        <w:tc>
          <w:tcPr>
            <w:tcW w:w="513" w:type="pct"/>
            <w:tcBorders>
              <w:tl2br w:val="nil"/>
              <w:tr2bl w:val="nil"/>
            </w:tcBorders>
            <w:noWrap w:val="0"/>
            <w:vAlign w:val="center"/>
          </w:tcPr>
          <w:p w14:paraId="11A21035">
            <w:pPr>
              <w:pStyle w:val="20"/>
              <w:bidi w:val="0"/>
              <w:rPr>
                <w:rFonts w:hint="default"/>
                <w:color w:val="auto"/>
                <w:lang w:val="en-US" w:eastAsia="zh-CN"/>
              </w:rPr>
            </w:pPr>
            <w:r>
              <w:rPr>
                <w:rFonts w:hint="eastAsia"/>
                <w:color w:val="auto"/>
                <w:lang w:val="en-US" w:eastAsia="zh-CN"/>
              </w:rPr>
              <w:t>符合</w:t>
            </w:r>
          </w:p>
        </w:tc>
      </w:tr>
    </w:tbl>
    <w:p w14:paraId="60A187BE">
      <w:pPr>
        <w:bidi w:val="0"/>
        <w:rPr>
          <w:rFonts w:hint="default"/>
          <w:color w:val="auto"/>
          <w:lang w:val="en-US" w:eastAsia="zh-CN"/>
        </w:rPr>
      </w:pPr>
      <w:r>
        <w:rPr>
          <w:rFonts w:hint="eastAsia"/>
          <w:color w:val="auto"/>
          <w:lang w:val="en-US" w:eastAsia="zh-CN"/>
        </w:rPr>
        <w:t>消防子</w:t>
      </w:r>
      <w:r>
        <w:rPr>
          <w:rFonts w:hint="default"/>
          <w:color w:val="auto"/>
          <w:lang w:val="en-US" w:eastAsia="zh-CN"/>
        </w:rPr>
        <w:t>单元评价小结：本单元进行了</w:t>
      </w:r>
      <w:r>
        <w:rPr>
          <w:rFonts w:hint="eastAsia"/>
          <w:color w:val="auto"/>
          <w:lang w:val="en-US" w:eastAsia="zh-CN"/>
        </w:rPr>
        <w:t>13</w:t>
      </w:r>
      <w:r>
        <w:rPr>
          <w:rFonts w:hint="default"/>
          <w:color w:val="auto"/>
          <w:lang w:val="en-US" w:eastAsia="zh-CN"/>
        </w:rPr>
        <w:t>项检查，符合项</w:t>
      </w:r>
      <w:r>
        <w:rPr>
          <w:rFonts w:hint="eastAsia"/>
          <w:color w:val="auto"/>
          <w:lang w:val="en-US" w:eastAsia="zh-CN"/>
        </w:rPr>
        <w:t>12</w:t>
      </w:r>
      <w:r>
        <w:rPr>
          <w:rFonts w:hint="default"/>
          <w:color w:val="auto"/>
          <w:lang w:val="en-US" w:eastAsia="zh-CN"/>
        </w:rPr>
        <w:t>项，不符合项</w:t>
      </w:r>
      <w:r>
        <w:rPr>
          <w:rFonts w:hint="eastAsia"/>
          <w:color w:val="auto"/>
          <w:lang w:val="en-US" w:eastAsia="zh-CN"/>
        </w:rPr>
        <w:t>1</w:t>
      </w:r>
      <w:r>
        <w:rPr>
          <w:rFonts w:hint="default"/>
          <w:color w:val="auto"/>
          <w:lang w:val="en-US" w:eastAsia="zh-CN"/>
        </w:rPr>
        <w:t>项。</w:t>
      </w:r>
      <w:r>
        <w:rPr>
          <w:rFonts w:hint="eastAsia"/>
          <w:color w:val="auto"/>
          <w:lang w:val="en-US" w:eastAsia="zh-CN"/>
        </w:rPr>
        <w:t>不符合项为：皮带脱水机房未配备灭火器。</w:t>
      </w:r>
    </w:p>
    <w:p w14:paraId="47532723">
      <w:pPr>
        <w:pStyle w:val="4"/>
        <w:bidi w:val="0"/>
        <w:rPr>
          <w:rFonts w:hint="eastAsia"/>
          <w:color w:val="auto"/>
          <w:lang w:val="en-US" w:eastAsia="zh-CN"/>
        </w:rPr>
      </w:pPr>
      <w:bookmarkStart w:id="105" w:name="_Toc25292"/>
      <w:r>
        <w:rPr>
          <w:rFonts w:hint="eastAsia"/>
          <w:color w:val="auto"/>
          <w:lang w:val="en-US" w:eastAsia="zh-CN"/>
        </w:rPr>
        <w:t>5.4.3给排水子单元</w:t>
      </w:r>
      <w:bookmarkEnd w:id="105"/>
    </w:p>
    <w:p w14:paraId="7CB0AE2A">
      <w:pPr>
        <w:numPr>
          <w:ilvl w:val="0"/>
          <w:numId w:val="0"/>
        </w:numPr>
        <w:bidi w:val="0"/>
        <w:ind w:firstLine="560" w:firstLineChars="200"/>
        <w:rPr>
          <w:rFonts w:hint="eastAsia"/>
          <w:color w:val="auto"/>
          <w:lang w:val="en-US"/>
        </w:rPr>
      </w:pPr>
      <w:r>
        <w:rPr>
          <w:rFonts w:hint="eastAsia" w:cs="Times New Roman"/>
          <w:color w:val="auto"/>
          <w:kern w:val="2"/>
          <w:sz w:val="28"/>
          <w:szCs w:val="28"/>
          <w:lang w:val="en-US" w:eastAsia="zh-CN" w:bidi="ar-SA"/>
        </w:rPr>
        <w:t>1.</w:t>
      </w:r>
      <w:r>
        <w:rPr>
          <w:rFonts w:hint="eastAsia"/>
          <w:color w:val="auto"/>
          <w:lang w:val="en-US"/>
        </w:rPr>
        <w:t>供水系统</w:t>
      </w:r>
    </w:p>
    <w:p w14:paraId="3056DED6">
      <w:pPr>
        <w:bidi w:val="0"/>
        <w:rPr>
          <w:rFonts w:hint="eastAsia"/>
          <w:color w:val="auto"/>
        </w:rPr>
      </w:pPr>
      <w:r>
        <w:rPr>
          <w:rFonts w:hint="eastAsia"/>
          <w:color w:val="auto"/>
        </w:rPr>
        <w:t>本项目生产、生活及消防用水的水源由瑞昌制造一厂的5#水库通过水泵（2台水泵，1用1备），经DN250埋地水管至本项目工务组供水站的6#水库（圆形，容积3000m</w:t>
      </w:r>
      <w:r>
        <w:rPr>
          <w:rFonts w:hint="eastAsia"/>
          <w:color w:val="auto"/>
          <w:vertAlign w:val="superscript"/>
        </w:rPr>
        <w:t>3</w:t>
      </w:r>
      <w:r>
        <w:rPr>
          <w:rFonts w:hint="eastAsia"/>
          <w:color w:val="auto"/>
        </w:rPr>
        <w:t>），6#水库通过水泵（2台水泵，1用1备）加压（0.3～0.4MPa）至生产、生活、消防用水环形管网，管径为DN200，供水站7#水库（V=3000m</w:t>
      </w:r>
      <w:r>
        <w:rPr>
          <w:rFonts w:hint="eastAsia"/>
          <w:color w:val="auto"/>
          <w:vertAlign w:val="superscript"/>
        </w:rPr>
        <w:t>3</w:t>
      </w:r>
      <w:r>
        <w:rPr>
          <w:rFonts w:hint="eastAsia"/>
          <w:color w:val="auto"/>
        </w:rPr>
        <w:t>，设在山坡上，其库底与项目生产场所地面高度差为50m）通过自流至设置在厂内</w:t>
      </w:r>
      <w:r>
        <w:rPr>
          <w:rFonts w:hint="eastAsia"/>
          <w:color w:val="auto"/>
          <w:lang w:val="en-US" w:eastAsia="zh-CN"/>
        </w:rPr>
        <w:t>的</w:t>
      </w:r>
      <w:r>
        <w:rPr>
          <w:rFonts w:hint="eastAsia"/>
          <w:color w:val="auto"/>
        </w:rPr>
        <w:t>各循环给水管网，保障供水水源及循环水储存。其水质能够满足全厂生产及消防用水水质要求。</w:t>
      </w:r>
    </w:p>
    <w:p w14:paraId="2D971B06">
      <w:pPr>
        <w:bidi w:val="0"/>
        <w:rPr>
          <w:rFonts w:hint="eastAsia"/>
          <w:color w:val="auto"/>
          <w:lang w:val="en-US"/>
        </w:rPr>
      </w:pPr>
      <w:r>
        <w:rPr>
          <w:rFonts w:hint="eastAsia"/>
          <w:color w:val="auto"/>
          <w:lang w:val="en-US"/>
        </w:rPr>
        <w:t>本次技改项目不新增员工，</w:t>
      </w:r>
      <w:r>
        <w:rPr>
          <w:rFonts w:hint="eastAsia"/>
          <w:color w:val="auto"/>
          <w:lang w:val="en-US" w:eastAsia="zh-CN"/>
        </w:rPr>
        <w:t>故</w:t>
      </w:r>
      <w:r>
        <w:rPr>
          <w:rFonts w:hint="eastAsia"/>
          <w:color w:val="auto"/>
          <w:lang w:val="en-US"/>
        </w:rPr>
        <w:t>不增加员工生活用水；主要为新增的脱硫系统用水，依托厂区主供水管道供给，新增新水量约720m</w:t>
      </w:r>
      <w:r>
        <w:rPr>
          <w:rFonts w:hint="eastAsia"/>
          <w:color w:val="auto"/>
          <w:vertAlign w:val="superscript"/>
          <w:lang w:val="en-US"/>
        </w:rPr>
        <w:t>3</w:t>
      </w:r>
      <w:r>
        <w:rPr>
          <w:rFonts w:hint="eastAsia"/>
          <w:color w:val="auto"/>
          <w:lang w:val="en-US"/>
        </w:rPr>
        <w:t>/d，主要用于吸收塔浆池补充水，除雾器冲洗水，石灰石浆液制备系统用水，脱硫岛场地冲洗水，所有浆液输送设备、输送管路、贮存箱的冲洗水和脱硫系统辅助机械冷却用水、密封水。用水中部分蒸发损失，剩余部分则进入脱硫系统中循环使用，不外排。</w:t>
      </w:r>
    </w:p>
    <w:p w14:paraId="26105A5B">
      <w:pPr>
        <w:bidi w:val="0"/>
        <w:rPr>
          <w:color w:val="auto"/>
          <w:lang w:val="en-US"/>
        </w:rPr>
      </w:pPr>
      <w:r>
        <w:rPr>
          <w:rFonts w:hint="eastAsia"/>
          <w:color w:val="auto"/>
          <w:lang w:val="en-US" w:eastAsia="zh-CN"/>
        </w:rPr>
        <w:t>由上可知，</w:t>
      </w:r>
      <w:r>
        <w:rPr>
          <w:rFonts w:hint="eastAsia"/>
          <w:color w:val="auto"/>
          <w:sz w:val="28"/>
          <w:szCs w:val="36"/>
          <w:lang w:val="en-US" w:eastAsia="zh-CN"/>
        </w:rPr>
        <w:t>供</w:t>
      </w:r>
      <w:r>
        <w:rPr>
          <w:rFonts w:hint="eastAsia"/>
          <w:color w:val="auto"/>
          <w:sz w:val="28"/>
          <w:szCs w:val="36"/>
        </w:rPr>
        <w:t>水系统能够满足生产、生活和消防需求</w:t>
      </w:r>
      <w:r>
        <w:rPr>
          <w:rFonts w:hint="eastAsia"/>
          <w:color w:val="auto"/>
          <w:sz w:val="28"/>
          <w:szCs w:val="36"/>
          <w:lang w:eastAsia="zh-CN"/>
        </w:rPr>
        <w:t>。</w:t>
      </w:r>
    </w:p>
    <w:p w14:paraId="6C5B2509">
      <w:pPr>
        <w:bidi w:val="0"/>
        <w:rPr>
          <w:color w:val="auto"/>
          <w:lang w:val="en-US"/>
        </w:rPr>
      </w:pPr>
      <w:r>
        <w:rPr>
          <w:rFonts w:hint="eastAsia"/>
          <w:color w:val="auto"/>
          <w:lang w:val="en-US" w:eastAsia="zh-CN"/>
        </w:rPr>
        <w:t>2.</w:t>
      </w:r>
      <w:r>
        <w:rPr>
          <w:rFonts w:hint="eastAsia"/>
          <w:color w:val="auto"/>
          <w:lang w:val="en-US"/>
        </w:rPr>
        <w:t>排水系统</w:t>
      </w:r>
    </w:p>
    <w:p w14:paraId="4F88C17F">
      <w:pPr>
        <w:bidi w:val="0"/>
        <w:rPr>
          <w:rFonts w:hint="eastAsia"/>
          <w:color w:val="auto"/>
          <w:lang w:val="en-US"/>
        </w:rPr>
      </w:pPr>
      <w:r>
        <w:rPr>
          <w:rFonts w:hint="eastAsia"/>
          <w:color w:val="auto"/>
          <w:lang w:val="en-US"/>
        </w:rPr>
        <w:t>雨水系统依托</w:t>
      </w:r>
      <w:r>
        <w:rPr>
          <w:rFonts w:hint="eastAsia"/>
          <w:color w:val="auto"/>
          <w:lang w:val="en-US" w:eastAsia="zh-CN"/>
        </w:rPr>
        <w:t>厂区</w:t>
      </w:r>
      <w:r>
        <w:rPr>
          <w:rFonts w:hint="eastAsia"/>
          <w:color w:val="auto"/>
          <w:lang w:val="en-US"/>
        </w:rPr>
        <w:t>现有。现有厂区实行雨污分流，雨水经排洪沟排出。</w:t>
      </w:r>
      <w:r>
        <w:rPr>
          <w:rFonts w:hint="eastAsia"/>
          <w:color w:val="auto"/>
          <w:lang w:val="en-US" w:eastAsia="zh-CN"/>
        </w:rPr>
        <w:t>无新增生活污水，</w:t>
      </w:r>
      <w:r>
        <w:rPr>
          <w:rFonts w:hint="eastAsia"/>
          <w:color w:val="auto"/>
          <w:lang w:val="en-US"/>
        </w:rPr>
        <w:t>生产废水全部进入排水坑进行综合利用，不外排。</w:t>
      </w:r>
    </w:p>
    <w:p w14:paraId="2A06B3BE">
      <w:pPr>
        <w:bidi w:val="0"/>
        <w:rPr>
          <w:rFonts w:hint="default" w:eastAsia="宋体"/>
          <w:color w:val="auto"/>
          <w:lang w:val="en-US" w:eastAsia="zh-CN"/>
        </w:rPr>
      </w:pPr>
      <w:r>
        <w:rPr>
          <w:rFonts w:hint="eastAsia"/>
          <w:color w:val="auto"/>
          <w:lang w:val="en-US" w:eastAsia="zh-CN"/>
        </w:rPr>
        <w:t>排水系统能满足项目需求。</w:t>
      </w:r>
    </w:p>
    <w:p w14:paraId="3F05F116">
      <w:pPr>
        <w:bidi w:val="0"/>
        <w:rPr>
          <w:rFonts w:hint="eastAsia"/>
          <w:color w:val="auto"/>
          <w:lang w:val="en-US"/>
        </w:rPr>
      </w:pPr>
      <w:r>
        <w:rPr>
          <w:rFonts w:hint="eastAsia"/>
          <w:color w:val="auto"/>
          <w:lang w:val="en-US" w:eastAsia="zh-CN"/>
        </w:rPr>
        <w:t>3.</w:t>
      </w:r>
      <w:r>
        <w:rPr>
          <w:rFonts w:hint="eastAsia"/>
          <w:color w:val="auto"/>
          <w:lang w:val="en-US"/>
        </w:rPr>
        <w:t>用水量：本次脱硫系统用水量约42799.56m</w:t>
      </w:r>
      <w:r>
        <w:rPr>
          <w:rFonts w:hint="eastAsia"/>
          <w:color w:val="auto"/>
          <w:vertAlign w:val="superscript"/>
          <w:lang w:val="en-US"/>
        </w:rPr>
        <w:t>3</w:t>
      </w:r>
      <w:r>
        <w:rPr>
          <w:rFonts w:hint="eastAsia"/>
          <w:color w:val="auto"/>
          <w:lang w:val="en-US"/>
        </w:rPr>
        <w:t>/d，其中新水补充量720m</w:t>
      </w:r>
      <w:r>
        <w:rPr>
          <w:rFonts w:hint="eastAsia"/>
          <w:color w:val="auto"/>
          <w:vertAlign w:val="superscript"/>
          <w:lang w:val="en-US"/>
        </w:rPr>
        <w:t>3</w:t>
      </w:r>
      <w:r>
        <w:rPr>
          <w:rFonts w:hint="eastAsia"/>
          <w:color w:val="auto"/>
          <w:lang w:val="en-US"/>
        </w:rPr>
        <w:t>/d，循环水量约42000m</w:t>
      </w:r>
      <w:r>
        <w:rPr>
          <w:rFonts w:hint="eastAsia"/>
          <w:color w:val="auto"/>
          <w:vertAlign w:val="superscript"/>
          <w:lang w:val="en-US"/>
        </w:rPr>
        <w:t>3</w:t>
      </w:r>
      <w:r>
        <w:rPr>
          <w:rFonts w:hint="eastAsia"/>
          <w:color w:val="auto"/>
          <w:lang w:val="en-US"/>
        </w:rPr>
        <w:t>/d，损耗量677.76mm</w:t>
      </w:r>
      <w:r>
        <w:rPr>
          <w:rFonts w:hint="eastAsia"/>
          <w:color w:val="auto"/>
          <w:vertAlign w:val="superscript"/>
          <w:lang w:val="en-US"/>
        </w:rPr>
        <w:t>3</w:t>
      </w:r>
      <w:r>
        <w:rPr>
          <w:rFonts w:hint="eastAsia"/>
          <w:color w:val="auto"/>
          <w:lang w:val="en-US"/>
        </w:rPr>
        <w:t>/d，其中石膏产生量为52.8t/d（含水率为80%)，则石膏含水量为42.24m</w:t>
      </w:r>
      <w:r>
        <w:rPr>
          <w:rFonts w:hint="eastAsia"/>
          <w:color w:val="auto"/>
          <w:vertAlign w:val="superscript"/>
          <w:lang w:val="en-US"/>
        </w:rPr>
        <w:t>3</w:t>
      </w:r>
      <w:r>
        <w:rPr>
          <w:rFonts w:hint="eastAsia"/>
          <w:color w:val="auto"/>
          <w:lang w:val="en-US"/>
        </w:rPr>
        <w:t>/d。废水产生量约79.56m</w:t>
      </w:r>
      <w:r>
        <w:rPr>
          <w:rFonts w:hint="eastAsia"/>
          <w:color w:val="auto"/>
          <w:vertAlign w:val="superscript"/>
          <w:lang w:val="en-US"/>
        </w:rPr>
        <w:t>3</w:t>
      </w:r>
      <w:r>
        <w:rPr>
          <w:rFonts w:hint="eastAsia"/>
          <w:color w:val="auto"/>
          <w:lang w:val="en-US"/>
        </w:rPr>
        <w:t>/d，全部回用于浆液补水，无废水外排。</w:t>
      </w:r>
    </w:p>
    <w:p w14:paraId="22EEF201">
      <w:pPr>
        <w:bidi w:val="0"/>
        <w:rPr>
          <w:rFonts w:hint="default" w:eastAsia="宋体"/>
          <w:color w:val="auto"/>
          <w:lang w:val="en-US" w:eastAsia="zh-CN"/>
        </w:rPr>
      </w:pPr>
      <w:r>
        <w:rPr>
          <w:rFonts w:hint="eastAsia"/>
          <w:color w:val="auto"/>
          <w:lang w:val="en-US" w:eastAsia="zh-CN"/>
        </w:rPr>
        <w:t>综上所述，给排水单元能够满足项目需求。</w:t>
      </w:r>
    </w:p>
    <w:p w14:paraId="47D98005">
      <w:pPr>
        <w:pStyle w:val="4"/>
        <w:bidi w:val="0"/>
        <w:rPr>
          <w:rFonts w:hint="eastAsia"/>
          <w:color w:val="auto"/>
          <w:lang w:val="en-US" w:eastAsia="zh-CN"/>
        </w:rPr>
      </w:pPr>
      <w:bookmarkStart w:id="106" w:name="_Toc11265"/>
      <w:r>
        <w:rPr>
          <w:rFonts w:hint="eastAsia"/>
          <w:color w:val="auto"/>
          <w:lang w:val="en-US" w:eastAsia="zh-CN"/>
        </w:rPr>
        <w:t>5.4.4防雷、防静电接地子单元</w:t>
      </w:r>
      <w:bookmarkEnd w:id="106"/>
    </w:p>
    <w:p w14:paraId="4EF27F2C">
      <w:pPr>
        <w:rPr>
          <w:rFonts w:hint="eastAsia" w:ascii="Times New Roman" w:hAnsi="Times New Roman" w:eastAsia="宋体" w:cs="Times New Roman"/>
          <w:color w:val="auto"/>
          <w:lang w:eastAsia="zh-CN"/>
        </w:rPr>
      </w:pPr>
      <w:r>
        <w:rPr>
          <w:rFonts w:hint="eastAsia"/>
          <w:color w:val="auto"/>
        </w:rPr>
        <w:t>依据《</w:t>
      </w:r>
      <w:r>
        <w:rPr>
          <w:rFonts w:hint="eastAsia"/>
          <w:color w:val="auto"/>
          <w:lang w:val="en-US" w:eastAsia="zh-CN"/>
        </w:rPr>
        <w:t>建筑物防雷设计规范》、</w:t>
      </w:r>
      <w:r>
        <w:rPr>
          <w:rFonts w:hint="eastAsia" w:ascii="Times New Roman" w:hAnsi="Times New Roman" w:eastAsia="宋体" w:cs="Times New Roman"/>
          <w:color w:val="auto"/>
          <w:lang w:val="en-US" w:eastAsia="zh-CN"/>
        </w:rPr>
        <w:t>《建筑物防雷装置检测技术规范》</w:t>
      </w:r>
      <w:r>
        <w:rPr>
          <w:rFonts w:hint="eastAsia"/>
          <w:color w:val="auto"/>
        </w:rPr>
        <w:t>等法规、规范，使用安全检查表法对</w:t>
      </w:r>
      <w:r>
        <w:rPr>
          <w:rFonts w:hint="eastAsia"/>
          <w:color w:val="auto"/>
          <w:lang w:val="en-US" w:eastAsia="zh-CN"/>
        </w:rPr>
        <w:t>防雷、防静电接地子</w:t>
      </w:r>
      <w:r>
        <w:rPr>
          <w:rFonts w:hint="eastAsia"/>
          <w:color w:val="auto"/>
        </w:rPr>
        <w:t>单元是否符合相关</w:t>
      </w:r>
      <w:r>
        <w:rPr>
          <w:rFonts w:hint="eastAsia" w:ascii="Times New Roman" w:hAnsi="Times New Roman" w:eastAsia="宋体" w:cs="Times New Roman"/>
          <w:color w:val="auto"/>
        </w:rPr>
        <w:t>要求进行检查，检查情况见表5.</w:t>
      </w:r>
      <w:r>
        <w:rPr>
          <w:rFonts w:hint="eastAsia" w:cs="Times New Roman"/>
          <w:color w:val="auto"/>
          <w:lang w:val="en-US" w:eastAsia="zh-CN"/>
        </w:rPr>
        <w:t>4</w:t>
      </w:r>
      <w:r>
        <w:rPr>
          <w:rFonts w:hint="eastAsia" w:ascii="Times New Roman" w:hAnsi="Times New Roman" w:eastAsia="宋体" w:cs="Times New Roman"/>
          <w:color w:val="auto"/>
        </w:rPr>
        <w:t>.</w:t>
      </w:r>
      <w:r>
        <w:rPr>
          <w:rFonts w:hint="eastAsia" w:ascii="Times New Roman" w:hAnsi="Times New Roman" w:eastAsia="宋体" w:cs="Times New Roman"/>
          <w:color w:val="auto"/>
          <w:lang w:val="en-US" w:eastAsia="zh-CN"/>
        </w:rPr>
        <w:t>4</w:t>
      </w:r>
      <w:r>
        <w:rPr>
          <w:rFonts w:hint="eastAsia" w:ascii="Times New Roman" w:hAnsi="Times New Roman" w:eastAsia="宋体" w:cs="Times New Roman"/>
          <w:color w:val="auto"/>
        </w:rPr>
        <w:t>-1</w:t>
      </w:r>
      <w:r>
        <w:rPr>
          <w:rFonts w:hint="eastAsia" w:ascii="Times New Roman" w:hAnsi="Times New Roman" w:eastAsia="宋体" w:cs="Times New Roman"/>
          <w:color w:val="auto"/>
          <w:lang w:eastAsia="zh-CN"/>
        </w:rPr>
        <w:t>。</w:t>
      </w:r>
    </w:p>
    <w:p w14:paraId="1A083B0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olor w:val="auto"/>
          <w:lang w:val="en-US" w:eastAsia="zh-CN"/>
        </w:rPr>
      </w:pPr>
      <w:r>
        <w:rPr>
          <w:rFonts w:hint="eastAsia"/>
          <w:color w:val="auto"/>
          <w:lang w:val="en-US" w:eastAsia="zh-CN"/>
        </w:rPr>
        <w:t>5.4.4-1</w:t>
      </w:r>
      <w:r>
        <w:rPr>
          <w:rFonts w:hint="eastAsia"/>
          <w:color w:val="auto"/>
          <w:lang w:eastAsia="zh-CN"/>
        </w:rPr>
        <w:t>防雷、防静电接地子单元</w:t>
      </w:r>
      <w:r>
        <w:rPr>
          <w:rFonts w:hint="eastAsia"/>
          <w:color w:val="auto"/>
          <w:lang w:val="en-US" w:eastAsia="zh-CN"/>
        </w:rPr>
        <w:t>检查表</w:t>
      </w:r>
    </w:p>
    <w:tbl>
      <w:tblPr>
        <w:tblStyle w:val="14"/>
        <w:tblW w:w="517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09"/>
        <w:gridCol w:w="4050"/>
        <w:gridCol w:w="1920"/>
        <w:gridCol w:w="1898"/>
        <w:gridCol w:w="951"/>
      </w:tblGrid>
      <w:tr w14:paraId="2AF7F1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323" w:type="pct"/>
            <w:tcBorders>
              <w:tl2br w:val="nil"/>
              <w:tr2bl w:val="nil"/>
            </w:tcBorders>
            <w:noWrap w:val="0"/>
            <w:textDirection w:val="tbRlV"/>
            <w:vAlign w:val="center"/>
          </w:tcPr>
          <w:p w14:paraId="1B200841">
            <w:pPr>
              <w:pStyle w:val="21"/>
              <w:bidi w:val="0"/>
              <w:rPr>
                <w:rFonts w:hint="eastAsia"/>
                <w:color w:val="auto"/>
                <w:lang w:val="en-US"/>
              </w:rPr>
            </w:pPr>
            <w:r>
              <w:rPr>
                <w:rFonts w:hint="eastAsia"/>
                <w:color w:val="auto"/>
                <w:lang w:val="en-US"/>
              </w:rPr>
              <w:t>序号</w:t>
            </w:r>
          </w:p>
        </w:tc>
        <w:tc>
          <w:tcPr>
            <w:tcW w:w="2147" w:type="pct"/>
            <w:tcBorders>
              <w:tl2br w:val="nil"/>
              <w:tr2bl w:val="nil"/>
            </w:tcBorders>
            <w:noWrap w:val="0"/>
            <w:vAlign w:val="center"/>
          </w:tcPr>
          <w:p w14:paraId="3F608CCF">
            <w:pPr>
              <w:pStyle w:val="21"/>
              <w:bidi w:val="0"/>
              <w:rPr>
                <w:rFonts w:hint="eastAsia"/>
                <w:color w:val="auto"/>
                <w:lang w:val="en-US"/>
              </w:rPr>
            </w:pPr>
            <w:r>
              <w:rPr>
                <w:rFonts w:hint="eastAsia"/>
                <w:color w:val="auto"/>
                <w:lang w:val="en-US"/>
              </w:rPr>
              <w:t>检查项目和内容</w:t>
            </w:r>
          </w:p>
        </w:tc>
        <w:tc>
          <w:tcPr>
            <w:tcW w:w="1018" w:type="pct"/>
            <w:tcBorders>
              <w:tl2br w:val="nil"/>
              <w:tr2bl w:val="nil"/>
            </w:tcBorders>
            <w:noWrap w:val="0"/>
            <w:vAlign w:val="center"/>
          </w:tcPr>
          <w:p w14:paraId="62AB85C2">
            <w:pPr>
              <w:pStyle w:val="21"/>
              <w:bidi w:val="0"/>
              <w:rPr>
                <w:rFonts w:hint="eastAsia"/>
                <w:color w:val="auto"/>
                <w:lang w:val="en-US"/>
              </w:rPr>
            </w:pPr>
            <w:r>
              <w:rPr>
                <w:rFonts w:hint="eastAsia"/>
                <w:color w:val="auto"/>
                <w:lang w:val="en-US"/>
              </w:rPr>
              <w:t>检查依据</w:t>
            </w:r>
          </w:p>
        </w:tc>
        <w:tc>
          <w:tcPr>
            <w:tcW w:w="1006" w:type="pct"/>
            <w:tcBorders>
              <w:tl2br w:val="nil"/>
              <w:tr2bl w:val="nil"/>
            </w:tcBorders>
            <w:noWrap w:val="0"/>
            <w:vAlign w:val="center"/>
          </w:tcPr>
          <w:p w14:paraId="7875E8BD">
            <w:pPr>
              <w:pStyle w:val="21"/>
              <w:bidi w:val="0"/>
              <w:rPr>
                <w:rFonts w:hint="eastAsia"/>
                <w:color w:val="auto"/>
                <w:lang w:val="en-US"/>
              </w:rPr>
            </w:pPr>
            <w:r>
              <w:rPr>
                <w:rFonts w:hint="eastAsia"/>
                <w:color w:val="auto"/>
                <w:lang w:val="en-US" w:eastAsia="zh-CN"/>
              </w:rPr>
              <w:t>检查情况</w:t>
            </w:r>
          </w:p>
        </w:tc>
        <w:tc>
          <w:tcPr>
            <w:tcW w:w="504" w:type="pct"/>
            <w:tcBorders>
              <w:tl2br w:val="nil"/>
              <w:tr2bl w:val="nil"/>
            </w:tcBorders>
            <w:noWrap w:val="0"/>
            <w:vAlign w:val="center"/>
          </w:tcPr>
          <w:p w14:paraId="39966115">
            <w:pPr>
              <w:pStyle w:val="21"/>
              <w:bidi w:val="0"/>
              <w:rPr>
                <w:rFonts w:hint="eastAsia"/>
                <w:color w:val="auto"/>
                <w:lang w:val="en-US"/>
              </w:rPr>
            </w:pPr>
            <w:r>
              <w:rPr>
                <w:rFonts w:hint="eastAsia"/>
                <w:color w:val="auto"/>
                <w:lang w:val="en-US"/>
              </w:rPr>
              <w:t>检查结果</w:t>
            </w:r>
          </w:p>
        </w:tc>
      </w:tr>
      <w:tr w14:paraId="1D54FC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47" w:hRule="atLeast"/>
          <w:jc w:val="center"/>
        </w:trPr>
        <w:tc>
          <w:tcPr>
            <w:tcW w:w="323" w:type="pct"/>
            <w:tcBorders>
              <w:tl2br w:val="nil"/>
              <w:tr2bl w:val="nil"/>
            </w:tcBorders>
            <w:noWrap w:val="0"/>
            <w:vAlign w:val="center"/>
          </w:tcPr>
          <w:p w14:paraId="2C82CC79">
            <w:pPr>
              <w:pStyle w:val="20"/>
              <w:bidi w:val="0"/>
              <w:rPr>
                <w:rFonts w:hint="eastAsia"/>
                <w:color w:val="auto"/>
                <w:lang w:val="en-US" w:eastAsia="zh-CN"/>
              </w:rPr>
            </w:pPr>
            <w:r>
              <w:rPr>
                <w:rFonts w:hint="eastAsia"/>
                <w:color w:val="auto"/>
                <w:lang w:val="en-US" w:eastAsia="zh-CN"/>
              </w:rPr>
              <w:t>1</w:t>
            </w:r>
          </w:p>
        </w:tc>
        <w:tc>
          <w:tcPr>
            <w:tcW w:w="2147" w:type="pct"/>
            <w:tcBorders>
              <w:tl2br w:val="nil"/>
              <w:tr2bl w:val="nil"/>
            </w:tcBorders>
            <w:noWrap w:val="0"/>
            <w:vAlign w:val="center"/>
          </w:tcPr>
          <w:p w14:paraId="17D8CF70">
            <w:pPr>
              <w:pStyle w:val="20"/>
              <w:bidi w:val="0"/>
              <w:rPr>
                <w:rFonts w:hint="default"/>
                <w:color w:val="auto"/>
                <w:lang w:val="en-US" w:eastAsia="zh-CN"/>
              </w:rPr>
            </w:pPr>
            <w:r>
              <w:rPr>
                <w:rFonts w:hint="default"/>
                <w:color w:val="auto"/>
                <w:lang w:val="en-US" w:eastAsia="zh-CN"/>
              </w:rPr>
              <w:t>各类防雷建筑物应设防直击雷的外部防雷装置，并应采取防闪电电涌侵入的措施。</w:t>
            </w:r>
          </w:p>
        </w:tc>
        <w:tc>
          <w:tcPr>
            <w:tcW w:w="1018" w:type="pct"/>
            <w:tcBorders>
              <w:tl2br w:val="nil"/>
              <w:tr2bl w:val="nil"/>
            </w:tcBorders>
            <w:noWrap w:val="0"/>
            <w:vAlign w:val="center"/>
          </w:tcPr>
          <w:p w14:paraId="6AF8D6D8">
            <w:pPr>
              <w:pStyle w:val="20"/>
              <w:bidi w:val="0"/>
              <w:rPr>
                <w:rFonts w:hint="default"/>
                <w:color w:val="auto"/>
                <w:lang w:val="en-US" w:eastAsia="zh-CN"/>
              </w:rPr>
            </w:pPr>
            <w:r>
              <w:rPr>
                <w:rFonts w:hint="eastAsia"/>
                <w:color w:val="auto"/>
                <w:lang w:val="en-US" w:eastAsia="zh-CN"/>
              </w:rPr>
              <w:t>《建筑物防雷设计规范》GB50057-2010第4.1.1条</w:t>
            </w:r>
          </w:p>
        </w:tc>
        <w:tc>
          <w:tcPr>
            <w:tcW w:w="1006" w:type="pct"/>
            <w:tcBorders>
              <w:tl2br w:val="nil"/>
              <w:tr2bl w:val="nil"/>
            </w:tcBorders>
            <w:noWrap w:val="0"/>
            <w:vAlign w:val="center"/>
          </w:tcPr>
          <w:p w14:paraId="6533D48F">
            <w:pPr>
              <w:pStyle w:val="20"/>
              <w:bidi w:val="0"/>
              <w:rPr>
                <w:rFonts w:hint="default"/>
                <w:color w:val="auto"/>
                <w:lang w:val="en-US" w:eastAsia="zh-CN"/>
              </w:rPr>
            </w:pPr>
            <w:r>
              <w:rPr>
                <w:rFonts w:hint="eastAsia"/>
                <w:color w:val="auto"/>
                <w:lang w:val="en-US" w:eastAsia="zh-CN"/>
              </w:rPr>
              <w:t>已采取设接闪带、信号电涌保护器等保护措施。</w:t>
            </w:r>
          </w:p>
        </w:tc>
        <w:tc>
          <w:tcPr>
            <w:tcW w:w="504" w:type="pct"/>
            <w:tcBorders>
              <w:tl2br w:val="nil"/>
              <w:tr2bl w:val="nil"/>
            </w:tcBorders>
            <w:noWrap w:val="0"/>
            <w:vAlign w:val="center"/>
          </w:tcPr>
          <w:p w14:paraId="0C0D714A">
            <w:pPr>
              <w:pStyle w:val="20"/>
              <w:bidi w:val="0"/>
              <w:rPr>
                <w:rFonts w:hint="eastAsia"/>
                <w:color w:val="auto"/>
                <w:lang w:val="en-US"/>
              </w:rPr>
            </w:pPr>
          </w:p>
          <w:p w14:paraId="660E8E01">
            <w:pPr>
              <w:pStyle w:val="20"/>
              <w:bidi w:val="0"/>
              <w:rPr>
                <w:rFonts w:hint="eastAsia"/>
                <w:color w:val="auto"/>
                <w:lang w:val="en-US"/>
              </w:rPr>
            </w:pPr>
            <w:r>
              <w:rPr>
                <w:rFonts w:hint="eastAsia"/>
                <w:color w:val="auto"/>
                <w:lang w:val="en-US"/>
              </w:rPr>
              <w:t>符合</w:t>
            </w:r>
          </w:p>
        </w:tc>
      </w:tr>
      <w:tr w14:paraId="47F8CC1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93" w:hRule="atLeast"/>
          <w:jc w:val="center"/>
        </w:trPr>
        <w:tc>
          <w:tcPr>
            <w:tcW w:w="323" w:type="pct"/>
            <w:tcBorders>
              <w:tl2br w:val="nil"/>
              <w:tr2bl w:val="nil"/>
            </w:tcBorders>
            <w:noWrap w:val="0"/>
            <w:vAlign w:val="center"/>
          </w:tcPr>
          <w:p w14:paraId="4DFDF555">
            <w:pPr>
              <w:pStyle w:val="20"/>
              <w:bidi w:val="0"/>
              <w:rPr>
                <w:rFonts w:hint="default"/>
                <w:color w:val="auto"/>
                <w:lang w:val="en-US" w:eastAsia="zh-CN"/>
              </w:rPr>
            </w:pPr>
            <w:r>
              <w:rPr>
                <w:rFonts w:hint="eastAsia"/>
                <w:color w:val="auto"/>
                <w:lang w:val="en-US" w:eastAsia="zh-CN"/>
              </w:rPr>
              <w:t>2</w:t>
            </w:r>
          </w:p>
        </w:tc>
        <w:tc>
          <w:tcPr>
            <w:tcW w:w="2147" w:type="pct"/>
            <w:tcBorders>
              <w:tl2br w:val="nil"/>
              <w:tr2bl w:val="nil"/>
            </w:tcBorders>
            <w:noWrap w:val="0"/>
            <w:vAlign w:val="center"/>
          </w:tcPr>
          <w:p w14:paraId="49F1DD42">
            <w:pPr>
              <w:pStyle w:val="20"/>
              <w:bidi w:val="0"/>
              <w:rPr>
                <w:rFonts w:hint="eastAsia"/>
                <w:color w:val="auto"/>
                <w:lang w:val="en-US" w:eastAsia="zh-CN"/>
              </w:rPr>
            </w:pPr>
            <w:r>
              <w:rPr>
                <w:rFonts w:hint="eastAsia"/>
                <w:color w:val="auto"/>
                <w:lang w:val="en-US" w:eastAsia="zh-CN"/>
              </w:rPr>
              <w:t>第三类防雷建筑物外部防雷的措施宜采用装设在建筑物上的接闪网、接闪带或接闪杆，也可采用由接闪网、接闪带和接闪杆混合组成的接闪器。</w:t>
            </w:r>
          </w:p>
        </w:tc>
        <w:tc>
          <w:tcPr>
            <w:tcW w:w="1018" w:type="pct"/>
            <w:tcBorders>
              <w:tl2br w:val="nil"/>
              <w:tr2bl w:val="nil"/>
            </w:tcBorders>
            <w:noWrap w:val="0"/>
            <w:vAlign w:val="center"/>
          </w:tcPr>
          <w:p w14:paraId="2AC92D8A">
            <w:pPr>
              <w:pStyle w:val="20"/>
              <w:bidi w:val="0"/>
              <w:rPr>
                <w:rFonts w:hint="eastAsia"/>
                <w:color w:val="auto"/>
                <w:lang w:val="en-US"/>
              </w:rPr>
            </w:pPr>
            <w:r>
              <w:rPr>
                <w:rFonts w:hint="eastAsia"/>
                <w:color w:val="auto"/>
                <w:lang w:val="en-US"/>
              </w:rPr>
              <w:t>《建筑物防雷设计规范》GB50057-2010第4.</w:t>
            </w:r>
            <w:r>
              <w:rPr>
                <w:rFonts w:hint="eastAsia"/>
                <w:color w:val="auto"/>
                <w:lang w:val="en-US" w:eastAsia="zh-CN"/>
              </w:rPr>
              <w:t>4</w:t>
            </w:r>
            <w:r>
              <w:rPr>
                <w:rFonts w:hint="eastAsia"/>
                <w:color w:val="auto"/>
                <w:lang w:val="en-US"/>
              </w:rPr>
              <w:t>.1条</w:t>
            </w:r>
          </w:p>
        </w:tc>
        <w:tc>
          <w:tcPr>
            <w:tcW w:w="1006" w:type="pct"/>
            <w:tcBorders>
              <w:tl2br w:val="nil"/>
              <w:tr2bl w:val="nil"/>
            </w:tcBorders>
            <w:noWrap w:val="0"/>
            <w:vAlign w:val="center"/>
          </w:tcPr>
          <w:p w14:paraId="45F2376B">
            <w:pPr>
              <w:pStyle w:val="20"/>
              <w:bidi w:val="0"/>
              <w:rPr>
                <w:rFonts w:hint="default"/>
                <w:color w:val="auto"/>
                <w:lang w:val="en-US" w:eastAsia="zh-CN"/>
              </w:rPr>
            </w:pPr>
            <w:r>
              <w:rPr>
                <w:rFonts w:hint="eastAsia"/>
                <w:color w:val="auto"/>
                <w:lang w:val="en-US" w:eastAsia="zh-CN"/>
              </w:rPr>
              <w:t>本项目配电室屋面设接闪器。</w:t>
            </w:r>
          </w:p>
        </w:tc>
        <w:tc>
          <w:tcPr>
            <w:tcW w:w="504" w:type="pct"/>
            <w:tcBorders>
              <w:tl2br w:val="nil"/>
              <w:tr2bl w:val="nil"/>
            </w:tcBorders>
            <w:noWrap w:val="0"/>
            <w:vAlign w:val="center"/>
          </w:tcPr>
          <w:p w14:paraId="237B23F1">
            <w:pPr>
              <w:pStyle w:val="20"/>
              <w:bidi w:val="0"/>
              <w:rPr>
                <w:rFonts w:hint="default"/>
                <w:color w:val="auto"/>
                <w:lang w:val="en-US" w:eastAsia="zh-CN"/>
              </w:rPr>
            </w:pPr>
            <w:r>
              <w:rPr>
                <w:rFonts w:hint="eastAsia"/>
                <w:color w:val="auto"/>
                <w:lang w:val="en-US" w:eastAsia="zh-CN"/>
              </w:rPr>
              <w:t>符合</w:t>
            </w:r>
          </w:p>
        </w:tc>
      </w:tr>
      <w:tr w14:paraId="09144D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485" w:hRule="atLeast"/>
          <w:jc w:val="center"/>
        </w:trPr>
        <w:tc>
          <w:tcPr>
            <w:tcW w:w="323" w:type="pct"/>
            <w:tcBorders>
              <w:tl2br w:val="nil"/>
              <w:tr2bl w:val="nil"/>
            </w:tcBorders>
            <w:noWrap w:val="0"/>
            <w:vAlign w:val="center"/>
          </w:tcPr>
          <w:p w14:paraId="50184255">
            <w:pPr>
              <w:pStyle w:val="20"/>
              <w:bidi w:val="0"/>
              <w:rPr>
                <w:rFonts w:hint="default"/>
                <w:color w:val="auto"/>
                <w:lang w:val="en-US" w:eastAsia="zh-CN"/>
              </w:rPr>
            </w:pPr>
            <w:r>
              <w:rPr>
                <w:rFonts w:hint="eastAsia"/>
                <w:color w:val="auto"/>
                <w:lang w:val="en-US" w:eastAsia="zh-CN"/>
              </w:rPr>
              <w:t>3</w:t>
            </w:r>
          </w:p>
        </w:tc>
        <w:tc>
          <w:tcPr>
            <w:tcW w:w="2147" w:type="pct"/>
            <w:tcBorders>
              <w:tl2br w:val="nil"/>
              <w:tr2bl w:val="nil"/>
            </w:tcBorders>
            <w:noWrap w:val="0"/>
            <w:vAlign w:val="center"/>
          </w:tcPr>
          <w:p w14:paraId="3AE39863">
            <w:pPr>
              <w:pStyle w:val="20"/>
              <w:bidi w:val="0"/>
              <w:rPr>
                <w:rFonts w:hint="eastAsia"/>
                <w:color w:val="auto"/>
                <w:lang w:val="en-US"/>
              </w:rPr>
            </w:pPr>
            <w:r>
              <w:rPr>
                <w:rFonts w:hint="eastAsia"/>
                <w:color w:val="auto"/>
                <w:lang w:val="en-US" w:eastAsia="zh-CN"/>
              </w:rPr>
              <w:t>专设引下线不应少于2根，并应沿建筑物四周和内庭院四周均匀对称布置，其间距沿周长计算不应大于25m。当建筑物的跨度较大，无法在跨距中间设引下线时，应在跨距两端设引下线并减小其他引下线的间距，专设引下线的平均间距不应大于25m。</w:t>
            </w:r>
          </w:p>
        </w:tc>
        <w:tc>
          <w:tcPr>
            <w:tcW w:w="1018" w:type="pct"/>
            <w:tcBorders>
              <w:tl2br w:val="nil"/>
              <w:tr2bl w:val="nil"/>
            </w:tcBorders>
            <w:noWrap w:val="0"/>
            <w:vAlign w:val="center"/>
          </w:tcPr>
          <w:p w14:paraId="6919FBF6">
            <w:pPr>
              <w:pStyle w:val="20"/>
              <w:bidi w:val="0"/>
              <w:rPr>
                <w:rFonts w:hint="eastAsia"/>
                <w:color w:val="auto"/>
                <w:lang w:val="en-US"/>
              </w:rPr>
            </w:pPr>
            <w:r>
              <w:rPr>
                <w:rFonts w:hint="eastAsia"/>
                <w:color w:val="auto"/>
                <w:lang w:val="en-US"/>
              </w:rPr>
              <w:t>《建筑物防雷设计规范》GB50057-2010第4.</w:t>
            </w:r>
            <w:r>
              <w:rPr>
                <w:rFonts w:hint="eastAsia"/>
                <w:color w:val="auto"/>
                <w:lang w:val="en-US" w:eastAsia="zh-CN"/>
              </w:rPr>
              <w:t>4</w:t>
            </w:r>
            <w:r>
              <w:rPr>
                <w:rFonts w:hint="eastAsia"/>
                <w:color w:val="auto"/>
                <w:lang w:val="en-US"/>
              </w:rPr>
              <w:t>.</w:t>
            </w:r>
            <w:r>
              <w:rPr>
                <w:rFonts w:hint="eastAsia"/>
                <w:color w:val="auto"/>
                <w:lang w:val="en-US" w:eastAsia="zh-CN"/>
              </w:rPr>
              <w:t>3</w:t>
            </w:r>
            <w:r>
              <w:rPr>
                <w:rFonts w:hint="eastAsia"/>
                <w:color w:val="auto"/>
                <w:lang w:val="en-US"/>
              </w:rPr>
              <w:t>条</w:t>
            </w:r>
          </w:p>
        </w:tc>
        <w:tc>
          <w:tcPr>
            <w:tcW w:w="1006" w:type="pct"/>
            <w:tcBorders>
              <w:tl2br w:val="nil"/>
              <w:tr2bl w:val="nil"/>
            </w:tcBorders>
            <w:noWrap w:val="0"/>
            <w:vAlign w:val="center"/>
          </w:tcPr>
          <w:p w14:paraId="1E7D5A2F">
            <w:pPr>
              <w:pStyle w:val="20"/>
              <w:bidi w:val="0"/>
              <w:rPr>
                <w:rFonts w:hint="default"/>
                <w:color w:val="auto"/>
                <w:lang w:val="en-US" w:eastAsia="zh-CN"/>
              </w:rPr>
            </w:pPr>
            <w:r>
              <w:rPr>
                <w:rFonts w:hint="eastAsia"/>
                <w:color w:val="auto"/>
                <w:lang w:val="en-US" w:eastAsia="zh-CN"/>
              </w:rPr>
              <w:t>专设引下线不少于2根，且均匀布置，平均间距不大于25m。</w:t>
            </w:r>
          </w:p>
        </w:tc>
        <w:tc>
          <w:tcPr>
            <w:tcW w:w="504" w:type="pct"/>
            <w:tcBorders>
              <w:tl2br w:val="nil"/>
              <w:tr2bl w:val="nil"/>
            </w:tcBorders>
            <w:noWrap w:val="0"/>
            <w:vAlign w:val="center"/>
          </w:tcPr>
          <w:p w14:paraId="26D94036">
            <w:pPr>
              <w:pStyle w:val="20"/>
              <w:bidi w:val="0"/>
              <w:rPr>
                <w:rFonts w:hint="eastAsia"/>
                <w:color w:val="auto"/>
                <w:lang w:val="en-US"/>
              </w:rPr>
            </w:pPr>
            <w:r>
              <w:rPr>
                <w:rFonts w:hint="eastAsia"/>
                <w:color w:val="auto"/>
                <w:lang w:val="en-US"/>
              </w:rPr>
              <w:t>符合</w:t>
            </w:r>
          </w:p>
        </w:tc>
      </w:tr>
      <w:tr w14:paraId="57C83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64" w:hRule="atLeast"/>
          <w:jc w:val="center"/>
        </w:trPr>
        <w:tc>
          <w:tcPr>
            <w:tcW w:w="323" w:type="pct"/>
            <w:tcBorders>
              <w:tl2br w:val="nil"/>
              <w:tr2bl w:val="nil"/>
            </w:tcBorders>
            <w:noWrap w:val="0"/>
            <w:vAlign w:val="center"/>
          </w:tcPr>
          <w:p w14:paraId="797DC0DE">
            <w:pPr>
              <w:pStyle w:val="20"/>
              <w:bidi w:val="0"/>
              <w:rPr>
                <w:rFonts w:hint="default"/>
                <w:color w:val="auto"/>
                <w:lang w:val="en-US" w:eastAsia="zh-CN"/>
              </w:rPr>
            </w:pPr>
            <w:r>
              <w:rPr>
                <w:rFonts w:hint="eastAsia"/>
                <w:color w:val="auto"/>
                <w:lang w:val="en-US" w:eastAsia="zh-CN"/>
              </w:rPr>
              <w:t>4</w:t>
            </w:r>
          </w:p>
        </w:tc>
        <w:tc>
          <w:tcPr>
            <w:tcW w:w="2147" w:type="pct"/>
            <w:tcBorders>
              <w:tl2br w:val="nil"/>
              <w:tr2bl w:val="nil"/>
            </w:tcBorders>
            <w:noWrap w:val="0"/>
            <w:vAlign w:val="center"/>
          </w:tcPr>
          <w:p w14:paraId="49476F5C">
            <w:pPr>
              <w:pStyle w:val="20"/>
              <w:bidi w:val="0"/>
              <w:rPr>
                <w:rFonts w:hint="eastAsia"/>
                <w:color w:val="auto"/>
                <w:lang w:val="en-US"/>
              </w:rPr>
            </w:pPr>
            <w:r>
              <w:rPr>
                <w:rFonts w:hint="eastAsia"/>
                <w:color w:val="auto"/>
                <w:lang w:val="en-US"/>
              </w:rPr>
              <w:t>防雷装置的接地应与电气和电子系统等接地共用接地装置，并应与引入的金属管线做等电位连接。外部防雷装置的专设接地装置宜围绕建筑物敷设成环形接地体。</w:t>
            </w:r>
          </w:p>
        </w:tc>
        <w:tc>
          <w:tcPr>
            <w:tcW w:w="1018" w:type="pct"/>
            <w:tcBorders>
              <w:tl2br w:val="nil"/>
              <w:tr2bl w:val="nil"/>
            </w:tcBorders>
            <w:noWrap w:val="0"/>
            <w:vAlign w:val="center"/>
          </w:tcPr>
          <w:p w14:paraId="4BB76CF3">
            <w:pPr>
              <w:pStyle w:val="20"/>
              <w:bidi w:val="0"/>
              <w:rPr>
                <w:rFonts w:hint="eastAsia"/>
                <w:color w:val="auto"/>
                <w:lang w:val="en-US" w:eastAsia="zh-CN"/>
              </w:rPr>
            </w:pPr>
            <w:r>
              <w:rPr>
                <w:rFonts w:hint="eastAsia"/>
                <w:color w:val="auto"/>
                <w:lang w:val="en-US" w:eastAsia="zh-CN"/>
              </w:rPr>
              <w:t>《建筑物防雷设计规范》GB50057-2010第4.4.4条</w:t>
            </w:r>
          </w:p>
        </w:tc>
        <w:tc>
          <w:tcPr>
            <w:tcW w:w="1006" w:type="pct"/>
            <w:tcBorders>
              <w:tl2br w:val="nil"/>
              <w:tr2bl w:val="nil"/>
            </w:tcBorders>
            <w:noWrap w:val="0"/>
            <w:vAlign w:val="center"/>
          </w:tcPr>
          <w:p w14:paraId="4173DD9C">
            <w:pPr>
              <w:pStyle w:val="20"/>
              <w:bidi w:val="0"/>
              <w:rPr>
                <w:rFonts w:hint="default"/>
                <w:color w:val="auto"/>
                <w:lang w:val="en-US" w:eastAsia="zh-CN"/>
              </w:rPr>
            </w:pPr>
            <w:r>
              <w:rPr>
                <w:rFonts w:hint="eastAsia"/>
                <w:color w:val="auto"/>
                <w:lang w:val="en-US" w:eastAsia="zh-CN"/>
              </w:rPr>
              <w:t>防静电接地及电气设备接地等共接地网。</w:t>
            </w:r>
          </w:p>
        </w:tc>
        <w:tc>
          <w:tcPr>
            <w:tcW w:w="504" w:type="pct"/>
            <w:tcBorders>
              <w:tl2br w:val="nil"/>
              <w:tr2bl w:val="nil"/>
            </w:tcBorders>
            <w:noWrap w:val="0"/>
            <w:vAlign w:val="center"/>
          </w:tcPr>
          <w:p w14:paraId="47F9EE6C">
            <w:pPr>
              <w:pStyle w:val="20"/>
              <w:bidi w:val="0"/>
              <w:rPr>
                <w:rFonts w:hint="eastAsia"/>
                <w:color w:val="auto"/>
                <w:lang w:val="en-US" w:eastAsia="zh-CN"/>
              </w:rPr>
            </w:pPr>
            <w:r>
              <w:rPr>
                <w:rFonts w:hint="eastAsia"/>
                <w:color w:val="auto"/>
                <w:lang w:val="en-US" w:eastAsia="zh-CN"/>
              </w:rPr>
              <w:t>符合</w:t>
            </w:r>
          </w:p>
        </w:tc>
      </w:tr>
      <w:tr w14:paraId="315C2A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70" w:hRule="atLeast"/>
          <w:jc w:val="center"/>
        </w:trPr>
        <w:tc>
          <w:tcPr>
            <w:tcW w:w="323" w:type="pct"/>
            <w:tcBorders>
              <w:tl2br w:val="nil"/>
              <w:tr2bl w:val="nil"/>
            </w:tcBorders>
            <w:noWrap w:val="0"/>
            <w:vAlign w:val="center"/>
          </w:tcPr>
          <w:p w14:paraId="1210DE0B">
            <w:pPr>
              <w:pStyle w:val="20"/>
              <w:bidi w:val="0"/>
              <w:rPr>
                <w:rFonts w:hint="default"/>
                <w:color w:val="auto"/>
                <w:lang w:val="en-US" w:eastAsia="zh-CN"/>
              </w:rPr>
            </w:pPr>
            <w:r>
              <w:rPr>
                <w:rFonts w:hint="eastAsia"/>
                <w:color w:val="auto"/>
                <w:lang w:val="en-US" w:eastAsia="zh-CN"/>
              </w:rPr>
              <w:t>5</w:t>
            </w:r>
          </w:p>
        </w:tc>
        <w:tc>
          <w:tcPr>
            <w:tcW w:w="2147" w:type="pct"/>
            <w:tcBorders>
              <w:tl2br w:val="nil"/>
              <w:tr2bl w:val="nil"/>
            </w:tcBorders>
            <w:noWrap w:val="0"/>
            <w:vAlign w:val="center"/>
          </w:tcPr>
          <w:p w14:paraId="1AA14DE4">
            <w:pPr>
              <w:pStyle w:val="20"/>
              <w:bidi w:val="0"/>
              <w:rPr>
                <w:rFonts w:hint="eastAsia"/>
                <w:color w:val="auto"/>
                <w:lang w:val="en-US"/>
              </w:rPr>
            </w:pPr>
            <w:r>
              <w:rPr>
                <w:rFonts w:hint="eastAsia"/>
                <w:color w:val="auto"/>
                <w:lang w:val="en-US" w:eastAsia="zh-CN"/>
              </w:rPr>
              <w:t>新建、改建、扩建建筑物防雷装置施工过程中的检测，应对其结构、布置、形状、材料规格、尺寸、连接方法和电气性能进行分阶段检测，投入使用后建筑物防雷装置的第一次检测应按设计文件要求进行检测。</w:t>
            </w:r>
          </w:p>
        </w:tc>
        <w:tc>
          <w:tcPr>
            <w:tcW w:w="1018" w:type="pct"/>
            <w:tcBorders>
              <w:tl2br w:val="nil"/>
              <w:tr2bl w:val="nil"/>
            </w:tcBorders>
            <w:noWrap w:val="0"/>
            <w:vAlign w:val="center"/>
          </w:tcPr>
          <w:p w14:paraId="6D8A43F6">
            <w:pPr>
              <w:pStyle w:val="20"/>
              <w:bidi w:val="0"/>
              <w:rPr>
                <w:rFonts w:hint="eastAsia"/>
                <w:color w:val="auto"/>
                <w:lang w:val="en-US" w:eastAsia="zh-CN"/>
              </w:rPr>
            </w:pPr>
            <w:r>
              <w:rPr>
                <w:rFonts w:hint="eastAsia"/>
                <w:color w:val="auto"/>
                <w:lang w:val="en-US" w:eastAsia="zh-CN"/>
              </w:rPr>
              <w:t>《建筑物防雷装置检测技术规范》GB/T21431-2015</w:t>
            </w:r>
          </w:p>
          <w:p w14:paraId="2DE9A3D1">
            <w:pPr>
              <w:pStyle w:val="20"/>
              <w:bidi w:val="0"/>
              <w:rPr>
                <w:rFonts w:hint="default"/>
                <w:color w:val="auto"/>
                <w:lang w:val="en-US" w:eastAsia="zh-CN"/>
              </w:rPr>
            </w:pPr>
            <w:r>
              <w:rPr>
                <w:rFonts w:hint="eastAsia"/>
                <w:color w:val="auto"/>
                <w:lang w:val="en-US" w:eastAsia="zh-CN"/>
              </w:rPr>
              <w:t>第4.1条</w:t>
            </w:r>
          </w:p>
        </w:tc>
        <w:tc>
          <w:tcPr>
            <w:tcW w:w="1006" w:type="pct"/>
            <w:tcBorders>
              <w:tl2br w:val="nil"/>
              <w:tr2bl w:val="nil"/>
            </w:tcBorders>
            <w:noWrap w:val="0"/>
            <w:vAlign w:val="center"/>
          </w:tcPr>
          <w:p w14:paraId="310BB077">
            <w:pPr>
              <w:pStyle w:val="20"/>
              <w:bidi w:val="0"/>
              <w:rPr>
                <w:rFonts w:hint="default"/>
                <w:color w:val="auto"/>
                <w:lang w:val="en-US" w:eastAsia="zh-CN"/>
              </w:rPr>
            </w:pPr>
            <w:r>
              <w:rPr>
                <w:rFonts w:hint="eastAsia"/>
                <w:color w:val="auto"/>
                <w:lang w:val="en-US" w:eastAsia="zh-CN"/>
              </w:rPr>
              <w:t>已进行防雷检测，并出具了报告。</w:t>
            </w:r>
          </w:p>
        </w:tc>
        <w:tc>
          <w:tcPr>
            <w:tcW w:w="504" w:type="pct"/>
            <w:tcBorders>
              <w:tl2br w:val="nil"/>
              <w:tr2bl w:val="nil"/>
            </w:tcBorders>
            <w:noWrap w:val="0"/>
            <w:vAlign w:val="center"/>
          </w:tcPr>
          <w:p w14:paraId="4EA9C5B6">
            <w:pPr>
              <w:pStyle w:val="20"/>
              <w:bidi w:val="0"/>
              <w:rPr>
                <w:rFonts w:hint="default"/>
                <w:color w:val="auto"/>
                <w:lang w:val="en-US" w:eastAsia="zh-CN"/>
              </w:rPr>
            </w:pPr>
            <w:r>
              <w:rPr>
                <w:rFonts w:hint="eastAsia"/>
                <w:color w:val="auto"/>
                <w:lang w:val="en-US" w:eastAsia="zh-CN"/>
              </w:rPr>
              <w:t>符合</w:t>
            </w:r>
          </w:p>
        </w:tc>
      </w:tr>
    </w:tbl>
    <w:p w14:paraId="4917EB1B">
      <w:pPr>
        <w:bidi w:val="0"/>
        <w:rPr>
          <w:rFonts w:hint="default"/>
          <w:color w:val="auto"/>
          <w:lang w:val="en-US" w:eastAsia="zh-CN"/>
        </w:rPr>
      </w:pPr>
      <w:r>
        <w:rPr>
          <w:rFonts w:hint="eastAsia"/>
          <w:color w:val="auto"/>
          <w:lang w:val="en-US" w:eastAsia="zh-CN"/>
        </w:rPr>
        <w:t>防雷、防静电接地子单元</w:t>
      </w:r>
      <w:r>
        <w:rPr>
          <w:rFonts w:hint="default"/>
          <w:color w:val="auto"/>
          <w:lang w:val="en-US" w:eastAsia="zh-CN"/>
        </w:rPr>
        <w:t>评价小结：本单元进行了</w:t>
      </w:r>
      <w:r>
        <w:rPr>
          <w:rFonts w:hint="eastAsia"/>
          <w:color w:val="auto"/>
          <w:lang w:val="en-US" w:eastAsia="zh-CN"/>
        </w:rPr>
        <w:t>5</w:t>
      </w:r>
      <w:r>
        <w:rPr>
          <w:rFonts w:hint="default"/>
          <w:color w:val="auto"/>
          <w:lang w:val="en-US" w:eastAsia="zh-CN"/>
        </w:rPr>
        <w:t>项检查，符合项</w:t>
      </w:r>
      <w:r>
        <w:rPr>
          <w:rFonts w:hint="eastAsia"/>
          <w:color w:val="auto"/>
          <w:lang w:val="en-US" w:eastAsia="zh-CN"/>
        </w:rPr>
        <w:t>5</w:t>
      </w:r>
      <w:r>
        <w:rPr>
          <w:rFonts w:hint="default"/>
          <w:color w:val="auto"/>
          <w:lang w:val="en-US" w:eastAsia="zh-CN"/>
        </w:rPr>
        <w:t>项，不符合项0项。</w:t>
      </w:r>
    </w:p>
    <w:p w14:paraId="04BB14C3">
      <w:pPr>
        <w:bidi w:val="0"/>
        <w:rPr>
          <w:rFonts w:hint="eastAsia"/>
          <w:color w:val="auto"/>
          <w:lang w:val="en-US" w:eastAsia="zh-CN"/>
        </w:rPr>
      </w:pPr>
      <w:r>
        <w:rPr>
          <w:rFonts w:hint="eastAsia"/>
          <w:color w:val="auto"/>
          <w:lang w:val="en-US" w:eastAsia="zh-CN"/>
        </w:rPr>
        <w:t>本项目配电室屋面设接闪器，已采取设接闪带、信号电涌保护器等保护措施，已设置防静电接地及电气设备接地等共接地网，已进行防雷检测，并出具了报告。</w:t>
      </w:r>
    </w:p>
    <w:p w14:paraId="7B359477">
      <w:pPr>
        <w:bidi w:val="0"/>
        <w:rPr>
          <w:rFonts w:hint="eastAsia"/>
          <w:color w:val="auto"/>
          <w:lang w:val="en-US" w:eastAsia="zh-CN"/>
        </w:rPr>
      </w:pPr>
      <w:r>
        <w:rPr>
          <w:rFonts w:hint="eastAsia"/>
          <w:color w:val="auto"/>
          <w:lang w:val="en-US" w:eastAsia="zh-CN"/>
        </w:rPr>
        <w:t>综上所述，防雷、防静电接地子单元</w:t>
      </w:r>
      <w:r>
        <w:rPr>
          <w:rFonts w:hint="default"/>
          <w:color w:val="auto"/>
          <w:lang w:val="en-US" w:eastAsia="zh-CN"/>
        </w:rPr>
        <w:t>符合法律法规、标准规范及设计</w:t>
      </w:r>
      <w:r>
        <w:rPr>
          <w:rFonts w:hint="eastAsia"/>
          <w:color w:val="auto"/>
          <w:lang w:val="en-US" w:eastAsia="zh-CN"/>
        </w:rPr>
        <w:t>。</w:t>
      </w:r>
    </w:p>
    <w:p w14:paraId="32700B51">
      <w:pPr>
        <w:pStyle w:val="4"/>
        <w:bidi w:val="0"/>
        <w:rPr>
          <w:rFonts w:hint="eastAsia"/>
          <w:color w:val="auto"/>
          <w:lang w:val="en-US" w:eastAsia="zh-CN"/>
        </w:rPr>
      </w:pPr>
      <w:bookmarkStart w:id="107" w:name="_Toc23041"/>
      <w:r>
        <w:rPr>
          <w:rFonts w:hint="eastAsia"/>
          <w:color w:val="auto"/>
          <w:lang w:val="en-US" w:eastAsia="zh-CN"/>
        </w:rPr>
        <w:t>5.4.5单元评价小结</w:t>
      </w:r>
      <w:bookmarkEnd w:id="107"/>
    </w:p>
    <w:p w14:paraId="5EC5184F">
      <w:pPr>
        <w:bidi w:val="0"/>
        <w:rPr>
          <w:rFonts w:hint="default"/>
          <w:color w:val="auto"/>
          <w:lang w:val="en-US" w:eastAsia="zh-CN"/>
        </w:rPr>
      </w:pPr>
      <w:r>
        <w:rPr>
          <w:rFonts w:hint="eastAsia"/>
          <w:color w:val="auto"/>
          <w:highlight w:val="none"/>
          <w:shd w:val="clear" w:color="auto" w:fill="auto"/>
          <w:lang w:val="en-US" w:eastAsia="zh-CN"/>
        </w:rPr>
        <w:t>对公辅设施</w:t>
      </w:r>
      <w:r>
        <w:rPr>
          <w:rFonts w:ascii="Times New Roman" w:hAnsi="Times New Roman"/>
          <w:color w:val="auto"/>
          <w:highlight w:val="none"/>
          <w:shd w:val="clear" w:color="auto" w:fill="auto"/>
          <w:lang w:val="en-US" w:eastAsia="zh-CN"/>
        </w:rPr>
        <w:t>单元进行了</w:t>
      </w:r>
      <w:r>
        <w:rPr>
          <w:rFonts w:hint="eastAsia"/>
          <w:color w:val="auto"/>
          <w:highlight w:val="none"/>
          <w:shd w:val="clear" w:color="auto" w:fill="auto"/>
          <w:lang w:val="en-US" w:eastAsia="zh-CN"/>
        </w:rPr>
        <w:t>26</w:t>
      </w:r>
      <w:r>
        <w:rPr>
          <w:rFonts w:ascii="Times New Roman" w:hAnsi="Times New Roman"/>
          <w:color w:val="auto"/>
          <w:highlight w:val="none"/>
          <w:shd w:val="clear" w:color="auto" w:fill="auto"/>
          <w:lang w:val="en-US" w:eastAsia="zh-CN"/>
        </w:rPr>
        <w:t>项检查，</w:t>
      </w:r>
      <w:r>
        <w:rPr>
          <w:rFonts w:hint="eastAsia"/>
          <w:color w:val="auto"/>
          <w:highlight w:val="none"/>
          <w:shd w:val="clear" w:color="auto" w:fill="auto"/>
          <w:lang w:val="en-US" w:eastAsia="zh-CN"/>
        </w:rPr>
        <w:t>25</w:t>
      </w:r>
      <w:r>
        <w:rPr>
          <w:rFonts w:hint="eastAsia" w:ascii="Times New Roman" w:hAnsi="Times New Roman"/>
          <w:color w:val="auto"/>
          <w:highlight w:val="none"/>
          <w:shd w:val="clear" w:color="auto" w:fill="auto"/>
          <w:lang w:val="en-US" w:eastAsia="zh-CN"/>
        </w:rPr>
        <w:t>项符合，</w:t>
      </w:r>
      <w:r>
        <w:rPr>
          <w:rFonts w:hint="eastAsia"/>
          <w:color w:val="auto"/>
          <w:highlight w:val="none"/>
          <w:shd w:val="clear" w:color="auto" w:fill="auto"/>
          <w:lang w:val="en-US" w:eastAsia="zh-CN"/>
        </w:rPr>
        <w:t>1项不符合</w:t>
      </w:r>
      <w:r>
        <w:rPr>
          <w:rFonts w:hint="eastAsia" w:ascii="Times New Roman" w:hAnsi="Times New Roman"/>
          <w:color w:val="auto"/>
          <w:highlight w:val="none"/>
          <w:shd w:val="clear" w:color="auto" w:fill="auto"/>
          <w:lang w:val="en-US" w:eastAsia="zh-CN"/>
        </w:rPr>
        <w:t>。</w:t>
      </w:r>
      <w:r>
        <w:rPr>
          <w:rFonts w:hint="eastAsia"/>
          <w:color w:val="auto"/>
          <w:lang w:val="en-US" w:eastAsia="zh-CN"/>
        </w:rPr>
        <w:t>皮带脱水机房未配备灭火器，应配备2具4公斤干粉灭火器。</w:t>
      </w:r>
    </w:p>
    <w:p w14:paraId="4529E020">
      <w:pPr>
        <w:pStyle w:val="3"/>
        <w:bidi w:val="0"/>
        <w:ind w:firstLine="301" w:firstLineChars="100"/>
        <w:rPr>
          <w:rFonts w:hint="eastAsia"/>
          <w:color w:val="auto"/>
          <w:lang w:val="en-US" w:eastAsia="zh-CN"/>
        </w:rPr>
      </w:pPr>
      <w:bookmarkStart w:id="108" w:name="_Toc27795"/>
      <w:r>
        <w:rPr>
          <w:rFonts w:hint="eastAsia"/>
          <w:color w:val="auto"/>
          <w:lang w:val="en-US" w:eastAsia="zh-CN"/>
        </w:rPr>
        <w:t>5.5安全管理评价单元</w:t>
      </w:r>
      <w:bookmarkEnd w:id="108"/>
    </w:p>
    <w:p w14:paraId="50732684">
      <w:pPr>
        <w:pStyle w:val="4"/>
        <w:bidi w:val="0"/>
        <w:rPr>
          <w:rFonts w:hint="eastAsia"/>
          <w:color w:val="auto"/>
          <w:lang w:val="en-US" w:eastAsia="zh-CN"/>
        </w:rPr>
      </w:pPr>
      <w:bookmarkStart w:id="109" w:name="_Toc29402"/>
      <w:r>
        <w:rPr>
          <w:rFonts w:hint="eastAsia"/>
          <w:color w:val="auto"/>
          <w:lang w:val="en-US" w:eastAsia="zh-CN"/>
        </w:rPr>
        <w:t>5.5.1法律、法规的符合性检查</w:t>
      </w:r>
      <w:bookmarkEnd w:id="109"/>
    </w:p>
    <w:p w14:paraId="5F8BBBC7">
      <w:pPr>
        <w:adjustRightInd/>
        <w:snapToGrid/>
        <w:spacing w:line="620" w:lineRule="exact"/>
        <w:ind w:firstLine="570" w:firstLineChars="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法律、法规符合性检查表见表5.</w:t>
      </w:r>
      <w:r>
        <w:rPr>
          <w:rFonts w:hint="eastAsia" w:cs="Times New Roman"/>
          <w:color w:val="auto"/>
          <w:sz w:val="28"/>
          <w:szCs w:val="28"/>
          <w:lang w:val="en-US" w:eastAsia="zh-CN"/>
        </w:rPr>
        <w:t>5</w:t>
      </w:r>
      <w:r>
        <w:rPr>
          <w:rFonts w:hint="eastAsia" w:ascii="Times New Roman" w:hAnsi="Times New Roman" w:eastAsia="宋体" w:cs="Times New Roman"/>
          <w:color w:val="auto"/>
          <w:sz w:val="28"/>
          <w:szCs w:val="28"/>
          <w:lang w:val="en-US" w:eastAsia="zh-CN"/>
        </w:rPr>
        <w:t>.1</w:t>
      </w:r>
      <w:r>
        <w:rPr>
          <w:rFonts w:hint="eastAsia" w:ascii="Times New Roman" w:hAnsi="Times New Roman" w:eastAsia="宋体" w:cs="Times New Roman"/>
          <w:color w:val="auto"/>
          <w:sz w:val="28"/>
          <w:szCs w:val="28"/>
        </w:rPr>
        <w:t>-1。</w:t>
      </w:r>
    </w:p>
    <w:p w14:paraId="5BF1899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r>
        <w:rPr>
          <w:rFonts w:hint="eastAsia"/>
          <w:color w:val="auto"/>
        </w:rPr>
        <w:t>表5.</w:t>
      </w:r>
      <w:r>
        <w:rPr>
          <w:rFonts w:hint="eastAsia"/>
          <w:color w:val="auto"/>
          <w:lang w:val="en-US" w:eastAsia="zh-CN"/>
        </w:rPr>
        <w:t>5.1</w:t>
      </w:r>
      <w:r>
        <w:rPr>
          <w:rFonts w:hint="eastAsia"/>
          <w:color w:val="auto"/>
        </w:rPr>
        <w:t>-1  法律、法规符合性检查表</w:t>
      </w:r>
    </w:p>
    <w:tbl>
      <w:tblPr>
        <w:tblStyle w:val="14"/>
        <w:tblW w:w="5035" w:type="pct"/>
        <w:tblInd w:w="-7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55"/>
        <w:gridCol w:w="4"/>
        <w:gridCol w:w="2888"/>
        <w:gridCol w:w="2004"/>
        <w:gridCol w:w="2178"/>
        <w:gridCol w:w="1624"/>
      </w:tblGrid>
      <w:tr w14:paraId="253FA6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2" w:type="pct"/>
            <w:gridSpan w:val="2"/>
            <w:noWrap w:val="0"/>
            <w:vAlign w:val="center"/>
          </w:tcPr>
          <w:p w14:paraId="07E22CF0">
            <w:pPr>
              <w:pStyle w:val="21"/>
              <w:bidi w:val="0"/>
              <w:spacing w:line="240" w:lineRule="auto"/>
              <w:rPr>
                <w:color w:val="auto"/>
              </w:rPr>
            </w:pPr>
            <w:r>
              <w:rPr>
                <w:color w:val="auto"/>
              </w:rPr>
              <w:t>序号</w:t>
            </w:r>
          </w:p>
        </w:tc>
        <w:tc>
          <w:tcPr>
            <w:tcW w:w="1543" w:type="pct"/>
            <w:noWrap w:val="0"/>
            <w:vAlign w:val="center"/>
          </w:tcPr>
          <w:p w14:paraId="4FDBE898">
            <w:pPr>
              <w:pStyle w:val="21"/>
              <w:bidi w:val="0"/>
              <w:rPr>
                <w:color w:val="auto"/>
              </w:rPr>
            </w:pPr>
            <w:r>
              <w:rPr>
                <w:rFonts w:hint="eastAsia"/>
                <w:color w:val="auto"/>
              </w:rPr>
              <w:t>检查项目和内容</w:t>
            </w:r>
          </w:p>
        </w:tc>
        <w:tc>
          <w:tcPr>
            <w:tcW w:w="1071" w:type="pct"/>
            <w:noWrap w:val="0"/>
            <w:vAlign w:val="center"/>
          </w:tcPr>
          <w:p w14:paraId="624DC32A">
            <w:pPr>
              <w:pStyle w:val="21"/>
              <w:bidi w:val="0"/>
              <w:rPr>
                <w:color w:val="auto"/>
              </w:rPr>
            </w:pPr>
            <w:r>
              <w:rPr>
                <w:rFonts w:hint="eastAsia"/>
                <w:color w:val="auto"/>
                <w:lang w:val="en-US" w:eastAsia="zh-CN"/>
              </w:rPr>
              <w:t>检查依据</w:t>
            </w:r>
          </w:p>
        </w:tc>
        <w:tc>
          <w:tcPr>
            <w:tcW w:w="1164" w:type="pct"/>
            <w:noWrap w:val="0"/>
            <w:vAlign w:val="center"/>
          </w:tcPr>
          <w:p w14:paraId="040BC5EC">
            <w:pPr>
              <w:pStyle w:val="21"/>
              <w:bidi w:val="0"/>
              <w:rPr>
                <w:rFonts w:hint="default"/>
                <w:color w:val="auto"/>
                <w:lang w:val="en-US" w:eastAsia="zh-CN"/>
              </w:rPr>
            </w:pPr>
            <w:r>
              <w:rPr>
                <w:rFonts w:hint="eastAsia"/>
                <w:color w:val="auto"/>
                <w:lang w:val="en-US" w:eastAsia="zh-CN"/>
              </w:rPr>
              <w:t>检查情况</w:t>
            </w:r>
          </w:p>
        </w:tc>
        <w:tc>
          <w:tcPr>
            <w:tcW w:w="868" w:type="pct"/>
            <w:noWrap w:val="0"/>
            <w:vAlign w:val="center"/>
          </w:tcPr>
          <w:p w14:paraId="602FC2C9">
            <w:pPr>
              <w:pStyle w:val="21"/>
              <w:bidi w:val="0"/>
              <w:rPr>
                <w:rFonts w:hint="default"/>
                <w:color w:val="auto"/>
                <w:lang w:val="en-US" w:eastAsia="zh-CN"/>
              </w:rPr>
            </w:pPr>
            <w:r>
              <w:rPr>
                <w:rFonts w:hint="eastAsia"/>
                <w:color w:val="auto"/>
                <w:lang w:val="en-US" w:eastAsia="zh-CN"/>
              </w:rPr>
              <w:t>检查结果</w:t>
            </w:r>
          </w:p>
        </w:tc>
      </w:tr>
      <w:tr w14:paraId="369624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276AE2C7">
            <w:pPr>
              <w:pStyle w:val="20"/>
              <w:bidi w:val="0"/>
              <w:rPr>
                <w:rFonts w:hint="eastAsia"/>
                <w:color w:val="auto"/>
                <w:lang w:eastAsia="zh-CN"/>
              </w:rPr>
            </w:pPr>
            <w:r>
              <w:rPr>
                <w:rFonts w:hint="eastAsia"/>
                <w:color w:val="auto"/>
                <w:lang w:val="en-US" w:eastAsia="zh-CN"/>
              </w:rPr>
              <w:t>1</w:t>
            </w:r>
          </w:p>
        </w:tc>
        <w:tc>
          <w:tcPr>
            <w:tcW w:w="1545" w:type="pct"/>
            <w:gridSpan w:val="2"/>
            <w:noWrap w:val="0"/>
            <w:vAlign w:val="center"/>
          </w:tcPr>
          <w:p w14:paraId="0D402B7E">
            <w:pPr>
              <w:pStyle w:val="20"/>
              <w:bidi w:val="0"/>
              <w:rPr>
                <w:rFonts w:hint="eastAsia"/>
                <w:color w:val="auto"/>
              </w:rPr>
            </w:pPr>
            <w:r>
              <w:rPr>
                <w:rFonts w:hint="eastAsia"/>
                <w:color w:val="auto"/>
              </w:rPr>
              <w:t>防雷检测单位</w:t>
            </w:r>
          </w:p>
        </w:tc>
        <w:tc>
          <w:tcPr>
            <w:tcW w:w="1071" w:type="pct"/>
            <w:noWrap w:val="0"/>
            <w:vAlign w:val="center"/>
          </w:tcPr>
          <w:p w14:paraId="530565F9">
            <w:pPr>
              <w:pStyle w:val="20"/>
              <w:bidi w:val="0"/>
              <w:rPr>
                <w:color w:val="auto"/>
              </w:rPr>
            </w:pPr>
          </w:p>
        </w:tc>
        <w:tc>
          <w:tcPr>
            <w:tcW w:w="1164" w:type="pct"/>
            <w:noWrap w:val="0"/>
            <w:vAlign w:val="center"/>
          </w:tcPr>
          <w:p w14:paraId="541E9B1B">
            <w:pPr>
              <w:pStyle w:val="20"/>
              <w:bidi w:val="0"/>
              <w:rPr>
                <w:rFonts w:hint="default"/>
                <w:color w:val="auto"/>
                <w:lang w:val="en-US" w:eastAsia="zh-CN"/>
              </w:rPr>
            </w:pPr>
            <w:r>
              <w:rPr>
                <w:rFonts w:hint="eastAsia"/>
                <w:color w:val="auto"/>
                <w:lang w:val="en-US" w:eastAsia="zh-CN"/>
              </w:rPr>
              <w:t>九江市蓝天科技有限公司</w:t>
            </w:r>
          </w:p>
        </w:tc>
        <w:tc>
          <w:tcPr>
            <w:tcW w:w="868" w:type="pct"/>
            <w:noWrap w:val="0"/>
            <w:vAlign w:val="center"/>
          </w:tcPr>
          <w:p w14:paraId="427A3861">
            <w:pPr>
              <w:pStyle w:val="20"/>
              <w:bidi w:val="0"/>
              <w:rPr>
                <w:rFonts w:hint="eastAsia"/>
                <w:color w:val="auto"/>
                <w:lang w:val="en-US" w:eastAsia="zh-CN"/>
              </w:rPr>
            </w:pPr>
            <w:r>
              <w:rPr>
                <w:rFonts w:hint="eastAsia"/>
                <w:color w:val="auto"/>
                <w:lang w:val="en-US" w:eastAsia="zh-CN"/>
              </w:rPr>
              <w:t>符合</w:t>
            </w:r>
          </w:p>
        </w:tc>
      </w:tr>
      <w:tr w14:paraId="4EC4E5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06BF7EFB">
            <w:pPr>
              <w:pStyle w:val="20"/>
              <w:bidi w:val="0"/>
              <w:rPr>
                <w:rFonts w:hint="eastAsia"/>
                <w:color w:val="auto"/>
                <w:lang w:eastAsia="zh-CN"/>
              </w:rPr>
            </w:pPr>
            <w:r>
              <w:rPr>
                <w:rFonts w:hint="eastAsia"/>
                <w:color w:val="auto"/>
                <w:lang w:val="en-US" w:eastAsia="zh-CN"/>
              </w:rPr>
              <w:t>2</w:t>
            </w:r>
          </w:p>
        </w:tc>
        <w:tc>
          <w:tcPr>
            <w:tcW w:w="1545" w:type="pct"/>
            <w:gridSpan w:val="2"/>
            <w:noWrap w:val="0"/>
            <w:vAlign w:val="center"/>
          </w:tcPr>
          <w:p w14:paraId="0BCE4787">
            <w:pPr>
              <w:pStyle w:val="20"/>
              <w:bidi w:val="0"/>
              <w:rPr>
                <w:color w:val="auto"/>
              </w:rPr>
            </w:pPr>
            <w:r>
              <w:rPr>
                <w:rFonts w:hint="eastAsia"/>
                <w:color w:val="auto"/>
              </w:rPr>
              <w:t>防静电检测单位</w:t>
            </w:r>
          </w:p>
        </w:tc>
        <w:tc>
          <w:tcPr>
            <w:tcW w:w="1071" w:type="pct"/>
            <w:noWrap w:val="0"/>
            <w:vAlign w:val="center"/>
          </w:tcPr>
          <w:p w14:paraId="768F526D">
            <w:pPr>
              <w:pStyle w:val="20"/>
              <w:bidi w:val="0"/>
              <w:rPr>
                <w:color w:val="auto"/>
              </w:rPr>
            </w:pPr>
          </w:p>
        </w:tc>
        <w:tc>
          <w:tcPr>
            <w:tcW w:w="1164" w:type="pct"/>
            <w:noWrap w:val="0"/>
            <w:vAlign w:val="center"/>
          </w:tcPr>
          <w:p w14:paraId="6150E72F">
            <w:pPr>
              <w:pStyle w:val="20"/>
              <w:bidi w:val="0"/>
              <w:rPr>
                <w:rFonts w:hint="eastAsia"/>
                <w:color w:val="auto"/>
              </w:rPr>
            </w:pPr>
            <w:r>
              <w:rPr>
                <w:rFonts w:hint="eastAsia"/>
                <w:color w:val="auto"/>
              </w:rPr>
              <w:t>不涉及</w:t>
            </w:r>
          </w:p>
        </w:tc>
        <w:tc>
          <w:tcPr>
            <w:tcW w:w="868" w:type="pct"/>
            <w:noWrap w:val="0"/>
            <w:vAlign w:val="center"/>
          </w:tcPr>
          <w:p w14:paraId="50B81525">
            <w:pPr>
              <w:pStyle w:val="20"/>
              <w:bidi w:val="0"/>
              <w:rPr>
                <w:rFonts w:hint="eastAsia"/>
                <w:color w:val="auto"/>
              </w:rPr>
            </w:pPr>
          </w:p>
        </w:tc>
      </w:tr>
      <w:tr w14:paraId="57E259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56D59281">
            <w:pPr>
              <w:pStyle w:val="20"/>
              <w:bidi w:val="0"/>
              <w:rPr>
                <w:rFonts w:hint="eastAsia"/>
                <w:color w:val="auto"/>
                <w:lang w:eastAsia="zh-CN"/>
              </w:rPr>
            </w:pPr>
            <w:r>
              <w:rPr>
                <w:rFonts w:hint="eastAsia"/>
                <w:color w:val="auto"/>
                <w:lang w:val="en-US" w:eastAsia="zh-CN"/>
              </w:rPr>
              <w:t>3</w:t>
            </w:r>
          </w:p>
        </w:tc>
        <w:tc>
          <w:tcPr>
            <w:tcW w:w="1545" w:type="pct"/>
            <w:gridSpan w:val="2"/>
            <w:noWrap w:val="0"/>
            <w:vAlign w:val="center"/>
          </w:tcPr>
          <w:p w14:paraId="437B24BA">
            <w:pPr>
              <w:pStyle w:val="20"/>
              <w:bidi w:val="0"/>
              <w:rPr>
                <w:color w:val="auto"/>
              </w:rPr>
            </w:pPr>
            <w:r>
              <w:rPr>
                <w:color w:val="auto"/>
              </w:rPr>
              <w:t>主要负责人、安全管理人员培训合格</w:t>
            </w:r>
          </w:p>
        </w:tc>
        <w:tc>
          <w:tcPr>
            <w:tcW w:w="1071" w:type="pct"/>
            <w:noWrap w:val="0"/>
            <w:vAlign w:val="center"/>
          </w:tcPr>
          <w:p w14:paraId="0B9BD32F">
            <w:pPr>
              <w:pStyle w:val="20"/>
              <w:bidi w:val="0"/>
              <w:rPr>
                <w:color w:val="auto"/>
              </w:rPr>
            </w:pPr>
            <w:r>
              <w:rPr>
                <w:color w:val="auto"/>
              </w:rPr>
              <w:t>安全生产法</w:t>
            </w:r>
          </w:p>
        </w:tc>
        <w:tc>
          <w:tcPr>
            <w:tcW w:w="1164" w:type="pct"/>
            <w:noWrap w:val="0"/>
            <w:vAlign w:val="center"/>
          </w:tcPr>
          <w:p w14:paraId="0783589E">
            <w:pPr>
              <w:pStyle w:val="20"/>
              <w:bidi w:val="0"/>
              <w:rPr>
                <w:rFonts w:hint="default"/>
                <w:color w:val="auto"/>
                <w:lang w:val="en-US" w:eastAsia="zh-CN"/>
              </w:rPr>
            </w:pPr>
            <w:r>
              <w:rPr>
                <w:rFonts w:hint="eastAsia"/>
                <w:color w:val="auto"/>
                <w:lang w:val="en-US" w:eastAsia="zh-CN"/>
              </w:rPr>
              <w:t>已于瑞昌市工贸行业负责人和安全管理人员安全知识培训班处培训</w:t>
            </w:r>
          </w:p>
        </w:tc>
        <w:tc>
          <w:tcPr>
            <w:tcW w:w="868" w:type="pct"/>
            <w:noWrap w:val="0"/>
            <w:vAlign w:val="center"/>
          </w:tcPr>
          <w:p w14:paraId="0B353A8E">
            <w:pPr>
              <w:pStyle w:val="20"/>
              <w:bidi w:val="0"/>
              <w:rPr>
                <w:rFonts w:hint="eastAsia"/>
                <w:color w:val="auto"/>
                <w:lang w:val="en-US" w:eastAsia="zh-CN"/>
              </w:rPr>
            </w:pPr>
            <w:r>
              <w:rPr>
                <w:rFonts w:hint="eastAsia"/>
                <w:color w:val="auto"/>
                <w:lang w:val="en-US" w:eastAsia="zh-CN"/>
              </w:rPr>
              <w:t>符合</w:t>
            </w:r>
          </w:p>
        </w:tc>
      </w:tr>
      <w:tr w14:paraId="405F9C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2AC1A595">
            <w:pPr>
              <w:pStyle w:val="20"/>
              <w:bidi w:val="0"/>
              <w:rPr>
                <w:rFonts w:hint="eastAsia"/>
                <w:color w:val="auto"/>
                <w:lang w:eastAsia="zh-CN"/>
              </w:rPr>
            </w:pPr>
            <w:r>
              <w:rPr>
                <w:rFonts w:hint="eastAsia"/>
                <w:color w:val="auto"/>
                <w:lang w:val="en-US" w:eastAsia="zh-CN"/>
              </w:rPr>
              <w:t>4</w:t>
            </w:r>
          </w:p>
        </w:tc>
        <w:tc>
          <w:tcPr>
            <w:tcW w:w="1545" w:type="pct"/>
            <w:gridSpan w:val="2"/>
            <w:noWrap w:val="0"/>
            <w:vAlign w:val="center"/>
          </w:tcPr>
          <w:p w14:paraId="7B7B270A">
            <w:pPr>
              <w:pStyle w:val="20"/>
              <w:bidi w:val="0"/>
              <w:rPr>
                <w:color w:val="auto"/>
              </w:rPr>
            </w:pPr>
            <w:r>
              <w:rPr>
                <w:color w:val="auto"/>
              </w:rPr>
              <w:t>从业人员培训</w:t>
            </w:r>
          </w:p>
        </w:tc>
        <w:tc>
          <w:tcPr>
            <w:tcW w:w="1071" w:type="pct"/>
            <w:noWrap w:val="0"/>
            <w:vAlign w:val="center"/>
          </w:tcPr>
          <w:p w14:paraId="241A3BB6">
            <w:pPr>
              <w:pStyle w:val="20"/>
              <w:bidi w:val="0"/>
              <w:rPr>
                <w:color w:val="auto"/>
              </w:rPr>
            </w:pPr>
            <w:r>
              <w:rPr>
                <w:color w:val="auto"/>
              </w:rPr>
              <w:t>安全生产法</w:t>
            </w:r>
          </w:p>
        </w:tc>
        <w:tc>
          <w:tcPr>
            <w:tcW w:w="1164" w:type="pct"/>
            <w:noWrap w:val="0"/>
            <w:vAlign w:val="center"/>
          </w:tcPr>
          <w:p w14:paraId="12FB47F5">
            <w:pPr>
              <w:pStyle w:val="20"/>
              <w:bidi w:val="0"/>
              <w:rPr>
                <w:color w:val="auto"/>
              </w:rPr>
            </w:pPr>
            <w:r>
              <w:rPr>
                <w:color w:val="auto"/>
              </w:rPr>
              <w:t>厂内培训</w:t>
            </w:r>
          </w:p>
        </w:tc>
        <w:tc>
          <w:tcPr>
            <w:tcW w:w="868" w:type="pct"/>
            <w:noWrap w:val="0"/>
            <w:vAlign w:val="center"/>
          </w:tcPr>
          <w:p w14:paraId="656567BD">
            <w:pPr>
              <w:pStyle w:val="20"/>
              <w:bidi w:val="0"/>
              <w:rPr>
                <w:rFonts w:hint="eastAsia"/>
                <w:color w:val="auto"/>
                <w:lang w:val="en-US" w:eastAsia="zh-CN"/>
              </w:rPr>
            </w:pPr>
            <w:r>
              <w:rPr>
                <w:rFonts w:hint="eastAsia"/>
                <w:color w:val="auto"/>
                <w:lang w:val="en-US" w:eastAsia="zh-CN"/>
              </w:rPr>
              <w:t>符合</w:t>
            </w:r>
          </w:p>
        </w:tc>
      </w:tr>
      <w:tr w14:paraId="29EE72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0440DC1A">
            <w:pPr>
              <w:pStyle w:val="20"/>
              <w:bidi w:val="0"/>
              <w:rPr>
                <w:rFonts w:hint="eastAsia"/>
                <w:color w:val="auto"/>
                <w:lang w:eastAsia="zh-CN"/>
              </w:rPr>
            </w:pPr>
            <w:r>
              <w:rPr>
                <w:rFonts w:hint="eastAsia"/>
                <w:color w:val="auto"/>
                <w:lang w:val="en-US" w:eastAsia="zh-CN"/>
              </w:rPr>
              <w:t>5</w:t>
            </w:r>
          </w:p>
        </w:tc>
        <w:tc>
          <w:tcPr>
            <w:tcW w:w="1545" w:type="pct"/>
            <w:gridSpan w:val="2"/>
            <w:noWrap w:val="0"/>
            <w:vAlign w:val="center"/>
          </w:tcPr>
          <w:p w14:paraId="3FC26359">
            <w:pPr>
              <w:pStyle w:val="20"/>
              <w:bidi w:val="0"/>
              <w:rPr>
                <w:color w:val="auto"/>
              </w:rPr>
            </w:pPr>
            <w:r>
              <w:rPr>
                <w:color w:val="auto"/>
              </w:rPr>
              <w:t>特种作业人员培训、取证</w:t>
            </w:r>
          </w:p>
        </w:tc>
        <w:tc>
          <w:tcPr>
            <w:tcW w:w="1071" w:type="pct"/>
            <w:noWrap w:val="0"/>
            <w:vAlign w:val="center"/>
          </w:tcPr>
          <w:p w14:paraId="6FF50178">
            <w:pPr>
              <w:pStyle w:val="20"/>
              <w:bidi w:val="0"/>
              <w:rPr>
                <w:color w:val="auto"/>
              </w:rPr>
            </w:pPr>
            <w:r>
              <w:rPr>
                <w:color w:val="auto"/>
              </w:rPr>
              <w:t>安全生产法</w:t>
            </w:r>
          </w:p>
        </w:tc>
        <w:tc>
          <w:tcPr>
            <w:tcW w:w="1164" w:type="pct"/>
            <w:noWrap w:val="0"/>
            <w:vAlign w:val="center"/>
          </w:tcPr>
          <w:p w14:paraId="29F04209">
            <w:pPr>
              <w:pStyle w:val="20"/>
              <w:bidi w:val="0"/>
              <w:rPr>
                <w:rFonts w:hint="default"/>
                <w:color w:val="auto"/>
                <w:lang w:val="en-US" w:eastAsia="zh-CN"/>
              </w:rPr>
            </w:pPr>
            <w:r>
              <w:rPr>
                <w:rFonts w:hint="eastAsia"/>
                <w:color w:val="auto"/>
                <w:lang w:val="en-US" w:eastAsia="zh-CN"/>
              </w:rPr>
              <w:t>特种作业人员均培训、取证</w:t>
            </w:r>
          </w:p>
        </w:tc>
        <w:tc>
          <w:tcPr>
            <w:tcW w:w="868" w:type="pct"/>
            <w:noWrap w:val="0"/>
            <w:vAlign w:val="center"/>
          </w:tcPr>
          <w:p w14:paraId="73B715BA">
            <w:pPr>
              <w:pStyle w:val="20"/>
              <w:bidi w:val="0"/>
              <w:rPr>
                <w:rFonts w:hint="eastAsia"/>
                <w:color w:val="auto"/>
                <w:lang w:val="en-US" w:eastAsia="zh-CN"/>
              </w:rPr>
            </w:pPr>
            <w:r>
              <w:rPr>
                <w:rFonts w:hint="eastAsia"/>
                <w:color w:val="auto"/>
                <w:lang w:val="en-US" w:eastAsia="zh-CN"/>
              </w:rPr>
              <w:t>符合</w:t>
            </w:r>
          </w:p>
        </w:tc>
      </w:tr>
      <w:tr w14:paraId="64D8AB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65635C2A">
            <w:pPr>
              <w:pStyle w:val="20"/>
              <w:bidi w:val="0"/>
              <w:rPr>
                <w:rFonts w:hint="eastAsia"/>
                <w:color w:val="auto"/>
                <w:lang w:eastAsia="zh-CN"/>
              </w:rPr>
            </w:pPr>
            <w:r>
              <w:rPr>
                <w:rFonts w:hint="eastAsia"/>
                <w:color w:val="auto"/>
                <w:lang w:val="en-US" w:eastAsia="zh-CN"/>
              </w:rPr>
              <w:t>6</w:t>
            </w:r>
          </w:p>
        </w:tc>
        <w:tc>
          <w:tcPr>
            <w:tcW w:w="1545" w:type="pct"/>
            <w:gridSpan w:val="2"/>
            <w:noWrap w:val="0"/>
            <w:vAlign w:val="center"/>
          </w:tcPr>
          <w:p w14:paraId="010BB228">
            <w:pPr>
              <w:pStyle w:val="20"/>
              <w:bidi w:val="0"/>
              <w:rPr>
                <w:color w:val="auto"/>
              </w:rPr>
            </w:pPr>
            <w:r>
              <w:rPr>
                <w:color w:val="auto"/>
              </w:rPr>
              <w:t>从业人员工伤保险</w:t>
            </w:r>
          </w:p>
        </w:tc>
        <w:tc>
          <w:tcPr>
            <w:tcW w:w="1071" w:type="pct"/>
            <w:noWrap w:val="0"/>
            <w:vAlign w:val="center"/>
          </w:tcPr>
          <w:p w14:paraId="53935579">
            <w:pPr>
              <w:pStyle w:val="20"/>
              <w:bidi w:val="0"/>
              <w:rPr>
                <w:rFonts w:hint="eastAsia"/>
                <w:color w:val="auto"/>
              </w:rPr>
            </w:pPr>
            <w:r>
              <w:rPr>
                <w:color w:val="auto"/>
              </w:rPr>
              <w:t>安全生产法</w:t>
            </w:r>
          </w:p>
        </w:tc>
        <w:tc>
          <w:tcPr>
            <w:tcW w:w="1164" w:type="pct"/>
            <w:noWrap w:val="0"/>
            <w:vAlign w:val="center"/>
          </w:tcPr>
          <w:p w14:paraId="0CEA8860">
            <w:pPr>
              <w:pStyle w:val="20"/>
              <w:bidi w:val="0"/>
              <w:rPr>
                <w:color w:val="auto"/>
              </w:rPr>
            </w:pPr>
            <w:r>
              <w:rPr>
                <w:rFonts w:hint="eastAsia"/>
                <w:color w:val="auto"/>
              </w:rPr>
              <w:t>按要求缴纳</w:t>
            </w:r>
          </w:p>
        </w:tc>
        <w:tc>
          <w:tcPr>
            <w:tcW w:w="868" w:type="pct"/>
            <w:noWrap w:val="0"/>
            <w:vAlign w:val="center"/>
          </w:tcPr>
          <w:p w14:paraId="37606FE1">
            <w:pPr>
              <w:pStyle w:val="20"/>
              <w:bidi w:val="0"/>
              <w:rPr>
                <w:rFonts w:hint="eastAsia"/>
                <w:color w:val="auto"/>
                <w:lang w:val="en-US" w:eastAsia="zh-CN"/>
              </w:rPr>
            </w:pPr>
            <w:r>
              <w:rPr>
                <w:rFonts w:hint="eastAsia"/>
                <w:color w:val="auto"/>
                <w:lang w:val="en-US" w:eastAsia="zh-CN"/>
              </w:rPr>
              <w:t>符合</w:t>
            </w:r>
          </w:p>
        </w:tc>
      </w:tr>
      <w:tr w14:paraId="01C1A2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63493DB2">
            <w:pPr>
              <w:pStyle w:val="20"/>
              <w:bidi w:val="0"/>
              <w:rPr>
                <w:rFonts w:hint="eastAsia"/>
                <w:color w:val="auto"/>
                <w:lang w:eastAsia="zh-CN"/>
              </w:rPr>
            </w:pPr>
            <w:r>
              <w:rPr>
                <w:rFonts w:hint="eastAsia"/>
                <w:color w:val="auto"/>
                <w:lang w:val="en-US" w:eastAsia="zh-CN"/>
              </w:rPr>
              <w:t>7</w:t>
            </w:r>
          </w:p>
        </w:tc>
        <w:tc>
          <w:tcPr>
            <w:tcW w:w="1545" w:type="pct"/>
            <w:gridSpan w:val="2"/>
            <w:noWrap w:val="0"/>
            <w:vAlign w:val="center"/>
          </w:tcPr>
          <w:p w14:paraId="61F8B0CA">
            <w:pPr>
              <w:pStyle w:val="20"/>
              <w:bidi w:val="0"/>
              <w:rPr>
                <w:color w:val="auto"/>
              </w:rPr>
            </w:pPr>
            <w:r>
              <w:rPr>
                <w:color w:val="auto"/>
              </w:rPr>
              <w:t>安全投入符合要求</w:t>
            </w:r>
          </w:p>
        </w:tc>
        <w:tc>
          <w:tcPr>
            <w:tcW w:w="1071" w:type="pct"/>
            <w:noWrap w:val="0"/>
            <w:vAlign w:val="center"/>
          </w:tcPr>
          <w:p w14:paraId="54C3713C">
            <w:pPr>
              <w:pStyle w:val="20"/>
              <w:bidi w:val="0"/>
              <w:rPr>
                <w:rFonts w:hint="eastAsia"/>
                <w:color w:val="auto"/>
              </w:rPr>
            </w:pPr>
            <w:r>
              <w:rPr>
                <w:color w:val="auto"/>
              </w:rPr>
              <w:t>安全生产法</w:t>
            </w:r>
          </w:p>
        </w:tc>
        <w:tc>
          <w:tcPr>
            <w:tcW w:w="1164" w:type="pct"/>
            <w:noWrap w:val="0"/>
            <w:vAlign w:val="center"/>
          </w:tcPr>
          <w:p w14:paraId="588EDD64">
            <w:pPr>
              <w:pStyle w:val="20"/>
              <w:bidi w:val="0"/>
              <w:rPr>
                <w:rFonts w:hint="eastAsia"/>
                <w:color w:val="auto"/>
              </w:rPr>
            </w:pPr>
            <w:r>
              <w:rPr>
                <w:rFonts w:hint="eastAsia"/>
                <w:color w:val="auto"/>
              </w:rPr>
              <w:t>按要求保障安全投入</w:t>
            </w:r>
          </w:p>
        </w:tc>
        <w:tc>
          <w:tcPr>
            <w:tcW w:w="868" w:type="pct"/>
            <w:noWrap w:val="0"/>
            <w:vAlign w:val="center"/>
          </w:tcPr>
          <w:p w14:paraId="7330B33D">
            <w:pPr>
              <w:pStyle w:val="20"/>
              <w:bidi w:val="0"/>
              <w:rPr>
                <w:rFonts w:hint="eastAsia"/>
                <w:color w:val="auto"/>
              </w:rPr>
            </w:pPr>
          </w:p>
        </w:tc>
      </w:tr>
      <w:tr w14:paraId="5CC644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3A82A72E">
            <w:pPr>
              <w:pStyle w:val="20"/>
              <w:bidi w:val="0"/>
              <w:rPr>
                <w:rFonts w:hint="eastAsia"/>
                <w:color w:val="auto"/>
                <w:lang w:eastAsia="zh-CN"/>
              </w:rPr>
            </w:pPr>
            <w:r>
              <w:rPr>
                <w:rFonts w:hint="eastAsia"/>
                <w:color w:val="auto"/>
                <w:lang w:val="en-US" w:eastAsia="zh-CN"/>
              </w:rPr>
              <w:t>8</w:t>
            </w:r>
          </w:p>
        </w:tc>
        <w:tc>
          <w:tcPr>
            <w:tcW w:w="1545" w:type="pct"/>
            <w:gridSpan w:val="2"/>
            <w:noWrap w:val="0"/>
            <w:vAlign w:val="center"/>
          </w:tcPr>
          <w:p w14:paraId="207A1441">
            <w:pPr>
              <w:pStyle w:val="20"/>
              <w:bidi w:val="0"/>
              <w:rPr>
                <w:color w:val="auto"/>
              </w:rPr>
            </w:pPr>
            <w:r>
              <w:rPr>
                <w:color w:val="auto"/>
              </w:rPr>
              <w:t>安全生产管理机构和配备专职安全生产管理人员</w:t>
            </w:r>
          </w:p>
        </w:tc>
        <w:tc>
          <w:tcPr>
            <w:tcW w:w="1071" w:type="pct"/>
            <w:noWrap w:val="0"/>
            <w:vAlign w:val="center"/>
          </w:tcPr>
          <w:p w14:paraId="3625DE67">
            <w:pPr>
              <w:pStyle w:val="20"/>
              <w:bidi w:val="0"/>
              <w:rPr>
                <w:color w:val="auto"/>
              </w:rPr>
            </w:pPr>
            <w:r>
              <w:rPr>
                <w:color w:val="auto"/>
              </w:rPr>
              <w:t>安全生产法</w:t>
            </w:r>
          </w:p>
        </w:tc>
        <w:tc>
          <w:tcPr>
            <w:tcW w:w="1164" w:type="pct"/>
            <w:noWrap w:val="0"/>
            <w:vAlign w:val="center"/>
          </w:tcPr>
          <w:p w14:paraId="1C6C1F60">
            <w:pPr>
              <w:pStyle w:val="20"/>
              <w:bidi w:val="0"/>
              <w:rPr>
                <w:color w:val="auto"/>
              </w:rPr>
            </w:pPr>
            <w:r>
              <w:rPr>
                <w:rFonts w:hint="eastAsia"/>
                <w:color w:val="auto"/>
                <w:lang w:val="en-US" w:eastAsia="zh-CN"/>
              </w:rPr>
              <w:t>已</w:t>
            </w:r>
            <w:r>
              <w:rPr>
                <w:color w:val="auto"/>
              </w:rPr>
              <w:t>设立</w:t>
            </w:r>
            <w:r>
              <w:rPr>
                <w:rFonts w:hint="eastAsia"/>
                <w:color w:val="auto"/>
                <w:lang w:val="en-US" w:eastAsia="zh-CN"/>
              </w:rPr>
              <w:t>环保工安室</w:t>
            </w:r>
            <w:r>
              <w:rPr>
                <w:rFonts w:hint="eastAsia"/>
                <w:color w:val="auto"/>
              </w:rPr>
              <w:t>，</w:t>
            </w:r>
            <w:r>
              <w:rPr>
                <w:rFonts w:hint="eastAsia"/>
                <w:color w:val="auto"/>
                <w:lang w:val="en-US" w:eastAsia="zh-CN"/>
              </w:rPr>
              <w:t>并</w:t>
            </w:r>
            <w:r>
              <w:rPr>
                <w:rFonts w:hint="eastAsia"/>
                <w:color w:val="auto"/>
              </w:rPr>
              <w:t>配备专职</w:t>
            </w:r>
            <w:r>
              <w:rPr>
                <w:color w:val="auto"/>
              </w:rPr>
              <w:t>安全</w:t>
            </w:r>
            <w:r>
              <w:rPr>
                <w:rFonts w:hint="eastAsia"/>
                <w:color w:val="auto"/>
              </w:rPr>
              <w:t>生产管理</w:t>
            </w:r>
            <w:r>
              <w:rPr>
                <w:color w:val="auto"/>
              </w:rPr>
              <w:t>人员</w:t>
            </w:r>
          </w:p>
        </w:tc>
        <w:tc>
          <w:tcPr>
            <w:tcW w:w="868" w:type="pct"/>
            <w:noWrap w:val="0"/>
            <w:vAlign w:val="center"/>
          </w:tcPr>
          <w:p w14:paraId="3BF05AA0">
            <w:pPr>
              <w:pStyle w:val="20"/>
              <w:bidi w:val="0"/>
              <w:rPr>
                <w:rFonts w:hint="eastAsia"/>
                <w:color w:val="auto"/>
                <w:lang w:val="en-US" w:eastAsia="zh-CN"/>
              </w:rPr>
            </w:pPr>
            <w:r>
              <w:rPr>
                <w:rFonts w:hint="eastAsia"/>
                <w:color w:val="auto"/>
                <w:lang w:val="en-US" w:eastAsia="zh-CN"/>
              </w:rPr>
              <w:t>符合</w:t>
            </w:r>
          </w:p>
        </w:tc>
      </w:tr>
      <w:tr w14:paraId="0A9E38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6E94A9E5">
            <w:pPr>
              <w:pStyle w:val="20"/>
              <w:bidi w:val="0"/>
              <w:rPr>
                <w:rFonts w:hint="eastAsia"/>
                <w:color w:val="auto"/>
                <w:lang w:eastAsia="zh-CN"/>
              </w:rPr>
            </w:pPr>
            <w:r>
              <w:rPr>
                <w:rFonts w:hint="eastAsia"/>
                <w:color w:val="auto"/>
                <w:lang w:val="en-US" w:eastAsia="zh-CN"/>
              </w:rPr>
              <w:t>9</w:t>
            </w:r>
          </w:p>
        </w:tc>
        <w:tc>
          <w:tcPr>
            <w:tcW w:w="1545" w:type="pct"/>
            <w:gridSpan w:val="2"/>
            <w:noWrap w:val="0"/>
            <w:vAlign w:val="center"/>
          </w:tcPr>
          <w:p w14:paraId="10935B75">
            <w:pPr>
              <w:pStyle w:val="20"/>
              <w:bidi w:val="0"/>
              <w:rPr>
                <w:color w:val="auto"/>
              </w:rPr>
            </w:pPr>
            <w:r>
              <w:rPr>
                <w:color w:val="auto"/>
              </w:rPr>
              <w:t>安全生产责任制</w:t>
            </w:r>
          </w:p>
        </w:tc>
        <w:tc>
          <w:tcPr>
            <w:tcW w:w="1071" w:type="pct"/>
            <w:noWrap w:val="0"/>
            <w:vAlign w:val="center"/>
          </w:tcPr>
          <w:p w14:paraId="658E2BFB">
            <w:pPr>
              <w:pStyle w:val="20"/>
              <w:bidi w:val="0"/>
              <w:rPr>
                <w:color w:val="auto"/>
              </w:rPr>
            </w:pPr>
            <w:r>
              <w:rPr>
                <w:color w:val="auto"/>
              </w:rPr>
              <w:t>安全生产法</w:t>
            </w:r>
          </w:p>
        </w:tc>
        <w:tc>
          <w:tcPr>
            <w:tcW w:w="1164" w:type="pct"/>
            <w:noWrap w:val="0"/>
            <w:vAlign w:val="center"/>
          </w:tcPr>
          <w:p w14:paraId="20F42F4B">
            <w:pPr>
              <w:pStyle w:val="20"/>
              <w:bidi w:val="0"/>
              <w:rPr>
                <w:color w:val="auto"/>
              </w:rPr>
            </w:pPr>
            <w:r>
              <w:rPr>
                <w:rFonts w:hint="eastAsia"/>
                <w:color w:val="auto"/>
              </w:rPr>
              <w:t>建立了全员安全生产责任制</w:t>
            </w:r>
          </w:p>
        </w:tc>
        <w:tc>
          <w:tcPr>
            <w:tcW w:w="868" w:type="pct"/>
            <w:noWrap w:val="0"/>
            <w:vAlign w:val="center"/>
          </w:tcPr>
          <w:p w14:paraId="19F36D2E">
            <w:pPr>
              <w:pStyle w:val="20"/>
              <w:bidi w:val="0"/>
              <w:rPr>
                <w:rFonts w:hint="eastAsia"/>
                <w:color w:val="auto"/>
                <w:lang w:val="en-US" w:eastAsia="zh-CN"/>
              </w:rPr>
            </w:pPr>
            <w:r>
              <w:rPr>
                <w:rFonts w:hint="eastAsia"/>
                <w:color w:val="auto"/>
                <w:lang w:val="en-US" w:eastAsia="zh-CN"/>
              </w:rPr>
              <w:t>符合</w:t>
            </w:r>
          </w:p>
        </w:tc>
      </w:tr>
      <w:tr w14:paraId="474349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62E999BA">
            <w:pPr>
              <w:pStyle w:val="20"/>
              <w:bidi w:val="0"/>
              <w:rPr>
                <w:rFonts w:hint="default"/>
                <w:color w:val="auto"/>
                <w:lang w:val="en-US" w:eastAsia="zh-CN"/>
              </w:rPr>
            </w:pPr>
            <w:r>
              <w:rPr>
                <w:rFonts w:hint="eastAsia"/>
                <w:color w:val="auto"/>
                <w:lang w:val="en-US" w:eastAsia="zh-CN"/>
              </w:rPr>
              <w:t>10</w:t>
            </w:r>
          </w:p>
        </w:tc>
        <w:tc>
          <w:tcPr>
            <w:tcW w:w="1545" w:type="pct"/>
            <w:gridSpan w:val="2"/>
            <w:noWrap w:val="0"/>
            <w:vAlign w:val="center"/>
          </w:tcPr>
          <w:p w14:paraId="721D22B4">
            <w:pPr>
              <w:pStyle w:val="20"/>
              <w:bidi w:val="0"/>
              <w:rPr>
                <w:color w:val="auto"/>
              </w:rPr>
            </w:pPr>
            <w:r>
              <w:rPr>
                <w:color w:val="auto"/>
              </w:rPr>
              <w:t>安全生产管理制度</w:t>
            </w:r>
          </w:p>
        </w:tc>
        <w:tc>
          <w:tcPr>
            <w:tcW w:w="1071" w:type="pct"/>
            <w:noWrap w:val="0"/>
            <w:vAlign w:val="center"/>
          </w:tcPr>
          <w:p w14:paraId="240FEB17">
            <w:pPr>
              <w:pStyle w:val="20"/>
              <w:bidi w:val="0"/>
              <w:rPr>
                <w:color w:val="auto"/>
              </w:rPr>
            </w:pPr>
            <w:r>
              <w:rPr>
                <w:color w:val="auto"/>
              </w:rPr>
              <w:t>安全生产法</w:t>
            </w:r>
          </w:p>
        </w:tc>
        <w:tc>
          <w:tcPr>
            <w:tcW w:w="1164" w:type="pct"/>
            <w:noWrap w:val="0"/>
            <w:vAlign w:val="center"/>
          </w:tcPr>
          <w:p w14:paraId="04EF1554">
            <w:pPr>
              <w:pStyle w:val="20"/>
              <w:bidi w:val="0"/>
              <w:rPr>
                <w:color w:val="auto"/>
              </w:rPr>
            </w:pPr>
            <w:r>
              <w:rPr>
                <w:rFonts w:hint="eastAsia"/>
                <w:color w:val="auto"/>
              </w:rPr>
              <w:t>制定</w:t>
            </w:r>
            <w:r>
              <w:rPr>
                <w:rFonts w:hint="eastAsia"/>
                <w:color w:val="auto"/>
                <w:lang w:val="en-US" w:eastAsia="zh-CN"/>
              </w:rPr>
              <w:t>了</w:t>
            </w:r>
            <w:r>
              <w:rPr>
                <w:rFonts w:hint="eastAsia"/>
                <w:color w:val="auto"/>
              </w:rPr>
              <w:t>安全管理制度</w:t>
            </w:r>
          </w:p>
        </w:tc>
        <w:tc>
          <w:tcPr>
            <w:tcW w:w="868" w:type="pct"/>
            <w:noWrap w:val="0"/>
            <w:vAlign w:val="center"/>
          </w:tcPr>
          <w:p w14:paraId="36FFD68C">
            <w:pPr>
              <w:pStyle w:val="20"/>
              <w:bidi w:val="0"/>
              <w:rPr>
                <w:rFonts w:hint="eastAsia"/>
                <w:color w:val="auto"/>
                <w:lang w:val="en-US" w:eastAsia="zh-CN"/>
              </w:rPr>
            </w:pPr>
            <w:r>
              <w:rPr>
                <w:rFonts w:hint="eastAsia"/>
                <w:color w:val="auto"/>
                <w:lang w:val="en-US" w:eastAsia="zh-CN"/>
              </w:rPr>
              <w:t>符合</w:t>
            </w:r>
          </w:p>
        </w:tc>
      </w:tr>
      <w:tr w14:paraId="1B1D00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3C71D436">
            <w:pPr>
              <w:pStyle w:val="20"/>
              <w:bidi w:val="0"/>
              <w:rPr>
                <w:rFonts w:hint="default"/>
                <w:color w:val="auto"/>
                <w:lang w:val="en-US" w:eastAsia="zh-CN"/>
              </w:rPr>
            </w:pPr>
            <w:r>
              <w:rPr>
                <w:rFonts w:hint="eastAsia"/>
                <w:color w:val="auto"/>
                <w:lang w:val="en-US" w:eastAsia="zh-CN"/>
              </w:rPr>
              <w:t>11</w:t>
            </w:r>
          </w:p>
        </w:tc>
        <w:tc>
          <w:tcPr>
            <w:tcW w:w="1545" w:type="pct"/>
            <w:gridSpan w:val="2"/>
            <w:noWrap w:val="0"/>
            <w:vAlign w:val="center"/>
          </w:tcPr>
          <w:p w14:paraId="5B2E3452">
            <w:pPr>
              <w:pStyle w:val="20"/>
              <w:bidi w:val="0"/>
              <w:rPr>
                <w:color w:val="auto"/>
              </w:rPr>
            </w:pPr>
            <w:r>
              <w:rPr>
                <w:color w:val="auto"/>
              </w:rPr>
              <w:t>安全操作规程</w:t>
            </w:r>
          </w:p>
        </w:tc>
        <w:tc>
          <w:tcPr>
            <w:tcW w:w="1071" w:type="pct"/>
            <w:noWrap w:val="0"/>
            <w:vAlign w:val="center"/>
          </w:tcPr>
          <w:p w14:paraId="66D7ECFF">
            <w:pPr>
              <w:pStyle w:val="20"/>
              <w:bidi w:val="0"/>
              <w:rPr>
                <w:rFonts w:hint="eastAsia"/>
                <w:color w:val="auto"/>
              </w:rPr>
            </w:pPr>
            <w:r>
              <w:rPr>
                <w:color w:val="auto"/>
              </w:rPr>
              <w:t>安全生产法</w:t>
            </w:r>
          </w:p>
        </w:tc>
        <w:tc>
          <w:tcPr>
            <w:tcW w:w="1164" w:type="pct"/>
            <w:noWrap w:val="0"/>
            <w:vAlign w:val="center"/>
          </w:tcPr>
          <w:p w14:paraId="79F69742">
            <w:pPr>
              <w:pStyle w:val="20"/>
              <w:bidi w:val="0"/>
              <w:rPr>
                <w:color w:val="auto"/>
              </w:rPr>
            </w:pPr>
            <w:r>
              <w:rPr>
                <w:color w:val="auto"/>
              </w:rPr>
              <w:t>制定</w:t>
            </w:r>
            <w:r>
              <w:rPr>
                <w:rFonts w:hint="eastAsia"/>
                <w:color w:val="auto"/>
              </w:rPr>
              <w:t>有较健全的安全操作规程</w:t>
            </w:r>
          </w:p>
        </w:tc>
        <w:tc>
          <w:tcPr>
            <w:tcW w:w="868" w:type="pct"/>
            <w:noWrap w:val="0"/>
            <w:vAlign w:val="center"/>
          </w:tcPr>
          <w:p w14:paraId="644B46B5">
            <w:pPr>
              <w:pStyle w:val="20"/>
              <w:bidi w:val="0"/>
              <w:rPr>
                <w:rFonts w:hint="eastAsia"/>
                <w:color w:val="auto"/>
                <w:lang w:val="en-US" w:eastAsia="zh-CN"/>
              </w:rPr>
            </w:pPr>
            <w:r>
              <w:rPr>
                <w:rFonts w:hint="eastAsia"/>
                <w:color w:val="auto"/>
                <w:lang w:val="en-US" w:eastAsia="zh-CN"/>
              </w:rPr>
              <w:t>符合</w:t>
            </w:r>
          </w:p>
        </w:tc>
      </w:tr>
      <w:tr w14:paraId="4BABD5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44978690">
            <w:pPr>
              <w:pStyle w:val="20"/>
              <w:bidi w:val="0"/>
              <w:rPr>
                <w:rFonts w:hint="default"/>
                <w:color w:val="auto"/>
                <w:lang w:val="en-US" w:eastAsia="zh-CN"/>
              </w:rPr>
            </w:pPr>
            <w:r>
              <w:rPr>
                <w:rFonts w:hint="eastAsia"/>
                <w:color w:val="auto"/>
                <w:lang w:val="en-US" w:eastAsia="zh-CN"/>
              </w:rPr>
              <w:t>12</w:t>
            </w:r>
          </w:p>
        </w:tc>
        <w:tc>
          <w:tcPr>
            <w:tcW w:w="1545" w:type="pct"/>
            <w:gridSpan w:val="2"/>
            <w:noWrap w:val="0"/>
            <w:vAlign w:val="center"/>
          </w:tcPr>
          <w:p w14:paraId="2FF8F1E6">
            <w:pPr>
              <w:pStyle w:val="20"/>
              <w:bidi w:val="0"/>
              <w:rPr>
                <w:color w:val="auto"/>
              </w:rPr>
            </w:pPr>
            <w:r>
              <w:rPr>
                <w:rFonts w:hint="eastAsia"/>
                <w:color w:val="auto"/>
              </w:rPr>
              <w:t>安全风险分级管控和隐患排查治理双重预防工作机制</w:t>
            </w:r>
          </w:p>
        </w:tc>
        <w:tc>
          <w:tcPr>
            <w:tcW w:w="1071" w:type="pct"/>
            <w:noWrap w:val="0"/>
            <w:vAlign w:val="center"/>
          </w:tcPr>
          <w:p w14:paraId="55FFB3E7">
            <w:pPr>
              <w:pStyle w:val="20"/>
              <w:bidi w:val="0"/>
              <w:rPr>
                <w:rFonts w:hint="eastAsia"/>
                <w:color w:val="auto"/>
              </w:rPr>
            </w:pPr>
            <w:r>
              <w:rPr>
                <w:color w:val="auto"/>
              </w:rPr>
              <w:t>安全生产法</w:t>
            </w:r>
          </w:p>
        </w:tc>
        <w:tc>
          <w:tcPr>
            <w:tcW w:w="1164" w:type="pct"/>
            <w:noWrap w:val="0"/>
            <w:vAlign w:val="center"/>
          </w:tcPr>
          <w:p w14:paraId="202D389B">
            <w:pPr>
              <w:pStyle w:val="20"/>
              <w:bidi w:val="0"/>
              <w:rPr>
                <w:color w:val="auto"/>
              </w:rPr>
            </w:pPr>
            <w:r>
              <w:rPr>
                <w:rFonts w:hint="eastAsia"/>
                <w:color w:val="auto"/>
              </w:rPr>
              <w:t>建立了双重预防工作机制</w:t>
            </w:r>
          </w:p>
        </w:tc>
        <w:tc>
          <w:tcPr>
            <w:tcW w:w="868" w:type="pct"/>
            <w:noWrap w:val="0"/>
            <w:vAlign w:val="center"/>
          </w:tcPr>
          <w:p w14:paraId="72AF7F4C">
            <w:pPr>
              <w:pStyle w:val="20"/>
              <w:bidi w:val="0"/>
              <w:rPr>
                <w:rFonts w:hint="eastAsia"/>
                <w:color w:val="auto"/>
                <w:lang w:val="en-US" w:eastAsia="zh-CN"/>
              </w:rPr>
            </w:pPr>
            <w:r>
              <w:rPr>
                <w:rFonts w:hint="eastAsia"/>
                <w:color w:val="auto"/>
                <w:lang w:val="en-US" w:eastAsia="zh-CN"/>
              </w:rPr>
              <w:t>符合</w:t>
            </w:r>
          </w:p>
        </w:tc>
      </w:tr>
      <w:tr w14:paraId="5CEA42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41E2B10A">
            <w:pPr>
              <w:pStyle w:val="20"/>
              <w:bidi w:val="0"/>
              <w:rPr>
                <w:rFonts w:hint="default"/>
                <w:color w:val="auto"/>
                <w:lang w:val="en-US" w:eastAsia="zh-CN"/>
              </w:rPr>
            </w:pPr>
            <w:r>
              <w:rPr>
                <w:rFonts w:hint="eastAsia"/>
                <w:color w:val="auto"/>
                <w:lang w:val="en-US" w:eastAsia="zh-CN"/>
              </w:rPr>
              <w:t>13</w:t>
            </w:r>
          </w:p>
        </w:tc>
        <w:tc>
          <w:tcPr>
            <w:tcW w:w="1545" w:type="pct"/>
            <w:gridSpan w:val="2"/>
            <w:noWrap w:val="0"/>
            <w:vAlign w:val="center"/>
          </w:tcPr>
          <w:p w14:paraId="4FAF93C5">
            <w:pPr>
              <w:pStyle w:val="20"/>
              <w:bidi w:val="0"/>
              <w:rPr>
                <w:color w:val="auto"/>
              </w:rPr>
            </w:pPr>
            <w:r>
              <w:rPr>
                <w:color w:val="auto"/>
              </w:rPr>
              <w:t>事故应急救援预案</w:t>
            </w:r>
          </w:p>
        </w:tc>
        <w:tc>
          <w:tcPr>
            <w:tcW w:w="1071" w:type="pct"/>
            <w:noWrap w:val="0"/>
            <w:vAlign w:val="center"/>
          </w:tcPr>
          <w:p w14:paraId="6B464B3E">
            <w:pPr>
              <w:pStyle w:val="20"/>
              <w:bidi w:val="0"/>
              <w:rPr>
                <w:color w:val="auto"/>
              </w:rPr>
            </w:pPr>
            <w:r>
              <w:rPr>
                <w:color w:val="auto"/>
              </w:rPr>
              <w:t>安全生产法</w:t>
            </w:r>
          </w:p>
        </w:tc>
        <w:tc>
          <w:tcPr>
            <w:tcW w:w="1164" w:type="pct"/>
            <w:noWrap w:val="0"/>
            <w:vAlign w:val="center"/>
          </w:tcPr>
          <w:p w14:paraId="5FBD77E0">
            <w:pPr>
              <w:pStyle w:val="20"/>
              <w:bidi w:val="0"/>
              <w:rPr>
                <w:color w:val="auto"/>
              </w:rPr>
            </w:pPr>
            <w:r>
              <w:rPr>
                <w:color w:val="auto"/>
              </w:rPr>
              <w:t>制定</w:t>
            </w:r>
            <w:r>
              <w:rPr>
                <w:rFonts w:hint="eastAsia"/>
                <w:color w:val="auto"/>
              </w:rPr>
              <w:t>有生产安全事故应急预案并备案</w:t>
            </w:r>
          </w:p>
        </w:tc>
        <w:tc>
          <w:tcPr>
            <w:tcW w:w="868" w:type="pct"/>
            <w:noWrap w:val="0"/>
            <w:vAlign w:val="center"/>
          </w:tcPr>
          <w:p w14:paraId="36B37583">
            <w:pPr>
              <w:pStyle w:val="20"/>
              <w:bidi w:val="0"/>
              <w:rPr>
                <w:rFonts w:hint="eastAsia"/>
                <w:color w:val="auto"/>
                <w:lang w:val="en-US" w:eastAsia="zh-CN"/>
              </w:rPr>
            </w:pPr>
            <w:r>
              <w:rPr>
                <w:rFonts w:hint="eastAsia"/>
                <w:color w:val="auto"/>
                <w:lang w:val="en-US" w:eastAsia="zh-CN"/>
              </w:rPr>
              <w:t>符合</w:t>
            </w:r>
          </w:p>
        </w:tc>
      </w:tr>
      <w:tr w14:paraId="03FF7C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0BE8372B">
            <w:pPr>
              <w:pStyle w:val="20"/>
              <w:bidi w:val="0"/>
              <w:rPr>
                <w:rFonts w:hint="default"/>
                <w:color w:val="auto"/>
                <w:lang w:val="en-US" w:eastAsia="zh-CN"/>
              </w:rPr>
            </w:pPr>
            <w:r>
              <w:rPr>
                <w:rFonts w:hint="eastAsia"/>
                <w:color w:val="auto"/>
                <w:lang w:val="en-US" w:eastAsia="zh-CN"/>
              </w:rPr>
              <w:t>14</w:t>
            </w:r>
          </w:p>
        </w:tc>
        <w:tc>
          <w:tcPr>
            <w:tcW w:w="1545" w:type="pct"/>
            <w:gridSpan w:val="2"/>
            <w:noWrap w:val="0"/>
            <w:vAlign w:val="center"/>
          </w:tcPr>
          <w:p w14:paraId="31ABB514">
            <w:pPr>
              <w:pStyle w:val="20"/>
              <w:bidi w:val="0"/>
              <w:rPr>
                <w:color w:val="auto"/>
              </w:rPr>
            </w:pPr>
            <w:r>
              <w:rPr>
                <w:color w:val="auto"/>
              </w:rPr>
              <w:t>事故应急救援组织、人员、器材</w:t>
            </w:r>
          </w:p>
        </w:tc>
        <w:tc>
          <w:tcPr>
            <w:tcW w:w="1071" w:type="pct"/>
            <w:noWrap w:val="0"/>
            <w:vAlign w:val="center"/>
          </w:tcPr>
          <w:p w14:paraId="07D698A7">
            <w:pPr>
              <w:pStyle w:val="20"/>
              <w:bidi w:val="0"/>
              <w:rPr>
                <w:color w:val="auto"/>
              </w:rPr>
            </w:pPr>
            <w:r>
              <w:rPr>
                <w:color w:val="auto"/>
              </w:rPr>
              <w:t>安全生产法</w:t>
            </w:r>
          </w:p>
        </w:tc>
        <w:tc>
          <w:tcPr>
            <w:tcW w:w="1164" w:type="pct"/>
            <w:noWrap w:val="0"/>
            <w:vAlign w:val="center"/>
          </w:tcPr>
          <w:p w14:paraId="16E0C914">
            <w:pPr>
              <w:pStyle w:val="20"/>
              <w:bidi w:val="0"/>
              <w:rPr>
                <w:color w:val="auto"/>
              </w:rPr>
            </w:pPr>
            <w:r>
              <w:rPr>
                <w:rFonts w:hint="eastAsia"/>
                <w:color w:val="auto"/>
              </w:rPr>
              <w:t>应急预案有规定，</w:t>
            </w:r>
            <w:r>
              <w:rPr>
                <w:color w:val="auto"/>
              </w:rPr>
              <w:t>配备</w:t>
            </w:r>
            <w:r>
              <w:rPr>
                <w:rFonts w:hint="eastAsia"/>
                <w:color w:val="auto"/>
              </w:rPr>
              <w:t>有应急器材</w:t>
            </w:r>
          </w:p>
        </w:tc>
        <w:tc>
          <w:tcPr>
            <w:tcW w:w="868" w:type="pct"/>
            <w:noWrap w:val="0"/>
            <w:vAlign w:val="center"/>
          </w:tcPr>
          <w:p w14:paraId="3AA5C457">
            <w:pPr>
              <w:pStyle w:val="20"/>
              <w:bidi w:val="0"/>
              <w:rPr>
                <w:rFonts w:hint="eastAsia"/>
                <w:color w:val="auto"/>
                <w:lang w:val="en-US" w:eastAsia="zh-CN"/>
              </w:rPr>
            </w:pPr>
            <w:r>
              <w:rPr>
                <w:rFonts w:hint="eastAsia"/>
                <w:color w:val="auto"/>
                <w:lang w:val="en-US" w:eastAsia="zh-CN"/>
              </w:rPr>
              <w:t>符合</w:t>
            </w:r>
          </w:p>
        </w:tc>
      </w:tr>
      <w:tr w14:paraId="0650DE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350" w:type="pct"/>
            <w:noWrap w:val="0"/>
            <w:vAlign w:val="center"/>
          </w:tcPr>
          <w:p w14:paraId="631290A9">
            <w:pPr>
              <w:pStyle w:val="20"/>
              <w:bidi w:val="0"/>
              <w:rPr>
                <w:rFonts w:hint="default"/>
                <w:color w:val="auto"/>
                <w:lang w:val="en-US" w:eastAsia="zh-CN"/>
              </w:rPr>
            </w:pPr>
            <w:r>
              <w:rPr>
                <w:rFonts w:hint="eastAsia"/>
                <w:color w:val="auto"/>
                <w:lang w:val="en-US" w:eastAsia="zh-CN"/>
              </w:rPr>
              <w:t>15</w:t>
            </w:r>
          </w:p>
        </w:tc>
        <w:tc>
          <w:tcPr>
            <w:tcW w:w="1545" w:type="pct"/>
            <w:gridSpan w:val="2"/>
            <w:noWrap w:val="0"/>
            <w:vAlign w:val="center"/>
          </w:tcPr>
          <w:p w14:paraId="6FD7934F">
            <w:pPr>
              <w:pStyle w:val="20"/>
              <w:bidi w:val="0"/>
              <w:rPr>
                <w:color w:val="auto"/>
              </w:rPr>
            </w:pPr>
            <w:r>
              <w:rPr>
                <w:color w:val="auto"/>
              </w:rPr>
              <w:t>劳动防护用品</w:t>
            </w:r>
          </w:p>
        </w:tc>
        <w:tc>
          <w:tcPr>
            <w:tcW w:w="1071" w:type="pct"/>
            <w:noWrap w:val="0"/>
            <w:vAlign w:val="center"/>
          </w:tcPr>
          <w:p w14:paraId="5216368A">
            <w:pPr>
              <w:pStyle w:val="20"/>
              <w:bidi w:val="0"/>
              <w:rPr>
                <w:color w:val="auto"/>
              </w:rPr>
            </w:pPr>
            <w:r>
              <w:rPr>
                <w:color w:val="auto"/>
              </w:rPr>
              <w:t>安全生产法</w:t>
            </w:r>
          </w:p>
        </w:tc>
        <w:tc>
          <w:tcPr>
            <w:tcW w:w="1164" w:type="pct"/>
            <w:noWrap w:val="0"/>
            <w:vAlign w:val="center"/>
          </w:tcPr>
          <w:p w14:paraId="74B2DF3D">
            <w:pPr>
              <w:pStyle w:val="20"/>
              <w:bidi w:val="0"/>
              <w:rPr>
                <w:color w:val="auto"/>
              </w:rPr>
            </w:pPr>
            <w:r>
              <w:rPr>
                <w:rFonts w:hint="eastAsia"/>
                <w:color w:val="auto"/>
              </w:rPr>
              <w:t>按要求为从业人员</w:t>
            </w:r>
            <w:r>
              <w:rPr>
                <w:color w:val="auto"/>
              </w:rPr>
              <w:t>配备</w:t>
            </w:r>
            <w:r>
              <w:rPr>
                <w:rFonts w:hint="eastAsia"/>
                <w:color w:val="auto"/>
              </w:rPr>
              <w:t>所需的劳动防护用品</w:t>
            </w:r>
          </w:p>
        </w:tc>
        <w:tc>
          <w:tcPr>
            <w:tcW w:w="868" w:type="pct"/>
            <w:noWrap w:val="0"/>
            <w:vAlign w:val="center"/>
          </w:tcPr>
          <w:p w14:paraId="6ADF4725">
            <w:pPr>
              <w:pStyle w:val="20"/>
              <w:bidi w:val="0"/>
              <w:rPr>
                <w:rFonts w:hint="eastAsia"/>
                <w:color w:val="auto"/>
                <w:lang w:val="en-US" w:eastAsia="zh-CN"/>
              </w:rPr>
            </w:pPr>
            <w:r>
              <w:rPr>
                <w:rFonts w:hint="eastAsia"/>
                <w:color w:val="auto"/>
                <w:lang w:val="en-US" w:eastAsia="zh-CN"/>
              </w:rPr>
              <w:t>符合</w:t>
            </w:r>
          </w:p>
        </w:tc>
      </w:tr>
    </w:tbl>
    <w:p w14:paraId="2FF8C2D2">
      <w:pPr>
        <w:bidi w:val="0"/>
        <w:rPr>
          <w:rFonts w:hint="eastAsia"/>
          <w:color w:val="auto"/>
        </w:rPr>
      </w:pPr>
      <w:r>
        <w:rPr>
          <w:rFonts w:hint="eastAsia"/>
          <w:color w:val="auto"/>
        </w:rPr>
        <w:t>评价小结：</w:t>
      </w:r>
    </w:p>
    <w:p w14:paraId="40341342">
      <w:pPr>
        <w:bidi w:val="0"/>
        <w:rPr>
          <w:rFonts w:hint="eastAsia" w:eastAsia="宋体"/>
          <w:color w:val="auto"/>
          <w:lang w:val="en-US" w:eastAsia="zh-CN"/>
        </w:rPr>
      </w:pPr>
      <w:r>
        <w:rPr>
          <w:rFonts w:hint="eastAsia"/>
          <w:color w:val="auto"/>
        </w:rPr>
        <w:t>本项目特种设备检测检验、防雷检测等单位均具有相应的资质</w:t>
      </w:r>
      <w:r>
        <w:rPr>
          <w:rFonts w:hint="eastAsia"/>
          <w:color w:val="auto"/>
          <w:lang w:eastAsia="zh-CN"/>
        </w:rPr>
        <w:t>，</w:t>
      </w:r>
      <w:r>
        <w:rPr>
          <w:rFonts w:hint="eastAsia"/>
          <w:color w:val="auto"/>
        </w:rPr>
        <w:t>主要负责人、安全管理人员及特种作业人员按要求参加培训考核合格后上岗</w:t>
      </w:r>
      <w:r>
        <w:rPr>
          <w:rFonts w:hint="eastAsia"/>
          <w:color w:val="auto"/>
          <w:lang w:eastAsia="zh-CN"/>
        </w:rPr>
        <w:t>，</w:t>
      </w:r>
      <w:r>
        <w:rPr>
          <w:rFonts w:hint="eastAsia"/>
          <w:color w:val="auto"/>
        </w:rPr>
        <w:t>制定有较健全的安全操作规程</w:t>
      </w:r>
      <w:r>
        <w:rPr>
          <w:rFonts w:hint="eastAsia"/>
          <w:color w:val="auto"/>
          <w:lang w:eastAsia="zh-CN"/>
        </w:rPr>
        <w:t>，</w:t>
      </w:r>
      <w:r>
        <w:rPr>
          <w:rFonts w:hint="eastAsia"/>
          <w:color w:val="auto"/>
        </w:rPr>
        <w:t>建立了双重预防工作机制</w:t>
      </w:r>
      <w:r>
        <w:rPr>
          <w:rFonts w:hint="eastAsia"/>
          <w:color w:val="auto"/>
          <w:lang w:eastAsia="zh-CN"/>
        </w:rPr>
        <w:t>，</w:t>
      </w:r>
      <w:r>
        <w:rPr>
          <w:rFonts w:hint="eastAsia"/>
          <w:color w:val="auto"/>
        </w:rPr>
        <w:t>制定有生产安全事故应急预案并备案</w:t>
      </w:r>
      <w:r>
        <w:rPr>
          <w:rFonts w:hint="eastAsia"/>
          <w:color w:val="auto"/>
          <w:lang w:eastAsia="zh-CN"/>
        </w:rPr>
        <w:t>，</w:t>
      </w:r>
      <w:r>
        <w:rPr>
          <w:rFonts w:hint="eastAsia"/>
          <w:color w:val="auto"/>
        </w:rPr>
        <w:t>按要求为从业人员配备所需的劳动防护用品</w:t>
      </w:r>
      <w:r>
        <w:rPr>
          <w:rFonts w:hint="eastAsia"/>
          <w:color w:val="auto"/>
          <w:lang w:eastAsia="zh-CN"/>
        </w:rPr>
        <w:t>。</w:t>
      </w:r>
    </w:p>
    <w:p w14:paraId="366D5B8D">
      <w:pPr>
        <w:pStyle w:val="4"/>
        <w:bidi w:val="0"/>
        <w:rPr>
          <w:rFonts w:hint="eastAsia"/>
          <w:color w:val="auto"/>
        </w:rPr>
      </w:pPr>
      <w:bookmarkStart w:id="110" w:name="_Toc11009"/>
      <w:r>
        <w:rPr>
          <w:rFonts w:hint="eastAsia"/>
          <w:color w:val="auto"/>
          <w:lang w:val="en-US" w:eastAsia="zh-CN"/>
        </w:rPr>
        <w:t>5.5.2</w:t>
      </w:r>
      <w:r>
        <w:rPr>
          <w:rFonts w:hint="eastAsia"/>
          <w:color w:val="auto"/>
        </w:rPr>
        <w:t>安全管理机构设置</w:t>
      </w:r>
      <w:bookmarkEnd w:id="110"/>
    </w:p>
    <w:p w14:paraId="78CDFAAD">
      <w:pPr>
        <w:spacing w:line="540" w:lineRule="exact"/>
        <w:ind w:firstLine="560" w:firstLineChars="200"/>
        <w:rPr>
          <w:rFonts w:ascii="Times New Roman" w:hAnsi="Times New Roman"/>
          <w:color w:val="auto"/>
          <w:sz w:val="28"/>
          <w:highlight w:val="none"/>
        </w:rPr>
      </w:pPr>
      <w:r>
        <w:rPr>
          <w:rFonts w:ascii="Times New Roman" w:hAnsi="Times New Roman"/>
          <w:color w:val="auto"/>
          <w:sz w:val="28"/>
          <w:highlight w:val="none"/>
        </w:rPr>
        <w:t>公司</w:t>
      </w:r>
      <w:r>
        <w:rPr>
          <w:rFonts w:hint="eastAsia" w:ascii="Times New Roman" w:hAnsi="Times New Roman"/>
          <w:color w:val="auto"/>
          <w:sz w:val="28"/>
          <w:highlight w:val="none"/>
        </w:rPr>
        <w:t>已</w:t>
      </w:r>
      <w:r>
        <w:rPr>
          <w:rFonts w:ascii="Times New Roman" w:hAnsi="Times New Roman"/>
          <w:color w:val="auto"/>
          <w:sz w:val="28"/>
          <w:highlight w:val="none"/>
        </w:rPr>
        <w:t>成立有安全生产委员会，主要包括主任委员1人、副主任委员3人员和有关车间、部门负责人和员工代表、相关方代表。总经理担任安委会主任委员，副董事长特别助理、副总经理任副主任委员。</w:t>
      </w:r>
    </w:p>
    <w:p w14:paraId="50E4539F">
      <w:pPr>
        <w:spacing w:line="540" w:lineRule="exact"/>
        <w:ind w:firstLine="560" w:firstLineChars="200"/>
        <w:rPr>
          <w:rFonts w:hint="eastAsia"/>
          <w:color w:val="auto"/>
        </w:rPr>
      </w:pPr>
      <w:r>
        <w:rPr>
          <w:rFonts w:ascii="Times New Roman" w:hAnsi="Times New Roman"/>
          <w:color w:val="auto"/>
          <w:sz w:val="28"/>
          <w:highlight w:val="none"/>
        </w:rPr>
        <w:t>公司设立了安全生产管理部门，配备专职安全员6名。主要生产车间的生产班组设有兼职安全员，在安全管理体上形成较为完善的安全管理网络。企业主要负责人已取证4人，安全管理人员已取证33人</w:t>
      </w:r>
      <w:r>
        <w:rPr>
          <w:rFonts w:hint="eastAsia" w:ascii="Times New Roman" w:hAnsi="Times New Roman"/>
          <w:color w:val="auto"/>
          <w:sz w:val="28"/>
          <w:highlight w:val="none"/>
          <w:lang w:eastAsia="zh-CN"/>
        </w:rPr>
        <w:t>，</w:t>
      </w:r>
      <w:r>
        <w:rPr>
          <w:rFonts w:hint="eastAsia"/>
          <w:color w:val="auto"/>
        </w:rPr>
        <w:t>均经相关部门</w:t>
      </w:r>
      <w:r>
        <w:rPr>
          <w:rFonts w:hint="eastAsia"/>
          <w:color w:val="auto"/>
          <w:lang w:eastAsia="zh-CN"/>
        </w:rPr>
        <w:t>（</w:t>
      </w:r>
      <w:r>
        <w:rPr>
          <w:rFonts w:hint="eastAsia"/>
          <w:color w:val="auto"/>
          <w:lang w:val="en-US" w:eastAsia="zh-CN"/>
        </w:rPr>
        <w:t>瑞昌市工贸行业负责人和安全管理人员安全知识培训班</w:t>
      </w:r>
      <w:r>
        <w:rPr>
          <w:rFonts w:hint="eastAsia"/>
          <w:color w:val="auto"/>
          <w:lang w:eastAsia="zh-CN"/>
        </w:rPr>
        <w:t>）</w:t>
      </w:r>
      <w:r>
        <w:rPr>
          <w:rFonts w:hint="eastAsia"/>
          <w:color w:val="auto"/>
        </w:rPr>
        <w:t>培训合格后取证。公司各类特种作业人员均经过相关部门</w:t>
      </w:r>
      <w:r>
        <w:rPr>
          <w:color w:val="auto"/>
        </w:rPr>
        <w:t>组织</w:t>
      </w:r>
      <w:r>
        <w:rPr>
          <w:rFonts w:hint="eastAsia"/>
          <w:color w:val="auto"/>
        </w:rPr>
        <w:t>特种作业</w:t>
      </w:r>
      <w:r>
        <w:rPr>
          <w:color w:val="auto"/>
        </w:rPr>
        <w:t>培训并经考试合格取得资格证书</w:t>
      </w:r>
      <w:r>
        <w:rPr>
          <w:rFonts w:hint="eastAsia"/>
          <w:color w:val="auto"/>
        </w:rPr>
        <w:t>。</w:t>
      </w:r>
    </w:p>
    <w:p w14:paraId="0766ECF4">
      <w:pPr>
        <w:bidi w:val="0"/>
        <w:rPr>
          <w:rFonts w:hint="default" w:eastAsia="宋体"/>
          <w:color w:val="auto"/>
          <w:lang w:val="en-US" w:eastAsia="zh-CN"/>
        </w:rPr>
      </w:pPr>
      <w:r>
        <w:rPr>
          <w:rFonts w:hint="eastAsia"/>
          <w:color w:val="auto"/>
          <w:lang w:val="en-US" w:eastAsia="zh-CN"/>
        </w:rPr>
        <w:t>综上所述，江西亚东水泥有限公司</w:t>
      </w:r>
      <w:r>
        <w:rPr>
          <w:rFonts w:hint="eastAsia"/>
          <w:color w:val="auto"/>
        </w:rPr>
        <w:t>安全管理机构设置</w:t>
      </w:r>
      <w:r>
        <w:rPr>
          <w:rFonts w:hint="eastAsia"/>
          <w:color w:val="auto"/>
          <w:lang w:val="en-US" w:eastAsia="zh-CN"/>
        </w:rPr>
        <w:t>符合相关法律、法规要求。</w:t>
      </w:r>
    </w:p>
    <w:p w14:paraId="5408E7C5">
      <w:pPr>
        <w:pStyle w:val="4"/>
        <w:bidi w:val="0"/>
        <w:rPr>
          <w:rFonts w:hint="eastAsia"/>
          <w:color w:val="auto"/>
        </w:rPr>
      </w:pPr>
      <w:bookmarkStart w:id="111" w:name="_Toc21196"/>
      <w:r>
        <w:rPr>
          <w:rFonts w:hint="eastAsia"/>
          <w:color w:val="auto"/>
        </w:rPr>
        <w:t>5.</w:t>
      </w:r>
      <w:r>
        <w:rPr>
          <w:rFonts w:hint="eastAsia"/>
          <w:color w:val="auto"/>
          <w:lang w:val="en-US" w:eastAsia="zh-CN"/>
        </w:rPr>
        <w:t>5</w:t>
      </w:r>
      <w:r>
        <w:rPr>
          <w:rFonts w:hint="eastAsia"/>
          <w:color w:val="auto"/>
        </w:rPr>
        <w:t>.</w:t>
      </w:r>
      <w:r>
        <w:rPr>
          <w:rFonts w:hint="eastAsia"/>
          <w:color w:val="auto"/>
          <w:lang w:val="en-US" w:eastAsia="zh-CN"/>
        </w:rPr>
        <w:t>3</w:t>
      </w:r>
      <w:r>
        <w:rPr>
          <w:rFonts w:hint="eastAsia"/>
          <w:color w:val="auto"/>
        </w:rPr>
        <w:t>安全生产管理规章制度、安全操作规程</w:t>
      </w:r>
      <w:bookmarkEnd w:id="111"/>
    </w:p>
    <w:p w14:paraId="48FB9F6A">
      <w:pPr>
        <w:bidi w:val="0"/>
        <w:rPr>
          <w:rFonts w:hint="eastAsia"/>
          <w:color w:val="auto"/>
          <w:lang w:val="en-US" w:eastAsia="zh-CN"/>
        </w:rPr>
      </w:pPr>
      <w:r>
        <w:rPr>
          <w:rFonts w:hint="eastAsia"/>
          <w:color w:val="auto"/>
          <w:lang w:val="en-US" w:eastAsia="zh-CN"/>
        </w:rPr>
        <w:t>江西亚东水泥有限公司制定了各个部门、各级人员的安全生产责任制和各岗位、生产设备的操作规程。</w:t>
      </w:r>
    </w:p>
    <w:p w14:paraId="7767E748">
      <w:pPr>
        <w:bidi w:val="0"/>
        <w:rPr>
          <w:rFonts w:hint="default" w:eastAsia="宋体"/>
          <w:color w:val="auto"/>
          <w:lang w:val="en-US" w:eastAsia="zh-CN"/>
        </w:rPr>
      </w:pPr>
      <w:r>
        <w:rPr>
          <w:rFonts w:hint="eastAsia"/>
          <w:color w:val="auto"/>
          <w:lang w:val="en-US" w:eastAsia="zh-CN"/>
        </w:rPr>
        <w:t>江西亚东水泥有限公司</w:t>
      </w:r>
      <w:r>
        <w:rPr>
          <w:rFonts w:hint="eastAsia"/>
          <w:color w:val="auto"/>
        </w:rPr>
        <w:t>安全生产管理规章制度、安全操作规程</w:t>
      </w:r>
      <w:r>
        <w:rPr>
          <w:rFonts w:hint="eastAsia"/>
          <w:color w:val="auto"/>
          <w:lang w:val="en-US" w:eastAsia="zh-CN"/>
        </w:rPr>
        <w:t>符合相关法律、法规要求。</w:t>
      </w:r>
    </w:p>
    <w:p w14:paraId="41E7DEAE">
      <w:pPr>
        <w:pStyle w:val="4"/>
        <w:bidi w:val="0"/>
        <w:rPr>
          <w:rFonts w:hint="eastAsia"/>
          <w:color w:val="auto"/>
        </w:rPr>
      </w:pPr>
      <w:bookmarkStart w:id="112" w:name="_Toc5913"/>
      <w:r>
        <w:rPr>
          <w:rFonts w:hint="eastAsia"/>
          <w:color w:val="auto"/>
        </w:rPr>
        <w:t>5</w:t>
      </w:r>
      <w:r>
        <w:rPr>
          <w:color w:val="auto"/>
        </w:rPr>
        <w:t>.</w:t>
      </w:r>
      <w:r>
        <w:rPr>
          <w:rFonts w:hint="eastAsia"/>
          <w:color w:val="auto"/>
          <w:lang w:val="en-US" w:eastAsia="zh-CN"/>
        </w:rPr>
        <w:t>5.4</w:t>
      </w:r>
      <w:r>
        <w:rPr>
          <w:rFonts w:hint="eastAsia"/>
          <w:color w:val="auto"/>
        </w:rPr>
        <w:t>事故应急预案、备案及演练</w:t>
      </w:r>
      <w:bookmarkEnd w:id="112"/>
    </w:p>
    <w:p w14:paraId="4BEB69E6">
      <w:pPr>
        <w:spacing w:line="360" w:lineRule="auto"/>
        <w:ind w:firstLine="576" w:firstLineChars="200"/>
        <w:rPr>
          <w:rFonts w:hint="eastAsia"/>
          <w:color w:val="auto"/>
          <w:lang w:val="en-US" w:eastAsia="zh-CN"/>
        </w:rPr>
      </w:pPr>
      <w:r>
        <w:rPr>
          <w:rFonts w:hint="eastAsia"/>
          <w:color w:val="auto"/>
          <w:spacing w:val="4"/>
          <w:sz w:val="28"/>
          <w:szCs w:val="28"/>
          <w:lang w:val="zh-CN"/>
        </w:rPr>
        <w:t>江西</w:t>
      </w:r>
      <w:r>
        <w:rPr>
          <w:rFonts w:hint="eastAsia"/>
          <w:color w:val="auto"/>
          <w:spacing w:val="4"/>
          <w:sz w:val="28"/>
          <w:szCs w:val="28"/>
          <w:lang w:val="en-US" w:eastAsia="zh-CN"/>
        </w:rPr>
        <w:t>亚东水泥</w:t>
      </w:r>
      <w:r>
        <w:rPr>
          <w:rFonts w:hint="eastAsia"/>
          <w:color w:val="auto"/>
          <w:spacing w:val="4"/>
          <w:sz w:val="28"/>
          <w:szCs w:val="28"/>
          <w:lang w:val="zh-CN"/>
        </w:rPr>
        <w:t>有限公司按照《安全生产法》、《生产安全事故应急条例》、</w:t>
      </w:r>
      <w:r>
        <w:rPr>
          <w:color w:val="auto"/>
          <w:sz w:val="28"/>
          <w:szCs w:val="28"/>
        </w:rPr>
        <w:t>《</w:t>
      </w:r>
      <w:r>
        <w:rPr>
          <w:rFonts w:cs="Arial"/>
          <w:color w:val="auto"/>
          <w:sz w:val="28"/>
          <w:szCs w:val="28"/>
        </w:rPr>
        <w:t>生产经营单位生产安全事故应急预案编制导则</w:t>
      </w:r>
      <w:r>
        <w:rPr>
          <w:color w:val="auto"/>
          <w:sz w:val="28"/>
          <w:szCs w:val="28"/>
          <w:lang w:val="zh-CN"/>
        </w:rPr>
        <w:t>》</w:t>
      </w:r>
      <w:r>
        <w:rPr>
          <w:rFonts w:hint="eastAsia"/>
          <w:color w:val="auto"/>
          <w:sz w:val="28"/>
          <w:szCs w:val="28"/>
          <w:lang w:val="zh-CN"/>
        </w:rPr>
        <w:t>、</w:t>
      </w:r>
      <w:r>
        <w:rPr>
          <w:color w:val="auto"/>
          <w:sz w:val="28"/>
          <w:szCs w:val="28"/>
        </w:rPr>
        <w:t>《生产安全事故应急预案管理办法》</w:t>
      </w:r>
      <w:r>
        <w:rPr>
          <w:rFonts w:hint="eastAsia"/>
          <w:color w:val="auto"/>
          <w:sz w:val="28"/>
          <w:szCs w:val="28"/>
        </w:rPr>
        <w:t>等法律法规、标准规范的要求</w:t>
      </w:r>
      <w:r>
        <w:rPr>
          <w:rFonts w:hint="eastAsia"/>
          <w:color w:val="auto"/>
          <w:spacing w:val="4"/>
          <w:sz w:val="28"/>
        </w:rPr>
        <w:t>对本单位可能发生的生产安全事故的特点和危害，进行风险辨识和评估，编制</w:t>
      </w:r>
      <w:r>
        <w:rPr>
          <w:color w:val="auto"/>
          <w:spacing w:val="4"/>
          <w:sz w:val="28"/>
        </w:rPr>
        <w:t>了</w:t>
      </w:r>
      <w:r>
        <w:rPr>
          <w:rFonts w:hint="eastAsia"/>
          <w:color w:val="auto"/>
          <w:spacing w:val="4"/>
          <w:sz w:val="28"/>
        </w:rPr>
        <w:t>《</w:t>
      </w:r>
      <w:r>
        <w:rPr>
          <w:rFonts w:hint="eastAsia"/>
          <w:color w:val="auto"/>
          <w:kern w:val="0"/>
          <w:sz w:val="28"/>
          <w:szCs w:val="28"/>
          <w:lang w:val="en-US" w:eastAsia="zh-CN"/>
        </w:rPr>
        <w:t>江西亚东水泥</w:t>
      </w:r>
      <w:r>
        <w:rPr>
          <w:rFonts w:hint="eastAsia"/>
          <w:color w:val="auto"/>
          <w:kern w:val="0"/>
          <w:sz w:val="28"/>
          <w:szCs w:val="28"/>
          <w:lang w:val="zh-CN"/>
        </w:rPr>
        <w:t>有限公司</w:t>
      </w:r>
      <w:r>
        <w:rPr>
          <w:rFonts w:hint="eastAsia"/>
          <w:color w:val="auto"/>
          <w:spacing w:val="4"/>
          <w:sz w:val="28"/>
        </w:rPr>
        <w:t>生产安全事故应急</w:t>
      </w:r>
      <w:r>
        <w:rPr>
          <w:color w:val="auto"/>
          <w:spacing w:val="4"/>
          <w:sz w:val="28"/>
        </w:rPr>
        <w:t>预案</w:t>
      </w:r>
      <w:r>
        <w:rPr>
          <w:rFonts w:hint="eastAsia"/>
          <w:color w:val="auto"/>
          <w:spacing w:val="4"/>
          <w:sz w:val="28"/>
        </w:rPr>
        <w:t>》，并向本单位从业人员公布。公司编制的《</w:t>
      </w:r>
      <w:r>
        <w:rPr>
          <w:rFonts w:hint="eastAsia"/>
          <w:color w:val="auto"/>
          <w:kern w:val="0"/>
          <w:sz w:val="28"/>
          <w:szCs w:val="28"/>
          <w:lang w:val="en-US" w:eastAsia="zh-CN"/>
        </w:rPr>
        <w:t>江西亚东水泥</w:t>
      </w:r>
      <w:r>
        <w:rPr>
          <w:rFonts w:hint="eastAsia"/>
          <w:color w:val="auto"/>
          <w:kern w:val="0"/>
          <w:sz w:val="28"/>
          <w:szCs w:val="28"/>
          <w:lang w:val="zh-CN"/>
        </w:rPr>
        <w:t>有限公司</w:t>
      </w:r>
      <w:r>
        <w:rPr>
          <w:rFonts w:hint="eastAsia"/>
          <w:color w:val="auto"/>
          <w:spacing w:val="4"/>
          <w:sz w:val="28"/>
        </w:rPr>
        <w:t>生产安全事故应急</w:t>
      </w:r>
      <w:r>
        <w:rPr>
          <w:color w:val="auto"/>
          <w:spacing w:val="4"/>
          <w:sz w:val="28"/>
        </w:rPr>
        <w:t>预案</w:t>
      </w:r>
      <w:r>
        <w:rPr>
          <w:rFonts w:hint="eastAsia"/>
          <w:color w:val="auto"/>
          <w:spacing w:val="4"/>
          <w:sz w:val="28"/>
        </w:rPr>
        <w:t>》</w:t>
      </w:r>
      <w:r>
        <w:rPr>
          <w:rFonts w:hint="eastAsia"/>
          <w:color w:val="auto"/>
          <w:spacing w:val="4"/>
          <w:sz w:val="28"/>
          <w:lang w:val="en-US" w:eastAsia="zh-CN"/>
        </w:rPr>
        <w:t>于</w:t>
      </w:r>
      <w:r>
        <w:rPr>
          <w:rFonts w:hint="eastAsia"/>
          <w:color w:val="auto"/>
          <w:lang w:val="en-US" w:eastAsia="zh-CN"/>
        </w:rPr>
        <w:t>2024年2月19日在九江市应急管理局备案，备案编号：3604002024021。公司编制了2024年度安全、环境、职业健康、特种设备应急演练计划表，包括专项预案名称、演练时间、计划编制单位、参演单位、类别等。</w:t>
      </w:r>
    </w:p>
    <w:p w14:paraId="3B6D3CBB">
      <w:pPr>
        <w:spacing w:line="360" w:lineRule="auto"/>
        <w:ind w:firstLine="560" w:firstLineChars="200"/>
        <w:rPr>
          <w:rFonts w:hint="eastAsia"/>
          <w:color w:val="auto"/>
          <w:lang w:val="zh-CN" w:eastAsia="zh-CN"/>
        </w:rPr>
      </w:pPr>
      <w:r>
        <w:rPr>
          <w:rFonts w:hint="eastAsia"/>
          <w:color w:val="auto"/>
          <w:lang w:val="zh-CN" w:eastAsia="zh-CN"/>
        </w:rPr>
        <w:t>综上所述，江西亚东水泥有限公司事故应急预案、备案及演练符合相关法律、法规要求。</w:t>
      </w:r>
    </w:p>
    <w:p w14:paraId="1EE96DB6">
      <w:pPr>
        <w:pStyle w:val="4"/>
        <w:bidi w:val="0"/>
        <w:rPr>
          <w:color w:val="auto"/>
          <w:lang w:val="en-US" w:eastAsia="zh-CN"/>
        </w:rPr>
      </w:pPr>
      <w:bookmarkStart w:id="113" w:name="_Toc20950"/>
      <w:r>
        <w:rPr>
          <w:rFonts w:hint="eastAsia"/>
          <w:color w:val="auto"/>
        </w:rPr>
        <w:t>5</w:t>
      </w:r>
      <w:r>
        <w:rPr>
          <w:color w:val="auto"/>
        </w:rPr>
        <w:t>.</w:t>
      </w:r>
      <w:r>
        <w:rPr>
          <w:rFonts w:hint="eastAsia"/>
          <w:color w:val="auto"/>
          <w:lang w:val="en-US" w:eastAsia="zh-CN"/>
        </w:rPr>
        <w:t>5</w:t>
      </w:r>
      <w:r>
        <w:rPr>
          <w:color w:val="auto"/>
        </w:rPr>
        <w:t>.</w:t>
      </w:r>
      <w:r>
        <w:rPr>
          <w:rFonts w:hint="eastAsia"/>
          <w:color w:val="auto"/>
          <w:lang w:val="en-US" w:eastAsia="zh-CN"/>
        </w:rPr>
        <w:t>5双重预防机制建设</w:t>
      </w:r>
      <w:bookmarkEnd w:id="113"/>
    </w:p>
    <w:p w14:paraId="776F6DDE">
      <w:pPr>
        <w:bidi w:val="0"/>
        <w:rPr>
          <w:rFonts w:hint="eastAsia"/>
          <w:color w:val="auto"/>
          <w:spacing w:val="4"/>
          <w:sz w:val="28"/>
          <w:szCs w:val="28"/>
          <w:lang w:val="zh-CN"/>
        </w:rPr>
      </w:pPr>
      <w:r>
        <w:rPr>
          <w:rFonts w:hint="eastAsia"/>
          <w:color w:val="auto"/>
          <w:spacing w:val="4"/>
          <w:sz w:val="28"/>
          <w:szCs w:val="28"/>
          <w:lang w:val="zh-CN"/>
        </w:rPr>
        <w:t>江西亚东水泥有限公司按照安全风险分级采取相应的管控措施，定期进行隐患排查，采取技术、管理措施，及时发现并消除事故隐患。事故隐患排查治理情况如实记录，并向从业人员通报。</w:t>
      </w:r>
    </w:p>
    <w:p w14:paraId="6E921878">
      <w:pPr>
        <w:bidi w:val="0"/>
        <w:rPr>
          <w:rFonts w:hint="default"/>
          <w:color w:val="auto"/>
          <w:lang w:val="en-US" w:eastAsia="zh-CN"/>
        </w:rPr>
      </w:pPr>
      <w:r>
        <w:rPr>
          <w:rFonts w:hint="eastAsia"/>
          <w:color w:val="auto"/>
          <w:lang w:val="zh-CN" w:eastAsia="zh-CN"/>
        </w:rPr>
        <w:t>综上所述，江西亚东水泥有限公司双重预防机制建设符合相关法律、法规要求。</w:t>
      </w:r>
    </w:p>
    <w:p w14:paraId="289685CB">
      <w:pPr>
        <w:spacing w:line="360" w:lineRule="auto"/>
        <w:ind w:firstLine="562" w:firstLineChars="200"/>
        <w:outlineLvl w:val="2"/>
        <w:rPr>
          <w:color w:val="auto"/>
          <w:spacing w:val="4"/>
          <w:kern w:val="0"/>
          <w:sz w:val="28"/>
          <w:szCs w:val="28"/>
        </w:rPr>
      </w:pPr>
      <w:bookmarkStart w:id="114" w:name="_Toc6821"/>
      <w:r>
        <w:rPr>
          <w:rStyle w:val="22"/>
          <w:rFonts w:hint="eastAsia"/>
          <w:color w:val="auto"/>
          <w:lang w:val="en-US" w:eastAsia="zh-CN"/>
        </w:rPr>
        <w:t>5.5.6</w:t>
      </w:r>
      <w:r>
        <w:rPr>
          <w:rStyle w:val="22"/>
          <w:rFonts w:hint="eastAsia"/>
          <w:color w:val="auto"/>
        </w:rPr>
        <w:t>评价小结</w:t>
      </w:r>
      <w:bookmarkEnd w:id="114"/>
    </w:p>
    <w:p w14:paraId="72724F94">
      <w:pPr>
        <w:adjustRightInd w:val="0"/>
        <w:snapToGrid w:val="0"/>
        <w:spacing w:line="360" w:lineRule="auto"/>
        <w:ind w:firstLine="482"/>
        <w:rPr>
          <w:rFonts w:hint="eastAsia"/>
          <w:color w:val="auto"/>
          <w:spacing w:val="4"/>
          <w:kern w:val="0"/>
          <w:sz w:val="28"/>
          <w:szCs w:val="28"/>
        </w:rPr>
      </w:pPr>
      <w:r>
        <w:rPr>
          <w:rFonts w:hint="eastAsia"/>
          <w:color w:val="auto"/>
          <w:spacing w:val="4"/>
          <w:kern w:val="0"/>
          <w:sz w:val="28"/>
          <w:szCs w:val="28"/>
          <w:lang w:val="en-US" w:eastAsia="zh-CN"/>
        </w:rPr>
        <w:t>1.</w:t>
      </w:r>
      <w:r>
        <w:rPr>
          <w:rFonts w:hint="eastAsia"/>
          <w:color w:val="auto"/>
          <w:spacing w:val="4"/>
          <w:kern w:val="0"/>
          <w:sz w:val="28"/>
          <w:szCs w:val="28"/>
        </w:rPr>
        <w:t>特种设备、防雷装置等国家有强制检测要求的按要求定期进行了检测。</w:t>
      </w:r>
    </w:p>
    <w:p w14:paraId="1EC51579">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2.</w:t>
      </w:r>
      <w:r>
        <w:rPr>
          <w:color w:val="auto"/>
          <w:kern w:val="0"/>
          <w:sz w:val="28"/>
          <w:szCs w:val="28"/>
        </w:rPr>
        <w:t>该公司设置</w:t>
      </w:r>
      <w:r>
        <w:rPr>
          <w:rFonts w:hint="eastAsia"/>
          <w:color w:val="auto"/>
          <w:kern w:val="0"/>
          <w:sz w:val="28"/>
          <w:szCs w:val="28"/>
        </w:rPr>
        <w:t>了</w:t>
      </w:r>
      <w:r>
        <w:rPr>
          <w:color w:val="auto"/>
          <w:kern w:val="0"/>
          <w:sz w:val="28"/>
          <w:szCs w:val="28"/>
        </w:rPr>
        <w:t>安全生产管理机构，安全管理制度、</w:t>
      </w:r>
      <w:r>
        <w:rPr>
          <w:rFonts w:hint="eastAsia"/>
          <w:color w:val="auto"/>
          <w:kern w:val="0"/>
          <w:sz w:val="28"/>
          <w:szCs w:val="28"/>
        </w:rPr>
        <w:t>安全操作规程</w:t>
      </w:r>
      <w:r>
        <w:rPr>
          <w:color w:val="auto"/>
          <w:kern w:val="0"/>
          <w:sz w:val="28"/>
          <w:szCs w:val="28"/>
        </w:rPr>
        <w:t>及日常安全检查</w:t>
      </w:r>
      <w:r>
        <w:rPr>
          <w:rFonts w:hint="eastAsia"/>
          <w:color w:val="auto"/>
          <w:kern w:val="0"/>
          <w:sz w:val="28"/>
          <w:szCs w:val="28"/>
          <w:lang w:eastAsia="zh-CN"/>
        </w:rPr>
        <w:t>，</w:t>
      </w:r>
      <w:r>
        <w:rPr>
          <w:rFonts w:hint="eastAsia"/>
          <w:color w:val="auto"/>
          <w:kern w:val="0"/>
          <w:sz w:val="28"/>
          <w:szCs w:val="28"/>
        </w:rPr>
        <w:t>基本</w:t>
      </w:r>
      <w:r>
        <w:rPr>
          <w:color w:val="auto"/>
          <w:kern w:val="0"/>
          <w:sz w:val="28"/>
          <w:szCs w:val="28"/>
        </w:rPr>
        <w:t>符合相关规范的要求。</w:t>
      </w:r>
    </w:p>
    <w:p w14:paraId="68DC1BF5">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3.</w:t>
      </w:r>
      <w:r>
        <w:rPr>
          <w:color w:val="auto"/>
          <w:kern w:val="0"/>
          <w:sz w:val="28"/>
          <w:szCs w:val="28"/>
        </w:rPr>
        <w:t>该公司制定了</w:t>
      </w:r>
      <w:r>
        <w:rPr>
          <w:rFonts w:hint="eastAsia"/>
          <w:color w:val="auto"/>
          <w:kern w:val="0"/>
          <w:sz w:val="28"/>
          <w:szCs w:val="28"/>
        </w:rPr>
        <w:t>生产安全</w:t>
      </w:r>
      <w:r>
        <w:rPr>
          <w:color w:val="auto"/>
          <w:kern w:val="0"/>
          <w:sz w:val="28"/>
          <w:szCs w:val="28"/>
        </w:rPr>
        <w:t>事故应急预案</w:t>
      </w:r>
      <w:r>
        <w:rPr>
          <w:rFonts w:hint="eastAsia"/>
          <w:color w:val="auto"/>
          <w:kern w:val="0"/>
          <w:sz w:val="28"/>
          <w:szCs w:val="28"/>
        </w:rPr>
        <w:t>，按要求进行备案，</w:t>
      </w:r>
      <w:r>
        <w:rPr>
          <w:rFonts w:hint="eastAsia"/>
          <w:color w:val="auto"/>
          <w:spacing w:val="4"/>
          <w:sz w:val="28"/>
          <w:szCs w:val="28"/>
          <w:lang w:val="zh-CN"/>
        </w:rPr>
        <w:t>配备必要的应急救援器材、设备和物资，</w:t>
      </w:r>
      <w:r>
        <w:rPr>
          <w:rFonts w:hint="eastAsia"/>
          <w:color w:val="auto"/>
          <w:spacing w:val="4"/>
          <w:sz w:val="28"/>
          <w:szCs w:val="28"/>
        </w:rPr>
        <w:t>并按要求进行了应急演练</w:t>
      </w:r>
      <w:r>
        <w:rPr>
          <w:color w:val="auto"/>
          <w:kern w:val="0"/>
          <w:sz w:val="28"/>
          <w:szCs w:val="28"/>
        </w:rPr>
        <w:t>。</w:t>
      </w:r>
    </w:p>
    <w:p w14:paraId="6F96F358">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4.</w:t>
      </w:r>
      <w:r>
        <w:rPr>
          <w:color w:val="auto"/>
          <w:kern w:val="0"/>
          <w:sz w:val="28"/>
          <w:szCs w:val="28"/>
        </w:rPr>
        <w:t>该公司</w:t>
      </w:r>
      <w:r>
        <w:rPr>
          <w:rFonts w:hint="eastAsia"/>
          <w:color w:val="auto"/>
          <w:kern w:val="0"/>
          <w:sz w:val="28"/>
          <w:szCs w:val="28"/>
        </w:rPr>
        <w:t>按要求保障</w:t>
      </w:r>
      <w:r>
        <w:rPr>
          <w:color w:val="auto"/>
          <w:kern w:val="0"/>
          <w:sz w:val="28"/>
          <w:szCs w:val="28"/>
        </w:rPr>
        <w:t>安全投入</w:t>
      </w:r>
      <w:r>
        <w:rPr>
          <w:rFonts w:hint="eastAsia"/>
          <w:color w:val="auto"/>
          <w:kern w:val="0"/>
          <w:sz w:val="28"/>
          <w:szCs w:val="28"/>
        </w:rPr>
        <w:t>，为</w:t>
      </w:r>
      <w:r>
        <w:rPr>
          <w:color w:val="auto"/>
          <w:kern w:val="0"/>
          <w:sz w:val="28"/>
          <w:szCs w:val="28"/>
        </w:rPr>
        <w:t>职工</w:t>
      </w:r>
      <w:r>
        <w:rPr>
          <w:rFonts w:hint="eastAsia"/>
          <w:color w:val="auto"/>
          <w:kern w:val="0"/>
          <w:sz w:val="28"/>
          <w:szCs w:val="28"/>
        </w:rPr>
        <w:t>缴纳</w:t>
      </w:r>
      <w:r>
        <w:rPr>
          <w:color w:val="auto"/>
          <w:kern w:val="0"/>
          <w:sz w:val="28"/>
          <w:szCs w:val="28"/>
        </w:rPr>
        <w:t>工伤保险。</w:t>
      </w:r>
    </w:p>
    <w:p w14:paraId="1C592067">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5.该公司</w:t>
      </w:r>
      <w:r>
        <w:rPr>
          <w:rFonts w:hint="eastAsia"/>
          <w:color w:val="auto"/>
          <w:kern w:val="0"/>
          <w:sz w:val="28"/>
          <w:szCs w:val="28"/>
        </w:rPr>
        <w:t>按要求为从业人员配备所需的劳动防护用品。</w:t>
      </w:r>
    </w:p>
    <w:p w14:paraId="55879833">
      <w:pPr>
        <w:adjustRightInd w:val="0"/>
        <w:snapToGrid w:val="0"/>
        <w:spacing w:line="360" w:lineRule="auto"/>
        <w:ind w:firstLine="482"/>
        <w:rPr>
          <w:rFonts w:hint="eastAsia" w:cs="宋体"/>
          <w:color w:val="auto"/>
          <w:kern w:val="0"/>
          <w:sz w:val="28"/>
          <w:szCs w:val="28"/>
        </w:rPr>
      </w:pPr>
      <w:r>
        <w:rPr>
          <w:rFonts w:hint="eastAsia"/>
          <w:color w:val="auto"/>
          <w:kern w:val="0"/>
          <w:sz w:val="28"/>
          <w:szCs w:val="28"/>
          <w:lang w:val="en-US" w:eastAsia="zh-CN"/>
        </w:rPr>
        <w:t>6.</w:t>
      </w:r>
      <w:r>
        <w:rPr>
          <w:rFonts w:hint="eastAsia"/>
          <w:color w:val="auto"/>
          <w:kern w:val="0"/>
          <w:sz w:val="28"/>
          <w:szCs w:val="28"/>
        </w:rPr>
        <w:t>该公司对从业人员进行了安全生产教育和培训，并经考核，合格方准许上岗，能够熟练掌握本专业及本岗位的生产技能。</w:t>
      </w:r>
    </w:p>
    <w:p w14:paraId="6F45D254">
      <w:pPr>
        <w:adjustRightInd w:val="0"/>
        <w:snapToGrid w:val="0"/>
        <w:spacing w:line="360" w:lineRule="auto"/>
        <w:ind w:firstLine="482"/>
        <w:rPr>
          <w:color w:val="auto"/>
          <w:kern w:val="0"/>
          <w:sz w:val="28"/>
          <w:szCs w:val="28"/>
        </w:rPr>
      </w:pPr>
      <w:r>
        <w:rPr>
          <w:rFonts w:hint="eastAsia"/>
          <w:color w:val="auto"/>
          <w:spacing w:val="-6"/>
          <w:kern w:val="0"/>
          <w:sz w:val="28"/>
          <w:szCs w:val="28"/>
          <w:lang w:val="en-US" w:eastAsia="zh-CN"/>
        </w:rPr>
        <w:t>7.</w:t>
      </w:r>
      <w:r>
        <w:rPr>
          <w:rFonts w:hint="eastAsia"/>
          <w:color w:val="auto"/>
          <w:spacing w:val="-6"/>
          <w:kern w:val="0"/>
          <w:sz w:val="28"/>
          <w:szCs w:val="28"/>
        </w:rPr>
        <w:t>该公司按规定进行了风险分级管控和隐患排查治理双重预防机制建设。</w:t>
      </w:r>
    </w:p>
    <w:p w14:paraId="4BB0FABA">
      <w:pPr>
        <w:pStyle w:val="3"/>
        <w:bidi w:val="0"/>
        <w:rPr>
          <w:rFonts w:hint="eastAsia"/>
          <w:color w:val="auto"/>
        </w:rPr>
      </w:pPr>
      <w:bookmarkStart w:id="115" w:name="_Toc25941"/>
      <w:r>
        <w:rPr>
          <w:rFonts w:hint="eastAsia"/>
          <w:color w:val="auto"/>
          <w:lang w:val="en-US" w:eastAsia="zh-CN"/>
        </w:rPr>
        <w:t>5.6</w:t>
      </w:r>
      <w:r>
        <w:rPr>
          <w:color w:val="auto"/>
        </w:rPr>
        <w:t>重大生产安全事故隐患判定标准</w:t>
      </w:r>
      <w:r>
        <w:rPr>
          <w:rFonts w:hint="eastAsia"/>
          <w:color w:val="auto"/>
        </w:rPr>
        <w:t>检查</w:t>
      </w:r>
      <w:bookmarkEnd w:id="115"/>
    </w:p>
    <w:p w14:paraId="0DCDE75F">
      <w:pPr>
        <w:rPr>
          <w:rFonts w:hint="eastAsia" w:cs="宋体"/>
          <w:b w:val="0"/>
          <w:bCs w:val="0"/>
          <w:color w:val="auto"/>
          <w:sz w:val="28"/>
          <w:lang w:val="en-US" w:eastAsia="zh-CN"/>
        </w:rPr>
      </w:pPr>
      <w:r>
        <w:rPr>
          <w:rFonts w:hint="eastAsia" w:cs="宋体"/>
          <w:b w:val="0"/>
          <w:bCs w:val="0"/>
          <w:color w:val="auto"/>
          <w:sz w:val="28"/>
          <w:lang w:val="en-US" w:eastAsia="zh-CN"/>
        </w:rPr>
        <w:t>本项目存在二氧化硫中毒风险的有限空间，为吸收塔、烟囱等，依据</w:t>
      </w:r>
      <w:r>
        <w:rPr>
          <w:rFonts w:hint="eastAsia" w:cs="宋体"/>
          <w:b w:val="0"/>
          <w:bCs w:val="0"/>
          <w:color w:val="auto"/>
          <w:sz w:val="28"/>
          <w:lang w:eastAsia="zh-CN"/>
        </w:rPr>
        <w:t>《工贸企业重大事故隐患判定标准</w:t>
      </w:r>
      <w:r>
        <w:rPr>
          <w:rFonts w:hint="eastAsia" w:cs="宋体"/>
          <w:b w:val="0"/>
          <w:bCs w:val="0"/>
          <w:color w:val="auto"/>
          <w:sz w:val="28"/>
          <w:lang w:val="en-US" w:eastAsia="zh-CN"/>
        </w:rPr>
        <w:t>》（应急部令[2023]10号），对企业是否有下列情形进行判定：</w:t>
      </w:r>
    </w:p>
    <w:p w14:paraId="298175B5">
      <w:pPr>
        <w:rPr>
          <w:rFonts w:hint="eastAsia" w:cs="宋体"/>
          <w:b w:val="0"/>
          <w:bCs w:val="0"/>
          <w:color w:val="auto"/>
          <w:sz w:val="28"/>
          <w:lang w:eastAsia="zh-CN"/>
        </w:rPr>
      </w:pPr>
      <w:r>
        <w:rPr>
          <w:rFonts w:hint="default" w:cs="宋体"/>
          <w:b w:val="0"/>
          <w:bCs w:val="0"/>
          <w:color w:val="auto"/>
          <w:sz w:val="28"/>
          <w:lang w:val="en-US" w:eastAsia="zh-CN"/>
        </w:rPr>
        <w:t>第三条工贸企业有下列情形之一的，应当判定为重大事故隐患：</w:t>
      </w:r>
    </w:p>
    <w:p w14:paraId="30168601">
      <w:pPr>
        <w:rPr>
          <w:rFonts w:hint="default" w:cs="宋体"/>
          <w:b w:val="0"/>
          <w:bCs w:val="0"/>
          <w:color w:val="auto"/>
          <w:sz w:val="28"/>
          <w:lang w:eastAsia="zh-CN"/>
        </w:rPr>
      </w:pPr>
      <w:r>
        <w:rPr>
          <w:rFonts w:hint="eastAsia" w:cs="宋体"/>
          <w:b w:val="0"/>
          <w:bCs w:val="0"/>
          <w:color w:val="auto"/>
          <w:sz w:val="28"/>
          <w:lang w:val="en-US" w:eastAsia="zh-CN"/>
        </w:rPr>
        <w:t>1.</w:t>
      </w:r>
      <w:r>
        <w:rPr>
          <w:rFonts w:hint="default" w:cs="宋体"/>
          <w:b w:val="0"/>
          <w:bCs w:val="0"/>
          <w:color w:val="auto"/>
          <w:sz w:val="28"/>
          <w:lang w:val="en-US" w:eastAsia="zh-CN"/>
        </w:rPr>
        <w:t>未对承包单位、承租单位的安全生产工作统一协调、管理，或者未定期进行安全检查的；</w:t>
      </w:r>
    </w:p>
    <w:p w14:paraId="23903097">
      <w:pPr>
        <w:rPr>
          <w:rFonts w:hint="default" w:cs="宋体"/>
          <w:b w:val="0"/>
          <w:bCs w:val="0"/>
          <w:color w:val="auto"/>
          <w:sz w:val="28"/>
          <w:lang w:val="en-US" w:eastAsia="zh-CN"/>
        </w:rPr>
      </w:pPr>
      <w:r>
        <w:rPr>
          <w:rFonts w:hint="eastAsia" w:cs="宋体"/>
          <w:b w:val="0"/>
          <w:bCs w:val="0"/>
          <w:color w:val="auto"/>
          <w:sz w:val="28"/>
          <w:lang w:val="en-US" w:eastAsia="zh-CN"/>
        </w:rPr>
        <w:t>2.</w:t>
      </w:r>
      <w:r>
        <w:rPr>
          <w:rFonts w:hint="default" w:cs="宋体"/>
          <w:b w:val="0"/>
          <w:bCs w:val="0"/>
          <w:color w:val="auto"/>
          <w:sz w:val="28"/>
          <w:lang w:val="en-US" w:eastAsia="zh-CN"/>
        </w:rPr>
        <w:t>特种作业人员未按照规定经专门的安全作业培训并取得相应资格，上岗作业的；</w:t>
      </w:r>
    </w:p>
    <w:p w14:paraId="5FB9604A">
      <w:pPr>
        <w:rPr>
          <w:rFonts w:hint="default" w:cs="宋体"/>
          <w:b w:val="0"/>
          <w:bCs w:val="0"/>
          <w:color w:val="auto"/>
          <w:sz w:val="28"/>
          <w:lang w:val="en-US" w:eastAsia="zh-CN"/>
        </w:rPr>
      </w:pPr>
      <w:r>
        <w:rPr>
          <w:rFonts w:hint="default" w:cs="宋体"/>
          <w:b w:val="0"/>
          <w:bCs w:val="0"/>
          <w:color w:val="auto"/>
          <w:sz w:val="28"/>
          <w:lang w:val="en-US" w:eastAsia="zh-CN"/>
        </w:rPr>
        <w:t>存在硫化氢、一氧化碳等中毒风险的有限空间作业的工贸企业有下列情形之一的，应当判定为重大事故隐患</w:t>
      </w:r>
      <w:r>
        <w:rPr>
          <w:rFonts w:hint="eastAsia" w:cs="宋体"/>
          <w:b w:val="0"/>
          <w:bCs w:val="0"/>
          <w:color w:val="auto"/>
          <w:sz w:val="28"/>
          <w:lang w:val="en-US" w:eastAsia="zh-CN"/>
        </w:rPr>
        <w:t>：</w:t>
      </w:r>
    </w:p>
    <w:p w14:paraId="348C9969">
      <w:pPr>
        <w:rPr>
          <w:rFonts w:hint="eastAsia" w:cs="宋体"/>
          <w:b w:val="0"/>
          <w:bCs w:val="0"/>
          <w:color w:val="auto"/>
          <w:sz w:val="28"/>
          <w:lang w:val="en-US" w:eastAsia="zh-CN"/>
        </w:rPr>
      </w:pPr>
      <w:r>
        <w:rPr>
          <w:rFonts w:hint="eastAsia" w:cs="宋体"/>
          <w:b w:val="0"/>
          <w:bCs w:val="0"/>
          <w:color w:val="auto"/>
          <w:sz w:val="28"/>
          <w:lang w:val="en-US" w:eastAsia="zh-CN"/>
        </w:rPr>
        <w:t>3.未对有限空间进行辨识、建立安全管理台账，并且未设置明显的安全警示标志的；</w:t>
      </w:r>
    </w:p>
    <w:p w14:paraId="5CF7F466">
      <w:pPr>
        <w:rPr>
          <w:rFonts w:hint="eastAsia" w:cs="宋体"/>
          <w:b w:val="0"/>
          <w:bCs w:val="0"/>
          <w:color w:val="auto"/>
          <w:sz w:val="28"/>
          <w:lang w:val="en-US" w:eastAsia="zh-CN"/>
        </w:rPr>
      </w:pPr>
      <w:r>
        <w:rPr>
          <w:rFonts w:hint="eastAsia" w:cs="宋体"/>
          <w:b w:val="0"/>
          <w:bCs w:val="0"/>
          <w:color w:val="auto"/>
          <w:sz w:val="28"/>
          <w:lang w:val="en-US" w:eastAsia="zh-CN"/>
        </w:rPr>
        <w:t>4.未落实有限空间作业审批，或者未执行“先通风、再检测、后作业”要求，或者作业现场未设置监护人员的。</w:t>
      </w:r>
    </w:p>
    <w:p w14:paraId="377834D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s="宋体"/>
          <w:b w:val="0"/>
          <w:bCs w:val="0"/>
          <w:color w:val="auto"/>
          <w:sz w:val="28"/>
          <w:lang w:val="en-US" w:eastAsia="zh-CN"/>
        </w:rPr>
      </w:pPr>
      <w:r>
        <w:rPr>
          <w:rFonts w:hint="eastAsia" w:cs="宋体"/>
          <w:b w:val="0"/>
          <w:bCs w:val="0"/>
          <w:color w:val="auto"/>
          <w:sz w:val="28"/>
          <w:lang w:val="en-US" w:eastAsia="zh-CN"/>
        </w:rPr>
        <w:t>经辨识，结果如下：</w:t>
      </w:r>
    </w:p>
    <w:tbl>
      <w:tblPr>
        <w:tblStyle w:val="14"/>
        <w:tblW w:w="4996"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828"/>
        <w:gridCol w:w="4807"/>
        <w:gridCol w:w="2066"/>
        <w:gridCol w:w="808"/>
        <w:gridCol w:w="772"/>
      </w:tblGrid>
      <w:tr w14:paraId="6C5064A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98" w:hRule="atLeast"/>
          <w:jc w:val="center"/>
        </w:trPr>
        <w:tc>
          <w:tcPr>
            <w:tcW w:w="446" w:type="pct"/>
            <w:tcBorders>
              <w:tl2br w:val="single" w:color="auto" w:sz="8" w:space="0"/>
            </w:tcBorders>
            <w:noWrap w:val="0"/>
            <w:vAlign w:val="center"/>
          </w:tcPr>
          <w:p w14:paraId="6D03D8E7">
            <w:pPr>
              <w:adjustRightInd/>
              <w:snapToGrid/>
              <w:spacing w:line="240" w:lineRule="auto"/>
              <w:ind w:firstLine="0" w:firstLineChars="0"/>
              <w:jc w:val="center"/>
              <w:rPr>
                <w:rFonts w:ascii="Times New Roman" w:hAnsi="Times New Roman" w:eastAsia="宋体" w:cs="Times New Roman"/>
                <w:b/>
                <w:bCs/>
                <w:color w:val="auto"/>
                <w:sz w:val="21"/>
                <w:szCs w:val="24"/>
              </w:rPr>
            </w:pPr>
            <w:r>
              <w:rPr>
                <w:rFonts w:ascii="Times New Roman" w:hAnsi="Times New Roman" w:eastAsia="宋体" w:cs="Times New Roman"/>
                <w:b/>
                <w:bCs/>
                <w:color w:val="auto"/>
                <w:sz w:val="21"/>
                <w:szCs w:val="24"/>
              </w:rPr>
              <w:t xml:space="preserve"> 项目</w:t>
            </w:r>
          </w:p>
          <w:p w14:paraId="21190E28">
            <w:pPr>
              <w:adjustRightInd/>
              <w:snapToGrid/>
              <w:spacing w:line="240" w:lineRule="auto"/>
              <w:ind w:firstLine="0" w:firstLineChars="0"/>
              <w:rPr>
                <w:rFonts w:ascii="Times New Roman" w:hAnsi="Times New Roman" w:eastAsia="宋体" w:cs="Times New Roman"/>
                <w:b/>
                <w:bCs/>
                <w:color w:val="auto"/>
                <w:sz w:val="21"/>
                <w:szCs w:val="24"/>
              </w:rPr>
            </w:pPr>
            <w:r>
              <w:rPr>
                <w:rFonts w:ascii="Times New Roman" w:hAnsi="Times New Roman" w:eastAsia="宋体" w:cs="Times New Roman"/>
                <w:b/>
                <w:bCs/>
                <w:color w:val="auto"/>
                <w:sz w:val="21"/>
                <w:szCs w:val="24"/>
              </w:rPr>
              <w:t>序号</w:t>
            </w:r>
          </w:p>
        </w:tc>
        <w:tc>
          <w:tcPr>
            <w:tcW w:w="2589" w:type="pct"/>
            <w:tcBorders>
              <w:tl2br w:val="nil"/>
              <w:tr2bl w:val="nil"/>
            </w:tcBorders>
            <w:noWrap w:val="0"/>
            <w:vAlign w:val="center"/>
          </w:tcPr>
          <w:p w14:paraId="6FCFC4C2">
            <w:pPr>
              <w:adjustRightInd/>
              <w:snapToGrid/>
              <w:spacing w:line="240" w:lineRule="auto"/>
              <w:ind w:firstLine="0" w:firstLineChars="0"/>
              <w:jc w:val="center"/>
              <w:rPr>
                <w:rFonts w:ascii="Times New Roman" w:hAnsi="Times New Roman" w:eastAsia="宋体" w:cs="Times New Roman"/>
                <w:b/>
                <w:bCs/>
                <w:color w:val="auto"/>
                <w:sz w:val="21"/>
                <w:szCs w:val="24"/>
              </w:rPr>
            </w:pPr>
            <w:r>
              <w:rPr>
                <w:rFonts w:ascii="Times New Roman" w:hAnsi="Times New Roman" w:eastAsia="宋体" w:cs="Times New Roman"/>
                <w:b/>
                <w:bCs/>
                <w:color w:val="auto"/>
                <w:sz w:val="21"/>
                <w:szCs w:val="24"/>
              </w:rPr>
              <w:t>内容</w:t>
            </w:r>
          </w:p>
        </w:tc>
        <w:tc>
          <w:tcPr>
            <w:tcW w:w="1113" w:type="pct"/>
            <w:tcBorders>
              <w:tl2br w:val="nil"/>
              <w:tr2bl w:val="nil"/>
            </w:tcBorders>
            <w:noWrap w:val="0"/>
            <w:vAlign w:val="center"/>
          </w:tcPr>
          <w:p w14:paraId="7C959258">
            <w:pPr>
              <w:adjustRightInd/>
              <w:snapToGrid/>
              <w:spacing w:line="240" w:lineRule="auto"/>
              <w:ind w:firstLine="0" w:firstLineChars="0"/>
              <w:jc w:val="center"/>
              <w:rPr>
                <w:rFonts w:ascii="Times New Roman" w:hAnsi="Times New Roman" w:eastAsia="宋体" w:cs="Times New Roman"/>
                <w:b/>
                <w:bCs/>
                <w:color w:val="auto"/>
                <w:sz w:val="21"/>
                <w:szCs w:val="24"/>
              </w:rPr>
            </w:pPr>
            <w:r>
              <w:rPr>
                <w:rFonts w:ascii="Times New Roman" w:hAnsi="Times New Roman" w:eastAsia="宋体" w:cs="Times New Roman"/>
                <w:b/>
                <w:bCs/>
                <w:color w:val="auto"/>
                <w:sz w:val="21"/>
                <w:szCs w:val="24"/>
              </w:rPr>
              <w:t>检查情况</w:t>
            </w:r>
          </w:p>
        </w:tc>
        <w:tc>
          <w:tcPr>
            <w:tcW w:w="435" w:type="pct"/>
            <w:tcBorders>
              <w:tl2br w:val="nil"/>
              <w:tr2bl w:val="nil"/>
            </w:tcBorders>
            <w:noWrap w:val="0"/>
            <w:vAlign w:val="center"/>
          </w:tcPr>
          <w:p w14:paraId="195ACF46">
            <w:pPr>
              <w:adjustRightInd/>
              <w:snapToGrid/>
              <w:spacing w:line="240" w:lineRule="auto"/>
              <w:ind w:firstLine="0" w:firstLineChars="0"/>
              <w:jc w:val="center"/>
              <w:rPr>
                <w:rFonts w:ascii="Times New Roman" w:hAnsi="Times New Roman" w:eastAsia="宋体" w:cs="Times New Roman"/>
                <w:b/>
                <w:bCs/>
                <w:color w:val="auto"/>
                <w:sz w:val="21"/>
                <w:szCs w:val="24"/>
              </w:rPr>
            </w:pPr>
            <w:r>
              <w:rPr>
                <w:rFonts w:hint="eastAsia" w:ascii="Times New Roman" w:hAnsi="Times New Roman" w:eastAsia="宋体" w:cs="Times New Roman"/>
                <w:b/>
                <w:bCs/>
                <w:color w:val="auto"/>
                <w:sz w:val="21"/>
                <w:szCs w:val="24"/>
              </w:rPr>
              <w:t>检查结论</w:t>
            </w:r>
          </w:p>
        </w:tc>
        <w:tc>
          <w:tcPr>
            <w:tcW w:w="415" w:type="pct"/>
            <w:tcBorders>
              <w:tl2br w:val="nil"/>
              <w:tr2bl w:val="nil"/>
            </w:tcBorders>
            <w:noWrap w:val="0"/>
            <w:vAlign w:val="center"/>
          </w:tcPr>
          <w:p w14:paraId="47745302">
            <w:pPr>
              <w:adjustRightInd/>
              <w:snapToGrid/>
              <w:spacing w:line="240" w:lineRule="auto"/>
              <w:ind w:firstLine="0" w:firstLineChars="0"/>
              <w:jc w:val="center"/>
              <w:rPr>
                <w:rFonts w:ascii="Times New Roman" w:hAnsi="Times New Roman" w:eastAsia="宋体" w:cs="Times New Roman"/>
                <w:b/>
                <w:bCs/>
                <w:color w:val="auto"/>
                <w:sz w:val="21"/>
                <w:szCs w:val="24"/>
              </w:rPr>
            </w:pPr>
            <w:r>
              <w:rPr>
                <w:rFonts w:ascii="Times New Roman" w:hAnsi="Times New Roman" w:eastAsia="宋体" w:cs="Times New Roman"/>
                <w:b/>
                <w:bCs/>
                <w:color w:val="auto"/>
                <w:sz w:val="21"/>
                <w:szCs w:val="24"/>
              </w:rPr>
              <w:t>备注</w:t>
            </w:r>
          </w:p>
        </w:tc>
      </w:tr>
      <w:tr w14:paraId="5AAC15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46" w:type="pct"/>
            <w:tcBorders>
              <w:tl2br w:val="nil"/>
              <w:tr2bl w:val="nil"/>
            </w:tcBorders>
            <w:noWrap w:val="0"/>
            <w:vAlign w:val="center"/>
          </w:tcPr>
          <w:p w14:paraId="0E6FD793">
            <w:pPr>
              <w:adjustRightInd/>
              <w:snapToGrid/>
              <w:spacing w:line="240" w:lineRule="auto"/>
              <w:ind w:firstLine="0" w:firstLineChars="0"/>
              <w:jc w:val="center"/>
              <w:rPr>
                <w:rFonts w:hint="eastAsia" w:ascii="Times New Roman" w:hAnsi="Times New Roman" w:eastAsia="宋体" w:cs="Times New Roman"/>
                <w:b/>
                <w:bCs/>
                <w:color w:val="auto"/>
                <w:sz w:val="21"/>
                <w:szCs w:val="24"/>
              </w:rPr>
            </w:pPr>
            <w:r>
              <w:rPr>
                <w:rFonts w:hint="eastAsia" w:ascii="Times New Roman" w:hAnsi="Times New Roman" w:eastAsia="宋体" w:cs="Times New Roman"/>
                <w:b/>
                <w:bCs/>
                <w:color w:val="auto"/>
                <w:sz w:val="21"/>
                <w:szCs w:val="24"/>
              </w:rPr>
              <w:t>一</w:t>
            </w:r>
          </w:p>
        </w:tc>
        <w:tc>
          <w:tcPr>
            <w:tcW w:w="4553" w:type="pct"/>
            <w:gridSpan w:val="4"/>
            <w:tcBorders>
              <w:tl2br w:val="nil"/>
              <w:tr2bl w:val="nil"/>
            </w:tcBorders>
            <w:noWrap w:val="0"/>
            <w:vAlign w:val="center"/>
          </w:tcPr>
          <w:p w14:paraId="3AD14875">
            <w:pPr>
              <w:adjustRightInd/>
              <w:snapToGrid/>
              <w:spacing w:line="240" w:lineRule="auto"/>
              <w:ind w:firstLine="0" w:firstLineChars="0"/>
              <w:jc w:val="center"/>
              <w:rPr>
                <w:rFonts w:hint="eastAsia" w:ascii="Times New Roman" w:hAnsi="Times New Roman" w:eastAsia="宋体" w:cs="Times New Roman"/>
                <w:b/>
                <w:bCs/>
                <w:color w:val="auto"/>
                <w:sz w:val="21"/>
                <w:szCs w:val="24"/>
              </w:rPr>
            </w:pPr>
            <w:r>
              <w:rPr>
                <w:rFonts w:hint="eastAsia" w:ascii="Times New Roman" w:hAnsi="Times New Roman" w:eastAsia="宋体" w:cs="Times New Roman"/>
                <w:b/>
                <w:bCs/>
                <w:color w:val="auto"/>
                <w:sz w:val="21"/>
                <w:szCs w:val="24"/>
              </w:rPr>
              <w:t>有限空间作业相关的行业领域</w:t>
            </w:r>
          </w:p>
        </w:tc>
      </w:tr>
      <w:tr w14:paraId="7F1F53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46" w:type="pct"/>
            <w:tcBorders>
              <w:tl2br w:val="nil"/>
              <w:tr2bl w:val="nil"/>
            </w:tcBorders>
            <w:noWrap w:val="0"/>
            <w:vAlign w:val="center"/>
          </w:tcPr>
          <w:p w14:paraId="4E9847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1</w:t>
            </w:r>
          </w:p>
        </w:tc>
        <w:tc>
          <w:tcPr>
            <w:tcW w:w="2589" w:type="pct"/>
            <w:tcBorders>
              <w:right w:val="single" w:color="auto" w:sz="4" w:space="0"/>
              <w:tl2br w:val="nil"/>
              <w:tr2bl w:val="nil"/>
            </w:tcBorders>
            <w:noWrap w:val="0"/>
            <w:vAlign w:val="center"/>
          </w:tcPr>
          <w:p w14:paraId="5558CB7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lang w:val="en-US" w:eastAsia="zh-CN"/>
              </w:rPr>
            </w:pPr>
            <w:r>
              <w:rPr>
                <w:rFonts w:hint="default" w:cs="Times New Roman"/>
                <w:color w:val="auto"/>
                <w:sz w:val="21"/>
                <w:szCs w:val="21"/>
                <w:lang w:val="en-US" w:eastAsia="zh-CN"/>
              </w:rPr>
              <w:t>未对承包单位、承租单位的安全生产工作统一协调、管理，或者未定期进行安全检查的</w:t>
            </w:r>
            <w:r>
              <w:rPr>
                <w:rFonts w:hint="eastAsia" w:cs="Times New Roman"/>
                <w:color w:val="auto"/>
                <w:sz w:val="21"/>
                <w:szCs w:val="21"/>
                <w:lang w:val="en-US" w:eastAsia="zh-CN"/>
              </w:rPr>
              <w:t>。</w:t>
            </w:r>
          </w:p>
        </w:tc>
        <w:tc>
          <w:tcPr>
            <w:tcW w:w="1113" w:type="pct"/>
            <w:tcBorders>
              <w:left w:val="single" w:color="auto" w:sz="4" w:space="0"/>
              <w:right w:val="single" w:color="auto" w:sz="4" w:space="0"/>
              <w:tl2br w:val="nil"/>
              <w:tr2bl w:val="nil"/>
            </w:tcBorders>
            <w:noWrap w:val="0"/>
            <w:vAlign w:val="center"/>
          </w:tcPr>
          <w:p w14:paraId="0974642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已签订安全生产协议书</w:t>
            </w:r>
          </w:p>
        </w:tc>
        <w:tc>
          <w:tcPr>
            <w:tcW w:w="435" w:type="pct"/>
            <w:tcBorders>
              <w:left w:val="single" w:color="auto" w:sz="4" w:space="0"/>
              <w:right w:val="single" w:color="auto" w:sz="4" w:space="0"/>
              <w:tl2br w:val="nil"/>
              <w:tr2bl w:val="nil"/>
            </w:tcBorders>
            <w:noWrap w:val="0"/>
            <w:vAlign w:val="center"/>
          </w:tcPr>
          <w:p w14:paraId="649277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4"/>
              </w:rPr>
            </w:pPr>
          </w:p>
        </w:tc>
        <w:tc>
          <w:tcPr>
            <w:tcW w:w="415" w:type="pct"/>
            <w:tcBorders>
              <w:left w:val="single" w:color="auto" w:sz="4" w:space="0"/>
              <w:tl2br w:val="nil"/>
              <w:tr2bl w:val="nil"/>
            </w:tcBorders>
            <w:noWrap w:val="0"/>
            <w:vAlign w:val="center"/>
          </w:tcPr>
          <w:p w14:paraId="55381B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4"/>
              </w:rPr>
            </w:pPr>
          </w:p>
        </w:tc>
      </w:tr>
      <w:tr w14:paraId="04EA120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46" w:type="pct"/>
            <w:tcBorders>
              <w:tl2br w:val="nil"/>
              <w:tr2bl w:val="nil"/>
            </w:tcBorders>
            <w:noWrap w:val="0"/>
            <w:vAlign w:val="center"/>
          </w:tcPr>
          <w:p w14:paraId="7FFF48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2</w:t>
            </w:r>
          </w:p>
        </w:tc>
        <w:tc>
          <w:tcPr>
            <w:tcW w:w="2589" w:type="pct"/>
            <w:tcBorders>
              <w:right w:val="single" w:color="auto" w:sz="4" w:space="0"/>
              <w:tl2br w:val="nil"/>
              <w:tr2bl w:val="nil"/>
            </w:tcBorders>
            <w:noWrap w:val="0"/>
            <w:vAlign w:val="center"/>
          </w:tcPr>
          <w:p w14:paraId="1106E5E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lang w:val="en-US" w:eastAsia="zh-CN"/>
              </w:rPr>
            </w:pPr>
            <w:r>
              <w:rPr>
                <w:rFonts w:hint="default" w:cs="Times New Roman"/>
                <w:color w:val="auto"/>
                <w:sz w:val="21"/>
                <w:szCs w:val="21"/>
                <w:lang w:val="en-US" w:eastAsia="zh-CN"/>
              </w:rPr>
              <w:t>特种作业人员未按照规定经专门的安全作业培训并取得相应资格，上岗作业的</w:t>
            </w:r>
            <w:r>
              <w:rPr>
                <w:rFonts w:hint="eastAsia" w:cs="Times New Roman"/>
                <w:color w:val="auto"/>
                <w:sz w:val="21"/>
                <w:szCs w:val="21"/>
                <w:lang w:val="en-US" w:eastAsia="zh-CN"/>
              </w:rPr>
              <w:t>。</w:t>
            </w:r>
          </w:p>
        </w:tc>
        <w:tc>
          <w:tcPr>
            <w:tcW w:w="1113" w:type="pct"/>
            <w:tcBorders>
              <w:left w:val="single" w:color="auto" w:sz="4" w:space="0"/>
              <w:right w:val="single" w:color="auto" w:sz="4" w:space="0"/>
              <w:tl2br w:val="nil"/>
              <w:tr2bl w:val="nil"/>
            </w:tcBorders>
            <w:noWrap w:val="0"/>
            <w:vAlign w:val="center"/>
          </w:tcPr>
          <w:p w14:paraId="1D9D78F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本项目无特种作业人员</w:t>
            </w:r>
          </w:p>
        </w:tc>
        <w:tc>
          <w:tcPr>
            <w:tcW w:w="435" w:type="pct"/>
            <w:tcBorders>
              <w:left w:val="single" w:color="auto" w:sz="4" w:space="0"/>
              <w:right w:val="single" w:color="auto" w:sz="4" w:space="0"/>
              <w:tl2br w:val="nil"/>
              <w:tr2bl w:val="nil"/>
            </w:tcBorders>
            <w:noWrap w:val="0"/>
            <w:vAlign w:val="center"/>
          </w:tcPr>
          <w:p w14:paraId="60ED5F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4"/>
              </w:rPr>
            </w:pPr>
            <w:r>
              <w:rPr>
                <w:rFonts w:hint="eastAsia" w:ascii="Times New Roman" w:hAnsi="Times New Roman" w:eastAsia="宋体" w:cs="Times New Roman"/>
                <w:color w:val="auto"/>
                <w:sz w:val="21"/>
                <w:szCs w:val="21"/>
              </w:rPr>
              <w:t>√</w:t>
            </w:r>
          </w:p>
        </w:tc>
        <w:tc>
          <w:tcPr>
            <w:tcW w:w="415" w:type="pct"/>
            <w:tcBorders>
              <w:left w:val="single" w:color="auto" w:sz="4" w:space="0"/>
              <w:tl2br w:val="nil"/>
              <w:tr2bl w:val="nil"/>
            </w:tcBorders>
            <w:noWrap w:val="0"/>
            <w:vAlign w:val="center"/>
          </w:tcPr>
          <w:p w14:paraId="13E251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sz w:val="21"/>
                <w:szCs w:val="24"/>
              </w:rPr>
            </w:pPr>
          </w:p>
        </w:tc>
      </w:tr>
      <w:tr w14:paraId="7D63BE7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42" w:hRule="atLeast"/>
          <w:jc w:val="center"/>
        </w:trPr>
        <w:tc>
          <w:tcPr>
            <w:tcW w:w="446" w:type="pct"/>
            <w:tcBorders>
              <w:tl2br w:val="nil"/>
              <w:tr2bl w:val="nil"/>
            </w:tcBorders>
            <w:noWrap w:val="0"/>
            <w:vAlign w:val="center"/>
          </w:tcPr>
          <w:p w14:paraId="5768E0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3</w:t>
            </w:r>
          </w:p>
        </w:tc>
        <w:tc>
          <w:tcPr>
            <w:tcW w:w="2589" w:type="pct"/>
            <w:tcBorders>
              <w:tl2br w:val="nil"/>
              <w:tr2bl w:val="nil"/>
            </w:tcBorders>
            <w:noWrap w:val="0"/>
            <w:vAlign w:val="center"/>
          </w:tcPr>
          <w:p w14:paraId="54FC9B8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lang w:val="en-US" w:eastAsia="zh-CN"/>
              </w:rPr>
            </w:pPr>
            <w:r>
              <w:rPr>
                <w:rFonts w:hint="eastAsia" w:cs="Times New Roman"/>
                <w:color w:val="auto"/>
                <w:sz w:val="21"/>
                <w:szCs w:val="21"/>
                <w:lang w:val="en-US" w:eastAsia="zh-CN"/>
              </w:rPr>
              <w:t>未对有限空间作业场所进行辨识，并设置明显安全警示标志。</w:t>
            </w:r>
          </w:p>
        </w:tc>
        <w:tc>
          <w:tcPr>
            <w:tcW w:w="1113" w:type="pct"/>
            <w:tcBorders>
              <w:tl2br w:val="nil"/>
              <w:tr2bl w:val="nil"/>
            </w:tcBorders>
            <w:noWrap w:val="0"/>
            <w:vAlign w:val="center"/>
          </w:tcPr>
          <w:p w14:paraId="205C664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Times New Roman" w:hAnsi="Times New Roman" w:eastAsia="宋体" w:cs="Times New Roman"/>
                <w:color w:val="auto"/>
                <w:sz w:val="21"/>
                <w:szCs w:val="21"/>
              </w:rPr>
            </w:pPr>
            <w:r>
              <w:rPr>
                <w:rFonts w:hint="eastAsia" w:cs="Times New Roman"/>
                <w:color w:val="auto"/>
                <w:sz w:val="21"/>
                <w:szCs w:val="21"/>
                <w:lang w:val="en-US" w:eastAsia="zh-CN"/>
              </w:rPr>
              <w:t>已</w:t>
            </w:r>
            <w:r>
              <w:rPr>
                <w:rFonts w:ascii="Times New Roman" w:hAnsi="Times New Roman" w:eastAsia="宋体" w:cs="Times New Roman"/>
                <w:color w:val="auto"/>
                <w:sz w:val="21"/>
                <w:szCs w:val="21"/>
              </w:rPr>
              <w:t>辨识并设置明显安全警示标志</w:t>
            </w:r>
          </w:p>
        </w:tc>
        <w:tc>
          <w:tcPr>
            <w:tcW w:w="435" w:type="pct"/>
            <w:tcBorders>
              <w:tl2br w:val="nil"/>
              <w:tr2bl w:val="nil"/>
            </w:tcBorders>
            <w:noWrap w:val="0"/>
            <w:vAlign w:val="center"/>
          </w:tcPr>
          <w:p w14:paraId="6FCCF8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c>
          <w:tcPr>
            <w:tcW w:w="415" w:type="pct"/>
            <w:tcBorders>
              <w:tl2br w:val="nil"/>
              <w:tr2bl w:val="nil"/>
            </w:tcBorders>
            <w:noWrap w:val="0"/>
            <w:vAlign w:val="center"/>
          </w:tcPr>
          <w:p w14:paraId="7606F0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p>
        </w:tc>
      </w:tr>
      <w:tr w14:paraId="6A75DE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46" w:type="pct"/>
            <w:tcBorders>
              <w:tl2br w:val="nil"/>
              <w:tr2bl w:val="nil"/>
            </w:tcBorders>
            <w:noWrap w:val="0"/>
            <w:vAlign w:val="center"/>
          </w:tcPr>
          <w:p w14:paraId="1E7AA6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4</w:t>
            </w:r>
          </w:p>
        </w:tc>
        <w:tc>
          <w:tcPr>
            <w:tcW w:w="2589" w:type="pct"/>
            <w:tcBorders>
              <w:tl2br w:val="nil"/>
              <w:tr2bl w:val="nil"/>
            </w:tcBorders>
            <w:noWrap w:val="0"/>
            <w:vAlign w:val="center"/>
          </w:tcPr>
          <w:p w14:paraId="5FC6979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auto"/>
                <w:sz w:val="21"/>
                <w:szCs w:val="21"/>
                <w:lang w:val="en-US" w:eastAsia="zh-CN"/>
              </w:rPr>
            </w:pPr>
            <w:r>
              <w:rPr>
                <w:rFonts w:hint="eastAsia" w:cs="Times New Roman"/>
                <w:color w:val="auto"/>
                <w:sz w:val="21"/>
                <w:szCs w:val="21"/>
                <w:lang w:val="en-US" w:eastAsia="zh-CN"/>
              </w:rPr>
              <w:t>未落实作业审批制度，或者未执行“先通风、再检测、后作业”要求，或者作业现场未设置监护人员的。</w:t>
            </w:r>
          </w:p>
        </w:tc>
        <w:tc>
          <w:tcPr>
            <w:tcW w:w="1113" w:type="pct"/>
            <w:tcBorders>
              <w:tl2br w:val="nil"/>
              <w:tr2bl w:val="nil"/>
            </w:tcBorders>
            <w:noWrap w:val="0"/>
            <w:vAlign w:val="center"/>
          </w:tcPr>
          <w:p w14:paraId="5DEA97A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现场检查时</w:t>
            </w:r>
            <w:r>
              <w:rPr>
                <w:rFonts w:hint="eastAsia" w:cs="Times New Roman"/>
                <w:color w:val="auto"/>
                <w:sz w:val="21"/>
                <w:szCs w:val="21"/>
                <w:lang w:val="en-US" w:eastAsia="zh-CN"/>
              </w:rPr>
              <w:t>未见此</w:t>
            </w:r>
            <w:r>
              <w:rPr>
                <w:rFonts w:hint="eastAsia" w:ascii="Times New Roman" w:hAnsi="Times New Roman" w:eastAsia="宋体" w:cs="Times New Roman"/>
                <w:color w:val="auto"/>
                <w:sz w:val="21"/>
                <w:szCs w:val="21"/>
              </w:rPr>
              <w:t>现象</w:t>
            </w:r>
          </w:p>
        </w:tc>
        <w:tc>
          <w:tcPr>
            <w:tcW w:w="435" w:type="pct"/>
            <w:tcBorders>
              <w:tl2br w:val="nil"/>
              <w:tr2bl w:val="nil"/>
            </w:tcBorders>
            <w:noWrap w:val="0"/>
            <w:vAlign w:val="center"/>
          </w:tcPr>
          <w:p w14:paraId="0B95A6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c>
          <w:tcPr>
            <w:tcW w:w="415" w:type="pct"/>
            <w:tcBorders>
              <w:tl2br w:val="nil"/>
              <w:tr2bl w:val="nil"/>
            </w:tcBorders>
            <w:noWrap w:val="0"/>
            <w:vAlign w:val="center"/>
          </w:tcPr>
          <w:p w14:paraId="062238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sz w:val="21"/>
                <w:szCs w:val="21"/>
              </w:rPr>
            </w:pPr>
          </w:p>
        </w:tc>
      </w:tr>
    </w:tbl>
    <w:p w14:paraId="7A1A8CB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8"/>
          <w:szCs w:val="28"/>
        </w:rPr>
      </w:pPr>
      <w:r>
        <w:rPr>
          <w:rFonts w:hint="eastAsia" w:cs="宋体"/>
          <w:b w:val="0"/>
          <w:bCs w:val="0"/>
          <w:color w:val="auto"/>
          <w:sz w:val="28"/>
          <w:lang w:val="en-US" w:eastAsia="zh-CN"/>
        </w:rPr>
        <w:t>结论：本项目不存在</w:t>
      </w:r>
      <w:r>
        <w:rPr>
          <w:color w:val="auto"/>
          <w:sz w:val="28"/>
          <w:szCs w:val="28"/>
        </w:rPr>
        <w:t>重大生产安全事故隐患</w:t>
      </w:r>
      <w:r>
        <w:rPr>
          <w:rFonts w:hint="eastAsia"/>
          <w:color w:val="auto"/>
          <w:sz w:val="28"/>
          <w:szCs w:val="28"/>
        </w:rPr>
        <w:t>。</w:t>
      </w:r>
    </w:p>
    <w:p w14:paraId="3D4B46D1">
      <w:pPr>
        <w:pStyle w:val="3"/>
        <w:bidi w:val="0"/>
        <w:rPr>
          <w:rFonts w:hint="default"/>
          <w:color w:val="auto"/>
          <w:lang w:val="en-US" w:eastAsia="zh-CN"/>
        </w:rPr>
      </w:pPr>
      <w:bookmarkStart w:id="116" w:name="_Toc9566"/>
      <w:r>
        <w:rPr>
          <w:rFonts w:hint="default"/>
          <w:color w:val="auto"/>
          <w:lang w:val="en-US" w:eastAsia="zh-CN"/>
        </w:rPr>
        <w:t>5.</w:t>
      </w:r>
      <w:r>
        <w:rPr>
          <w:rFonts w:hint="eastAsia"/>
          <w:color w:val="auto"/>
          <w:lang w:val="en-US" w:eastAsia="zh-CN"/>
        </w:rPr>
        <w:t>7</w:t>
      </w:r>
      <w:r>
        <w:rPr>
          <w:rFonts w:hint="default"/>
          <w:color w:val="auto"/>
          <w:lang w:val="en-US" w:eastAsia="zh-CN"/>
        </w:rPr>
        <w:t>项目设计采取的安全防护措施</w:t>
      </w:r>
      <w:r>
        <w:rPr>
          <w:rFonts w:hint="eastAsia"/>
          <w:color w:val="auto"/>
          <w:lang w:val="en-US" w:eastAsia="zh-CN"/>
        </w:rPr>
        <w:t>落实</w:t>
      </w:r>
      <w:r>
        <w:rPr>
          <w:rFonts w:hint="default"/>
          <w:color w:val="auto"/>
          <w:lang w:val="en-US" w:eastAsia="zh-CN"/>
        </w:rPr>
        <w:t>情况</w:t>
      </w:r>
      <w:bookmarkEnd w:id="116"/>
    </w:p>
    <w:p w14:paraId="7FF5289B">
      <w:pPr>
        <w:pStyle w:val="4"/>
        <w:bidi w:val="0"/>
        <w:rPr>
          <w:color w:val="auto"/>
        </w:rPr>
      </w:pPr>
      <w:bookmarkStart w:id="117" w:name="_Toc5801"/>
      <w:r>
        <w:rPr>
          <w:rFonts w:hint="eastAsia"/>
          <w:color w:val="auto"/>
        </w:rPr>
        <w:t>5</w:t>
      </w:r>
      <w:r>
        <w:rPr>
          <w:rFonts w:hint="eastAsia"/>
          <w:color w:val="auto"/>
          <w:lang w:val="en-US" w:eastAsia="zh-CN"/>
        </w:rPr>
        <w:t>.7</w:t>
      </w:r>
      <w:r>
        <w:rPr>
          <w:rFonts w:hint="eastAsia"/>
          <w:color w:val="auto"/>
        </w:rPr>
        <w:t>.1项目安全设施设计采取的安全防护措施</w:t>
      </w:r>
      <w:r>
        <w:rPr>
          <w:rFonts w:hint="eastAsia"/>
          <w:color w:val="auto"/>
          <w:lang w:val="en-US" w:eastAsia="zh-CN"/>
        </w:rPr>
        <w:t>落实</w:t>
      </w:r>
      <w:r>
        <w:rPr>
          <w:rFonts w:hint="eastAsia"/>
          <w:color w:val="auto"/>
        </w:rPr>
        <w:t>情况</w:t>
      </w:r>
      <w:bookmarkEnd w:id="117"/>
    </w:p>
    <w:p w14:paraId="6BAC156E">
      <w:pPr>
        <w:spacing w:line="600" w:lineRule="exact"/>
        <w:ind w:firstLine="560" w:firstLineChars="200"/>
        <w:rPr>
          <w:rFonts w:hint="eastAsia"/>
          <w:color w:val="auto"/>
          <w:sz w:val="28"/>
          <w:szCs w:val="28"/>
        </w:rPr>
      </w:pPr>
      <w:r>
        <w:rPr>
          <w:rFonts w:hint="eastAsia"/>
          <w:color w:val="auto"/>
          <w:sz w:val="28"/>
          <w:szCs w:val="28"/>
          <w:lang w:eastAsia="zh-CN"/>
        </w:rPr>
        <w:t>本项目</w:t>
      </w:r>
      <w:r>
        <w:rPr>
          <w:color w:val="auto"/>
          <w:sz w:val="28"/>
          <w:szCs w:val="28"/>
        </w:rPr>
        <w:t>安全设施设计</w:t>
      </w:r>
      <w:r>
        <w:rPr>
          <w:rFonts w:hint="eastAsia"/>
          <w:color w:val="auto"/>
          <w:sz w:val="28"/>
          <w:szCs w:val="28"/>
        </w:rPr>
        <w:t>采取的安全防护措施</w:t>
      </w:r>
      <w:r>
        <w:rPr>
          <w:rFonts w:hint="eastAsia"/>
          <w:color w:val="auto"/>
          <w:sz w:val="28"/>
          <w:szCs w:val="28"/>
          <w:lang w:val="en-US" w:eastAsia="zh-CN"/>
        </w:rPr>
        <w:t>落实</w:t>
      </w:r>
      <w:r>
        <w:rPr>
          <w:rFonts w:hint="eastAsia"/>
          <w:color w:val="auto"/>
          <w:sz w:val="28"/>
          <w:szCs w:val="28"/>
        </w:rPr>
        <w:t>情况见表5</w:t>
      </w:r>
      <w:r>
        <w:rPr>
          <w:color w:val="auto"/>
          <w:sz w:val="28"/>
          <w:szCs w:val="28"/>
        </w:rPr>
        <w:t>.</w:t>
      </w:r>
      <w:r>
        <w:rPr>
          <w:rFonts w:hint="eastAsia"/>
          <w:color w:val="auto"/>
          <w:sz w:val="28"/>
          <w:szCs w:val="28"/>
          <w:lang w:val="en-US" w:eastAsia="zh-CN"/>
        </w:rPr>
        <w:t>7.1</w:t>
      </w:r>
      <w:r>
        <w:rPr>
          <w:color w:val="auto"/>
          <w:sz w:val="28"/>
          <w:szCs w:val="28"/>
        </w:rPr>
        <w:t>-1</w:t>
      </w:r>
      <w:r>
        <w:rPr>
          <w:rFonts w:hint="eastAsia"/>
          <w:color w:val="auto"/>
          <w:sz w:val="28"/>
          <w:szCs w:val="28"/>
        </w:rPr>
        <w:t>。</w:t>
      </w:r>
    </w:p>
    <w:p w14:paraId="564525F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rPr>
      </w:pPr>
      <w:r>
        <w:rPr>
          <w:rFonts w:hint="eastAsia"/>
          <w:color w:val="auto"/>
        </w:rPr>
        <w:t>5.</w:t>
      </w:r>
      <w:r>
        <w:rPr>
          <w:rFonts w:hint="eastAsia"/>
          <w:color w:val="auto"/>
          <w:lang w:val="en-US" w:eastAsia="zh-CN"/>
        </w:rPr>
        <w:t>7.1</w:t>
      </w:r>
      <w:r>
        <w:rPr>
          <w:color w:val="auto"/>
        </w:rPr>
        <w:t>-1</w:t>
      </w:r>
      <w:r>
        <w:rPr>
          <w:rFonts w:hint="eastAsia"/>
          <w:color w:val="auto"/>
        </w:rPr>
        <w:t>设计采取的安全防护措施</w:t>
      </w:r>
      <w:r>
        <w:rPr>
          <w:rFonts w:hint="eastAsia"/>
          <w:color w:val="auto"/>
          <w:lang w:val="en-US" w:eastAsia="zh-CN"/>
        </w:rPr>
        <w:t>落实</w:t>
      </w:r>
      <w:r>
        <w:rPr>
          <w:rFonts w:hint="eastAsia"/>
          <w:color w:val="auto"/>
        </w:rPr>
        <w:t>情况一览表</w:t>
      </w:r>
    </w:p>
    <w:tbl>
      <w:tblPr>
        <w:tblStyle w:val="14"/>
        <w:tblW w:w="5126"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485"/>
        <w:gridCol w:w="3924"/>
        <w:gridCol w:w="3822"/>
        <w:gridCol w:w="1100"/>
      </w:tblGrid>
      <w:tr w14:paraId="7A0046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40" w:hRule="atLeast"/>
          <w:jc w:val="center"/>
        </w:trPr>
        <w:tc>
          <w:tcPr>
            <w:tcW w:w="260" w:type="pct"/>
            <w:tcBorders>
              <w:tl2br w:val="nil"/>
              <w:tr2bl w:val="nil"/>
            </w:tcBorders>
            <w:noWrap w:val="0"/>
            <w:textDirection w:val="tbRlV"/>
            <w:vAlign w:val="center"/>
          </w:tcPr>
          <w:p w14:paraId="6AABC561">
            <w:pPr>
              <w:pStyle w:val="21"/>
              <w:bidi w:val="0"/>
              <w:rPr>
                <w:rFonts w:hint="eastAsia"/>
                <w:color w:val="auto"/>
                <w:lang w:val="en-US"/>
              </w:rPr>
            </w:pPr>
            <w:r>
              <w:rPr>
                <w:rFonts w:hint="eastAsia"/>
                <w:color w:val="auto"/>
                <w:lang w:val="en-US"/>
              </w:rPr>
              <w:t>序号</w:t>
            </w:r>
          </w:p>
        </w:tc>
        <w:tc>
          <w:tcPr>
            <w:tcW w:w="2102" w:type="pct"/>
            <w:tcBorders>
              <w:tl2br w:val="nil"/>
              <w:tr2bl w:val="nil"/>
            </w:tcBorders>
            <w:noWrap w:val="0"/>
            <w:vAlign w:val="center"/>
          </w:tcPr>
          <w:p w14:paraId="320F4F5D">
            <w:pPr>
              <w:pStyle w:val="21"/>
              <w:bidi w:val="0"/>
              <w:rPr>
                <w:rFonts w:hint="eastAsia"/>
                <w:color w:val="auto"/>
                <w:lang w:val="en-US"/>
              </w:rPr>
            </w:pPr>
            <w:r>
              <w:rPr>
                <w:rFonts w:hint="eastAsia"/>
                <w:color w:val="auto"/>
                <w:lang w:val="en-US"/>
              </w:rPr>
              <w:t>安全设施设计专篇提出的主要安全防护措施</w:t>
            </w:r>
          </w:p>
        </w:tc>
        <w:tc>
          <w:tcPr>
            <w:tcW w:w="2047" w:type="pct"/>
            <w:tcBorders>
              <w:tl2br w:val="nil"/>
              <w:tr2bl w:val="nil"/>
            </w:tcBorders>
            <w:noWrap w:val="0"/>
            <w:vAlign w:val="center"/>
          </w:tcPr>
          <w:p w14:paraId="4EEF247C">
            <w:pPr>
              <w:pStyle w:val="21"/>
              <w:bidi w:val="0"/>
              <w:rPr>
                <w:rFonts w:hint="eastAsia"/>
                <w:color w:val="auto"/>
                <w:lang w:val="en-US"/>
              </w:rPr>
            </w:pPr>
            <w:r>
              <w:rPr>
                <w:rFonts w:hint="eastAsia"/>
                <w:color w:val="auto"/>
                <w:lang w:val="en-US"/>
              </w:rPr>
              <w:t>建设项目现场采用情况</w:t>
            </w:r>
          </w:p>
        </w:tc>
        <w:tc>
          <w:tcPr>
            <w:tcW w:w="589" w:type="pct"/>
            <w:tcBorders>
              <w:tl2br w:val="nil"/>
              <w:tr2bl w:val="nil"/>
            </w:tcBorders>
            <w:noWrap w:val="0"/>
            <w:vAlign w:val="center"/>
          </w:tcPr>
          <w:p w14:paraId="1F29A38D">
            <w:pPr>
              <w:pStyle w:val="21"/>
              <w:bidi w:val="0"/>
              <w:rPr>
                <w:rFonts w:hint="eastAsia"/>
                <w:color w:val="auto"/>
                <w:lang w:val="en-US"/>
              </w:rPr>
            </w:pPr>
            <w:r>
              <w:rPr>
                <w:rFonts w:hint="eastAsia"/>
                <w:color w:val="auto"/>
                <w:lang w:val="en-US" w:eastAsia="zh-CN"/>
              </w:rPr>
              <w:t>落实情况</w:t>
            </w:r>
          </w:p>
        </w:tc>
      </w:tr>
      <w:tr w14:paraId="712CEB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681017FC">
            <w:pPr>
              <w:pStyle w:val="20"/>
              <w:bidi w:val="0"/>
              <w:rPr>
                <w:rFonts w:hint="default"/>
                <w:color w:val="auto"/>
                <w:lang w:val="en-US" w:eastAsia="zh-CN"/>
              </w:rPr>
            </w:pPr>
            <w:r>
              <w:rPr>
                <w:rFonts w:hint="eastAsia"/>
                <w:color w:val="auto"/>
                <w:lang w:val="en-US" w:eastAsia="zh-CN"/>
              </w:rPr>
              <w:t>1</w:t>
            </w:r>
          </w:p>
        </w:tc>
        <w:tc>
          <w:tcPr>
            <w:tcW w:w="2102" w:type="pct"/>
            <w:tcBorders>
              <w:tl2br w:val="nil"/>
              <w:tr2bl w:val="nil"/>
            </w:tcBorders>
            <w:noWrap w:val="0"/>
            <w:vAlign w:val="center"/>
          </w:tcPr>
          <w:p w14:paraId="6DEF08DD">
            <w:pPr>
              <w:pStyle w:val="20"/>
              <w:bidi w:val="0"/>
              <w:jc w:val="both"/>
              <w:rPr>
                <w:rFonts w:hint="eastAsia"/>
                <w:color w:val="auto"/>
                <w:lang w:val="en-US" w:eastAsia="zh-CN"/>
              </w:rPr>
            </w:pPr>
            <w:r>
              <w:rPr>
                <w:rFonts w:hint="eastAsia"/>
                <w:color w:val="auto"/>
                <w:lang w:val="en-US"/>
              </w:rPr>
              <w:t>烟气系统安全措施</w:t>
            </w:r>
            <w:r>
              <w:rPr>
                <w:rFonts w:hint="eastAsia"/>
                <w:color w:val="auto"/>
                <w:lang w:val="en-US" w:eastAsia="zh-CN"/>
              </w:rPr>
              <w:t>：</w:t>
            </w:r>
          </w:p>
          <w:p w14:paraId="1BDEB09C">
            <w:pPr>
              <w:pStyle w:val="20"/>
              <w:bidi w:val="0"/>
              <w:jc w:val="both"/>
              <w:rPr>
                <w:rFonts w:hint="eastAsia"/>
                <w:color w:val="auto"/>
                <w:lang w:val="en-US" w:eastAsia="zh-CN"/>
              </w:rPr>
            </w:pPr>
            <w:r>
              <w:rPr>
                <w:rFonts w:hint="eastAsia"/>
                <w:color w:val="auto"/>
                <w:lang w:val="en-US" w:eastAsia="zh-CN"/>
              </w:rPr>
              <w:t>1、风机入口烟道、吸收塔入口烟道均设置挡板门，烟气系统挡板门具有防止泄漏功能。</w:t>
            </w:r>
          </w:p>
          <w:p w14:paraId="08FF607D">
            <w:pPr>
              <w:pStyle w:val="20"/>
              <w:bidi w:val="0"/>
              <w:jc w:val="both"/>
              <w:rPr>
                <w:rFonts w:hint="eastAsia"/>
                <w:color w:val="auto"/>
                <w:lang w:val="en-US" w:eastAsia="zh-CN"/>
              </w:rPr>
            </w:pPr>
            <w:r>
              <w:rPr>
                <w:rFonts w:hint="eastAsia"/>
                <w:color w:val="auto"/>
                <w:lang w:val="en-US" w:eastAsia="zh-CN"/>
              </w:rPr>
              <w:t xml:space="preserve">2、脱硫吸收塔入口烟道可能接触浆液的区域，以及脱硫吸收塔出口至烟囱入口之间的净烟道采用防腐措施。 </w:t>
            </w:r>
          </w:p>
          <w:p w14:paraId="3B7F682F">
            <w:pPr>
              <w:pStyle w:val="20"/>
              <w:bidi w:val="0"/>
              <w:jc w:val="both"/>
              <w:rPr>
                <w:rFonts w:hint="eastAsia"/>
                <w:color w:val="auto"/>
                <w:lang w:val="en-US" w:eastAsia="zh-CN"/>
              </w:rPr>
            </w:pPr>
            <w:r>
              <w:rPr>
                <w:rFonts w:hint="eastAsia"/>
                <w:color w:val="auto"/>
                <w:lang w:val="en-US" w:eastAsia="zh-CN"/>
              </w:rPr>
              <w:t>3、烟道设计应满足烟道的强度、刚度和振动在允许范围内，防腐烟道应尽量减少内撑杆数量。</w:t>
            </w:r>
          </w:p>
          <w:p w14:paraId="4848EB69">
            <w:pPr>
              <w:pStyle w:val="20"/>
              <w:bidi w:val="0"/>
              <w:jc w:val="both"/>
              <w:rPr>
                <w:rFonts w:hint="eastAsia"/>
                <w:color w:val="auto"/>
                <w:lang w:val="en-US" w:eastAsia="zh-CN"/>
              </w:rPr>
            </w:pPr>
            <w:r>
              <w:rPr>
                <w:rFonts w:hint="eastAsia"/>
                <w:color w:val="auto"/>
                <w:lang w:val="en-US" w:eastAsia="zh-CN"/>
              </w:rPr>
              <w:t>4、脱硫烟道与连接设备使用补偿器连接，补偿器采用非金属材质。</w:t>
            </w:r>
          </w:p>
          <w:p w14:paraId="737044D0">
            <w:pPr>
              <w:pStyle w:val="20"/>
              <w:bidi w:val="0"/>
              <w:jc w:val="both"/>
              <w:rPr>
                <w:rFonts w:hint="eastAsia"/>
                <w:color w:val="auto"/>
                <w:lang w:val="en-US" w:eastAsia="zh-CN"/>
              </w:rPr>
            </w:pPr>
            <w:r>
              <w:rPr>
                <w:rFonts w:hint="eastAsia"/>
                <w:color w:val="auto"/>
                <w:lang w:val="en-US" w:eastAsia="zh-CN"/>
              </w:rPr>
              <w:t>5、脱硫烟道在低位点装设自动疏放水系统，烟道低位点疏水和烟囱冷凝水疏水通过脱硫工程回用。</w:t>
            </w:r>
          </w:p>
        </w:tc>
        <w:tc>
          <w:tcPr>
            <w:tcW w:w="2047" w:type="pct"/>
            <w:tcBorders>
              <w:tl2br w:val="nil"/>
              <w:tr2bl w:val="nil"/>
            </w:tcBorders>
            <w:noWrap w:val="0"/>
            <w:vAlign w:val="center"/>
          </w:tcPr>
          <w:p w14:paraId="1ED4012A">
            <w:pPr>
              <w:pStyle w:val="20"/>
              <w:bidi w:val="0"/>
              <w:rPr>
                <w:rFonts w:hint="eastAsia"/>
                <w:color w:val="auto"/>
                <w:lang w:val="en-US" w:eastAsia="zh-CN"/>
              </w:rPr>
            </w:pPr>
            <w:r>
              <w:rPr>
                <w:rFonts w:hint="eastAsia"/>
                <w:color w:val="auto"/>
                <w:lang w:val="en-US" w:eastAsia="zh-CN"/>
              </w:rPr>
              <w:t>1、风机入口烟道、吸收塔入口烟道均设置挡板门，烟气系统挡板门具有防止泄漏功能。</w:t>
            </w:r>
          </w:p>
          <w:p w14:paraId="6E3AE588">
            <w:pPr>
              <w:pStyle w:val="20"/>
              <w:bidi w:val="0"/>
              <w:rPr>
                <w:rFonts w:hint="eastAsia"/>
                <w:color w:val="auto"/>
                <w:lang w:val="en-US" w:eastAsia="zh-CN"/>
              </w:rPr>
            </w:pPr>
            <w:r>
              <w:rPr>
                <w:rFonts w:hint="eastAsia"/>
                <w:color w:val="auto"/>
                <w:lang w:val="en-US" w:eastAsia="zh-CN"/>
              </w:rPr>
              <w:t xml:space="preserve">2、脱硫吸收塔入口烟道可能接触浆液的区域，以及脱硫吸收塔出口至烟囱入口之间的净烟道采用防腐措施。 </w:t>
            </w:r>
          </w:p>
          <w:p w14:paraId="2A95DF0E">
            <w:pPr>
              <w:pStyle w:val="20"/>
              <w:bidi w:val="0"/>
              <w:rPr>
                <w:rFonts w:hint="eastAsia"/>
                <w:color w:val="auto"/>
                <w:lang w:val="en-US" w:eastAsia="zh-CN"/>
              </w:rPr>
            </w:pPr>
            <w:r>
              <w:rPr>
                <w:rFonts w:hint="eastAsia"/>
                <w:color w:val="auto"/>
                <w:lang w:val="en-US" w:eastAsia="zh-CN"/>
              </w:rPr>
              <w:t>3、烟道设计满足烟道的强度、刚度和振动在允许范围内，防腐烟道尽量减少内撑杆数量。</w:t>
            </w:r>
          </w:p>
          <w:p w14:paraId="049D0620">
            <w:pPr>
              <w:pStyle w:val="20"/>
              <w:bidi w:val="0"/>
              <w:rPr>
                <w:rFonts w:hint="eastAsia"/>
                <w:color w:val="auto"/>
                <w:lang w:val="en-US" w:eastAsia="zh-CN"/>
              </w:rPr>
            </w:pPr>
            <w:r>
              <w:rPr>
                <w:rFonts w:hint="eastAsia"/>
                <w:color w:val="auto"/>
                <w:lang w:val="en-US" w:eastAsia="zh-CN"/>
              </w:rPr>
              <w:t>4、脱硫烟道与连接设备使用补偿器连接，补偿器采用非金属材质。</w:t>
            </w:r>
          </w:p>
          <w:p w14:paraId="393D6502">
            <w:pPr>
              <w:pStyle w:val="20"/>
              <w:bidi w:val="0"/>
              <w:rPr>
                <w:rFonts w:hint="eastAsia"/>
                <w:color w:val="auto"/>
                <w:lang w:val="en-US" w:eastAsia="zh-CN"/>
              </w:rPr>
            </w:pPr>
            <w:r>
              <w:rPr>
                <w:rFonts w:hint="eastAsia"/>
                <w:color w:val="auto"/>
                <w:lang w:val="en-US" w:eastAsia="zh-CN"/>
              </w:rPr>
              <w:t>5、脱硫烟道在低位点装设自动疏放水系统，烟道低位点疏水和烟囱冷凝水疏水通过脱硫工程回用。</w:t>
            </w:r>
          </w:p>
        </w:tc>
        <w:tc>
          <w:tcPr>
            <w:tcW w:w="589" w:type="pct"/>
            <w:tcBorders>
              <w:tl2br w:val="nil"/>
              <w:tr2bl w:val="nil"/>
            </w:tcBorders>
            <w:noWrap w:val="0"/>
            <w:vAlign w:val="center"/>
          </w:tcPr>
          <w:p w14:paraId="573915BB">
            <w:pPr>
              <w:pStyle w:val="20"/>
              <w:bidi w:val="0"/>
              <w:rPr>
                <w:rFonts w:hint="default"/>
                <w:color w:val="auto"/>
                <w:lang w:val="en-US" w:eastAsia="zh-CN"/>
              </w:rPr>
            </w:pPr>
            <w:r>
              <w:rPr>
                <w:rFonts w:hint="eastAsia"/>
                <w:color w:val="auto"/>
                <w:lang w:val="en-US" w:eastAsia="zh-CN"/>
              </w:rPr>
              <w:t>已落实</w:t>
            </w:r>
          </w:p>
        </w:tc>
      </w:tr>
      <w:tr w14:paraId="6A5651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10AAE5B1">
            <w:pPr>
              <w:pStyle w:val="20"/>
              <w:bidi w:val="0"/>
              <w:rPr>
                <w:rFonts w:hint="default"/>
                <w:color w:val="auto"/>
                <w:lang w:val="en-US" w:eastAsia="zh-CN"/>
              </w:rPr>
            </w:pPr>
            <w:r>
              <w:rPr>
                <w:rFonts w:hint="eastAsia"/>
                <w:color w:val="auto"/>
                <w:lang w:val="en-US" w:eastAsia="zh-CN"/>
              </w:rPr>
              <w:t>2</w:t>
            </w:r>
          </w:p>
        </w:tc>
        <w:tc>
          <w:tcPr>
            <w:tcW w:w="2102" w:type="pct"/>
            <w:tcBorders>
              <w:tl2br w:val="nil"/>
              <w:tr2bl w:val="nil"/>
            </w:tcBorders>
            <w:noWrap w:val="0"/>
            <w:vAlign w:val="center"/>
          </w:tcPr>
          <w:p w14:paraId="5F116E65">
            <w:pPr>
              <w:pStyle w:val="20"/>
              <w:bidi w:val="0"/>
              <w:jc w:val="both"/>
              <w:rPr>
                <w:rFonts w:hint="eastAsia"/>
                <w:color w:val="auto"/>
                <w:lang w:val="en-US" w:eastAsia="zh-CN"/>
              </w:rPr>
            </w:pPr>
            <w:r>
              <w:rPr>
                <w:rFonts w:hint="eastAsia"/>
                <w:color w:val="auto"/>
                <w:lang w:val="en-US" w:eastAsia="zh-CN"/>
              </w:rPr>
              <w:t>脱硫系统安全措施：</w:t>
            </w:r>
          </w:p>
          <w:p w14:paraId="1FA3E949">
            <w:pPr>
              <w:pStyle w:val="20"/>
              <w:bidi w:val="0"/>
              <w:jc w:val="both"/>
              <w:rPr>
                <w:rFonts w:hint="eastAsia"/>
                <w:color w:val="auto"/>
                <w:lang w:val="en-US" w:eastAsia="zh-CN"/>
              </w:rPr>
            </w:pPr>
            <w:r>
              <w:rPr>
                <w:rFonts w:hint="eastAsia"/>
                <w:color w:val="auto"/>
                <w:lang w:val="en-US" w:eastAsia="zh-CN"/>
              </w:rPr>
              <w:t>1、脱硫系统设置DCS控制系统，实时反映主要设备及工艺系统在正常运行、启停、异常及事故工况下安全、经济运行的参数。</w:t>
            </w:r>
          </w:p>
          <w:p w14:paraId="3A457619">
            <w:pPr>
              <w:pStyle w:val="20"/>
              <w:bidi w:val="0"/>
              <w:jc w:val="both"/>
              <w:rPr>
                <w:rFonts w:hint="eastAsia"/>
                <w:color w:val="auto"/>
                <w:lang w:val="en-US" w:eastAsia="zh-CN"/>
              </w:rPr>
            </w:pPr>
            <w:r>
              <w:rPr>
                <w:rFonts w:hint="eastAsia"/>
                <w:color w:val="auto"/>
                <w:lang w:val="en-US" w:eastAsia="zh-CN"/>
              </w:rPr>
              <w:t>2、脱硫工程区域用电负荷设置脱硫专用变压器供电。</w:t>
            </w:r>
          </w:p>
          <w:p w14:paraId="0FB9EF5E">
            <w:pPr>
              <w:pStyle w:val="20"/>
              <w:bidi w:val="0"/>
              <w:jc w:val="both"/>
              <w:rPr>
                <w:rFonts w:hint="eastAsia"/>
                <w:color w:val="auto"/>
                <w:lang w:val="en-US" w:eastAsia="zh-CN"/>
              </w:rPr>
            </w:pPr>
            <w:r>
              <w:rPr>
                <w:rFonts w:hint="eastAsia"/>
                <w:color w:val="auto"/>
                <w:lang w:val="en-US" w:eastAsia="zh-CN"/>
              </w:rPr>
              <w:t>3、吸收塔供浆系统采用变频控制，避免浆液沉积。</w:t>
            </w:r>
          </w:p>
          <w:p w14:paraId="01CCB2CB">
            <w:pPr>
              <w:pStyle w:val="20"/>
              <w:bidi w:val="0"/>
              <w:jc w:val="both"/>
              <w:rPr>
                <w:rFonts w:hint="eastAsia"/>
                <w:color w:val="auto"/>
                <w:lang w:val="en-US" w:eastAsia="zh-CN"/>
              </w:rPr>
            </w:pPr>
            <w:r>
              <w:rPr>
                <w:rFonts w:hint="eastAsia"/>
                <w:color w:val="auto"/>
                <w:lang w:val="en-US" w:eastAsia="zh-CN"/>
              </w:rPr>
              <w:t>4、吸收塔采用一体化结构，同时具有浆液储存、副产物氧化、烟气SO</w:t>
            </w:r>
            <w:r>
              <w:rPr>
                <w:rFonts w:hint="eastAsia"/>
                <w:color w:val="auto"/>
                <w:vertAlign w:val="subscript"/>
                <w:lang w:val="en-US" w:eastAsia="zh-CN"/>
              </w:rPr>
              <w:t>2</w:t>
            </w:r>
            <w:r>
              <w:rPr>
                <w:rFonts w:hint="eastAsia"/>
                <w:color w:val="auto"/>
                <w:lang w:val="en-US" w:eastAsia="zh-CN"/>
              </w:rPr>
              <w:t>吸收和除雾的功能。</w:t>
            </w:r>
          </w:p>
          <w:p w14:paraId="2E402960">
            <w:pPr>
              <w:pStyle w:val="20"/>
              <w:bidi w:val="0"/>
              <w:jc w:val="both"/>
              <w:rPr>
                <w:rFonts w:hint="eastAsia"/>
                <w:color w:val="auto"/>
                <w:lang w:val="en-US" w:eastAsia="zh-CN"/>
              </w:rPr>
            </w:pPr>
            <w:r>
              <w:rPr>
                <w:rFonts w:hint="eastAsia"/>
                <w:color w:val="auto"/>
                <w:lang w:val="en-US" w:eastAsia="zh-CN"/>
              </w:rPr>
              <w:t>5、吸收塔设计正压应不小于最大运行正压的1.2倍，设计负压为最大运行负压的1.2倍。</w:t>
            </w:r>
          </w:p>
          <w:p w14:paraId="3232D40A">
            <w:pPr>
              <w:pStyle w:val="20"/>
              <w:bidi w:val="0"/>
              <w:jc w:val="both"/>
              <w:rPr>
                <w:rFonts w:hint="eastAsia"/>
                <w:color w:val="auto"/>
                <w:lang w:val="en-US" w:eastAsia="zh-CN"/>
              </w:rPr>
            </w:pPr>
            <w:r>
              <w:rPr>
                <w:rFonts w:hint="eastAsia"/>
                <w:color w:val="auto"/>
                <w:lang w:val="en-US" w:eastAsia="zh-CN"/>
              </w:rPr>
              <w:t>6、吸收塔不同功能区留有足够的安装孔和检修人孔。安装孔的尺寸能够满足安装需要。</w:t>
            </w:r>
          </w:p>
          <w:p w14:paraId="0CE7E3EB">
            <w:pPr>
              <w:pStyle w:val="20"/>
              <w:bidi w:val="0"/>
              <w:jc w:val="both"/>
              <w:rPr>
                <w:rFonts w:hint="eastAsia"/>
                <w:color w:val="auto"/>
                <w:lang w:val="en-US" w:eastAsia="zh-CN"/>
              </w:rPr>
            </w:pPr>
            <w:r>
              <w:rPr>
                <w:rFonts w:hint="eastAsia"/>
                <w:color w:val="auto"/>
                <w:lang w:val="en-US" w:eastAsia="zh-CN"/>
              </w:rPr>
              <w:t>7、吸收塔原烟气入口干湿界面处采用可靠的防腐措施。</w:t>
            </w:r>
          </w:p>
          <w:p w14:paraId="7EE049D4">
            <w:pPr>
              <w:pStyle w:val="20"/>
              <w:bidi w:val="0"/>
              <w:jc w:val="both"/>
              <w:rPr>
                <w:rFonts w:hint="eastAsia"/>
                <w:color w:val="auto"/>
                <w:lang w:val="en-US" w:eastAsia="zh-CN"/>
              </w:rPr>
            </w:pPr>
            <w:r>
              <w:rPr>
                <w:rFonts w:hint="eastAsia"/>
                <w:color w:val="auto"/>
                <w:lang w:val="en-US" w:eastAsia="zh-CN"/>
              </w:rPr>
              <w:t>8、浆液循环泵和喷淋层按单元制设置并设置备用喷淋层和备用浆液泵。 浆液循环泵入口设置滤网。</w:t>
            </w:r>
          </w:p>
          <w:p w14:paraId="08D9DCCD">
            <w:pPr>
              <w:pStyle w:val="20"/>
              <w:bidi w:val="0"/>
              <w:jc w:val="both"/>
              <w:rPr>
                <w:rFonts w:hint="eastAsia"/>
                <w:color w:val="auto"/>
                <w:lang w:val="en-US" w:eastAsia="zh-CN"/>
              </w:rPr>
            </w:pPr>
            <w:r>
              <w:rPr>
                <w:rFonts w:hint="eastAsia"/>
                <w:color w:val="auto"/>
                <w:lang w:val="en-US" w:eastAsia="zh-CN"/>
              </w:rPr>
              <w:t>9、脱硫工程区域设置集水坑、废液箱、滤液箱和沟道等用于脱硫工程区域内浆液或装置排水的收集，沟道最小净空深度不小于300 mm，坡度不小于1%。</w:t>
            </w:r>
          </w:p>
          <w:p w14:paraId="72623D8E">
            <w:pPr>
              <w:pStyle w:val="20"/>
              <w:bidi w:val="0"/>
              <w:jc w:val="both"/>
              <w:rPr>
                <w:rFonts w:hint="eastAsia"/>
                <w:color w:val="auto"/>
                <w:lang w:val="en-US" w:eastAsia="zh-CN"/>
              </w:rPr>
            </w:pPr>
            <w:r>
              <w:rPr>
                <w:rFonts w:hint="eastAsia"/>
                <w:color w:val="auto"/>
                <w:lang w:val="en-US" w:eastAsia="zh-CN"/>
              </w:rPr>
              <w:t>10、脱硫工程区域设置事故排浆用事故浆液箱。</w:t>
            </w:r>
          </w:p>
          <w:p w14:paraId="1AA935D9">
            <w:pPr>
              <w:pStyle w:val="20"/>
              <w:bidi w:val="0"/>
              <w:jc w:val="both"/>
              <w:rPr>
                <w:rFonts w:hint="eastAsia"/>
                <w:color w:val="auto"/>
                <w:lang w:val="en-US" w:eastAsia="zh-CN"/>
              </w:rPr>
            </w:pPr>
            <w:r>
              <w:rPr>
                <w:rFonts w:hint="eastAsia"/>
                <w:color w:val="auto"/>
                <w:lang w:val="en-US" w:eastAsia="zh-CN"/>
              </w:rPr>
              <w:t>11、吸收塔入口烟道设置烟气事故喷淋降温系统。</w:t>
            </w:r>
          </w:p>
          <w:p w14:paraId="6BF5806A">
            <w:pPr>
              <w:pStyle w:val="20"/>
              <w:bidi w:val="0"/>
              <w:jc w:val="both"/>
              <w:rPr>
                <w:rFonts w:hint="eastAsia"/>
                <w:color w:val="auto"/>
                <w:lang w:val="en-US"/>
              </w:rPr>
            </w:pPr>
            <w:r>
              <w:rPr>
                <w:rFonts w:hint="eastAsia"/>
                <w:color w:val="auto"/>
                <w:lang w:val="en-US" w:eastAsia="zh-CN"/>
              </w:rPr>
              <w:t>12、脱硫工程设有超负荷和SO</w:t>
            </w:r>
            <w:r>
              <w:rPr>
                <w:rFonts w:hint="eastAsia"/>
                <w:color w:val="auto"/>
                <w:vertAlign w:val="subscript"/>
                <w:lang w:val="en-US" w:eastAsia="zh-CN"/>
              </w:rPr>
              <w:t>2</w:t>
            </w:r>
            <w:r>
              <w:rPr>
                <w:rFonts w:hint="eastAsia"/>
                <w:color w:val="auto"/>
                <w:lang w:val="en-US" w:eastAsia="zh-CN"/>
              </w:rPr>
              <w:t>超标报警系统，当SO</w:t>
            </w:r>
            <w:r>
              <w:rPr>
                <w:rFonts w:hint="eastAsia"/>
                <w:color w:val="auto"/>
                <w:vertAlign w:val="subscript"/>
                <w:lang w:val="en-US" w:eastAsia="zh-CN"/>
              </w:rPr>
              <w:t>2</w:t>
            </w:r>
            <w:r>
              <w:rPr>
                <w:rFonts w:hint="eastAsia"/>
                <w:color w:val="auto"/>
                <w:lang w:val="en-US" w:eastAsia="zh-CN"/>
              </w:rPr>
              <w:t>排放超标时可以通过增加脱硫剂喷淋量来提高脱硫效果。</w:t>
            </w:r>
          </w:p>
        </w:tc>
        <w:tc>
          <w:tcPr>
            <w:tcW w:w="2047" w:type="pct"/>
            <w:tcBorders>
              <w:tl2br w:val="nil"/>
              <w:tr2bl w:val="nil"/>
            </w:tcBorders>
            <w:noWrap w:val="0"/>
            <w:vAlign w:val="center"/>
          </w:tcPr>
          <w:p w14:paraId="6E1D2513">
            <w:pPr>
              <w:pStyle w:val="20"/>
              <w:bidi w:val="0"/>
              <w:rPr>
                <w:rFonts w:hint="eastAsia"/>
                <w:color w:val="auto"/>
                <w:lang w:val="en-US" w:eastAsia="zh-CN"/>
              </w:rPr>
            </w:pPr>
            <w:r>
              <w:rPr>
                <w:rFonts w:hint="eastAsia"/>
                <w:color w:val="auto"/>
                <w:lang w:val="en-US" w:eastAsia="zh-CN"/>
              </w:rPr>
              <w:t>1、已设置DCS控制系统，实时反映主要设备及工艺系统在正常运行、启停、异常及事故工况下安全、经济运行的参数。</w:t>
            </w:r>
          </w:p>
          <w:p w14:paraId="1245E63F">
            <w:pPr>
              <w:pStyle w:val="20"/>
              <w:bidi w:val="0"/>
              <w:rPr>
                <w:rFonts w:hint="eastAsia"/>
                <w:color w:val="auto"/>
                <w:lang w:val="en-US" w:eastAsia="zh-CN"/>
              </w:rPr>
            </w:pPr>
            <w:r>
              <w:rPr>
                <w:rFonts w:hint="eastAsia"/>
                <w:color w:val="auto"/>
                <w:lang w:val="en-US" w:eastAsia="zh-CN"/>
              </w:rPr>
              <w:t>2、已设置两台油浸式变压器专门供电。</w:t>
            </w:r>
          </w:p>
          <w:p w14:paraId="12E86A77">
            <w:pPr>
              <w:pStyle w:val="20"/>
              <w:bidi w:val="0"/>
              <w:rPr>
                <w:rFonts w:hint="eastAsia"/>
                <w:color w:val="auto"/>
                <w:lang w:val="en-US" w:eastAsia="zh-CN"/>
              </w:rPr>
            </w:pPr>
            <w:r>
              <w:rPr>
                <w:rFonts w:hint="eastAsia"/>
                <w:color w:val="auto"/>
                <w:lang w:val="en-US" w:eastAsia="zh-CN"/>
              </w:rPr>
              <w:t>3、已采用变频控制，避免浆液沉积。</w:t>
            </w:r>
          </w:p>
          <w:p w14:paraId="00A172AE">
            <w:pPr>
              <w:pStyle w:val="20"/>
              <w:bidi w:val="0"/>
              <w:rPr>
                <w:rFonts w:hint="eastAsia"/>
                <w:color w:val="auto"/>
                <w:lang w:val="en-US" w:eastAsia="zh-CN"/>
              </w:rPr>
            </w:pPr>
            <w:r>
              <w:rPr>
                <w:rFonts w:hint="eastAsia"/>
                <w:color w:val="auto"/>
                <w:lang w:val="en-US" w:eastAsia="zh-CN"/>
              </w:rPr>
              <w:t>4、吸收塔已采用一体化结构，同时具有浆液储存、副产物氧化、烟气SO</w:t>
            </w:r>
            <w:r>
              <w:rPr>
                <w:rFonts w:hint="eastAsia"/>
                <w:color w:val="auto"/>
                <w:vertAlign w:val="subscript"/>
                <w:lang w:val="en-US" w:eastAsia="zh-CN"/>
              </w:rPr>
              <w:t>2</w:t>
            </w:r>
            <w:r>
              <w:rPr>
                <w:rFonts w:hint="eastAsia"/>
                <w:color w:val="auto"/>
                <w:lang w:val="en-US" w:eastAsia="zh-CN"/>
              </w:rPr>
              <w:t>吸收和除雾的功能。</w:t>
            </w:r>
          </w:p>
          <w:p w14:paraId="05B24074">
            <w:pPr>
              <w:pStyle w:val="20"/>
              <w:bidi w:val="0"/>
              <w:rPr>
                <w:rFonts w:hint="eastAsia"/>
                <w:color w:val="auto"/>
                <w:lang w:val="en-US" w:eastAsia="zh-CN"/>
              </w:rPr>
            </w:pPr>
            <w:r>
              <w:rPr>
                <w:rFonts w:hint="eastAsia"/>
                <w:color w:val="auto"/>
                <w:lang w:val="en-US" w:eastAsia="zh-CN"/>
              </w:rPr>
              <w:t>5、吸收塔设计正压不小于最大运行正压的1.2倍，设计负压为最大运行负压的1.2倍。</w:t>
            </w:r>
          </w:p>
          <w:p w14:paraId="66AAD181">
            <w:pPr>
              <w:pStyle w:val="20"/>
              <w:bidi w:val="0"/>
              <w:rPr>
                <w:rFonts w:hint="eastAsia"/>
                <w:color w:val="auto"/>
                <w:lang w:val="en-US" w:eastAsia="zh-CN"/>
              </w:rPr>
            </w:pPr>
            <w:r>
              <w:rPr>
                <w:rFonts w:hint="eastAsia"/>
                <w:color w:val="auto"/>
                <w:lang w:val="en-US" w:eastAsia="zh-CN"/>
              </w:rPr>
              <w:t>6、吸收塔不同功能区留有足够的安装孔和检修人孔。安装孔的尺寸能够满足安装需要。</w:t>
            </w:r>
          </w:p>
          <w:p w14:paraId="6D17AAC4">
            <w:pPr>
              <w:pStyle w:val="20"/>
              <w:bidi w:val="0"/>
              <w:rPr>
                <w:rFonts w:hint="eastAsia"/>
                <w:color w:val="auto"/>
                <w:lang w:val="en-US" w:eastAsia="zh-CN"/>
              </w:rPr>
            </w:pPr>
            <w:r>
              <w:rPr>
                <w:rFonts w:hint="eastAsia"/>
                <w:color w:val="auto"/>
                <w:lang w:val="en-US" w:eastAsia="zh-CN"/>
              </w:rPr>
              <w:t>7、吸收塔原烟气入口干湿界面处采用可靠的防腐措施。</w:t>
            </w:r>
          </w:p>
          <w:p w14:paraId="190A21C0">
            <w:pPr>
              <w:pStyle w:val="20"/>
              <w:bidi w:val="0"/>
              <w:rPr>
                <w:rFonts w:hint="eastAsia"/>
                <w:color w:val="auto"/>
                <w:lang w:val="en-US" w:eastAsia="zh-CN"/>
              </w:rPr>
            </w:pPr>
            <w:r>
              <w:rPr>
                <w:rFonts w:hint="eastAsia"/>
                <w:color w:val="auto"/>
                <w:lang w:val="en-US" w:eastAsia="zh-CN"/>
              </w:rPr>
              <w:t>8、浆液循环泵和喷淋层按单元制设置并设置备用喷淋层和备用浆液泵。 浆液循环泵入口设置滤网。</w:t>
            </w:r>
          </w:p>
          <w:p w14:paraId="03B8B68A">
            <w:pPr>
              <w:pStyle w:val="20"/>
              <w:bidi w:val="0"/>
              <w:rPr>
                <w:rFonts w:hint="eastAsia"/>
                <w:color w:val="auto"/>
                <w:lang w:val="en-US" w:eastAsia="zh-CN"/>
              </w:rPr>
            </w:pPr>
            <w:r>
              <w:rPr>
                <w:rFonts w:hint="eastAsia"/>
                <w:color w:val="auto"/>
                <w:lang w:val="en-US" w:eastAsia="zh-CN"/>
              </w:rPr>
              <w:t>9、脱硫工程区域设置集水坑、废液箱、滤液箱和沟道等用于脱硫工程区域内浆液或装置排水的收集，沟道最小净空深度不小于300 mm，坡度不小于1%。</w:t>
            </w:r>
          </w:p>
          <w:p w14:paraId="0CC5B706">
            <w:pPr>
              <w:pStyle w:val="20"/>
              <w:bidi w:val="0"/>
              <w:rPr>
                <w:rFonts w:hint="eastAsia"/>
                <w:color w:val="auto"/>
                <w:lang w:val="en-US" w:eastAsia="zh-CN"/>
              </w:rPr>
            </w:pPr>
            <w:r>
              <w:rPr>
                <w:rFonts w:hint="eastAsia"/>
                <w:color w:val="auto"/>
                <w:lang w:val="en-US" w:eastAsia="zh-CN"/>
              </w:rPr>
              <w:t>10、已设置事故排浆用事故浆液箱。</w:t>
            </w:r>
          </w:p>
          <w:p w14:paraId="355F5ADC">
            <w:pPr>
              <w:pStyle w:val="20"/>
              <w:bidi w:val="0"/>
              <w:rPr>
                <w:rFonts w:hint="eastAsia"/>
                <w:color w:val="auto"/>
                <w:lang w:val="en-US" w:eastAsia="zh-CN"/>
              </w:rPr>
            </w:pPr>
            <w:r>
              <w:rPr>
                <w:rFonts w:hint="eastAsia"/>
                <w:color w:val="auto"/>
                <w:lang w:val="en-US" w:eastAsia="zh-CN"/>
              </w:rPr>
              <w:t>11、已设置烟气事故喷淋降温系统。</w:t>
            </w:r>
          </w:p>
          <w:p w14:paraId="49AEF7BB">
            <w:pPr>
              <w:pStyle w:val="20"/>
              <w:bidi w:val="0"/>
              <w:rPr>
                <w:rFonts w:hint="eastAsia"/>
                <w:color w:val="auto"/>
                <w:lang w:val="en-US" w:eastAsia="zh-CN"/>
              </w:rPr>
            </w:pPr>
            <w:r>
              <w:rPr>
                <w:rFonts w:hint="eastAsia"/>
                <w:color w:val="auto"/>
                <w:lang w:val="en-US" w:eastAsia="zh-CN"/>
              </w:rPr>
              <w:t>12、脱硫工程已设有超负荷和SO</w:t>
            </w:r>
            <w:r>
              <w:rPr>
                <w:rFonts w:hint="eastAsia"/>
                <w:color w:val="auto"/>
                <w:vertAlign w:val="subscript"/>
                <w:lang w:val="en-US" w:eastAsia="zh-CN"/>
              </w:rPr>
              <w:t>2</w:t>
            </w:r>
            <w:r>
              <w:rPr>
                <w:rFonts w:hint="eastAsia"/>
                <w:color w:val="auto"/>
                <w:lang w:val="en-US" w:eastAsia="zh-CN"/>
              </w:rPr>
              <w:t>超标报警系统。</w:t>
            </w:r>
          </w:p>
          <w:p w14:paraId="26F91665">
            <w:pPr>
              <w:pStyle w:val="20"/>
              <w:bidi w:val="0"/>
              <w:rPr>
                <w:rFonts w:hint="default"/>
                <w:color w:val="auto"/>
                <w:lang w:val="en-US" w:eastAsia="zh-CN"/>
              </w:rPr>
            </w:pPr>
          </w:p>
        </w:tc>
        <w:tc>
          <w:tcPr>
            <w:tcW w:w="589" w:type="pct"/>
            <w:tcBorders>
              <w:tl2br w:val="nil"/>
              <w:tr2bl w:val="nil"/>
            </w:tcBorders>
            <w:noWrap w:val="0"/>
            <w:vAlign w:val="center"/>
          </w:tcPr>
          <w:p w14:paraId="40796D6D">
            <w:pPr>
              <w:pStyle w:val="20"/>
              <w:bidi w:val="0"/>
              <w:rPr>
                <w:rFonts w:hint="default"/>
                <w:color w:val="auto"/>
                <w:lang w:val="en-US" w:eastAsia="zh-CN"/>
              </w:rPr>
            </w:pPr>
            <w:r>
              <w:rPr>
                <w:rFonts w:hint="eastAsia"/>
                <w:color w:val="auto"/>
                <w:lang w:val="en-US" w:eastAsia="zh-CN"/>
              </w:rPr>
              <w:t>已落实</w:t>
            </w:r>
          </w:p>
        </w:tc>
      </w:tr>
      <w:tr w14:paraId="415568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0F3FB9EE">
            <w:pPr>
              <w:pStyle w:val="20"/>
              <w:bidi w:val="0"/>
              <w:rPr>
                <w:rFonts w:hint="default"/>
                <w:color w:val="auto"/>
                <w:lang w:val="en-US" w:eastAsia="zh-CN"/>
              </w:rPr>
            </w:pPr>
            <w:r>
              <w:rPr>
                <w:rFonts w:hint="eastAsia"/>
                <w:color w:val="auto"/>
                <w:lang w:val="en-US" w:eastAsia="zh-CN"/>
              </w:rPr>
              <w:t>4</w:t>
            </w:r>
          </w:p>
        </w:tc>
        <w:tc>
          <w:tcPr>
            <w:tcW w:w="2102" w:type="pct"/>
            <w:tcBorders>
              <w:tl2br w:val="nil"/>
              <w:tr2bl w:val="nil"/>
            </w:tcBorders>
            <w:noWrap w:val="0"/>
            <w:vAlign w:val="center"/>
          </w:tcPr>
          <w:p w14:paraId="243E4651">
            <w:pPr>
              <w:pStyle w:val="20"/>
              <w:bidi w:val="0"/>
              <w:jc w:val="both"/>
              <w:rPr>
                <w:rFonts w:hint="eastAsia"/>
                <w:color w:val="auto"/>
                <w:lang w:val="en-US" w:eastAsia="zh-CN"/>
              </w:rPr>
            </w:pPr>
            <w:r>
              <w:rPr>
                <w:rFonts w:hint="eastAsia"/>
                <w:color w:val="auto"/>
                <w:lang w:val="en-US" w:eastAsia="zh-CN"/>
              </w:rPr>
              <w:t>机械设备安全防护装置的要求：</w:t>
            </w:r>
          </w:p>
          <w:p w14:paraId="1E364880">
            <w:pPr>
              <w:pStyle w:val="20"/>
              <w:bidi w:val="0"/>
              <w:jc w:val="both"/>
              <w:rPr>
                <w:rFonts w:hint="eastAsia"/>
                <w:color w:val="auto"/>
                <w:lang w:val="en-US" w:eastAsia="zh-CN"/>
              </w:rPr>
            </w:pPr>
            <w:r>
              <w:rPr>
                <w:rFonts w:hint="eastAsia"/>
                <w:color w:val="auto"/>
                <w:lang w:val="en-US" w:eastAsia="zh-CN"/>
              </w:rPr>
              <w:t>1、机械设备留有足够的移动空间，移动路径标识简单、清晰。</w:t>
            </w:r>
          </w:p>
          <w:p w14:paraId="66418E63">
            <w:pPr>
              <w:pStyle w:val="20"/>
              <w:bidi w:val="0"/>
              <w:jc w:val="both"/>
              <w:rPr>
                <w:rFonts w:hint="eastAsia"/>
                <w:color w:val="auto"/>
                <w:lang w:val="en-US" w:eastAsia="zh-CN"/>
              </w:rPr>
            </w:pPr>
            <w:r>
              <w:rPr>
                <w:rFonts w:hint="eastAsia"/>
                <w:color w:val="auto"/>
                <w:lang w:val="en-US" w:eastAsia="zh-CN"/>
              </w:rPr>
              <w:t>2、所有输送设备的回转部件，均须加装保护盖，包括：头轮、尾轮、重力拉紧装置、耦合器、减速器等。</w:t>
            </w:r>
          </w:p>
          <w:p w14:paraId="5E57B4C4">
            <w:pPr>
              <w:pStyle w:val="20"/>
              <w:bidi w:val="0"/>
              <w:jc w:val="both"/>
              <w:rPr>
                <w:rFonts w:hint="eastAsia"/>
                <w:color w:val="auto"/>
                <w:lang w:val="en-US" w:eastAsia="zh-CN"/>
              </w:rPr>
            </w:pPr>
            <w:r>
              <w:rPr>
                <w:rFonts w:hint="eastAsia"/>
                <w:color w:val="auto"/>
                <w:lang w:val="en-US" w:eastAsia="zh-CN"/>
              </w:rPr>
              <w:t>3、所有的旋转设备装设零速开关，如胶带输送机的尾轮、螺旋输送机的尾轮、回转下料器及皮带传动的从轮。</w:t>
            </w:r>
          </w:p>
          <w:p w14:paraId="4DD7381B">
            <w:pPr>
              <w:pStyle w:val="20"/>
              <w:bidi w:val="0"/>
              <w:jc w:val="both"/>
              <w:rPr>
                <w:rFonts w:hint="eastAsia"/>
                <w:color w:val="auto"/>
                <w:lang w:val="en-US" w:eastAsia="zh-CN"/>
              </w:rPr>
            </w:pPr>
            <w:r>
              <w:rPr>
                <w:rFonts w:hint="eastAsia"/>
                <w:color w:val="auto"/>
                <w:lang w:val="en-US" w:eastAsia="zh-CN"/>
              </w:rPr>
              <w:t>4、传动装置要求遮蔽全部运动部件，以隔绝身体任何部分与之接触。</w:t>
            </w:r>
          </w:p>
          <w:p w14:paraId="66FC1442">
            <w:pPr>
              <w:pStyle w:val="20"/>
              <w:bidi w:val="0"/>
              <w:jc w:val="both"/>
              <w:rPr>
                <w:rFonts w:hint="eastAsia"/>
                <w:color w:val="auto"/>
                <w:lang w:val="en-US" w:eastAsia="zh-CN"/>
              </w:rPr>
            </w:pPr>
            <w:r>
              <w:rPr>
                <w:rFonts w:hint="eastAsia"/>
                <w:color w:val="auto"/>
                <w:lang w:val="en-US" w:eastAsia="zh-CN"/>
              </w:rPr>
              <w:t>5、裸露的传动系统必须加装防护护罩、护壳。</w:t>
            </w:r>
          </w:p>
          <w:p w14:paraId="7983B0E6">
            <w:pPr>
              <w:pStyle w:val="20"/>
              <w:bidi w:val="0"/>
              <w:jc w:val="both"/>
              <w:rPr>
                <w:rFonts w:hint="eastAsia"/>
                <w:color w:val="auto"/>
                <w:lang w:val="en-US" w:eastAsia="zh-CN"/>
              </w:rPr>
            </w:pPr>
            <w:r>
              <w:rPr>
                <w:rFonts w:hint="eastAsia"/>
                <w:color w:val="auto"/>
                <w:lang w:val="en-US" w:eastAsia="zh-CN"/>
              </w:rPr>
              <w:t>6、安装的机械防护护罩，必须牢固。需打开时必须使用专用工具。</w:t>
            </w:r>
          </w:p>
          <w:p w14:paraId="37C9C34F">
            <w:pPr>
              <w:pStyle w:val="20"/>
              <w:bidi w:val="0"/>
              <w:jc w:val="both"/>
              <w:rPr>
                <w:rFonts w:hint="eastAsia"/>
                <w:color w:val="auto"/>
                <w:lang w:val="en-US" w:eastAsia="zh-CN"/>
              </w:rPr>
            </w:pPr>
            <w:r>
              <w:rPr>
                <w:rFonts w:hint="eastAsia"/>
                <w:color w:val="auto"/>
                <w:lang w:val="en-US" w:eastAsia="zh-CN"/>
              </w:rPr>
              <w:t>7、电气设备正常不带电的金属外壳，金属穿线管、电动机外壳、照明变压器外壳和铁芯均保证可靠连接接大地。</w:t>
            </w:r>
          </w:p>
        </w:tc>
        <w:tc>
          <w:tcPr>
            <w:tcW w:w="2047" w:type="pct"/>
            <w:tcBorders>
              <w:tl2br w:val="nil"/>
              <w:tr2bl w:val="nil"/>
            </w:tcBorders>
            <w:noWrap w:val="0"/>
            <w:vAlign w:val="center"/>
          </w:tcPr>
          <w:p w14:paraId="618ADAD9">
            <w:pPr>
              <w:pStyle w:val="20"/>
              <w:bidi w:val="0"/>
              <w:rPr>
                <w:rFonts w:hint="eastAsia"/>
                <w:color w:val="auto"/>
                <w:lang w:val="en-US" w:eastAsia="zh-CN"/>
              </w:rPr>
            </w:pPr>
            <w:r>
              <w:rPr>
                <w:rFonts w:hint="eastAsia"/>
                <w:color w:val="auto"/>
                <w:lang w:val="en-US" w:eastAsia="zh-CN"/>
              </w:rPr>
              <w:t>1、机械设备留有足够的移动空间，移动路径标识简单、清晰。</w:t>
            </w:r>
          </w:p>
          <w:p w14:paraId="59223900">
            <w:pPr>
              <w:pStyle w:val="20"/>
              <w:bidi w:val="0"/>
              <w:rPr>
                <w:rFonts w:hint="eastAsia"/>
                <w:color w:val="auto"/>
                <w:lang w:val="en-US" w:eastAsia="zh-CN"/>
              </w:rPr>
            </w:pPr>
            <w:r>
              <w:rPr>
                <w:rFonts w:hint="eastAsia"/>
                <w:color w:val="auto"/>
                <w:lang w:val="en-US" w:eastAsia="zh-CN"/>
              </w:rPr>
              <w:t>2、所有输送设备的回转部件，均加装保护盖。</w:t>
            </w:r>
          </w:p>
          <w:p w14:paraId="106B4C99">
            <w:pPr>
              <w:pStyle w:val="20"/>
              <w:bidi w:val="0"/>
              <w:rPr>
                <w:rFonts w:hint="eastAsia"/>
                <w:color w:val="auto"/>
                <w:lang w:val="en-US" w:eastAsia="zh-CN"/>
              </w:rPr>
            </w:pPr>
            <w:r>
              <w:rPr>
                <w:rFonts w:hint="eastAsia"/>
                <w:color w:val="auto"/>
                <w:lang w:val="en-US" w:eastAsia="zh-CN"/>
              </w:rPr>
              <w:t>3、所有的旋转设备装设零速开关，。</w:t>
            </w:r>
          </w:p>
          <w:p w14:paraId="64AF6370">
            <w:pPr>
              <w:pStyle w:val="20"/>
              <w:bidi w:val="0"/>
              <w:rPr>
                <w:rFonts w:hint="eastAsia"/>
                <w:color w:val="auto"/>
                <w:lang w:val="en-US" w:eastAsia="zh-CN"/>
              </w:rPr>
            </w:pPr>
            <w:r>
              <w:rPr>
                <w:rFonts w:hint="eastAsia"/>
                <w:color w:val="auto"/>
                <w:lang w:val="en-US" w:eastAsia="zh-CN"/>
              </w:rPr>
              <w:t>4、传动装置已遮蔽全部运动部件，以隔绝身体任何部分与之接触。</w:t>
            </w:r>
          </w:p>
          <w:p w14:paraId="064A7B8A">
            <w:pPr>
              <w:pStyle w:val="20"/>
              <w:bidi w:val="0"/>
              <w:rPr>
                <w:rFonts w:hint="eastAsia"/>
                <w:color w:val="auto"/>
                <w:lang w:val="en-US" w:eastAsia="zh-CN"/>
              </w:rPr>
            </w:pPr>
            <w:r>
              <w:rPr>
                <w:rFonts w:hint="eastAsia"/>
                <w:color w:val="auto"/>
                <w:lang w:val="en-US" w:eastAsia="zh-CN"/>
              </w:rPr>
              <w:t>5、裸露的传动系统已加装防护护罩、护壳。</w:t>
            </w:r>
          </w:p>
          <w:p w14:paraId="54B4B6B8">
            <w:pPr>
              <w:pStyle w:val="20"/>
              <w:bidi w:val="0"/>
              <w:rPr>
                <w:rFonts w:hint="eastAsia"/>
                <w:color w:val="auto"/>
                <w:lang w:val="en-US" w:eastAsia="zh-CN"/>
              </w:rPr>
            </w:pPr>
            <w:r>
              <w:rPr>
                <w:rFonts w:hint="eastAsia"/>
                <w:color w:val="auto"/>
                <w:lang w:val="en-US" w:eastAsia="zh-CN"/>
              </w:rPr>
              <w:t>6、安装的机械防护护罩牢固。</w:t>
            </w:r>
          </w:p>
          <w:p w14:paraId="60C93D83">
            <w:pPr>
              <w:pStyle w:val="20"/>
              <w:bidi w:val="0"/>
              <w:rPr>
                <w:rFonts w:hint="eastAsia"/>
                <w:color w:val="auto"/>
                <w:lang w:val="en-US" w:eastAsia="zh-CN"/>
              </w:rPr>
            </w:pPr>
            <w:r>
              <w:rPr>
                <w:rFonts w:hint="eastAsia"/>
                <w:color w:val="auto"/>
                <w:lang w:val="en-US" w:eastAsia="zh-CN"/>
              </w:rPr>
              <w:t>7、电气设备正常不带电的金属外壳，金属穿线管、电动机外壳、照明变压器外壳和铁芯均可靠连接大地。</w:t>
            </w:r>
          </w:p>
        </w:tc>
        <w:tc>
          <w:tcPr>
            <w:tcW w:w="589" w:type="pct"/>
            <w:tcBorders>
              <w:tl2br w:val="nil"/>
              <w:tr2bl w:val="nil"/>
            </w:tcBorders>
            <w:noWrap w:val="0"/>
            <w:vAlign w:val="center"/>
          </w:tcPr>
          <w:p w14:paraId="63FDF54D">
            <w:pPr>
              <w:pStyle w:val="20"/>
              <w:bidi w:val="0"/>
              <w:rPr>
                <w:rFonts w:hint="default"/>
                <w:color w:val="auto"/>
                <w:lang w:val="en-US" w:eastAsia="zh-CN"/>
              </w:rPr>
            </w:pPr>
            <w:r>
              <w:rPr>
                <w:rFonts w:hint="eastAsia"/>
                <w:color w:val="auto"/>
                <w:lang w:val="en-US" w:eastAsia="zh-CN"/>
              </w:rPr>
              <w:t>已落实</w:t>
            </w:r>
          </w:p>
        </w:tc>
      </w:tr>
      <w:tr w14:paraId="2FD153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572409B3">
            <w:pPr>
              <w:pStyle w:val="20"/>
              <w:bidi w:val="0"/>
              <w:rPr>
                <w:rFonts w:hint="default"/>
                <w:color w:val="auto"/>
                <w:lang w:val="en-US" w:eastAsia="zh-CN"/>
              </w:rPr>
            </w:pPr>
            <w:r>
              <w:rPr>
                <w:rFonts w:hint="eastAsia"/>
                <w:color w:val="auto"/>
                <w:lang w:val="en-US" w:eastAsia="zh-CN"/>
              </w:rPr>
              <w:t>5</w:t>
            </w:r>
          </w:p>
        </w:tc>
        <w:tc>
          <w:tcPr>
            <w:tcW w:w="2102" w:type="pct"/>
            <w:tcBorders>
              <w:tl2br w:val="nil"/>
              <w:tr2bl w:val="nil"/>
            </w:tcBorders>
            <w:noWrap w:val="0"/>
            <w:vAlign w:val="center"/>
          </w:tcPr>
          <w:p w14:paraId="4E90A07E">
            <w:pPr>
              <w:pStyle w:val="20"/>
              <w:bidi w:val="0"/>
              <w:jc w:val="both"/>
              <w:rPr>
                <w:rFonts w:hint="eastAsia"/>
                <w:color w:val="auto"/>
                <w:lang w:val="en-US" w:eastAsia="zh-CN"/>
              </w:rPr>
            </w:pPr>
            <w:r>
              <w:rPr>
                <w:rFonts w:hint="eastAsia"/>
                <w:color w:val="auto"/>
                <w:lang w:val="en-US" w:eastAsia="zh-CN"/>
              </w:rPr>
              <w:t>特种设备安全措施：</w:t>
            </w:r>
          </w:p>
          <w:p w14:paraId="5FB6DCCA">
            <w:pPr>
              <w:pStyle w:val="20"/>
              <w:bidi w:val="0"/>
              <w:jc w:val="both"/>
              <w:rPr>
                <w:rFonts w:hint="eastAsia"/>
                <w:color w:val="auto"/>
                <w:spacing w:val="-6"/>
                <w:sz w:val="21"/>
                <w:lang w:val="en-US" w:eastAsia="zh-CN"/>
              </w:rPr>
            </w:pPr>
            <w:r>
              <w:rPr>
                <w:rFonts w:hint="eastAsia"/>
                <w:color w:val="auto"/>
                <w:lang w:val="en-US" w:eastAsia="zh-CN"/>
              </w:rPr>
              <w:t>1）特种设备出厂时，应当附有安全技术规范要求的设计文件、产品质量合格证明、安装及使用维修</w:t>
            </w:r>
            <w:r>
              <w:rPr>
                <w:rFonts w:hint="eastAsia"/>
                <w:color w:val="auto"/>
                <w:spacing w:val="-6"/>
                <w:sz w:val="21"/>
                <w:lang w:val="en-US" w:eastAsia="zh-CN"/>
              </w:rPr>
              <w:t>说明、监督检验证明等文件。</w:t>
            </w:r>
          </w:p>
          <w:p w14:paraId="1D6791F9">
            <w:pPr>
              <w:pStyle w:val="20"/>
              <w:bidi w:val="0"/>
              <w:jc w:val="both"/>
              <w:rPr>
                <w:rFonts w:hint="eastAsia"/>
                <w:color w:val="auto"/>
                <w:spacing w:val="-6"/>
                <w:sz w:val="21"/>
                <w:lang w:val="en-US" w:eastAsia="zh-CN"/>
              </w:rPr>
            </w:pPr>
            <w:r>
              <w:rPr>
                <w:rFonts w:hint="eastAsia"/>
                <w:color w:val="auto"/>
                <w:spacing w:val="-6"/>
                <w:sz w:val="21"/>
                <w:lang w:val="en-US" w:eastAsia="zh-CN"/>
              </w:rPr>
              <w:t>2）特种设备使用单位应当建立特种设备安全技术档案。安全技术档案应当包括以下内容：</w:t>
            </w:r>
          </w:p>
          <w:p w14:paraId="5B56F1A1">
            <w:pPr>
              <w:pStyle w:val="20"/>
              <w:bidi w:val="0"/>
              <w:jc w:val="both"/>
              <w:rPr>
                <w:rFonts w:hint="eastAsia"/>
                <w:color w:val="auto"/>
                <w:lang w:val="en-US" w:eastAsia="zh-CN"/>
              </w:rPr>
            </w:pPr>
            <w:r>
              <w:rPr>
                <w:rFonts w:hint="eastAsia"/>
                <w:color w:val="auto"/>
                <w:lang w:val="en-US" w:eastAsia="zh-CN"/>
              </w:rPr>
              <w:t>①特种设备的设计文件、制造单位、产品质量合格证明、使用维护说明等文件以及安装技术文件和资料。</w:t>
            </w:r>
          </w:p>
          <w:p w14:paraId="5A61EBAA">
            <w:pPr>
              <w:pStyle w:val="20"/>
              <w:bidi w:val="0"/>
              <w:jc w:val="both"/>
              <w:rPr>
                <w:rFonts w:hint="eastAsia"/>
                <w:color w:val="auto"/>
                <w:lang w:val="en-US" w:eastAsia="zh-CN"/>
              </w:rPr>
            </w:pPr>
            <w:r>
              <w:rPr>
                <w:rFonts w:hint="eastAsia"/>
                <w:color w:val="auto"/>
                <w:lang w:val="en-US" w:eastAsia="zh-CN"/>
              </w:rPr>
              <w:t>②特种设备的定期检验和定期自行检查的记录。</w:t>
            </w:r>
          </w:p>
          <w:p w14:paraId="2C0669AE">
            <w:pPr>
              <w:pStyle w:val="20"/>
              <w:bidi w:val="0"/>
              <w:jc w:val="both"/>
              <w:rPr>
                <w:rFonts w:hint="eastAsia"/>
                <w:color w:val="auto"/>
                <w:lang w:val="en-US" w:eastAsia="zh-CN"/>
              </w:rPr>
            </w:pPr>
            <w:r>
              <w:rPr>
                <w:rFonts w:hint="eastAsia"/>
                <w:color w:val="auto"/>
                <w:lang w:val="en-US" w:eastAsia="zh-CN"/>
              </w:rPr>
              <w:t>③特种设备的日常使用状况记录。</w:t>
            </w:r>
          </w:p>
          <w:p w14:paraId="76477FDC">
            <w:pPr>
              <w:pStyle w:val="20"/>
              <w:bidi w:val="0"/>
              <w:jc w:val="both"/>
              <w:rPr>
                <w:rFonts w:hint="eastAsia"/>
                <w:color w:val="auto"/>
                <w:lang w:val="en-US" w:eastAsia="zh-CN"/>
              </w:rPr>
            </w:pPr>
            <w:r>
              <w:rPr>
                <w:rFonts w:hint="eastAsia"/>
                <w:color w:val="auto"/>
                <w:lang w:val="en-US" w:eastAsia="zh-CN"/>
              </w:rPr>
              <w:t>④特种设备及其安全附件、安全保护装置、测量调控装置及有关附属仪器仪表的日常维护保养记录。</w:t>
            </w:r>
          </w:p>
          <w:p w14:paraId="34A66AF1">
            <w:pPr>
              <w:pStyle w:val="20"/>
              <w:bidi w:val="0"/>
              <w:jc w:val="both"/>
              <w:rPr>
                <w:rFonts w:hint="eastAsia"/>
                <w:color w:val="auto"/>
                <w:lang w:val="en-US" w:eastAsia="zh-CN"/>
              </w:rPr>
            </w:pPr>
            <w:r>
              <w:rPr>
                <w:rFonts w:hint="eastAsia"/>
                <w:color w:val="auto"/>
                <w:lang w:val="en-US" w:eastAsia="zh-CN"/>
              </w:rPr>
              <w:t>⑤特种设备运行故障和事故记录。</w:t>
            </w:r>
          </w:p>
          <w:p w14:paraId="3FBAC7A3">
            <w:pPr>
              <w:pStyle w:val="20"/>
              <w:bidi w:val="0"/>
              <w:jc w:val="both"/>
              <w:rPr>
                <w:rFonts w:hint="eastAsia"/>
                <w:color w:val="auto"/>
                <w:lang w:val="en-US" w:eastAsia="zh-CN"/>
              </w:rPr>
            </w:pPr>
            <w:r>
              <w:rPr>
                <w:rFonts w:hint="eastAsia"/>
                <w:color w:val="auto"/>
                <w:lang w:val="en-US" w:eastAsia="zh-CN"/>
              </w:rPr>
              <w:t>1）特种设备使用单位应当按照安全技术规范的定期检验要求，在安全检验合格有效期届满前1个月向特种设备检验检测机构提出定期检验要求。</w:t>
            </w:r>
          </w:p>
          <w:p w14:paraId="5C0A95DC">
            <w:pPr>
              <w:pStyle w:val="20"/>
              <w:bidi w:val="0"/>
              <w:jc w:val="both"/>
              <w:rPr>
                <w:rFonts w:hint="eastAsia"/>
                <w:color w:val="auto"/>
                <w:lang w:val="en-US" w:eastAsia="zh-CN"/>
              </w:rPr>
            </w:pPr>
            <w:r>
              <w:rPr>
                <w:rFonts w:hint="eastAsia"/>
                <w:color w:val="auto"/>
                <w:lang w:val="en-US" w:eastAsia="zh-CN"/>
              </w:rPr>
              <w:t>2）特种设备出现故障或者发生异常情况，使用单位应当对其进行全面检查，消除事故隐患后，方可重新投入使用。</w:t>
            </w:r>
          </w:p>
          <w:p w14:paraId="48AEA0BC">
            <w:pPr>
              <w:pStyle w:val="20"/>
              <w:bidi w:val="0"/>
              <w:jc w:val="both"/>
              <w:rPr>
                <w:rFonts w:hint="eastAsia"/>
                <w:color w:val="auto"/>
                <w:lang w:val="en-US" w:eastAsia="zh-CN"/>
              </w:rPr>
            </w:pPr>
          </w:p>
        </w:tc>
        <w:tc>
          <w:tcPr>
            <w:tcW w:w="2047" w:type="pct"/>
            <w:tcBorders>
              <w:tl2br w:val="nil"/>
              <w:tr2bl w:val="nil"/>
            </w:tcBorders>
            <w:noWrap w:val="0"/>
            <w:vAlign w:val="center"/>
          </w:tcPr>
          <w:p w14:paraId="12285814">
            <w:pPr>
              <w:pStyle w:val="20"/>
              <w:bidi w:val="0"/>
              <w:rPr>
                <w:rFonts w:hint="default"/>
                <w:color w:val="auto"/>
                <w:lang w:val="en-US" w:eastAsia="zh-CN"/>
              </w:rPr>
            </w:pPr>
            <w:r>
              <w:rPr>
                <w:rFonts w:hint="eastAsia"/>
                <w:color w:val="auto"/>
                <w:lang w:val="en-US" w:eastAsia="zh-CN"/>
              </w:rPr>
              <w:t>据企业介绍，本项目设计中涉及的四台叉车实际未使用，故本项目不涉及特种设备。</w:t>
            </w:r>
          </w:p>
        </w:tc>
        <w:tc>
          <w:tcPr>
            <w:tcW w:w="589" w:type="pct"/>
            <w:tcBorders>
              <w:tl2br w:val="nil"/>
              <w:tr2bl w:val="nil"/>
            </w:tcBorders>
            <w:noWrap w:val="0"/>
            <w:vAlign w:val="center"/>
          </w:tcPr>
          <w:p w14:paraId="28DFB603">
            <w:pPr>
              <w:pStyle w:val="20"/>
              <w:bidi w:val="0"/>
              <w:rPr>
                <w:rFonts w:hint="default"/>
                <w:color w:val="auto"/>
                <w:lang w:val="en-US" w:eastAsia="zh-CN"/>
              </w:rPr>
            </w:pPr>
            <w:r>
              <w:rPr>
                <w:rFonts w:hint="eastAsia"/>
                <w:color w:val="auto"/>
                <w:lang w:val="en-US" w:eastAsia="zh-CN"/>
              </w:rPr>
              <w:t>本项目不涉及特种设备。</w:t>
            </w:r>
          </w:p>
        </w:tc>
      </w:tr>
      <w:tr w14:paraId="35D753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71CBAB0D">
            <w:pPr>
              <w:pStyle w:val="20"/>
              <w:bidi w:val="0"/>
              <w:rPr>
                <w:rFonts w:hint="default"/>
                <w:color w:val="auto"/>
                <w:lang w:val="en-US" w:eastAsia="zh-CN"/>
              </w:rPr>
            </w:pPr>
            <w:r>
              <w:rPr>
                <w:rFonts w:hint="eastAsia"/>
                <w:color w:val="auto"/>
                <w:lang w:val="en-US" w:eastAsia="zh-CN"/>
              </w:rPr>
              <w:t>6</w:t>
            </w:r>
          </w:p>
        </w:tc>
        <w:tc>
          <w:tcPr>
            <w:tcW w:w="2102" w:type="pct"/>
            <w:tcBorders>
              <w:tl2br w:val="nil"/>
              <w:tr2bl w:val="nil"/>
            </w:tcBorders>
            <w:noWrap w:val="0"/>
            <w:vAlign w:val="center"/>
          </w:tcPr>
          <w:p w14:paraId="4FAF0B4D">
            <w:pPr>
              <w:pStyle w:val="20"/>
              <w:bidi w:val="0"/>
              <w:jc w:val="both"/>
              <w:rPr>
                <w:rFonts w:hint="eastAsia"/>
                <w:color w:val="auto"/>
                <w:lang w:val="en-US" w:eastAsia="zh-CN"/>
              </w:rPr>
            </w:pPr>
            <w:r>
              <w:rPr>
                <w:rFonts w:hint="eastAsia"/>
                <w:color w:val="auto"/>
                <w:lang w:val="en-US" w:eastAsia="zh-CN"/>
              </w:rPr>
              <w:t>2.其它设备安全措施</w:t>
            </w:r>
          </w:p>
          <w:p w14:paraId="3502B9FC">
            <w:pPr>
              <w:pStyle w:val="20"/>
              <w:bidi w:val="0"/>
              <w:jc w:val="both"/>
              <w:rPr>
                <w:rFonts w:hint="eastAsia"/>
                <w:color w:val="auto"/>
                <w:lang w:val="en-US" w:eastAsia="zh-CN"/>
              </w:rPr>
            </w:pPr>
            <w:r>
              <w:rPr>
                <w:rFonts w:hint="eastAsia"/>
                <w:color w:val="auto"/>
                <w:lang w:val="en-US" w:eastAsia="zh-CN"/>
              </w:rPr>
              <w:t>1）首先尽量选择低噪声设备，其次采用消声（如在风机吸气口和排气口安装消声器）、隔声、屏蔽（如设置单独隔声间、安装吸声材料等，引风机、水泵设置隔声罩）、减震和个体防护等措施。使室内噪声满足《工作场所有害因素职业接触限值第2部分物理因素》（GBZ2.2－2007）的要求。</w:t>
            </w:r>
          </w:p>
          <w:p w14:paraId="56B7CF03">
            <w:pPr>
              <w:pStyle w:val="20"/>
              <w:bidi w:val="0"/>
              <w:jc w:val="both"/>
              <w:rPr>
                <w:rFonts w:hint="eastAsia"/>
                <w:color w:val="auto"/>
                <w:lang w:val="en-US" w:eastAsia="zh-CN"/>
              </w:rPr>
            </w:pPr>
            <w:r>
              <w:rPr>
                <w:rFonts w:hint="eastAsia"/>
                <w:color w:val="auto"/>
                <w:lang w:val="en-US" w:eastAsia="zh-CN"/>
              </w:rPr>
              <w:t>2）钢平台、钢梯及栏杆的设置遵循《固定式钢梯及平台安全要求第1部分：钢直梯》、《固定式钢梯及平台安全要求第2部分：钢斜梯》、《固定式钢梯及平台安全要求第3部分：工业防护栏杆及钢平台》的相关要求：</w:t>
            </w:r>
          </w:p>
          <w:p w14:paraId="0216F3D9">
            <w:pPr>
              <w:pStyle w:val="20"/>
              <w:bidi w:val="0"/>
              <w:jc w:val="both"/>
              <w:rPr>
                <w:rFonts w:hint="eastAsia"/>
                <w:color w:val="auto"/>
                <w:lang w:val="en-US" w:eastAsia="zh-CN"/>
              </w:rPr>
            </w:pPr>
            <w:r>
              <w:rPr>
                <w:rFonts w:hint="eastAsia"/>
                <w:color w:val="auto"/>
                <w:lang w:val="en-US" w:eastAsia="zh-CN"/>
              </w:rPr>
              <w:t>①钢梯及栏杆的材质采用Q235-B，防护栏杆的立柱、扶手、中间栏杆、踢脚板的设置均按标准规格制作、安装。</w:t>
            </w:r>
          </w:p>
          <w:p w14:paraId="70B420D5">
            <w:pPr>
              <w:pStyle w:val="20"/>
              <w:bidi w:val="0"/>
              <w:jc w:val="both"/>
              <w:rPr>
                <w:rFonts w:hint="eastAsia"/>
                <w:color w:val="auto"/>
                <w:lang w:val="en-US" w:eastAsia="zh-CN"/>
              </w:rPr>
            </w:pPr>
            <w:r>
              <w:rPr>
                <w:rFonts w:hint="eastAsia"/>
                <w:color w:val="auto"/>
                <w:lang w:val="en-US" w:eastAsia="zh-CN"/>
              </w:rPr>
              <w:t>②厂区在基准面高度2m以上的钢直梯均设置护笼；钢斜梯设置扶手。钢平台、通道等高处作业位置，均设置防护栏杆，栏杆高度为1200mm，符合规范要求的1050mm（20m以下）。</w:t>
            </w:r>
          </w:p>
          <w:p w14:paraId="19F896BD">
            <w:pPr>
              <w:pStyle w:val="20"/>
              <w:bidi w:val="0"/>
              <w:jc w:val="both"/>
              <w:rPr>
                <w:rFonts w:hint="eastAsia"/>
                <w:color w:val="auto"/>
                <w:lang w:val="en-US" w:eastAsia="zh-CN"/>
              </w:rPr>
            </w:pPr>
            <w:r>
              <w:rPr>
                <w:rFonts w:hint="eastAsia"/>
                <w:color w:val="auto"/>
                <w:lang w:val="en-US" w:eastAsia="zh-CN"/>
              </w:rPr>
              <w:t>③工作平台及梯间平台均水平设置，通行平台地板与水平面的倾角小于10度，钢斜梯的踏脚板及倾斜的地板设计采用网纹钢板，有利于防滑。钢梯及栏杆安装完成后均涂刷两层底漆和两层面漆，加强平时的防锈、防腐蚀管理。</w:t>
            </w:r>
          </w:p>
        </w:tc>
        <w:tc>
          <w:tcPr>
            <w:tcW w:w="2047" w:type="pct"/>
            <w:tcBorders>
              <w:tl2br w:val="nil"/>
              <w:tr2bl w:val="nil"/>
            </w:tcBorders>
            <w:noWrap w:val="0"/>
            <w:vAlign w:val="center"/>
          </w:tcPr>
          <w:p w14:paraId="13DD3785">
            <w:pPr>
              <w:pStyle w:val="20"/>
              <w:bidi w:val="0"/>
              <w:rPr>
                <w:rFonts w:hint="eastAsia"/>
                <w:color w:val="auto"/>
                <w:lang w:val="en-US" w:eastAsia="zh-CN"/>
              </w:rPr>
            </w:pPr>
            <w:r>
              <w:rPr>
                <w:rFonts w:hint="eastAsia"/>
                <w:color w:val="auto"/>
                <w:lang w:val="en-US" w:eastAsia="zh-CN"/>
              </w:rPr>
              <w:t>1.选择低噪声设备。</w:t>
            </w:r>
          </w:p>
          <w:p w14:paraId="7282CD1F">
            <w:pPr>
              <w:pStyle w:val="20"/>
              <w:bidi w:val="0"/>
              <w:rPr>
                <w:rFonts w:hint="eastAsia"/>
                <w:color w:val="auto"/>
                <w:lang w:val="en-US" w:eastAsia="zh-CN"/>
              </w:rPr>
            </w:pPr>
            <w:r>
              <w:rPr>
                <w:rFonts w:hint="eastAsia"/>
                <w:color w:val="auto"/>
                <w:lang w:val="en-US" w:eastAsia="zh-CN"/>
              </w:rPr>
              <w:t>2.钢平台、钢梯及栏杆的设置、材质均遵循相关要求。</w:t>
            </w:r>
          </w:p>
          <w:p w14:paraId="1C7B01E4">
            <w:pPr>
              <w:pStyle w:val="20"/>
              <w:bidi w:val="0"/>
              <w:rPr>
                <w:rFonts w:hint="eastAsia"/>
                <w:color w:val="auto"/>
                <w:lang w:val="en-US" w:eastAsia="zh-CN"/>
              </w:rPr>
            </w:pPr>
            <w:r>
              <w:rPr>
                <w:rFonts w:hint="eastAsia"/>
                <w:color w:val="auto"/>
                <w:lang w:val="en-US" w:eastAsia="zh-CN"/>
              </w:rPr>
              <w:t>3.在基准面高度2m以上的钢直梯已设置护笼。</w:t>
            </w:r>
          </w:p>
          <w:p w14:paraId="51E7ECFB">
            <w:pPr>
              <w:pStyle w:val="20"/>
              <w:bidi w:val="0"/>
              <w:rPr>
                <w:rFonts w:hint="default"/>
                <w:color w:val="auto"/>
                <w:lang w:val="en-US" w:eastAsia="zh-CN"/>
              </w:rPr>
            </w:pPr>
            <w:r>
              <w:rPr>
                <w:rFonts w:hint="eastAsia"/>
                <w:color w:val="auto"/>
                <w:lang w:val="en-US" w:eastAsia="zh-CN"/>
              </w:rPr>
              <w:t>4.</w:t>
            </w:r>
            <w:r>
              <w:rPr>
                <w:rFonts w:hint="default"/>
                <w:color w:val="auto"/>
                <w:lang w:val="en-US" w:eastAsia="zh-CN"/>
              </w:rPr>
              <w:t>钢平台、通道等高处作业位置，均设置防护栏杆</w:t>
            </w:r>
          </w:p>
          <w:p w14:paraId="3F6D7D67">
            <w:pPr>
              <w:pStyle w:val="20"/>
              <w:bidi w:val="0"/>
              <w:rPr>
                <w:rFonts w:hint="default"/>
                <w:color w:val="auto"/>
                <w:lang w:val="en-US" w:eastAsia="zh-CN"/>
              </w:rPr>
            </w:pPr>
            <w:r>
              <w:rPr>
                <w:rFonts w:hint="eastAsia"/>
                <w:color w:val="auto"/>
                <w:lang w:val="en-US" w:eastAsia="zh-CN"/>
              </w:rPr>
              <w:t>5.钢斜梯的踏脚板及倾斜的地板设计采用网纹钢板，并涂漆。</w:t>
            </w:r>
          </w:p>
        </w:tc>
        <w:tc>
          <w:tcPr>
            <w:tcW w:w="589" w:type="pct"/>
            <w:tcBorders>
              <w:tl2br w:val="nil"/>
              <w:tr2bl w:val="nil"/>
            </w:tcBorders>
            <w:noWrap w:val="0"/>
            <w:vAlign w:val="center"/>
          </w:tcPr>
          <w:p w14:paraId="04059AEC">
            <w:pPr>
              <w:pStyle w:val="20"/>
              <w:bidi w:val="0"/>
              <w:rPr>
                <w:rFonts w:hint="default"/>
                <w:color w:val="auto"/>
                <w:lang w:val="en-US" w:eastAsia="zh-CN"/>
              </w:rPr>
            </w:pPr>
            <w:r>
              <w:rPr>
                <w:rFonts w:hint="eastAsia"/>
                <w:color w:val="auto"/>
                <w:lang w:val="en-US" w:eastAsia="zh-CN"/>
              </w:rPr>
              <w:t>已落实</w:t>
            </w:r>
          </w:p>
        </w:tc>
      </w:tr>
      <w:tr w14:paraId="7A4939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4E762C2E">
            <w:pPr>
              <w:pStyle w:val="20"/>
              <w:bidi w:val="0"/>
              <w:rPr>
                <w:rFonts w:hint="default"/>
                <w:color w:val="auto"/>
                <w:lang w:val="en-US" w:eastAsia="zh-CN"/>
              </w:rPr>
            </w:pPr>
            <w:r>
              <w:rPr>
                <w:rFonts w:hint="eastAsia"/>
                <w:color w:val="auto"/>
                <w:lang w:val="en-US" w:eastAsia="zh-CN"/>
              </w:rPr>
              <w:t>7</w:t>
            </w:r>
          </w:p>
        </w:tc>
        <w:tc>
          <w:tcPr>
            <w:tcW w:w="2102" w:type="pct"/>
            <w:tcBorders>
              <w:tl2br w:val="nil"/>
              <w:tr2bl w:val="nil"/>
            </w:tcBorders>
            <w:noWrap w:val="0"/>
            <w:vAlign w:val="center"/>
          </w:tcPr>
          <w:p w14:paraId="06FBEE13">
            <w:pPr>
              <w:pStyle w:val="20"/>
              <w:bidi w:val="0"/>
              <w:jc w:val="both"/>
              <w:rPr>
                <w:rFonts w:hint="eastAsia"/>
                <w:color w:val="auto"/>
                <w:lang w:val="en-US" w:eastAsia="zh-CN"/>
              </w:rPr>
            </w:pPr>
            <w:r>
              <w:rPr>
                <w:rFonts w:hint="eastAsia"/>
                <w:color w:val="auto"/>
                <w:lang w:val="en-US" w:eastAsia="zh-CN"/>
              </w:rPr>
              <w:t>供配电系统安全及防火措施：</w:t>
            </w:r>
          </w:p>
          <w:p w14:paraId="74A6DFA3">
            <w:pPr>
              <w:pStyle w:val="20"/>
              <w:bidi w:val="0"/>
              <w:jc w:val="both"/>
              <w:rPr>
                <w:rFonts w:hint="eastAsia"/>
                <w:color w:val="auto"/>
                <w:lang w:val="en-US" w:eastAsia="zh-CN"/>
              </w:rPr>
            </w:pPr>
            <w:r>
              <w:rPr>
                <w:rFonts w:hint="eastAsia"/>
                <w:color w:val="auto"/>
                <w:lang w:val="en-US" w:eastAsia="zh-CN"/>
              </w:rPr>
              <w:t>1．各建、构筑物根据建筑物的防雷分类，按《建筑物防雷设计规范》（GB50057-2010）要求设置相应类别的防雷接地装置。</w:t>
            </w:r>
          </w:p>
          <w:p w14:paraId="5CDFFA0A">
            <w:pPr>
              <w:pStyle w:val="20"/>
              <w:bidi w:val="0"/>
              <w:jc w:val="both"/>
              <w:rPr>
                <w:rFonts w:hint="eastAsia"/>
                <w:color w:val="auto"/>
                <w:lang w:val="en-US" w:eastAsia="zh-CN"/>
              </w:rPr>
            </w:pPr>
            <w:r>
              <w:rPr>
                <w:rFonts w:hint="eastAsia"/>
                <w:color w:val="auto"/>
                <w:lang w:val="en-US" w:eastAsia="zh-CN"/>
              </w:rPr>
              <w:t>2．380/220V低压配电系统生产系统采用TN-S系统，厂前区、生活区采用TN-C-S系统。</w:t>
            </w:r>
          </w:p>
          <w:p w14:paraId="1C60E80E">
            <w:pPr>
              <w:pStyle w:val="20"/>
              <w:bidi w:val="0"/>
              <w:jc w:val="both"/>
              <w:rPr>
                <w:rFonts w:hint="eastAsia"/>
                <w:color w:val="auto"/>
                <w:lang w:val="en-US" w:eastAsia="zh-CN"/>
              </w:rPr>
            </w:pPr>
            <w:r>
              <w:rPr>
                <w:rFonts w:hint="eastAsia"/>
                <w:color w:val="auto"/>
                <w:lang w:val="en-US" w:eastAsia="zh-CN"/>
              </w:rPr>
              <w:t>3．应急照明：变配电室设置应急照明。各车间、办公楼的出口、通道、楼梯间设置应急照明和疏散指示标志灯。应急照明灯具及疏散指示标志灯自带蓄电池，停电应急时由蓄电池提供备用电源。变电所、监控室、应急照明灯具蓄电池连续供电时间不少于180min，其它场所不少于30min。</w:t>
            </w:r>
          </w:p>
          <w:p w14:paraId="1CACD8BD">
            <w:pPr>
              <w:pStyle w:val="20"/>
              <w:bidi w:val="0"/>
              <w:jc w:val="both"/>
              <w:rPr>
                <w:rFonts w:hint="eastAsia"/>
                <w:color w:val="auto"/>
                <w:lang w:val="en-US" w:eastAsia="zh-CN"/>
              </w:rPr>
            </w:pPr>
            <w:r>
              <w:rPr>
                <w:rFonts w:hint="eastAsia"/>
                <w:color w:val="auto"/>
                <w:lang w:val="en-US" w:eastAsia="zh-CN"/>
              </w:rPr>
              <w:t>4．变配电室的主要防火措施：</w:t>
            </w:r>
          </w:p>
          <w:p w14:paraId="0C63600C">
            <w:pPr>
              <w:pStyle w:val="20"/>
              <w:bidi w:val="0"/>
              <w:jc w:val="both"/>
              <w:rPr>
                <w:rFonts w:hint="eastAsia"/>
                <w:color w:val="auto"/>
                <w:lang w:val="en-US" w:eastAsia="zh-CN"/>
              </w:rPr>
            </w:pPr>
            <w:r>
              <w:rPr>
                <w:rFonts w:hint="eastAsia"/>
                <w:color w:val="auto"/>
                <w:lang w:val="en-US" w:eastAsia="zh-CN"/>
              </w:rPr>
              <w:t>(1)220kV以上变电所应设进线保护。主变保护：高压侧后备、低压侧后备及变压器非电量保护。</w:t>
            </w:r>
          </w:p>
          <w:p w14:paraId="16C9E026">
            <w:pPr>
              <w:pStyle w:val="20"/>
              <w:bidi w:val="0"/>
              <w:jc w:val="both"/>
              <w:rPr>
                <w:rFonts w:hint="eastAsia"/>
                <w:color w:val="auto"/>
                <w:lang w:val="en-US" w:eastAsia="zh-CN"/>
              </w:rPr>
            </w:pPr>
            <w:r>
              <w:rPr>
                <w:rFonts w:hint="eastAsia"/>
                <w:color w:val="auto"/>
                <w:lang w:val="en-US" w:eastAsia="zh-CN"/>
              </w:rPr>
              <w:t>(2)6/0.4kV变压器的保护：装设速断、过流、温度及单相接地保护。6kV开关装置均采用真空断路器。</w:t>
            </w:r>
          </w:p>
          <w:p w14:paraId="75491BC2">
            <w:pPr>
              <w:pStyle w:val="20"/>
              <w:bidi w:val="0"/>
              <w:jc w:val="both"/>
              <w:rPr>
                <w:rFonts w:hint="eastAsia"/>
                <w:color w:val="auto"/>
                <w:lang w:val="en-US" w:eastAsia="zh-CN"/>
              </w:rPr>
            </w:pPr>
            <w:r>
              <w:rPr>
                <w:rFonts w:hint="eastAsia"/>
                <w:color w:val="auto"/>
                <w:lang w:val="en-US" w:eastAsia="zh-CN"/>
              </w:rPr>
              <w:t>(3)变压器室、低压配电室为耐火等级二级。</w:t>
            </w:r>
          </w:p>
          <w:p w14:paraId="15C24C10">
            <w:pPr>
              <w:pStyle w:val="20"/>
              <w:bidi w:val="0"/>
              <w:jc w:val="both"/>
              <w:rPr>
                <w:rFonts w:hint="eastAsia"/>
                <w:color w:val="auto"/>
                <w:lang w:val="en-US" w:eastAsia="zh-CN"/>
              </w:rPr>
            </w:pPr>
            <w:r>
              <w:rPr>
                <w:rFonts w:hint="eastAsia"/>
                <w:color w:val="auto"/>
                <w:lang w:val="en-US" w:eastAsia="zh-CN"/>
              </w:rPr>
              <w:t>(4)6kV配电装置采用阀型避雷器防止雷电侵入。</w:t>
            </w:r>
          </w:p>
          <w:p w14:paraId="6F92428F">
            <w:pPr>
              <w:pStyle w:val="20"/>
              <w:bidi w:val="0"/>
              <w:jc w:val="both"/>
              <w:rPr>
                <w:rFonts w:hint="eastAsia"/>
                <w:color w:val="auto"/>
                <w:lang w:val="en-US" w:eastAsia="zh-CN"/>
              </w:rPr>
            </w:pPr>
            <w:r>
              <w:rPr>
                <w:rFonts w:hint="eastAsia"/>
                <w:color w:val="auto"/>
                <w:lang w:val="en-US" w:eastAsia="zh-CN"/>
              </w:rPr>
              <w:t>(5)6kV母线及6kV高压柜内真空开关，为防止操作过电压，采用避雷器及组合式过电压限制器保护。对0.4kV系统，分级采用电涌保护器保护。</w:t>
            </w:r>
          </w:p>
          <w:p w14:paraId="6BDBFFF1">
            <w:pPr>
              <w:pStyle w:val="20"/>
              <w:bidi w:val="0"/>
              <w:jc w:val="both"/>
              <w:rPr>
                <w:rFonts w:hint="eastAsia"/>
                <w:color w:val="auto"/>
                <w:lang w:val="en-US" w:eastAsia="zh-CN"/>
              </w:rPr>
            </w:pPr>
            <w:r>
              <w:rPr>
                <w:rFonts w:hint="eastAsia"/>
                <w:color w:val="auto"/>
                <w:lang w:val="en-US" w:eastAsia="zh-CN"/>
              </w:rPr>
              <w:t>(6)成套高压开关柜“五防”功能应齐全，性能应良好。</w:t>
            </w:r>
          </w:p>
          <w:p w14:paraId="39AD5CDE">
            <w:pPr>
              <w:pStyle w:val="20"/>
              <w:bidi w:val="0"/>
              <w:jc w:val="both"/>
              <w:rPr>
                <w:rFonts w:hint="eastAsia"/>
                <w:color w:val="auto"/>
                <w:lang w:val="en-US" w:eastAsia="zh-CN"/>
              </w:rPr>
            </w:pPr>
            <w:r>
              <w:rPr>
                <w:rFonts w:hint="eastAsia"/>
                <w:color w:val="auto"/>
                <w:lang w:val="en-US" w:eastAsia="zh-CN"/>
              </w:rPr>
              <w:t>(7)配电室开设2个防火门，对外开启，防火门装弹簧锁；门口设挡鼠板、窗户上设纱网、封堵电缆进口等防止老鼠等动物进入途径；配电室配备灭火器；配备应急灯等应急设施。</w:t>
            </w:r>
          </w:p>
          <w:p w14:paraId="59F225D1">
            <w:pPr>
              <w:pStyle w:val="20"/>
              <w:bidi w:val="0"/>
              <w:jc w:val="both"/>
              <w:rPr>
                <w:rFonts w:hint="eastAsia"/>
                <w:color w:val="auto"/>
                <w:lang w:val="en-US" w:eastAsia="zh-CN"/>
              </w:rPr>
            </w:pPr>
            <w:r>
              <w:rPr>
                <w:rFonts w:hint="eastAsia"/>
                <w:color w:val="auto"/>
                <w:lang w:val="en-US" w:eastAsia="zh-CN"/>
              </w:rPr>
              <w:t>（8）配电室的门上设有“高压危险”的警示牌，用电设备旁树“有电危险”的警示牌，低压配电室的门上有“有电危险”的警示牌，高压配电柜前铺设耐高压的橡胶绝缘垫；低压配电柜前铺设橡胶绝缘垫。全厂按有关规范要求，设计了工作接地，保护接地，防雷、防静电接地和火灾报警系统接地的联合接地系统。</w:t>
            </w:r>
          </w:p>
          <w:p w14:paraId="5F2ED1AF">
            <w:pPr>
              <w:pStyle w:val="20"/>
              <w:bidi w:val="0"/>
              <w:jc w:val="both"/>
              <w:rPr>
                <w:rFonts w:hint="eastAsia"/>
                <w:color w:val="auto"/>
                <w:lang w:val="en-US" w:eastAsia="zh-CN"/>
              </w:rPr>
            </w:pPr>
            <w:r>
              <w:rPr>
                <w:rFonts w:hint="eastAsia"/>
                <w:color w:val="auto"/>
                <w:lang w:val="en-US" w:eastAsia="zh-CN"/>
              </w:rPr>
              <w:t>5．油浸式变压器防火安全措施：</w:t>
            </w:r>
          </w:p>
          <w:p w14:paraId="3D5D0BC8">
            <w:pPr>
              <w:pStyle w:val="20"/>
              <w:bidi w:val="0"/>
              <w:jc w:val="both"/>
              <w:rPr>
                <w:rFonts w:hint="eastAsia"/>
                <w:color w:val="auto"/>
                <w:lang w:val="en-US" w:eastAsia="zh-CN"/>
              </w:rPr>
            </w:pPr>
            <w:r>
              <w:rPr>
                <w:rFonts w:hint="eastAsia"/>
                <w:color w:val="auto"/>
                <w:lang w:val="en-US" w:eastAsia="zh-CN"/>
              </w:rPr>
              <w:t>（1）预防渗漏油：油浸式变压器在油箱内是充满变压器油的，依靠紧固件对耐油橡胶元件加压而密封。在维护与保养中应特别注意：小螺栓如有松动应加紧固，加紧程度应适当，并应各处一致。橡胶是否断裂或变形严重，更换时应注意其型号规格是否一致，并保持密封面的清洁。</w:t>
            </w:r>
          </w:p>
          <w:p w14:paraId="66DF657A">
            <w:pPr>
              <w:pStyle w:val="20"/>
              <w:bidi w:val="0"/>
              <w:jc w:val="both"/>
              <w:rPr>
                <w:rFonts w:hint="eastAsia"/>
                <w:color w:val="auto"/>
                <w:lang w:val="en-US" w:eastAsia="zh-CN"/>
              </w:rPr>
            </w:pPr>
            <w:r>
              <w:rPr>
                <w:rFonts w:hint="eastAsia"/>
                <w:color w:val="auto"/>
                <w:lang w:val="en-US" w:eastAsia="zh-CN"/>
              </w:rPr>
              <w:t>（2）预防油浸式变压器受潮：油浸式变压器极易受潮，通过加装吸湿器，以防止内部器身受潮湿。</w:t>
            </w:r>
          </w:p>
          <w:p w14:paraId="21752480">
            <w:pPr>
              <w:pStyle w:val="20"/>
              <w:bidi w:val="0"/>
              <w:jc w:val="both"/>
              <w:rPr>
                <w:rFonts w:hint="eastAsia"/>
                <w:color w:val="auto"/>
                <w:lang w:val="en-US" w:eastAsia="zh-CN"/>
              </w:rPr>
            </w:pPr>
            <w:r>
              <w:rPr>
                <w:rFonts w:hint="eastAsia"/>
                <w:color w:val="auto"/>
                <w:lang w:val="en-US" w:eastAsia="zh-CN"/>
              </w:rPr>
              <w:t>（3）油浸式变压器运行中，要经常注意油位、油温、电压、电流的变化，如有异常情况应及时分析处理。油浸式变压器安装时严禁用铝绞线、铝排等与油浸式变压器的铜导杆连接，以免腐蚀导杆。</w:t>
            </w:r>
          </w:p>
          <w:p w14:paraId="2273C81B">
            <w:pPr>
              <w:pStyle w:val="20"/>
              <w:bidi w:val="0"/>
              <w:jc w:val="both"/>
              <w:rPr>
                <w:rFonts w:hint="eastAsia"/>
                <w:color w:val="auto"/>
                <w:lang w:val="en-US" w:eastAsia="zh-CN"/>
              </w:rPr>
            </w:pPr>
            <w:r>
              <w:rPr>
                <w:rFonts w:hint="eastAsia"/>
                <w:color w:val="auto"/>
                <w:lang w:val="en-US" w:eastAsia="zh-CN"/>
              </w:rPr>
              <w:t>（4）每年进行一次瓦斯继电器试验，测量一次、二次回路绝缘电阻、外壳接地电阻，瓦斯动作后必须检查试验确认良好后方可接近。</w:t>
            </w:r>
          </w:p>
          <w:p w14:paraId="080949E5">
            <w:pPr>
              <w:pStyle w:val="20"/>
              <w:bidi w:val="0"/>
              <w:jc w:val="both"/>
              <w:rPr>
                <w:rFonts w:hint="eastAsia"/>
                <w:color w:val="auto"/>
                <w:lang w:val="en-US" w:eastAsia="zh-CN"/>
              </w:rPr>
            </w:pPr>
            <w:r>
              <w:rPr>
                <w:rFonts w:hint="eastAsia"/>
                <w:color w:val="auto"/>
                <w:lang w:val="en-US" w:eastAsia="zh-CN"/>
              </w:rPr>
              <w:t>（5）油浸式变压器室设置贮油坑及公共集油池，并放置变压器鹅卵石以备用来防火以及卸油。</w:t>
            </w:r>
          </w:p>
          <w:p w14:paraId="1B5741B6">
            <w:pPr>
              <w:pStyle w:val="20"/>
              <w:bidi w:val="0"/>
              <w:jc w:val="both"/>
              <w:rPr>
                <w:rFonts w:hint="eastAsia"/>
                <w:color w:val="auto"/>
                <w:lang w:val="en-US" w:eastAsia="zh-CN"/>
              </w:rPr>
            </w:pPr>
            <w:r>
              <w:rPr>
                <w:rFonts w:hint="eastAsia"/>
                <w:color w:val="auto"/>
                <w:lang w:val="en-US" w:eastAsia="zh-CN"/>
              </w:rPr>
              <w:t>（6）油浸式变压器设置在单独的房间内，房间的门为向外开启的乙级防火门，并直通屋外。</w:t>
            </w:r>
          </w:p>
          <w:p w14:paraId="0F364B39">
            <w:pPr>
              <w:pStyle w:val="20"/>
              <w:bidi w:val="0"/>
              <w:jc w:val="both"/>
              <w:rPr>
                <w:rFonts w:hint="eastAsia"/>
                <w:color w:val="auto"/>
                <w:lang w:val="en-US" w:eastAsia="zh-CN"/>
              </w:rPr>
            </w:pPr>
            <w:r>
              <w:rPr>
                <w:rFonts w:hint="eastAsia"/>
                <w:color w:val="auto"/>
                <w:lang w:val="en-US" w:eastAsia="zh-CN"/>
              </w:rPr>
              <w:t>6．电缆防火主要措施：</w:t>
            </w:r>
          </w:p>
          <w:p w14:paraId="57898898">
            <w:pPr>
              <w:pStyle w:val="20"/>
              <w:bidi w:val="0"/>
              <w:jc w:val="both"/>
              <w:rPr>
                <w:rFonts w:hint="eastAsia"/>
                <w:color w:val="auto"/>
                <w:lang w:val="en-US" w:eastAsia="zh-CN"/>
              </w:rPr>
            </w:pPr>
            <w:r>
              <w:rPr>
                <w:rFonts w:hint="eastAsia"/>
                <w:color w:val="auto"/>
                <w:lang w:val="en-US" w:eastAsia="zh-CN"/>
              </w:rPr>
              <w:t>（1）爆炸危险气体环境场所采用阻燃铜芯电线或电缆。</w:t>
            </w:r>
          </w:p>
          <w:p w14:paraId="1CE6EED4">
            <w:pPr>
              <w:pStyle w:val="20"/>
              <w:bidi w:val="0"/>
              <w:jc w:val="both"/>
              <w:rPr>
                <w:rFonts w:hint="eastAsia"/>
                <w:color w:val="auto"/>
                <w:lang w:val="en-US" w:eastAsia="zh-CN"/>
              </w:rPr>
            </w:pPr>
            <w:r>
              <w:rPr>
                <w:rFonts w:hint="eastAsia"/>
                <w:color w:val="auto"/>
                <w:lang w:val="en-US" w:eastAsia="zh-CN"/>
              </w:rPr>
              <w:t>（2）消防用电设备采用耐火铜芯电线或电缆。</w:t>
            </w:r>
          </w:p>
          <w:p w14:paraId="4A98AA5B">
            <w:pPr>
              <w:pStyle w:val="20"/>
              <w:bidi w:val="0"/>
              <w:jc w:val="both"/>
              <w:rPr>
                <w:rFonts w:hint="eastAsia"/>
                <w:color w:val="auto"/>
                <w:lang w:val="en-US" w:eastAsia="zh-CN"/>
              </w:rPr>
            </w:pPr>
            <w:r>
              <w:rPr>
                <w:rFonts w:hint="eastAsia"/>
                <w:color w:val="auto"/>
                <w:lang w:val="en-US" w:eastAsia="zh-CN"/>
              </w:rPr>
              <w:t>（3）高温场所采用耐高温电缆。</w:t>
            </w:r>
          </w:p>
          <w:p w14:paraId="4569451B">
            <w:pPr>
              <w:pStyle w:val="20"/>
              <w:bidi w:val="0"/>
              <w:jc w:val="both"/>
              <w:rPr>
                <w:rFonts w:hint="eastAsia"/>
                <w:color w:val="auto"/>
                <w:lang w:val="en-US" w:eastAsia="zh-CN"/>
              </w:rPr>
            </w:pPr>
            <w:r>
              <w:rPr>
                <w:rFonts w:hint="eastAsia"/>
                <w:color w:val="auto"/>
                <w:lang w:val="en-US" w:eastAsia="zh-CN"/>
              </w:rPr>
              <w:t>（4）电缆进出建筑物、穿越楼板及进出配电柜时，进行防火封堵处理。</w:t>
            </w:r>
          </w:p>
          <w:p w14:paraId="1C695A49">
            <w:pPr>
              <w:pStyle w:val="20"/>
              <w:bidi w:val="0"/>
              <w:jc w:val="both"/>
              <w:rPr>
                <w:rFonts w:hint="eastAsia"/>
                <w:color w:val="auto"/>
                <w:lang w:val="en-US" w:eastAsia="zh-CN"/>
              </w:rPr>
            </w:pPr>
            <w:r>
              <w:rPr>
                <w:rFonts w:hint="eastAsia"/>
                <w:color w:val="auto"/>
                <w:lang w:val="en-US" w:eastAsia="zh-CN"/>
              </w:rPr>
              <w:t>7．电气设备的主要防护措施：</w:t>
            </w:r>
          </w:p>
          <w:p w14:paraId="371B0F38">
            <w:pPr>
              <w:pStyle w:val="20"/>
              <w:bidi w:val="0"/>
              <w:jc w:val="both"/>
              <w:rPr>
                <w:rFonts w:hint="eastAsia"/>
                <w:color w:val="auto"/>
                <w:lang w:val="en-US" w:eastAsia="zh-CN"/>
              </w:rPr>
            </w:pPr>
            <w:r>
              <w:rPr>
                <w:rFonts w:hint="eastAsia"/>
                <w:color w:val="auto"/>
                <w:lang w:val="en-US" w:eastAsia="zh-CN"/>
              </w:rPr>
              <w:t>（1）安装在可能产生爆炸危险气体环境内的电气设备，采用符合要求的防爆产品。</w:t>
            </w:r>
          </w:p>
          <w:p w14:paraId="144491CF">
            <w:pPr>
              <w:pStyle w:val="20"/>
              <w:bidi w:val="0"/>
              <w:jc w:val="both"/>
              <w:rPr>
                <w:rFonts w:hint="eastAsia"/>
                <w:color w:val="auto"/>
                <w:lang w:val="en-US" w:eastAsia="zh-CN"/>
              </w:rPr>
            </w:pPr>
            <w:r>
              <w:rPr>
                <w:rFonts w:hint="eastAsia"/>
                <w:color w:val="auto"/>
                <w:lang w:val="en-US" w:eastAsia="zh-CN"/>
              </w:rPr>
              <w:t>（2）安装在户外的照明箱、检修箱、电动机现场操作箱等电气设备，根据安装场所的环境特征采用防水防腐型设备外壳。</w:t>
            </w:r>
          </w:p>
          <w:p w14:paraId="518FE0FC">
            <w:pPr>
              <w:pStyle w:val="20"/>
              <w:bidi w:val="0"/>
              <w:jc w:val="both"/>
              <w:rPr>
                <w:rFonts w:hint="eastAsia"/>
                <w:color w:val="auto"/>
                <w:lang w:val="en-US" w:eastAsia="zh-CN"/>
              </w:rPr>
            </w:pPr>
            <w:r>
              <w:rPr>
                <w:rFonts w:hint="eastAsia"/>
                <w:color w:val="auto"/>
                <w:lang w:val="en-US" w:eastAsia="zh-CN"/>
              </w:rPr>
              <w:t>（3）电气室的门窗考虑防沙尘措施，根据电气室的设备情况考虑机械通风或空调措施，控制室内温度，防止设备过热，消除火灾隐患。</w:t>
            </w:r>
          </w:p>
          <w:p w14:paraId="46DBD5B9">
            <w:pPr>
              <w:pStyle w:val="20"/>
              <w:bidi w:val="0"/>
              <w:jc w:val="both"/>
              <w:rPr>
                <w:rFonts w:hint="eastAsia"/>
                <w:color w:val="auto"/>
                <w:lang w:val="en-US" w:eastAsia="zh-CN"/>
              </w:rPr>
            </w:pPr>
            <w:r>
              <w:rPr>
                <w:rFonts w:hint="eastAsia"/>
                <w:color w:val="auto"/>
                <w:lang w:val="en-US" w:eastAsia="zh-CN"/>
              </w:rPr>
              <w:t>（4）高压配电柜设综合微机保护装置，使故障能迅速排除和防止扩大。</w:t>
            </w:r>
          </w:p>
          <w:p w14:paraId="7C793FF0">
            <w:pPr>
              <w:pStyle w:val="20"/>
              <w:bidi w:val="0"/>
              <w:jc w:val="both"/>
              <w:rPr>
                <w:rFonts w:hint="eastAsia"/>
                <w:color w:val="auto"/>
                <w:lang w:val="en-US" w:eastAsia="zh-CN"/>
              </w:rPr>
            </w:pPr>
            <w:r>
              <w:rPr>
                <w:rFonts w:hint="eastAsia"/>
                <w:color w:val="auto"/>
                <w:lang w:val="en-US" w:eastAsia="zh-CN"/>
              </w:rPr>
              <w:t>（5）高压配电室、控制室的灯具配置蓄电池，停电应急时由蓄电池提供备用电源，保证正常照明的照度。</w:t>
            </w:r>
          </w:p>
          <w:p w14:paraId="7544D955">
            <w:pPr>
              <w:pStyle w:val="20"/>
              <w:bidi w:val="0"/>
              <w:jc w:val="both"/>
              <w:rPr>
                <w:rFonts w:hint="eastAsia"/>
                <w:color w:val="auto"/>
                <w:lang w:val="en-US" w:eastAsia="zh-CN"/>
              </w:rPr>
            </w:pPr>
            <w:r>
              <w:rPr>
                <w:rFonts w:hint="eastAsia"/>
                <w:color w:val="auto"/>
                <w:lang w:val="en-US" w:eastAsia="zh-CN"/>
              </w:rPr>
              <w:t>（6）所有配电装置、变压器、电控箱、电缆桥架、电缆沟、电器设备、正常不带电的金属部件和金属构件采取接地保护。</w:t>
            </w:r>
          </w:p>
        </w:tc>
        <w:tc>
          <w:tcPr>
            <w:tcW w:w="2047" w:type="pct"/>
            <w:tcBorders>
              <w:tl2br w:val="nil"/>
              <w:tr2bl w:val="nil"/>
            </w:tcBorders>
            <w:noWrap w:val="0"/>
            <w:vAlign w:val="center"/>
          </w:tcPr>
          <w:p w14:paraId="0816C06D">
            <w:pPr>
              <w:pStyle w:val="20"/>
              <w:bidi w:val="0"/>
              <w:rPr>
                <w:rFonts w:hint="default"/>
                <w:color w:val="auto"/>
                <w:lang w:val="en-US" w:eastAsia="zh-CN"/>
              </w:rPr>
            </w:pPr>
            <w:r>
              <w:rPr>
                <w:rFonts w:hint="eastAsia"/>
                <w:color w:val="auto"/>
                <w:lang w:val="en-US" w:eastAsia="zh-CN"/>
              </w:rPr>
              <w:t>已落实，见2.9.2章节。</w:t>
            </w:r>
          </w:p>
        </w:tc>
        <w:tc>
          <w:tcPr>
            <w:tcW w:w="589" w:type="pct"/>
            <w:tcBorders>
              <w:tl2br w:val="nil"/>
              <w:tr2bl w:val="nil"/>
            </w:tcBorders>
            <w:noWrap w:val="0"/>
            <w:vAlign w:val="center"/>
          </w:tcPr>
          <w:p w14:paraId="302A23F6">
            <w:pPr>
              <w:pStyle w:val="20"/>
              <w:bidi w:val="0"/>
              <w:rPr>
                <w:rFonts w:hint="default"/>
                <w:color w:val="auto"/>
                <w:lang w:val="en-US" w:eastAsia="zh-CN"/>
              </w:rPr>
            </w:pPr>
            <w:r>
              <w:rPr>
                <w:rFonts w:hint="eastAsia"/>
                <w:color w:val="auto"/>
                <w:lang w:val="en-US" w:eastAsia="zh-CN"/>
              </w:rPr>
              <w:t>已落实</w:t>
            </w:r>
          </w:p>
        </w:tc>
      </w:tr>
      <w:tr w14:paraId="050561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157037C1">
            <w:pPr>
              <w:pStyle w:val="20"/>
              <w:bidi w:val="0"/>
              <w:rPr>
                <w:rFonts w:hint="default"/>
                <w:color w:val="auto"/>
                <w:lang w:val="en-US" w:eastAsia="zh-CN"/>
              </w:rPr>
            </w:pPr>
            <w:r>
              <w:rPr>
                <w:rFonts w:hint="eastAsia"/>
                <w:color w:val="auto"/>
                <w:lang w:val="en-US" w:eastAsia="zh-CN"/>
              </w:rPr>
              <w:t>8</w:t>
            </w:r>
          </w:p>
        </w:tc>
        <w:tc>
          <w:tcPr>
            <w:tcW w:w="2102" w:type="pct"/>
            <w:tcBorders>
              <w:tl2br w:val="nil"/>
              <w:tr2bl w:val="nil"/>
            </w:tcBorders>
            <w:noWrap w:val="0"/>
            <w:vAlign w:val="center"/>
          </w:tcPr>
          <w:p w14:paraId="42B06E4D">
            <w:pPr>
              <w:pStyle w:val="20"/>
              <w:bidi w:val="0"/>
              <w:jc w:val="both"/>
              <w:rPr>
                <w:rFonts w:hint="eastAsia"/>
                <w:color w:val="auto"/>
                <w:lang w:val="en-US" w:eastAsia="zh-CN"/>
              </w:rPr>
            </w:pPr>
            <w:r>
              <w:rPr>
                <w:rFonts w:hint="eastAsia"/>
                <w:color w:val="auto"/>
                <w:lang w:val="en-US" w:eastAsia="zh-CN"/>
              </w:rPr>
              <w:t>防雷接地设施</w:t>
            </w:r>
          </w:p>
          <w:p w14:paraId="18DCF6FE">
            <w:pPr>
              <w:pStyle w:val="20"/>
              <w:bidi w:val="0"/>
              <w:jc w:val="both"/>
              <w:rPr>
                <w:rFonts w:hint="eastAsia"/>
                <w:color w:val="auto"/>
                <w:lang w:val="en-US" w:eastAsia="zh-CN"/>
              </w:rPr>
            </w:pPr>
            <w:r>
              <w:rPr>
                <w:rFonts w:hint="eastAsia"/>
                <w:color w:val="auto"/>
                <w:lang w:val="en-US" w:eastAsia="zh-CN"/>
              </w:rPr>
              <w:t>1．防雷设计：</w:t>
            </w:r>
          </w:p>
          <w:p w14:paraId="4A919623">
            <w:pPr>
              <w:pStyle w:val="20"/>
              <w:bidi w:val="0"/>
              <w:jc w:val="both"/>
              <w:rPr>
                <w:rFonts w:hint="eastAsia"/>
                <w:color w:val="auto"/>
                <w:lang w:val="en-US" w:eastAsia="zh-CN"/>
              </w:rPr>
            </w:pPr>
            <w:r>
              <w:rPr>
                <w:rFonts w:hint="eastAsia"/>
                <w:color w:val="auto"/>
                <w:lang w:val="en-US" w:eastAsia="zh-CN"/>
              </w:rPr>
              <w:t>本项目配电间属三类防雷建筑物，屋面设接闪带，金属设备、构件及管道构架等构件与接地装置相联以防直击雷。其他各装置的防雷接地，防静电接地及电气设备接地等共接地网，接地电阻小于4欧姆。所有防雷及接地构件均热镀锌，焊接处须防腐处理。</w:t>
            </w:r>
          </w:p>
          <w:p w14:paraId="21CE22A3">
            <w:pPr>
              <w:pStyle w:val="20"/>
              <w:bidi w:val="0"/>
              <w:jc w:val="both"/>
              <w:rPr>
                <w:rFonts w:hint="eastAsia"/>
                <w:color w:val="auto"/>
                <w:lang w:val="en-US" w:eastAsia="zh-CN"/>
              </w:rPr>
            </w:pPr>
            <w:r>
              <w:rPr>
                <w:rFonts w:hint="eastAsia"/>
                <w:color w:val="auto"/>
                <w:lang w:val="en-US" w:eastAsia="zh-CN"/>
              </w:rPr>
              <w:t>2．防雷电波侵入：</w:t>
            </w:r>
          </w:p>
          <w:p w14:paraId="071E21F2">
            <w:pPr>
              <w:pStyle w:val="20"/>
              <w:bidi w:val="0"/>
              <w:jc w:val="both"/>
              <w:rPr>
                <w:rFonts w:hint="eastAsia"/>
                <w:color w:val="auto"/>
                <w:lang w:val="en-US" w:eastAsia="zh-CN"/>
              </w:rPr>
            </w:pPr>
            <w:r>
              <w:rPr>
                <w:rFonts w:hint="eastAsia"/>
                <w:color w:val="auto"/>
                <w:lang w:val="en-US" w:eastAsia="zh-CN"/>
              </w:rPr>
              <w:t>建筑物宜采取低压电缆埋地入户，入户端电缆金属外皮（套管）接地，电缆与架空线连接处装设接闪器，且避雷器与金属外皮（套管）和绝缘子铁脚连在一起接地（冲击电阻不大于30欧姆）；直埋架空金属管道入户处接到防雷、电气设备接地装置上；同时采取等电位连接接地。</w:t>
            </w:r>
          </w:p>
          <w:p w14:paraId="2210EC41">
            <w:pPr>
              <w:pStyle w:val="20"/>
              <w:bidi w:val="0"/>
              <w:jc w:val="both"/>
              <w:rPr>
                <w:rFonts w:hint="eastAsia"/>
                <w:color w:val="auto"/>
                <w:lang w:val="en-US" w:eastAsia="zh-CN"/>
              </w:rPr>
            </w:pPr>
            <w:r>
              <w:rPr>
                <w:rFonts w:hint="eastAsia"/>
                <w:color w:val="auto"/>
                <w:lang w:val="en-US" w:eastAsia="zh-CN"/>
              </w:rPr>
              <w:t>3．防过电压措施：</w:t>
            </w:r>
          </w:p>
          <w:p w14:paraId="0EEA92FA">
            <w:pPr>
              <w:pStyle w:val="20"/>
              <w:bidi w:val="0"/>
              <w:jc w:val="both"/>
              <w:rPr>
                <w:rFonts w:hint="eastAsia"/>
                <w:color w:val="auto"/>
                <w:lang w:val="en-US" w:eastAsia="zh-CN"/>
              </w:rPr>
            </w:pPr>
            <w:r>
              <w:rPr>
                <w:rFonts w:hint="eastAsia"/>
                <w:color w:val="auto"/>
                <w:lang w:val="en-US" w:eastAsia="zh-CN"/>
              </w:rPr>
              <w:t>为了防止雷击过电压、操作过电压，在各级配电系统中均设过电压保护器和浪涌保护器。</w:t>
            </w:r>
          </w:p>
          <w:p w14:paraId="5DAF5BA5">
            <w:pPr>
              <w:pStyle w:val="20"/>
              <w:bidi w:val="0"/>
              <w:jc w:val="both"/>
              <w:rPr>
                <w:rFonts w:hint="eastAsia"/>
                <w:color w:val="auto"/>
                <w:lang w:val="en-US" w:eastAsia="zh-CN"/>
              </w:rPr>
            </w:pPr>
            <w:r>
              <w:rPr>
                <w:rFonts w:hint="eastAsia"/>
                <w:color w:val="auto"/>
                <w:lang w:val="en-US" w:eastAsia="zh-CN"/>
              </w:rPr>
              <w:t>4．接地设计：</w:t>
            </w:r>
          </w:p>
          <w:p w14:paraId="3131F5DB">
            <w:pPr>
              <w:pStyle w:val="20"/>
              <w:bidi w:val="0"/>
              <w:jc w:val="both"/>
              <w:rPr>
                <w:rFonts w:hint="eastAsia"/>
                <w:color w:val="auto"/>
                <w:lang w:val="en-US" w:eastAsia="zh-CN"/>
              </w:rPr>
            </w:pPr>
            <w:r>
              <w:rPr>
                <w:rFonts w:hint="eastAsia"/>
                <w:color w:val="auto"/>
                <w:lang w:val="en-US" w:eastAsia="zh-CN"/>
              </w:rPr>
              <w:t>380/220V低压配电系统生产系统采用TN-S系统，厂前区、生活区采</w:t>
            </w:r>
          </w:p>
          <w:p w14:paraId="2540A9FC">
            <w:pPr>
              <w:pStyle w:val="20"/>
              <w:bidi w:val="0"/>
              <w:jc w:val="both"/>
              <w:rPr>
                <w:rFonts w:hint="eastAsia"/>
                <w:color w:val="auto"/>
                <w:lang w:val="en-US" w:eastAsia="zh-CN"/>
              </w:rPr>
            </w:pPr>
            <w:r>
              <w:rPr>
                <w:rFonts w:hint="eastAsia"/>
                <w:color w:val="auto"/>
                <w:lang w:val="en-US" w:eastAsia="zh-CN"/>
              </w:rPr>
              <w:t>用TN-C-S系统。室内线路接地线（PE线）与中性线（N线）完全分开。接地电阻&lt;4欧（保护接地、防雷接地、工作接地采用联合接地）。如达不到要求时应增加人工接地体。利用结构独立基础内钢筋（深度不小于-0.5m）作接地极，并与防雷引下线、环形接地联接体作可靠焊接。结构钢柱或墙体内暗敷设-25×4热镀锌扁钢作引下线，引下线上与屋顶接闪带焊接；下部与基础接地装置焊接。利用地（圈）梁内底部对角二主筋或人工敷设-40×4热镀锌扁钢（深度不小于-0.5m）作环形接地联接体，并与结构独立基础内钢筋、防雷引下线作可靠焊接。利用-40×4热镀锌扁钢与结构桩基中二根主筋焊通，引出3m，预留人工接地极连通体。距地+0.3m嵌墙暗装总等电位、局部等电位接地端子箱，并与接地装置连接。在室外距地+0.5m处嵌墙暗装电阻测试端子箱，并与引下线可靠联结。进出建筑物的各种金属管道及电缆金属外皮等均应在进出处进行总等电位联结，各种垂直金属管道的底端与顶端也应接地。所有防雷及接地构件均应热镀锌，焊接处须防腐处理。</w:t>
            </w:r>
          </w:p>
          <w:p w14:paraId="6CF5145D">
            <w:pPr>
              <w:pStyle w:val="20"/>
              <w:bidi w:val="0"/>
              <w:jc w:val="both"/>
              <w:rPr>
                <w:rFonts w:hint="eastAsia"/>
                <w:color w:val="auto"/>
                <w:lang w:val="en-US" w:eastAsia="zh-CN"/>
              </w:rPr>
            </w:pPr>
            <w:r>
              <w:rPr>
                <w:rFonts w:hint="eastAsia"/>
                <w:color w:val="auto"/>
                <w:lang w:val="en-US" w:eastAsia="zh-CN"/>
              </w:rPr>
              <w:t>5．防静电接地系统</w:t>
            </w:r>
          </w:p>
          <w:p w14:paraId="6AB1ACF3">
            <w:pPr>
              <w:pStyle w:val="20"/>
              <w:bidi w:val="0"/>
              <w:jc w:val="both"/>
              <w:rPr>
                <w:rFonts w:hint="eastAsia"/>
                <w:color w:val="auto"/>
                <w:lang w:val="en-US" w:eastAsia="zh-CN"/>
              </w:rPr>
            </w:pPr>
            <w:r>
              <w:rPr>
                <w:rFonts w:hint="eastAsia"/>
                <w:color w:val="auto"/>
                <w:lang w:val="en-US" w:eastAsia="zh-CN"/>
              </w:rPr>
              <w:t>本项目柴油罐及管道需防静电接地，具体参见&lt;&lt;接地装置安装&gt;&gt;15D504。平行敷设的长金属管道其净距小于100mm的应每隔20-30m用金属线连接，交叉净距小于100mm时交叉处也应跨接.弯头阀门；法兰盘等应在连接处用金属线跨接并与接地网连成闭合回路。</w:t>
            </w:r>
          </w:p>
          <w:p w14:paraId="4EB81A63">
            <w:pPr>
              <w:pStyle w:val="20"/>
              <w:bidi w:val="0"/>
              <w:jc w:val="both"/>
              <w:rPr>
                <w:rFonts w:hint="eastAsia"/>
                <w:color w:val="auto"/>
                <w:lang w:val="en-US" w:eastAsia="zh-CN"/>
              </w:rPr>
            </w:pPr>
            <w:r>
              <w:rPr>
                <w:rFonts w:hint="eastAsia"/>
                <w:color w:val="auto"/>
                <w:lang w:val="en-US" w:eastAsia="zh-CN"/>
              </w:rPr>
              <w:t>6．其他</w:t>
            </w:r>
          </w:p>
          <w:p w14:paraId="4993BD52">
            <w:pPr>
              <w:pStyle w:val="20"/>
              <w:bidi w:val="0"/>
              <w:jc w:val="both"/>
              <w:rPr>
                <w:rFonts w:hint="eastAsia"/>
                <w:color w:val="auto"/>
                <w:lang w:val="en-US" w:eastAsia="zh-CN"/>
              </w:rPr>
            </w:pPr>
            <w:r>
              <w:rPr>
                <w:rFonts w:hint="eastAsia"/>
                <w:color w:val="auto"/>
                <w:lang w:val="en-US" w:eastAsia="zh-CN"/>
              </w:rPr>
              <w:t>1）所有设备上的电机均利用专用PE线作接地线。室外设备的金属外壳均需与接地干线作可靠连接。在主配电柜和配电箱进线处设置相应等级的电涌保护器，在信息系统进线处设置信号电涌保护器，可以有效防止雷电波侵入。</w:t>
            </w:r>
          </w:p>
          <w:p w14:paraId="17DB819D">
            <w:pPr>
              <w:pStyle w:val="20"/>
              <w:bidi w:val="0"/>
              <w:jc w:val="both"/>
              <w:rPr>
                <w:rFonts w:hint="eastAsia"/>
                <w:color w:val="auto"/>
                <w:lang w:val="en-US" w:eastAsia="zh-CN"/>
              </w:rPr>
            </w:pPr>
            <w:r>
              <w:rPr>
                <w:rFonts w:hint="eastAsia"/>
                <w:color w:val="auto"/>
                <w:lang w:val="en-US" w:eastAsia="zh-CN"/>
              </w:rPr>
              <w:t>2）接地装置在腐蚀性大的土壤中设置时应加大其载面，以保证接地装置长期运行。</w:t>
            </w:r>
          </w:p>
        </w:tc>
        <w:tc>
          <w:tcPr>
            <w:tcW w:w="2047" w:type="pct"/>
            <w:tcBorders>
              <w:tl2br w:val="nil"/>
              <w:tr2bl w:val="nil"/>
            </w:tcBorders>
            <w:noWrap w:val="0"/>
            <w:vAlign w:val="center"/>
          </w:tcPr>
          <w:p w14:paraId="5A895D9D">
            <w:pPr>
              <w:pStyle w:val="20"/>
              <w:bidi w:val="0"/>
              <w:rPr>
                <w:rFonts w:hint="default"/>
                <w:color w:val="auto"/>
                <w:lang w:val="en-US" w:eastAsia="zh-CN"/>
              </w:rPr>
            </w:pPr>
            <w:r>
              <w:rPr>
                <w:rFonts w:hint="eastAsia"/>
                <w:color w:val="auto"/>
                <w:lang w:val="en-US" w:eastAsia="zh-CN"/>
              </w:rPr>
              <w:t>已落实，见2.9.2章节。</w:t>
            </w:r>
          </w:p>
        </w:tc>
        <w:tc>
          <w:tcPr>
            <w:tcW w:w="589" w:type="pct"/>
            <w:tcBorders>
              <w:tl2br w:val="nil"/>
              <w:tr2bl w:val="nil"/>
            </w:tcBorders>
            <w:noWrap w:val="0"/>
            <w:vAlign w:val="center"/>
          </w:tcPr>
          <w:p w14:paraId="0999B25E">
            <w:pPr>
              <w:pStyle w:val="20"/>
              <w:bidi w:val="0"/>
              <w:rPr>
                <w:rFonts w:hint="default"/>
                <w:color w:val="auto"/>
                <w:lang w:val="en-US" w:eastAsia="zh-CN"/>
              </w:rPr>
            </w:pPr>
            <w:r>
              <w:rPr>
                <w:rFonts w:hint="eastAsia"/>
                <w:color w:val="auto"/>
                <w:lang w:val="en-US" w:eastAsia="zh-CN"/>
              </w:rPr>
              <w:t>已落实</w:t>
            </w:r>
          </w:p>
        </w:tc>
      </w:tr>
      <w:tr w14:paraId="54B4DDC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5BB29FE9">
            <w:pPr>
              <w:pStyle w:val="20"/>
              <w:bidi w:val="0"/>
              <w:rPr>
                <w:rFonts w:hint="default"/>
                <w:color w:val="auto"/>
                <w:lang w:val="en-US" w:eastAsia="zh-CN"/>
              </w:rPr>
            </w:pPr>
            <w:r>
              <w:rPr>
                <w:rFonts w:hint="eastAsia"/>
                <w:color w:val="auto"/>
                <w:lang w:val="en-US" w:eastAsia="zh-CN"/>
              </w:rPr>
              <w:t>9</w:t>
            </w:r>
          </w:p>
        </w:tc>
        <w:tc>
          <w:tcPr>
            <w:tcW w:w="2102" w:type="pct"/>
            <w:tcBorders>
              <w:tl2br w:val="nil"/>
              <w:tr2bl w:val="nil"/>
            </w:tcBorders>
            <w:noWrap w:val="0"/>
            <w:vAlign w:val="center"/>
          </w:tcPr>
          <w:p w14:paraId="1292C993">
            <w:pPr>
              <w:pStyle w:val="20"/>
              <w:bidi w:val="0"/>
              <w:jc w:val="both"/>
              <w:rPr>
                <w:rFonts w:hint="eastAsia"/>
                <w:color w:val="auto"/>
                <w:lang w:val="en-US" w:eastAsia="zh-CN"/>
              </w:rPr>
            </w:pPr>
            <w:r>
              <w:rPr>
                <w:rFonts w:hint="eastAsia"/>
                <w:color w:val="auto"/>
                <w:lang w:val="en-US" w:eastAsia="zh-CN"/>
              </w:rPr>
              <w:t>消防安全防范措施：</w:t>
            </w:r>
          </w:p>
          <w:p w14:paraId="32EF97D3">
            <w:pPr>
              <w:pStyle w:val="20"/>
              <w:bidi w:val="0"/>
              <w:jc w:val="both"/>
              <w:rPr>
                <w:rFonts w:hint="eastAsia"/>
                <w:color w:val="auto"/>
                <w:lang w:val="en-US" w:eastAsia="zh-CN"/>
              </w:rPr>
            </w:pPr>
            <w:r>
              <w:rPr>
                <w:rFonts w:hint="eastAsia"/>
                <w:color w:val="auto"/>
                <w:lang w:val="en-US" w:eastAsia="zh-CN"/>
              </w:rPr>
              <w:t>消防系统、消防给水和固定灭火装置</w:t>
            </w:r>
          </w:p>
          <w:p w14:paraId="4CC79654">
            <w:pPr>
              <w:pStyle w:val="20"/>
              <w:bidi w:val="0"/>
              <w:jc w:val="both"/>
              <w:rPr>
                <w:rFonts w:hint="eastAsia"/>
                <w:color w:val="auto"/>
                <w:lang w:val="en-US" w:eastAsia="zh-CN"/>
              </w:rPr>
            </w:pPr>
            <w:r>
              <w:rPr>
                <w:rFonts w:hint="eastAsia"/>
                <w:color w:val="auto"/>
                <w:lang w:val="en-US" w:eastAsia="zh-CN"/>
              </w:rPr>
              <w:t>1、消防用水量计算</w:t>
            </w:r>
          </w:p>
          <w:p w14:paraId="007C21B6">
            <w:pPr>
              <w:pStyle w:val="20"/>
              <w:bidi w:val="0"/>
              <w:jc w:val="both"/>
              <w:rPr>
                <w:rFonts w:hint="eastAsia"/>
                <w:color w:val="auto"/>
                <w:lang w:val="en-US" w:eastAsia="zh-CN"/>
              </w:rPr>
            </w:pPr>
            <w:r>
              <w:rPr>
                <w:rFonts w:hint="eastAsia"/>
                <w:color w:val="auto"/>
                <w:lang w:val="en-US" w:eastAsia="zh-CN"/>
              </w:rPr>
              <w:t>室外消火栓系统利用厂区原有的室外消火栓系统。本项目厂区内同一时间内的火灾次数为一次，两座及以上建筑合用消防给水系统时，应按其中一座设计流量最大者确定。原有室外消火栓系统设计流量为40L/S，火灾延续时间为3h，室外消火栓系统一次灭火用水量为432m</w:t>
            </w:r>
            <w:r>
              <w:rPr>
                <w:rFonts w:hint="eastAsia"/>
                <w:color w:val="auto"/>
                <w:vertAlign w:val="superscript"/>
                <w:lang w:val="en-US" w:eastAsia="zh-CN"/>
              </w:rPr>
              <w:t>3</w:t>
            </w:r>
            <w:r>
              <w:rPr>
                <w:rFonts w:hint="eastAsia"/>
                <w:color w:val="auto"/>
                <w:lang w:val="en-US" w:eastAsia="zh-CN"/>
              </w:rPr>
              <w:t>。由矿山3000T水库提供消防水。</w:t>
            </w:r>
          </w:p>
          <w:p w14:paraId="4D98576E">
            <w:pPr>
              <w:pStyle w:val="20"/>
              <w:bidi w:val="0"/>
              <w:jc w:val="both"/>
              <w:rPr>
                <w:rFonts w:hint="eastAsia"/>
                <w:color w:val="auto"/>
                <w:lang w:val="en-US" w:eastAsia="zh-CN"/>
              </w:rPr>
            </w:pPr>
            <w:r>
              <w:rPr>
                <w:rFonts w:hint="eastAsia"/>
                <w:color w:val="auto"/>
                <w:lang w:val="en-US" w:eastAsia="zh-CN"/>
              </w:rPr>
              <w:t>新增脱硫装置为露天设备，新增配电室不设置室内消火栓系统，不涉及室内消防用水，因此，本项目一次消防用水量为432m</w:t>
            </w:r>
            <w:r>
              <w:rPr>
                <w:rFonts w:hint="eastAsia"/>
                <w:color w:val="auto"/>
                <w:vertAlign w:val="superscript"/>
                <w:lang w:val="en-US" w:eastAsia="zh-CN"/>
              </w:rPr>
              <w:t>3</w:t>
            </w:r>
            <w:r>
              <w:rPr>
                <w:rFonts w:hint="eastAsia"/>
                <w:color w:val="auto"/>
                <w:lang w:val="en-US" w:eastAsia="zh-CN"/>
              </w:rPr>
              <w:t>。</w:t>
            </w:r>
          </w:p>
          <w:p w14:paraId="2F8C504F">
            <w:pPr>
              <w:pStyle w:val="20"/>
              <w:bidi w:val="0"/>
              <w:jc w:val="both"/>
              <w:rPr>
                <w:rFonts w:hint="eastAsia"/>
                <w:color w:val="auto"/>
                <w:lang w:val="en-US" w:eastAsia="zh-CN"/>
              </w:rPr>
            </w:pPr>
            <w:r>
              <w:rPr>
                <w:rFonts w:hint="eastAsia"/>
                <w:color w:val="auto"/>
                <w:lang w:val="en-US" w:eastAsia="zh-CN"/>
              </w:rPr>
              <w:t>2、消火栓系统</w:t>
            </w:r>
          </w:p>
          <w:p w14:paraId="2A95650D">
            <w:pPr>
              <w:pStyle w:val="20"/>
              <w:bidi w:val="0"/>
              <w:jc w:val="both"/>
              <w:rPr>
                <w:rFonts w:hint="eastAsia"/>
                <w:color w:val="auto"/>
                <w:lang w:val="en-US" w:eastAsia="zh-CN"/>
              </w:rPr>
            </w:pPr>
            <w:r>
              <w:rPr>
                <w:rFonts w:hint="eastAsia"/>
                <w:color w:val="auto"/>
                <w:lang w:val="en-US" w:eastAsia="zh-CN"/>
              </w:rPr>
              <w:t>消火栓水泵接合器的设置：在单体附近设置若干SQD100地上式消火栓结合泵，距水泵接合器15～40米范围内，设有流量匹配的室外消火栓。</w:t>
            </w:r>
          </w:p>
          <w:p w14:paraId="617BD17F">
            <w:pPr>
              <w:pStyle w:val="20"/>
              <w:bidi w:val="0"/>
              <w:jc w:val="both"/>
              <w:rPr>
                <w:rFonts w:hint="eastAsia"/>
                <w:color w:val="auto"/>
                <w:lang w:val="en-US" w:eastAsia="zh-CN"/>
              </w:rPr>
            </w:pPr>
            <w:r>
              <w:rPr>
                <w:rFonts w:hint="eastAsia"/>
                <w:color w:val="auto"/>
                <w:lang w:val="en-US" w:eastAsia="zh-CN"/>
              </w:rPr>
              <w:t>按《建筑设计防火规范》GB50016-2014（2018版）要求，室外布置室外消火栓，室外消火栓的间距不大于120m。厂区内消防水主管管径DN150，室外地上式消火栓应有一个直径为150mm或100mm和两个直径为65mm的栓口。消防水管网呈环状，消火栓沿道路敷设，管材采用焊接钢管，焊接或法兰连接口。消火栓距路边不超过2m，距房屋外墙不小于5m。环状管道用阀门分成若干独立段，每段内消火栓的数量不超过5个。</w:t>
            </w:r>
          </w:p>
          <w:p w14:paraId="1ACD1C58">
            <w:pPr>
              <w:pStyle w:val="20"/>
              <w:bidi w:val="0"/>
              <w:jc w:val="both"/>
              <w:rPr>
                <w:rFonts w:hint="eastAsia"/>
                <w:color w:val="auto"/>
                <w:lang w:val="en-US" w:eastAsia="zh-CN"/>
              </w:rPr>
            </w:pPr>
            <w:r>
              <w:rPr>
                <w:rFonts w:hint="eastAsia"/>
                <w:color w:val="auto"/>
                <w:lang w:val="en-US" w:eastAsia="zh-CN"/>
              </w:rPr>
              <w:t>3、灭火器配置</w:t>
            </w:r>
          </w:p>
          <w:p w14:paraId="0C082B14">
            <w:pPr>
              <w:pStyle w:val="20"/>
              <w:bidi w:val="0"/>
              <w:jc w:val="both"/>
              <w:rPr>
                <w:rFonts w:hint="eastAsia"/>
                <w:color w:val="auto"/>
                <w:lang w:val="en-US" w:eastAsia="zh-CN"/>
              </w:rPr>
            </w:pPr>
            <w:r>
              <w:rPr>
                <w:rFonts w:hint="eastAsia"/>
                <w:color w:val="auto"/>
                <w:lang w:val="en-US" w:eastAsia="zh-CN"/>
              </w:rPr>
              <w:t>为了确保小规模火灾危险能及时有效得到控制，根据《建筑灭火器配置设计规范》（GB50140-2005），各主要建构筑物按要求配备MF/ABC类手提磷酸铵盐干粉灭火器或二氧化碳灭火器，每处2具，最大保护范围50m。</w:t>
            </w:r>
          </w:p>
          <w:p w14:paraId="626C3E80">
            <w:pPr>
              <w:pStyle w:val="20"/>
              <w:bidi w:val="0"/>
              <w:jc w:val="both"/>
              <w:rPr>
                <w:rFonts w:hint="eastAsia"/>
                <w:color w:val="auto"/>
                <w:lang w:val="en-US" w:eastAsia="zh-CN"/>
              </w:rPr>
            </w:pPr>
            <w:r>
              <w:rPr>
                <w:rFonts w:hint="eastAsia"/>
                <w:color w:val="auto"/>
                <w:lang w:val="en-US" w:eastAsia="zh-CN"/>
              </w:rPr>
              <w:t>火灾自动报警及联动控制</w:t>
            </w:r>
          </w:p>
          <w:p w14:paraId="53AAE210">
            <w:pPr>
              <w:pStyle w:val="20"/>
              <w:bidi w:val="0"/>
              <w:jc w:val="both"/>
              <w:rPr>
                <w:rFonts w:hint="eastAsia"/>
                <w:color w:val="auto"/>
                <w:lang w:val="en-US" w:eastAsia="zh-CN"/>
              </w:rPr>
            </w:pPr>
            <w:r>
              <w:rPr>
                <w:rFonts w:hint="eastAsia"/>
                <w:color w:val="auto"/>
                <w:lang w:val="en-US" w:eastAsia="zh-CN"/>
              </w:rPr>
              <w:t>1、火灾报警系统</w:t>
            </w:r>
          </w:p>
          <w:p w14:paraId="4A37DC45">
            <w:pPr>
              <w:pStyle w:val="20"/>
              <w:bidi w:val="0"/>
              <w:jc w:val="both"/>
              <w:rPr>
                <w:rFonts w:hint="eastAsia"/>
                <w:color w:val="auto"/>
                <w:lang w:val="en-US" w:eastAsia="zh-CN"/>
              </w:rPr>
            </w:pPr>
            <w:r>
              <w:rPr>
                <w:rFonts w:hint="eastAsia"/>
                <w:color w:val="auto"/>
                <w:lang w:val="en-US" w:eastAsia="zh-CN"/>
              </w:rPr>
              <w:t>利用厂区已有智能火灾自动报警及消防联动控制系统，该系统含消防电话系统，彩色CRT显示系统和打印机，现场配置编码型智能探测器，手动报警按钮，输入/输出模块，联动模块，声光报警等设备。火警系统设备设置于厂区主门房。</w:t>
            </w:r>
          </w:p>
          <w:p w14:paraId="439465D9">
            <w:pPr>
              <w:pStyle w:val="20"/>
              <w:bidi w:val="0"/>
              <w:jc w:val="both"/>
              <w:rPr>
                <w:rFonts w:hint="eastAsia"/>
                <w:color w:val="auto"/>
                <w:lang w:val="en-US" w:eastAsia="zh-CN"/>
              </w:rPr>
            </w:pPr>
            <w:r>
              <w:rPr>
                <w:rFonts w:hint="eastAsia"/>
                <w:color w:val="auto"/>
                <w:lang w:val="en-US" w:eastAsia="zh-CN"/>
              </w:rPr>
              <w:t>在配电间根据防护场所的环境条件相应设置智能光电感烟探测器，并在各设置有火灾报警设备的场所相应设置手动报警按钮。在生产厂房设置手动报警按钮、消火栓按钮、声光报警器等。</w:t>
            </w:r>
          </w:p>
          <w:p w14:paraId="22C8945A">
            <w:pPr>
              <w:pStyle w:val="20"/>
              <w:bidi w:val="0"/>
              <w:jc w:val="both"/>
              <w:rPr>
                <w:rFonts w:hint="eastAsia"/>
                <w:color w:val="auto"/>
                <w:lang w:val="en-US" w:eastAsia="zh-CN"/>
              </w:rPr>
            </w:pPr>
            <w:r>
              <w:rPr>
                <w:rFonts w:hint="eastAsia"/>
                <w:color w:val="auto"/>
                <w:lang w:val="en-US" w:eastAsia="zh-CN"/>
              </w:rPr>
              <w:t>火灾自动报警控制器配有UPS电源，平时由交流两路电源末端自动切换进行供电，当交流电源停电时自动切换为备用电池组供电。系统选用二总线地址编码系统，主要设备均为编码型设备。火警主机内备用电池容量按能正常工作24小时或持续报警60min考虑。</w:t>
            </w:r>
          </w:p>
          <w:p w14:paraId="54D33DDE">
            <w:pPr>
              <w:pStyle w:val="20"/>
              <w:bidi w:val="0"/>
              <w:jc w:val="both"/>
              <w:rPr>
                <w:rFonts w:hint="eastAsia"/>
                <w:color w:val="auto"/>
                <w:lang w:val="en-US" w:eastAsia="zh-CN"/>
              </w:rPr>
            </w:pPr>
            <w:r>
              <w:rPr>
                <w:rFonts w:hint="eastAsia"/>
                <w:color w:val="auto"/>
                <w:lang w:val="en-US" w:eastAsia="zh-CN"/>
              </w:rPr>
              <w:t>2、火灾警报装置</w:t>
            </w:r>
          </w:p>
          <w:p w14:paraId="46C174CE">
            <w:pPr>
              <w:pStyle w:val="20"/>
              <w:bidi w:val="0"/>
              <w:jc w:val="both"/>
              <w:rPr>
                <w:rFonts w:hint="eastAsia"/>
                <w:color w:val="auto"/>
                <w:lang w:val="en-US" w:eastAsia="zh-CN"/>
              </w:rPr>
            </w:pPr>
            <w:r>
              <w:rPr>
                <w:rFonts w:hint="eastAsia"/>
                <w:color w:val="auto"/>
                <w:lang w:val="en-US" w:eastAsia="zh-CN"/>
              </w:rPr>
              <w:t>设置有火灾探测器及手动报警按钮的报警区域，均设置火灾声光报警器，满足规范“每个防火分区至少设置1个声光报警器”的要求。</w:t>
            </w:r>
          </w:p>
          <w:p w14:paraId="6ACAB300">
            <w:pPr>
              <w:pStyle w:val="20"/>
              <w:bidi w:val="0"/>
              <w:jc w:val="both"/>
              <w:rPr>
                <w:rFonts w:hint="eastAsia"/>
                <w:color w:val="auto"/>
                <w:lang w:val="en-US" w:eastAsia="zh-CN"/>
              </w:rPr>
            </w:pPr>
            <w:r>
              <w:rPr>
                <w:rFonts w:hint="eastAsia"/>
                <w:color w:val="auto"/>
                <w:lang w:val="en-US" w:eastAsia="zh-CN"/>
              </w:rPr>
              <w:t>火灾发生时，由火灾报警控制器根据火灾报警探测器、手动报警按钮报警信号，发出联动控制信号，接通相应区域的火灾声光报警器，发出声光报警信号。</w:t>
            </w:r>
          </w:p>
          <w:p w14:paraId="3F7FB66D">
            <w:pPr>
              <w:pStyle w:val="20"/>
              <w:bidi w:val="0"/>
              <w:jc w:val="both"/>
              <w:rPr>
                <w:rFonts w:hint="eastAsia"/>
                <w:color w:val="auto"/>
                <w:lang w:val="en-US" w:eastAsia="zh-CN"/>
              </w:rPr>
            </w:pPr>
            <w:r>
              <w:rPr>
                <w:rFonts w:hint="eastAsia"/>
                <w:color w:val="auto"/>
                <w:lang w:val="en-US" w:eastAsia="zh-CN"/>
              </w:rPr>
              <w:t>3、消防联动控制系统</w:t>
            </w:r>
          </w:p>
          <w:p w14:paraId="74DAC0FF">
            <w:pPr>
              <w:pStyle w:val="20"/>
              <w:bidi w:val="0"/>
              <w:jc w:val="both"/>
              <w:rPr>
                <w:rFonts w:hint="eastAsia"/>
                <w:color w:val="auto"/>
                <w:lang w:val="en-US" w:eastAsia="zh-CN"/>
              </w:rPr>
            </w:pPr>
            <w:r>
              <w:rPr>
                <w:rFonts w:hint="eastAsia"/>
                <w:color w:val="auto"/>
                <w:lang w:val="en-US" w:eastAsia="zh-CN"/>
              </w:rPr>
              <w:t>各单体建筑内均设置GST-LD-8309总线接线箱（内置防雷电路）LD-8321中继模块与厂区消防控制室的集中火灾报警控制器连接。火灾报警控制器接收各单体建筑火灾报警设备运行状态并进行集中显示，当发生火灾时，显示火灾报警信号类别、部位，同时自动转入消防联动控制操作程序，其主要功能如下：</w:t>
            </w:r>
          </w:p>
          <w:p w14:paraId="05E08602">
            <w:pPr>
              <w:pStyle w:val="20"/>
              <w:bidi w:val="0"/>
              <w:jc w:val="both"/>
              <w:rPr>
                <w:rFonts w:hint="eastAsia"/>
                <w:color w:val="auto"/>
                <w:lang w:val="en-US" w:eastAsia="zh-CN"/>
              </w:rPr>
            </w:pPr>
            <w:r>
              <w:rPr>
                <w:rFonts w:hint="eastAsia"/>
                <w:color w:val="auto"/>
                <w:lang w:val="en-US" w:eastAsia="zh-CN"/>
              </w:rPr>
              <w:t>1）接收各火灾探测器、手动报警按钮的报警信号。</w:t>
            </w:r>
          </w:p>
          <w:p w14:paraId="65FD592E">
            <w:pPr>
              <w:pStyle w:val="20"/>
              <w:bidi w:val="0"/>
              <w:jc w:val="both"/>
              <w:rPr>
                <w:rFonts w:hint="eastAsia"/>
                <w:color w:val="auto"/>
                <w:lang w:val="en-US" w:eastAsia="zh-CN"/>
              </w:rPr>
            </w:pPr>
            <w:r>
              <w:rPr>
                <w:rFonts w:hint="eastAsia"/>
                <w:color w:val="auto"/>
                <w:lang w:val="en-US" w:eastAsia="zh-CN"/>
              </w:rPr>
              <w:t>2）火灾报警后，按GB50116-2014（2018版）要求接通想要报警区域或防火分区内编码声光报警器，发出火灾警报，通知相关区域工作人员疏散。</w:t>
            </w:r>
          </w:p>
          <w:p w14:paraId="6C8DEAB9">
            <w:pPr>
              <w:pStyle w:val="20"/>
              <w:bidi w:val="0"/>
              <w:jc w:val="both"/>
              <w:rPr>
                <w:rFonts w:hint="eastAsia"/>
                <w:color w:val="auto"/>
                <w:lang w:val="en-US" w:eastAsia="zh-CN"/>
              </w:rPr>
            </w:pPr>
            <w:r>
              <w:rPr>
                <w:rFonts w:hint="eastAsia"/>
                <w:color w:val="auto"/>
                <w:lang w:val="en-US" w:eastAsia="zh-CN"/>
              </w:rPr>
              <w:t>3）火灾确认后，自动接通火灾应急照明灯和疏散标志灯。为确保安全生产，其他子项各生产用动力电源以及值班人员现场手动控制为准。</w:t>
            </w:r>
          </w:p>
          <w:p w14:paraId="0969CA3A">
            <w:pPr>
              <w:pStyle w:val="20"/>
              <w:bidi w:val="0"/>
              <w:jc w:val="both"/>
              <w:rPr>
                <w:rFonts w:hint="eastAsia"/>
                <w:color w:val="auto"/>
                <w:lang w:val="en-US" w:eastAsia="zh-CN"/>
              </w:rPr>
            </w:pPr>
            <w:r>
              <w:rPr>
                <w:rFonts w:hint="eastAsia"/>
                <w:color w:val="auto"/>
                <w:lang w:val="en-US" w:eastAsia="zh-CN"/>
              </w:rPr>
              <w:t>4）集中火灾报警控制器接收各消火栓报警按钮的报警信号，并对消火栓加压泵实现如下联动控制：显示消火栓报警按钮的位置；消火栓报警按钮动作直接启动消火栓加压泵；消火栓加压泵除具有总线自动控制功能外，还具有多线直接控制功能。</w:t>
            </w:r>
          </w:p>
          <w:p w14:paraId="0013DBA5">
            <w:pPr>
              <w:pStyle w:val="20"/>
              <w:bidi w:val="0"/>
              <w:jc w:val="both"/>
              <w:rPr>
                <w:rFonts w:hint="eastAsia"/>
                <w:color w:val="auto"/>
                <w:lang w:val="en-US" w:eastAsia="zh-CN"/>
              </w:rPr>
            </w:pPr>
          </w:p>
        </w:tc>
        <w:tc>
          <w:tcPr>
            <w:tcW w:w="2047" w:type="pct"/>
            <w:tcBorders>
              <w:tl2br w:val="nil"/>
              <w:tr2bl w:val="nil"/>
            </w:tcBorders>
            <w:noWrap w:val="0"/>
            <w:vAlign w:val="center"/>
          </w:tcPr>
          <w:p w14:paraId="5125D713">
            <w:pPr>
              <w:pStyle w:val="20"/>
              <w:bidi w:val="0"/>
              <w:rPr>
                <w:rFonts w:hint="eastAsia"/>
                <w:color w:val="auto"/>
                <w:lang w:val="en-US" w:eastAsia="zh-CN"/>
              </w:rPr>
            </w:pPr>
            <w:r>
              <w:rPr>
                <w:rFonts w:hint="eastAsia"/>
                <w:color w:val="auto"/>
                <w:lang w:val="en-US" w:eastAsia="zh-CN"/>
              </w:rPr>
              <w:t>消防系统、消防给水和固定灭火装置</w:t>
            </w:r>
          </w:p>
          <w:p w14:paraId="6F28384D">
            <w:pPr>
              <w:pStyle w:val="20"/>
              <w:bidi w:val="0"/>
              <w:rPr>
                <w:rFonts w:hint="eastAsia"/>
                <w:color w:val="auto"/>
                <w:lang w:val="en-US" w:eastAsia="zh-CN"/>
              </w:rPr>
            </w:pPr>
            <w:r>
              <w:rPr>
                <w:rFonts w:hint="eastAsia"/>
                <w:color w:val="auto"/>
                <w:lang w:val="en-US" w:eastAsia="zh-CN"/>
              </w:rPr>
              <w:t>1、消防用水量计算</w:t>
            </w:r>
          </w:p>
          <w:p w14:paraId="78559E52">
            <w:pPr>
              <w:pStyle w:val="20"/>
              <w:bidi w:val="0"/>
              <w:rPr>
                <w:rFonts w:hint="eastAsia"/>
                <w:color w:val="auto"/>
                <w:lang w:val="en-US" w:eastAsia="zh-CN"/>
              </w:rPr>
            </w:pPr>
            <w:r>
              <w:rPr>
                <w:rFonts w:hint="eastAsia"/>
                <w:color w:val="auto"/>
                <w:lang w:val="en-US" w:eastAsia="zh-CN"/>
              </w:rPr>
              <w:t>原有室外消火栓系统设计流量为40L/S，火灾延续时间为3h，室外消火栓系统一次灭火用水量为432m</w:t>
            </w:r>
            <w:r>
              <w:rPr>
                <w:rFonts w:hint="eastAsia"/>
                <w:color w:val="auto"/>
                <w:vertAlign w:val="superscript"/>
                <w:lang w:val="en-US" w:eastAsia="zh-CN"/>
              </w:rPr>
              <w:t>3</w:t>
            </w:r>
            <w:r>
              <w:rPr>
                <w:rFonts w:hint="eastAsia"/>
                <w:color w:val="auto"/>
                <w:lang w:val="en-US" w:eastAsia="zh-CN"/>
              </w:rPr>
              <w:t>。由矿山3000T水库提供消防水。</w:t>
            </w:r>
          </w:p>
          <w:p w14:paraId="7684BB51">
            <w:pPr>
              <w:pStyle w:val="20"/>
              <w:bidi w:val="0"/>
              <w:rPr>
                <w:rFonts w:hint="eastAsia"/>
                <w:color w:val="auto"/>
                <w:lang w:val="en-US" w:eastAsia="zh-CN"/>
              </w:rPr>
            </w:pPr>
            <w:r>
              <w:rPr>
                <w:rFonts w:hint="eastAsia"/>
                <w:color w:val="auto"/>
                <w:lang w:val="en-US" w:eastAsia="zh-CN"/>
              </w:rPr>
              <w:t>新增脱硫装置为露天设备，新增配电室不设置室内消火栓系统，不涉及室内消防用水，因此，本项目一次消防用水量为432m</w:t>
            </w:r>
            <w:r>
              <w:rPr>
                <w:rFonts w:hint="eastAsia"/>
                <w:color w:val="auto"/>
                <w:vertAlign w:val="superscript"/>
                <w:lang w:val="en-US" w:eastAsia="zh-CN"/>
              </w:rPr>
              <w:t>3</w:t>
            </w:r>
            <w:r>
              <w:rPr>
                <w:rFonts w:hint="eastAsia"/>
                <w:color w:val="auto"/>
                <w:lang w:val="en-US" w:eastAsia="zh-CN"/>
              </w:rPr>
              <w:t>。</w:t>
            </w:r>
          </w:p>
          <w:p w14:paraId="62B4F49C">
            <w:pPr>
              <w:pStyle w:val="20"/>
              <w:bidi w:val="0"/>
              <w:rPr>
                <w:rFonts w:hint="eastAsia"/>
                <w:color w:val="auto"/>
                <w:lang w:val="en-US" w:eastAsia="zh-CN"/>
              </w:rPr>
            </w:pPr>
            <w:r>
              <w:rPr>
                <w:rFonts w:hint="eastAsia"/>
                <w:color w:val="auto"/>
                <w:lang w:val="en-US" w:eastAsia="zh-CN"/>
              </w:rPr>
              <w:t>2、消火栓系统</w:t>
            </w:r>
          </w:p>
          <w:p w14:paraId="397246E8">
            <w:pPr>
              <w:pStyle w:val="20"/>
              <w:bidi w:val="0"/>
              <w:rPr>
                <w:rFonts w:hint="eastAsia"/>
                <w:color w:val="auto"/>
                <w:lang w:val="en-US" w:eastAsia="zh-CN"/>
              </w:rPr>
            </w:pPr>
            <w:r>
              <w:rPr>
                <w:rFonts w:hint="eastAsia"/>
                <w:color w:val="auto"/>
                <w:lang w:val="en-US" w:eastAsia="zh-CN"/>
              </w:rPr>
              <w:t>消火栓水泵接合器的设置：在单体附近设置若干SQD100地上式消火栓结合泵，距水泵接合器15～40米范围内，设有流量匹配的室外消火栓。</w:t>
            </w:r>
          </w:p>
          <w:p w14:paraId="6353FE15">
            <w:pPr>
              <w:pStyle w:val="20"/>
              <w:bidi w:val="0"/>
              <w:rPr>
                <w:rFonts w:hint="eastAsia"/>
                <w:color w:val="auto"/>
                <w:lang w:val="en-US" w:eastAsia="zh-CN"/>
              </w:rPr>
            </w:pPr>
            <w:r>
              <w:rPr>
                <w:rFonts w:hint="eastAsia"/>
                <w:color w:val="auto"/>
                <w:lang w:val="en-US" w:eastAsia="zh-CN"/>
              </w:rPr>
              <w:t>室外布置室外消火栓，室外消火栓的间距不大于120m。厂区内消防水主管管径DN150，室外地上式消火栓应有一个直径为150mm或100mm和两个直径为65mm的栓口。消防水管网呈环状，消火栓沿道路敷设，管材采用焊接钢管，焊接或法兰连接口。消火栓距路边不超过2m，距房屋外墙不小于5m。环状管道用阀门分成若干独立段，每段内消火栓的数量不超过5个。</w:t>
            </w:r>
          </w:p>
          <w:p w14:paraId="47254AAD">
            <w:pPr>
              <w:pStyle w:val="20"/>
              <w:bidi w:val="0"/>
              <w:rPr>
                <w:rFonts w:hint="eastAsia"/>
                <w:color w:val="auto"/>
                <w:lang w:val="en-US" w:eastAsia="zh-CN"/>
              </w:rPr>
            </w:pPr>
            <w:r>
              <w:rPr>
                <w:rFonts w:hint="eastAsia"/>
                <w:color w:val="auto"/>
                <w:lang w:val="en-US" w:eastAsia="zh-CN"/>
              </w:rPr>
              <w:t>3、灭火器配置</w:t>
            </w:r>
          </w:p>
          <w:p w14:paraId="417AC09F">
            <w:pPr>
              <w:pStyle w:val="20"/>
              <w:bidi w:val="0"/>
              <w:rPr>
                <w:rFonts w:hint="eastAsia"/>
                <w:color w:val="auto"/>
                <w:lang w:val="en-US" w:eastAsia="zh-CN"/>
              </w:rPr>
            </w:pPr>
            <w:r>
              <w:rPr>
                <w:rFonts w:hint="eastAsia"/>
                <w:color w:val="auto"/>
                <w:lang w:val="en-US" w:eastAsia="zh-CN"/>
              </w:rPr>
              <w:t>为了确保小规模火灾危险能及时有效得到控制，各主要建构筑物按要求配备MF/ABC类手提磷酸铵盐干粉灭火器或二氧化碳灭火器，每处2具，最大保护范围50m。</w:t>
            </w:r>
          </w:p>
          <w:p w14:paraId="47ED0254">
            <w:pPr>
              <w:pStyle w:val="20"/>
              <w:bidi w:val="0"/>
              <w:rPr>
                <w:rFonts w:hint="eastAsia"/>
                <w:color w:val="auto"/>
                <w:lang w:val="en-US" w:eastAsia="zh-CN"/>
              </w:rPr>
            </w:pPr>
            <w:r>
              <w:rPr>
                <w:rFonts w:hint="eastAsia"/>
                <w:color w:val="auto"/>
                <w:lang w:val="en-US" w:eastAsia="zh-CN"/>
              </w:rPr>
              <w:t>火灾自动报警及联动控制</w:t>
            </w:r>
          </w:p>
          <w:p w14:paraId="0A8B6D9B">
            <w:pPr>
              <w:pStyle w:val="20"/>
              <w:bidi w:val="0"/>
              <w:rPr>
                <w:rFonts w:hint="eastAsia"/>
                <w:color w:val="auto"/>
                <w:lang w:val="en-US" w:eastAsia="zh-CN"/>
              </w:rPr>
            </w:pPr>
            <w:r>
              <w:rPr>
                <w:rFonts w:hint="eastAsia"/>
                <w:color w:val="auto"/>
                <w:lang w:val="en-US" w:eastAsia="zh-CN"/>
              </w:rPr>
              <w:t>1、火灾报警系统</w:t>
            </w:r>
          </w:p>
          <w:p w14:paraId="73DC6FF1">
            <w:pPr>
              <w:pStyle w:val="20"/>
              <w:bidi w:val="0"/>
              <w:rPr>
                <w:rFonts w:hint="eastAsia"/>
                <w:color w:val="auto"/>
                <w:lang w:val="en-US" w:eastAsia="zh-CN"/>
              </w:rPr>
            </w:pPr>
            <w:r>
              <w:rPr>
                <w:rFonts w:hint="eastAsia"/>
                <w:color w:val="auto"/>
                <w:lang w:val="en-US" w:eastAsia="zh-CN"/>
              </w:rPr>
              <w:t>利用厂区已有智能火灾自动报警及消防联动控制系统，该系统含消防电话系统，彩色CRT显示系统和打印机，现场配置编码型智能探测器，手动报警按钮，输入/输出模块，联动模块，声光报警等设备。火警系统设备设置于厂区主门房。</w:t>
            </w:r>
          </w:p>
          <w:p w14:paraId="3C8F359A">
            <w:pPr>
              <w:pStyle w:val="20"/>
              <w:bidi w:val="0"/>
              <w:rPr>
                <w:rFonts w:hint="eastAsia"/>
                <w:color w:val="auto"/>
                <w:lang w:val="en-US" w:eastAsia="zh-CN"/>
              </w:rPr>
            </w:pPr>
            <w:r>
              <w:rPr>
                <w:rFonts w:hint="eastAsia"/>
                <w:color w:val="auto"/>
                <w:lang w:val="en-US" w:eastAsia="zh-CN"/>
              </w:rPr>
              <w:t>在配电间根据防护场所的环境条件相应设置智能光电感烟探测器，并在各设置有火灾报警设备的场所相应设置手动报警按钮。在生产厂房设置手动报警按钮、消火栓按钮、声光报警器等。</w:t>
            </w:r>
          </w:p>
          <w:p w14:paraId="67A5A00A">
            <w:pPr>
              <w:pStyle w:val="20"/>
              <w:bidi w:val="0"/>
              <w:rPr>
                <w:rFonts w:hint="eastAsia"/>
                <w:color w:val="auto"/>
                <w:lang w:val="en-US" w:eastAsia="zh-CN"/>
              </w:rPr>
            </w:pPr>
            <w:r>
              <w:rPr>
                <w:rFonts w:hint="eastAsia"/>
                <w:color w:val="auto"/>
                <w:lang w:val="en-US" w:eastAsia="zh-CN"/>
              </w:rPr>
              <w:t>火灾自动报警控制器配有UPS电源，平时由交流两路电源末端自动切换进行供电，当交流电源停电时自动切换为备用电池组供电。系统选用二总线地址编码系统，主要设备均为编码型设备。火警主机内备用电池容量按能正常工作24小时或持续报警60min考虑。</w:t>
            </w:r>
          </w:p>
          <w:p w14:paraId="0434B1C1">
            <w:pPr>
              <w:pStyle w:val="20"/>
              <w:bidi w:val="0"/>
              <w:rPr>
                <w:rFonts w:hint="eastAsia"/>
                <w:color w:val="auto"/>
                <w:lang w:val="en-US" w:eastAsia="zh-CN"/>
              </w:rPr>
            </w:pPr>
            <w:r>
              <w:rPr>
                <w:rFonts w:hint="eastAsia"/>
                <w:color w:val="auto"/>
                <w:lang w:val="en-US" w:eastAsia="zh-CN"/>
              </w:rPr>
              <w:t>2、火灾警报装置</w:t>
            </w:r>
          </w:p>
          <w:p w14:paraId="3462544C">
            <w:pPr>
              <w:pStyle w:val="20"/>
              <w:bidi w:val="0"/>
              <w:rPr>
                <w:rFonts w:hint="eastAsia"/>
                <w:color w:val="auto"/>
                <w:lang w:val="en-US" w:eastAsia="zh-CN"/>
              </w:rPr>
            </w:pPr>
            <w:r>
              <w:rPr>
                <w:rFonts w:hint="eastAsia"/>
                <w:color w:val="auto"/>
                <w:lang w:val="en-US" w:eastAsia="zh-CN"/>
              </w:rPr>
              <w:t>设置有火灾探测器及手动报警按钮的报警区域，均设置火灾声光报警器，满足规范“每个防火分区至少设置1个声光报警器”的要求。</w:t>
            </w:r>
          </w:p>
          <w:p w14:paraId="3DBADEA5">
            <w:pPr>
              <w:pStyle w:val="20"/>
              <w:bidi w:val="0"/>
              <w:rPr>
                <w:rFonts w:hint="eastAsia"/>
                <w:color w:val="auto"/>
                <w:lang w:val="en-US" w:eastAsia="zh-CN"/>
              </w:rPr>
            </w:pPr>
            <w:r>
              <w:rPr>
                <w:rFonts w:hint="eastAsia"/>
                <w:color w:val="auto"/>
                <w:lang w:val="en-US" w:eastAsia="zh-CN"/>
              </w:rPr>
              <w:t>火灾发生时，由火灾报警控制器根据火灾报警探测器、手动报警按钮报警信号，发出联动控制信号，接通相应区域的火灾声光报警器，发出声光报警信号。</w:t>
            </w:r>
          </w:p>
          <w:p w14:paraId="6D036515">
            <w:pPr>
              <w:pStyle w:val="20"/>
              <w:bidi w:val="0"/>
              <w:rPr>
                <w:rFonts w:hint="eastAsia"/>
                <w:color w:val="auto"/>
                <w:lang w:val="en-US" w:eastAsia="zh-CN"/>
              </w:rPr>
            </w:pPr>
            <w:r>
              <w:rPr>
                <w:rFonts w:hint="eastAsia"/>
                <w:color w:val="auto"/>
                <w:lang w:val="en-US" w:eastAsia="zh-CN"/>
              </w:rPr>
              <w:t>3、消防联动控制系统</w:t>
            </w:r>
          </w:p>
          <w:p w14:paraId="69A13CB4">
            <w:pPr>
              <w:pStyle w:val="20"/>
              <w:bidi w:val="0"/>
              <w:rPr>
                <w:rFonts w:hint="eastAsia"/>
                <w:color w:val="auto"/>
                <w:lang w:val="en-US" w:eastAsia="zh-CN"/>
              </w:rPr>
            </w:pPr>
            <w:r>
              <w:rPr>
                <w:rFonts w:hint="eastAsia"/>
                <w:color w:val="auto"/>
                <w:lang w:val="en-US" w:eastAsia="zh-CN"/>
              </w:rPr>
              <w:t>各单体建筑内均设置GST-LD-8309总线接线箱（内置防雷电路）LD-8321中继模块与厂区消防控制室的集中火灾报警控制器连接。火灾报警控制器接收各单体建筑火灾报警设备运行状态并进行集中显示，当发生火灾时，显示火灾报警信号类别、部位，同时自动转入消防联动控制操作程序，其主要功能如下：</w:t>
            </w:r>
          </w:p>
          <w:p w14:paraId="682404A8">
            <w:pPr>
              <w:pStyle w:val="20"/>
              <w:bidi w:val="0"/>
              <w:rPr>
                <w:rFonts w:hint="eastAsia"/>
                <w:color w:val="auto"/>
                <w:lang w:val="en-US" w:eastAsia="zh-CN"/>
              </w:rPr>
            </w:pPr>
            <w:r>
              <w:rPr>
                <w:rFonts w:hint="eastAsia"/>
                <w:color w:val="auto"/>
                <w:lang w:val="en-US" w:eastAsia="zh-CN"/>
              </w:rPr>
              <w:t>1）接收各火灾探测器、手动报警按钮的报警信号。</w:t>
            </w:r>
          </w:p>
          <w:p w14:paraId="1E5CCB40">
            <w:pPr>
              <w:pStyle w:val="20"/>
              <w:bidi w:val="0"/>
              <w:rPr>
                <w:rFonts w:hint="eastAsia"/>
                <w:color w:val="auto"/>
                <w:lang w:val="en-US" w:eastAsia="zh-CN"/>
              </w:rPr>
            </w:pPr>
            <w:r>
              <w:rPr>
                <w:rFonts w:hint="eastAsia"/>
                <w:color w:val="auto"/>
                <w:lang w:val="en-US" w:eastAsia="zh-CN"/>
              </w:rPr>
              <w:t>2）火灾报警后，接通想要报警区域或防火分区内编码声光报警器，发出火灾警报，通知相关区域工作人员疏散。</w:t>
            </w:r>
          </w:p>
          <w:p w14:paraId="406D7526">
            <w:pPr>
              <w:pStyle w:val="20"/>
              <w:bidi w:val="0"/>
              <w:rPr>
                <w:rFonts w:hint="eastAsia"/>
                <w:color w:val="auto"/>
                <w:lang w:val="en-US" w:eastAsia="zh-CN"/>
              </w:rPr>
            </w:pPr>
            <w:r>
              <w:rPr>
                <w:rFonts w:hint="eastAsia"/>
                <w:color w:val="auto"/>
                <w:lang w:val="en-US" w:eastAsia="zh-CN"/>
              </w:rPr>
              <w:t>3）火灾确认后，自动接通火灾应急照明灯和疏散标志灯。为确保安全生产，其他子项各生产用动力电源以及值班人员现场手动控制为准。</w:t>
            </w:r>
          </w:p>
          <w:p w14:paraId="62C950EB">
            <w:pPr>
              <w:pStyle w:val="20"/>
              <w:bidi w:val="0"/>
              <w:rPr>
                <w:rFonts w:hint="eastAsia"/>
                <w:color w:val="auto"/>
                <w:lang w:val="en-US" w:eastAsia="zh-CN"/>
              </w:rPr>
            </w:pPr>
            <w:r>
              <w:rPr>
                <w:rFonts w:hint="eastAsia"/>
                <w:color w:val="auto"/>
                <w:lang w:val="en-US" w:eastAsia="zh-CN"/>
              </w:rPr>
              <w:t>4）集中火灾报警控制器接收各消火栓报警按钮的报警信号，并对消火栓加压泵实现如下联动控制：显示消火栓报警按钮的位置；消火栓报警按钮动作直接启动消火栓加压泵；消火栓加压泵除具有总线自动控制功能外，还具有多线直接控制功能。</w:t>
            </w:r>
          </w:p>
          <w:p w14:paraId="1427C67D">
            <w:pPr>
              <w:pStyle w:val="20"/>
              <w:bidi w:val="0"/>
              <w:rPr>
                <w:rFonts w:hint="eastAsia"/>
                <w:color w:val="auto"/>
                <w:lang w:val="en-US" w:eastAsia="zh-CN"/>
              </w:rPr>
            </w:pPr>
          </w:p>
        </w:tc>
        <w:tc>
          <w:tcPr>
            <w:tcW w:w="589" w:type="pct"/>
            <w:tcBorders>
              <w:tl2br w:val="nil"/>
              <w:tr2bl w:val="nil"/>
            </w:tcBorders>
            <w:noWrap w:val="0"/>
            <w:vAlign w:val="center"/>
          </w:tcPr>
          <w:p w14:paraId="3A850E15">
            <w:pPr>
              <w:pStyle w:val="20"/>
              <w:bidi w:val="0"/>
              <w:rPr>
                <w:rFonts w:hint="default"/>
                <w:color w:val="auto"/>
                <w:lang w:val="en-US" w:eastAsia="zh-CN"/>
              </w:rPr>
            </w:pPr>
            <w:r>
              <w:rPr>
                <w:rFonts w:hint="eastAsia"/>
                <w:color w:val="auto"/>
                <w:lang w:val="en-US" w:eastAsia="zh-CN"/>
              </w:rPr>
              <w:t>已落实</w:t>
            </w:r>
          </w:p>
        </w:tc>
      </w:tr>
      <w:tr w14:paraId="71595B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12DB31F8">
            <w:pPr>
              <w:pStyle w:val="20"/>
              <w:bidi w:val="0"/>
              <w:rPr>
                <w:rFonts w:hint="default"/>
                <w:color w:val="auto"/>
                <w:lang w:val="en-US" w:eastAsia="zh-CN"/>
              </w:rPr>
            </w:pPr>
            <w:r>
              <w:rPr>
                <w:rFonts w:hint="eastAsia"/>
                <w:color w:val="auto"/>
                <w:lang w:val="en-US" w:eastAsia="zh-CN"/>
              </w:rPr>
              <w:t>10</w:t>
            </w:r>
          </w:p>
        </w:tc>
        <w:tc>
          <w:tcPr>
            <w:tcW w:w="2102" w:type="pct"/>
            <w:tcBorders>
              <w:tl2br w:val="nil"/>
              <w:tr2bl w:val="nil"/>
            </w:tcBorders>
            <w:noWrap w:val="0"/>
            <w:vAlign w:val="center"/>
          </w:tcPr>
          <w:p w14:paraId="16EA5F8E">
            <w:pPr>
              <w:pStyle w:val="20"/>
              <w:bidi w:val="0"/>
              <w:jc w:val="both"/>
              <w:rPr>
                <w:rFonts w:hint="eastAsia"/>
                <w:color w:val="auto"/>
                <w:lang w:val="en-US" w:eastAsia="zh-CN"/>
              </w:rPr>
            </w:pPr>
            <w:r>
              <w:rPr>
                <w:rFonts w:hint="eastAsia"/>
                <w:color w:val="auto"/>
                <w:lang w:val="en-US" w:eastAsia="zh-CN"/>
              </w:rPr>
              <w:t>计算机及通讯设施</w:t>
            </w:r>
          </w:p>
          <w:p w14:paraId="28CFE8EA">
            <w:pPr>
              <w:pStyle w:val="20"/>
              <w:bidi w:val="0"/>
              <w:jc w:val="both"/>
              <w:rPr>
                <w:rFonts w:hint="eastAsia"/>
                <w:color w:val="auto"/>
                <w:lang w:val="en-US" w:eastAsia="zh-CN"/>
              </w:rPr>
            </w:pPr>
            <w:r>
              <w:rPr>
                <w:rFonts w:hint="eastAsia"/>
                <w:color w:val="auto"/>
                <w:lang w:val="en-US" w:eastAsia="zh-CN"/>
              </w:rPr>
              <w:t>一、自动化控制系统</w:t>
            </w:r>
          </w:p>
          <w:p w14:paraId="79B9EC2B">
            <w:pPr>
              <w:pStyle w:val="20"/>
              <w:bidi w:val="0"/>
              <w:jc w:val="both"/>
              <w:rPr>
                <w:rFonts w:hint="eastAsia"/>
                <w:color w:val="auto"/>
                <w:lang w:val="en-US" w:eastAsia="zh-CN"/>
              </w:rPr>
            </w:pPr>
            <w:r>
              <w:rPr>
                <w:rFonts w:hint="eastAsia"/>
                <w:color w:val="auto"/>
                <w:lang w:val="en-US" w:eastAsia="zh-CN"/>
              </w:rPr>
              <w:t>本项目采用技术先进、性能可靠的集散型计算机控制系统，对脱硫系统进行集中控制。</w:t>
            </w:r>
          </w:p>
          <w:p w14:paraId="2274B392">
            <w:pPr>
              <w:pStyle w:val="20"/>
              <w:bidi w:val="0"/>
              <w:jc w:val="both"/>
              <w:rPr>
                <w:rFonts w:hint="eastAsia"/>
                <w:color w:val="auto"/>
                <w:lang w:val="en-US" w:eastAsia="zh-CN"/>
              </w:rPr>
            </w:pPr>
            <w:r>
              <w:rPr>
                <w:rFonts w:hint="eastAsia"/>
                <w:color w:val="auto"/>
                <w:lang w:val="en-US" w:eastAsia="zh-CN"/>
              </w:rPr>
              <w:t>脱硫系统DCS控制室通过CRT和键盘完成生产过程的监控和操作，包括电动机的组起动、组停车及紧急停车的操作，用电设备的备妥、运行、故障等状态的显示，生产过程参数的显示、设定、报警、记录和自动控制等，各种故障报警及各工艺参数均可由打印机打印出报表。</w:t>
            </w:r>
          </w:p>
          <w:p w14:paraId="130E28F8">
            <w:pPr>
              <w:pStyle w:val="20"/>
              <w:bidi w:val="0"/>
              <w:jc w:val="both"/>
              <w:rPr>
                <w:rFonts w:hint="eastAsia"/>
                <w:color w:val="auto"/>
                <w:lang w:val="en-US" w:eastAsia="zh-CN"/>
              </w:rPr>
            </w:pPr>
            <w:r>
              <w:rPr>
                <w:rFonts w:hint="eastAsia"/>
                <w:color w:val="auto"/>
                <w:lang w:val="en-US" w:eastAsia="zh-CN"/>
              </w:rPr>
              <w:t>二、控制室的组成及控制中心作用，包括生产控制、消防控制、应急控制等</w:t>
            </w:r>
          </w:p>
          <w:p w14:paraId="484EA93B">
            <w:pPr>
              <w:pStyle w:val="20"/>
              <w:bidi w:val="0"/>
              <w:jc w:val="both"/>
              <w:rPr>
                <w:rFonts w:hint="eastAsia"/>
                <w:color w:val="auto"/>
                <w:lang w:val="en-US" w:eastAsia="zh-CN"/>
              </w:rPr>
            </w:pPr>
            <w:r>
              <w:rPr>
                <w:rFonts w:hint="eastAsia"/>
                <w:color w:val="auto"/>
                <w:lang w:val="en-US" w:eastAsia="zh-CN"/>
              </w:rPr>
              <w:t>1、本项目依托原有厂区消防控制室。控制室设消防控制、应急控制等系统，负责对整个厂区的消防、应急控制。控制室为无爆炸区域场所，且设置了直通疏散的安全出口，其顶棚和墙面采用A级装修材料，地面及其他装修采用不低于B1级的装修材料。</w:t>
            </w:r>
          </w:p>
          <w:p w14:paraId="3B669BFF">
            <w:pPr>
              <w:pStyle w:val="20"/>
              <w:bidi w:val="0"/>
              <w:jc w:val="both"/>
              <w:rPr>
                <w:rFonts w:hint="eastAsia"/>
                <w:color w:val="auto"/>
                <w:lang w:val="en-US" w:eastAsia="zh-CN"/>
              </w:rPr>
            </w:pPr>
            <w:r>
              <w:rPr>
                <w:rFonts w:hint="eastAsia"/>
                <w:color w:val="auto"/>
                <w:lang w:val="en-US" w:eastAsia="zh-CN"/>
              </w:rPr>
              <w:t>控制室设置火灾报警控制器和UPS备用电源。控制室同时兼消防值班室、应急值班室，便于消防、应急救援多方面协调。</w:t>
            </w:r>
          </w:p>
          <w:p w14:paraId="41C46E42">
            <w:pPr>
              <w:pStyle w:val="20"/>
              <w:bidi w:val="0"/>
              <w:jc w:val="both"/>
              <w:rPr>
                <w:rFonts w:hint="eastAsia"/>
                <w:color w:val="auto"/>
                <w:lang w:val="en-US" w:eastAsia="zh-CN"/>
              </w:rPr>
            </w:pPr>
            <w:r>
              <w:rPr>
                <w:rFonts w:hint="eastAsia"/>
                <w:color w:val="auto"/>
                <w:lang w:val="en-US" w:eastAsia="zh-CN"/>
              </w:rPr>
              <w:t>脱硫系统控制室设置在本项目配电室内，控制室的工作人员可对脱硫系统进行启/停控制、对系统的正常运行进行监视和调整、对异常与事故工况进行处理。控制室的设计按《电力和仪表控制室建筑设计的技术规定》的二级标准设计考虑，且安装火灾自动报警系统。</w:t>
            </w:r>
          </w:p>
          <w:p w14:paraId="7B4C3CEB">
            <w:pPr>
              <w:pStyle w:val="20"/>
              <w:bidi w:val="0"/>
              <w:jc w:val="both"/>
              <w:rPr>
                <w:rFonts w:hint="eastAsia"/>
                <w:color w:val="auto"/>
                <w:lang w:val="en-US" w:eastAsia="zh-CN"/>
              </w:rPr>
            </w:pPr>
            <w:r>
              <w:rPr>
                <w:rFonts w:hint="eastAsia"/>
                <w:color w:val="auto"/>
                <w:lang w:val="en-US" w:eastAsia="zh-CN"/>
              </w:rPr>
              <w:t>2、控制室的管理要求如下：</w:t>
            </w:r>
          </w:p>
          <w:p w14:paraId="71A01CA9">
            <w:pPr>
              <w:pStyle w:val="20"/>
              <w:bidi w:val="0"/>
              <w:jc w:val="both"/>
              <w:rPr>
                <w:rFonts w:hint="eastAsia"/>
                <w:color w:val="auto"/>
                <w:lang w:val="en-US" w:eastAsia="zh-CN"/>
              </w:rPr>
            </w:pPr>
            <w:r>
              <w:rPr>
                <w:rFonts w:hint="eastAsia"/>
                <w:color w:val="auto"/>
                <w:lang w:val="en-US" w:eastAsia="zh-CN"/>
              </w:rPr>
              <w:t>1）控制室工作人员应严格遵守控制室的各项安全操作规程和各项安全管理制度。</w:t>
            </w:r>
          </w:p>
          <w:p w14:paraId="7A806A08">
            <w:pPr>
              <w:pStyle w:val="20"/>
              <w:bidi w:val="0"/>
              <w:jc w:val="both"/>
              <w:rPr>
                <w:rFonts w:hint="eastAsia"/>
                <w:color w:val="auto"/>
                <w:lang w:val="en-US" w:eastAsia="zh-CN"/>
              </w:rPr>
            </w:pPr>
            <w:r>
              <w:rPr>
                <w:rFonts w:hint="eastAsia"/>
                <w:color w:val="auto"/>
                <w:lang w:val="en-US" w:eastAsia="zh-CN"/>
              </w:rPr>
              <w:t>2）控制室必须24小时设专人值班，值班人员应坚守岗位、严禁脱岗，未经专业培训的无证人员不得上岗。</w:t>
            </w:r>
          </w:p>
          <w:p w14:paraId="70EA113E">
            <w:pPr>
              <w:pStyle w:val="20"/>
              <w:bidi w:val="0"/>
              <w:jc w:val="both"/>
              <w:rPr>
                <w:rFonts w:hint="eastAsia"/>
                <w:color w:val="auto"/>
                <w:lang w:val="en-US" w:eastAsia="zh-CN"/>
              </w:rPr>
            </w:pPr>
            <w:r>
              <w:rPr>
                <w:rFonts w:hint="eastAsia"/>
                <w:color w:val="auto"/>
                <w:lang w:val="en-US" w:eastAsia="zh-CN"/>
              </w:rPr>
              <w:t>3）值班人员每班不应少于2人，连续工作不超过12小时。出现报警信号后，一人负责到现场确认，一人仍在控制室执机，严密监视，处理其他报警信号并在需要时启动有关消防设备。</w:t>
            </w:r>
          </w:p>
          <w:p w14:paraId="42CF667B">
            <w:pPr>
              <w:pStyle w:val="20"/>
              <w:bidi w:val="0"/>
              <w:jc w:val="both"/>
              <w:rPr>
                <w:rFonts w:hint="eastAsia"/>
                <w:color w:val="auto"/>
                <w:lang w:val="en-US" w:eastAsia="zh-CN"/>
              </w:rPr>
            </w:pPr>
            <w:r>
              <w:rPr>
                <w:rFonts w:hint="eastAsia"/>
                <w:color w:val="auto"/>
                <w:lang w:val="en-US" w:eastAsia="zh-CN"/>
              </w:rPr>
              <w:t>4）值班时间严禁睡觉、喝酒，不得聊天、打私人电话，不准在控制室内会客，严禁无关人员触动、使用室内设备。</w:t>
            </w:r>
          </w:p>
          <w:p w14:paraId="6473107B">
            <w:pPr>
              <w:pStyle w:val="20"/>
              <w:bidi w:val="0"/>
              <w:jc w:val="both"/>
              <w:rPr>
                <w:rFonts w:hint="eastAsia"/>
                <w:color w:val="auto"/>
                <w:lang w:val="en-US" w:eastAsia="zh-CN"/>
              </w:rPr>
            </w:pPr>
            <w:r>
              <w:rPr>
                <w:rFonts w:hint="eastAsia"/>
                <w:color w:val="auto"/>
                <w:lang w:val="en-US" w:eastAsia="zh-CN"/>
              </w:rPr>
              <w:t>5）控制室应在显要位置悬挂操作规程和值班员职责，配备统一的值班记录表和使用图表。</w:t>
            </w:r>
          </w:p>
          <w:p w14:paraId="05DACD51">
            <w:pPr>
              <w:pStyle w:val="20"/>
              <w:bidi w:val="0"/>
              <w:jc w:val="both"/>
              <w:rPr>
                <w:rFonts w:hint="eastAsia"/>
                <w:color w:val="auto"/>
                <w:lang w:val="en-US" w:eastAsia="zh-CN"/>
              </w:rPr>
            </w:pPr>
            <w:r>
              <w:rPr>
                <w:rFonts w:hint="eastAsia"/>
                <w:color w:val="auto"/>
                <w:lang w:val="en-US" w:eastAsia="zh-CN"/>
              </w:rPr>
              <w:t>6）严密监视设备运行状况，遇有报警要按规定程序迅速、准确处理，做好各种记录，遇有重大情况要及时报告。</w:t>
            </w:r>
          </w:p>
        </w:tc>
        <w:tc>
          <w:tcPr>
            <w:tcW w:w="2047" w:type="pct"/>
            <w:tcBorders>
              <w:tl2br w:val="nil"/>
              <w:tr2bl w:val="nil"/>
            </w:tcBorders>
            <w:noWrap w:val="0"/>
            <w:vAlign w:val="center"/>
          </w:tcPr>
          <w:p w14:paraId="181B8E71">
            <w:pPr>
              <w:pStyle w:val="20"/>
              <w:bidi w:val="0"/>
              <w:rPr>
                <w:rFonts w:hint="default"/>
                <w:color w:val="auto"/>
                <w:lang w:val="en-US" w:eastAsia="zh-CN"/>
              </w:rPr>
            </w:pPr>
            <w:r>
              <w:rPr>
                <w:rFonts w:hint="eastAsia"/>
                <w:color w:val="auto"/>
                <w:lang w:val="en-US" w:eastAsia="zh-CN"/>
              </w:rPr>
              <w:t>已落实，见2.9.3章节。</w:t>
            </w:r>
          </w:p>
        </w:tc>
        <w:tc>
          <w:tcPr>
            <w:tcW w:w="589" w:type="pct"/>
            <w:tcBorders>
              <w:tl2br w:val="nil"/>
              <w:tr2bl w:val="nil"/>
            </w:tcBorders>
            <w:noWrap w:val="0"/>
            <w:vAlign w:val="center"/>
          </w:tcPr>
          <w:p w14:paraId="5430E9F8">
            <w:pPr>
              <w:pStyle w:val="20"/>
              <w:bidi w:val="0"/>
              <w:rPr>
                <w:rFonts w:hint="default"/>
                <w:color w:val="auto"/>
                <w:lang w:val="en-US" w:eastAsia="zh-CN"/>
              </w:rPr>
            </w:pPr>
            <w:r>
              <w:rPr>
                <w:rFonts w:hint="eastAsia"/>
                <w:color w:val="auto"/>
                <w:lang w:val="en-US" w:eastAsia="zh-CN"/>
              </w:rPr>
              <w:t>已落实</w:t>
            </w:r>
          </w:p>
        </w:tc>
      </w:tr>
      <w:tr w14:paraId="572A05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260" w:type="pct"/>
            <w:tcBorders>
              <w:tl2br w:val="nil"/>
              <w:tr2bl w:val="nil"/>
            </w:tcBorders>
            <w:noWrap w:val="0"/>
            <w:vAlign w:val="center"/>
          </w:tcPr>
          <w:p w14:paraId="7883E5C6">
            <w:pPr>
              <w:pStyle w:val="20"/>
              <w:bidi w:val="0"/>
              <w:rPr>
                <w:rFonts w:hint="default"/>
                <w:color w:val="auto"/>
                <w:lang w:val="en-US" w:eastAsia="zh-CN"/>
              </w:rPr>
            </w:pPr>
            <w:r>
              <w:rPr>
                <w:rFonts w:hint="eastAsia"/>
                <w:color w:val="auto"/>
                <w:lang w:val="en-US" w:eastAsia="zh-CN"/>
              </w:rPr>
              <w:t>11</w:t>
            </w:r>
          </w:p>
        </w:tc>
        <w:tc>
          <w:tcPr>
            <w:tcW w:w="2102" w:type="pct"/>
            <w:tcBorders>
              <w:tl2br w:val="nil"/>
              <w:tr2bl w:val="nil"/>
            </w:tcBorders>
            <w:noWrap w:val="0"/>
            <w:vAlign w:val="center"/>
          </w:tcPr>
          <w:p w14:paraId="4A859561">
            <w:pPr>
              <w:pStyle w:val="20"/>
              <w:bidi w:val="0"/>
              <w:jc w:val="both"/>
              <w:rPr>
                <w:rFonts w:hint="eastAsia"/>
                <w:color w:val="auto"/>
                <w:lang w:val="en-US" w:eastAsia="zh-CN"/>
              </w:rPr>
            </w:pPr>
            <w:r>
              <w:rPr>
                <w:rFonts w:hint="eastAsia"/>
                <w:color w:val="auto"/>
                <w:lang w:val="en-US" w:eastAsia="zh-CN"/>
              </w:rPr>
              <w:t>其他安全防范措施：</w:t>
            </w:r>
          </w:p>
          <w:p w14:paraId="53E1DF12">
            <w:pPr>
              <w:pStyle w:val="20"/>
              <w:bidi w:val="0"/>
              <w:jc w:val="both"/>
              <w:rPr>
                <w:rFonts w:hint="eastAsia"/>
                <w:color w:val="auto"/>
                <w:lang w:val="en-US" w:eastAsia="zh-CN"/>
              </w:rPr>
            </w:pPr>
            <w:r>
              <w:rPr>
                <w:rFonts w:hint="eastAsia"/>
                <w:color w:val="auto"/>
                <w:lang w:val="en-US" w:eastAsia="zh-CN"/>
              </w:rPr>
              <w:t>防尘措施</w:t>
            </w:r>
          </w:p>
          <w:p w14:paraId="36833D01">
            <w:pPr>
              <w:pStyle w:val="20"/>
              <w:bidi w:val="0"/>
              <w:jc w:val="both"/>
              <w:rPr>
                <w:rFonts w:hint="eastAsia"/>
                <w:color w:val="auto"/>
                <w:lang w:val="en-US" w:eastAsia="zh-CN"/>
              </w:rPr>
            </w:pPr>
            <w:r>
              <w:rPr>
                <w:rFonts w:hint="eastAsia"/>
                <w:color w:val="auto"/>
                <w:lang w:val="en-US" w:eastAsia="zh-CN"/>
              </w:rPr>
              <w:t xml:space="preserve">1、限制、抑制扬尘和粉尘扩散 </w:t>
            </w:r>
          </w:p>
          <w:p w14:paraId="502C0014">
            <w:pPr>
              <w:pStyle w:val="20"/>
              <w:bidi w:val="0"/>
              <w:jc w:val="both"/>
              <w:rPr>
                <w:rFonts w:hint="eastAsia"/>
                <w:color w:val="auto"/>
                <w:lang w:val="en-US" w:eastAsia="zh-CN"/>
              </w:rPr>
            </w:pPr>
            <w:r>
              <w:rPr>
                <w:rFonts w:hint="eastAsia"/>
                <w:color w:val="auto"/>
                <w:lang w:val="en-US" w:eastAsia="zh-CN"/>
              </w:rPr>
              <w:t xml:space="preserve">1）窑灰采用密闭管道输送、密闭自动（机械）称量、密闭设备加工，防止粉尘外逸。 </w:t>
            </w:r>
          </w:p>
          <w:p w14:paraId="29507BBA">
            <w:pPr>
              <w:pStyle w:val="20"/>
              <w:bidi w:val="0"/>
              <w:jc w:val="both"/>
              <w:rPr>
                <w:rFonts w:hint="eastAsia"/>
                <w:color w:val="auto"/>
                <w:lang w:val="en-US" w:eastAsia="zh-CN"/>
              </w:rPr>
            </w:pPr>
            <w:r>
              <w:rPr>
                <w:rFonts w:hint="eastAsia"/>
                <w:color w:val="auto"/>
                <w:lang w:val="en-US" w:eastAsia="zh-CN"/>
              </w:rPr>
              <w:t xml:space="preserve">2）通过降低物料落差、适当降低溜槽倾斜度、隔绝气流和减少诱导空气量等方法，抑制由于正压造成的扬尘。 </w:t>
            </w:r>
          </w:p>
          <w:p w14:paraId="436CA37A">
            <w:pPr>
              <w:pStyle w:val="20"/>
              <w:bidi w:val="0"/>
              <w:jc w:val="both"/>
              <w:rPr>
                <w:rFonts w:hint="eastAsia"/>
                <w:color w:val="auto"/>
                <w:lang w:val="en-US" w:eastAsia="zh-CN"/>
              </w:rPr>
            </w:pPr>
            <w:r>
              <w:rPr>
                <w:rFonts w:hint="eastAsia"/>
                <w:color w:val="auto"/>
                <w:lang w:val="en-US" w:eastAsia="zh-CN"/>
              </w:rPr>
              <w:t xml:space="preserve">3）使用负压清扫装置来清除逸散沉积在地面、墙壁、构件和设备上的粉尘，严禁用吹扫方式清扫积尘。 </w:t>
            </w:r>
          </w:p>
          <w:p w14:paraId="2B8315E4">
            <w:pPr>
              <w:pStyle w:val="20"/>
              <w:bidi w:val="0"/>
              <w:jc w:val="both"/>
              <w:rPr>
                <w:rFonts w:hint="eastAsia"/>
                <w:color w:val="auto"/>
                <w:lang w:val="en-US" w:eastAsia="zh-CN"/>
              </w:rPr>
            </w:pPr>
            <w:r>
              <w:rPr>
                <w:rFonts w:hint="eastAsia"/>
                <w:color w:val="auto"/>
                <w:lang w:val="en-US" w:eastAsia="zh-CN"/>
              </w:rPr>
              <w:t>2、在产生粉尘的环节，安装通风除尘设施。</w:t>
            </w:r>
          </w:p>
          <w:p w14:paraId="321A3ECF">
            <w:pPr>
              <w:pStyle w:val="20"/>
              <w:bidi w:val="0"/>
              <w:jc w:val="both"/>
              <w:rPr>
                <w:rFonts w:hint="eastAsia"/>
                <w:color w:val="auto"/>
                <w:lang w:val="en-US" w:eastAsia="zh-CN"/>
              </w:rPr>
            </w:pPr>
            <w:r>
              <w:rPr>
                <w:rFonts w:hint="eastAsia"/>
                <w:color w:val="auto"/>
                <w:lang w:val="en-US" w:eastAsia="zh-CN"/>
              </w:rPr>
              <w:t>3、对可能处在粉尘作业环境中的作业人员配备符合国家要求的防尘口罩，防尘口罩的阻尘率应达到1级标准要求（即对粒径不大于5μm的粉尘，阻尘率大于99%）。作业人员作业时须按要求佩戴好，并定期进行更换。</w:t>
            </w:r>
          </w:p>
          <w:p w14:paraId="3C08BFFC">
            <w:pPr>
              <w:pStyle w:val="20"/>
              <w:bidi w:val="0"/>
              <w:jc w:val="both"/>
              <w:rPr>
                <w:rFonts w:hint="eastAsia"/>
                <w:color w:val="auto"/>
                <w:lang w:val="en-US" w:eastAsia="zh-CN"/>
              </w:rPr>
            </w:pPr>
            <w:r>
              <w:rPr>
                <w:rFonts w:hint="eastAsia"/>
                <w:color w:val="auto"/>
                <w:lang w:val="en-US" w:eastAsia="zh-CN"/>
              </w:rPr>
              <w:t>防机械伤害、防坠落、防滑措施</w:t>
            </w:r>
          </w:p>
          <w:p w14:paraId="6F99A54B">
            <w:pPr>
              <w:pStyle w:val="20"/>
              <w:bidi w:val="0"/>
              <w:jc w:val="both"/>
              <w:rPr>
                <w:rFonts w:hint="eastAsia"/>
                <w:color w:val="auto"/>
                <w:lang w:val="en-US" w:eastAsia="zh-CN"/>
              </w:rPr>
            </w:pPr>
            <w:r>
              <w:rPr>
                <w:rFonts w:hint="eastAsia"/>
                <w:color w:val="auto"/>
                <w:lang w:val="en-US" w:eastAsia="zh-CN"/>
              </w:rPr>
              <w:t>1、机械设备留有足够的移动空间，移动路径标识应简单、清晰。</w:t>
            </w:r>
          </w:p>
          <w:p w14:paraId="682BE129">
            <w:pPr>
              <w:pStyle w:val="20"/>
              <w:bidi w:val="0"/>
              <w:jc w:val="both"/>
              <w:rPr>
                <w:rFonts w:hint="eastAsia"/>
                <w:color w:val="auto"/>
                <w:lang w:val="en-US" w:eastAsia="zh-CN"/>
              </w:rPr>
            </w:pPr>
            <w:r>
              <w:rPr>
                <w:rFonts w:hint="eastAsia"/>
                <w:color w:val="auto"/>
                <w:lang w:val="en-US" w:eastAsia="zh-CN"/>
              </w:rPr>
              <w:t>2、所有输送设备的回转部件，均须加装保护盖，包括：头轮、尾轮、重力拉紧装置、耦合器、减速器等。</w:t>
            </w:r>
          </w:p>
          <w:p w14:paraId="1B180DA7">
            <w:pPr>
              <w:pStyle w:val="20"/>
              <w:bidi w:val="0"/>
              <w:jc w:val="both"/>
              <w:rPr>
                <w:rFonts w:hint="eastAsia"/>
                <w:color w:val="auto"/>
                <w:lang w:val="en-US" w:eastAsia="zh-CN"/>
              </w:rPr>
            </w:pPr>
            <w:r>
              <w:rPr>
                <w:rFonts w:hint="eastAsia"/>
                <w:color w:val="auto"/>
                <w:lang w:val="en-US" w:eastAsia="zh-CN"/>
              </w:rPr>
              <w:t>3、所有的旋转设备装设零速开关，如排浆泵、搅拌器、真空皮带脱水机等。</w:t>
            </w:r>
          </w:p>
          <w:p w14:paraId="7A36D3DD">
            <w:pPr>
              <w:pStyle w:val="20"/>
              <w:bidi w:val="0"/>
              <w:jc w:val="both"/>
              <w:rPr>
                <w:rFonts w:hint="eastAsia"/>
                <w:color w:val="auto"/>
                <w:lang w:val="en-US" w:eastAsia="zh-CN"/>
              </w:rPr>
            </w:pPr>
            <w:r>
              <w:rPr>
                <w:rFonts w:hint="eastAsia"/>
                <w:color w:val="auto"/>
                <w:lang w:val="en-US" w:eastAsia="zh-CN"/>
              </w:rPr>
              <w:t>4、转动设备的传动部位应设置安全防护罩或安全防护栏杆，若传动零部件（含其载荷）所具有的动能或势能可能引起危险时，则必须设置限速、限位、防坠落或逆转装置。</w:t>
            </w:r>
          </w:p>
          <w:p w14:paraId="7620E306">
            <w:pPr>
              <w:pStyle w:val="20"/>
              <w:bidi w:val="0"/>
              <w:jc w:val="both"/>
              <w:rPr>
                <w:rFonts w:hint="eastAsia"/>
                <w:color w:val="auto"/>
                <w:lang w:val="en-US" w:eastAsia="zh-CN"/>
              </w:rPr>
            </w:pPr>
            <w:r>
              <w:rPr>
                <w:rFonts w:hint="eastAsia"/>
                <w:color w:val="auto"/>
                <w:lang w:val="en-US" w:eastAsia="zh-CN"/>
              </w:rPr>
              <w:t>5、在机械吊装作业时，应防止高空散落、碰撞而发生危险。</w:t>
            </w:r>
          </w:p>
          <w:p w14:paraId="6A4D512B">
            <w:pPr>
              <w:pStyle w:val="20"/>
              <w:bidi w:val="0"/>
              <w:jc w:val="both"/>
              <w:rPr>
                <w:rFonts w:hint="eastAsia"/>
                <w:color w:val="auto"/>
                <w:lang w:val="en-US" w:eastAsia="zh-CN"/>
              </w:rPr>
            </w:pPr>
            <w:r>
              <w:rPr>
                <w:rFonts w:hint="eastAsia"/>
                <w:color w:val="auto"/>
                <w:lang w:val="en-US" w:eastAsia="zh-CN"/>
              </w:rPr>
              <w:t>6、操作人员应严格执行操作规程，不得在设备运转时擦拭设备。</w:t>
            </w:r>
          </w:p>
          <w:p w14:paraId="322DC31A">
            <w:pPr>
              <w:pStyle w:val="20"/>
              <w:bidi w:val="0"/>
              <w:jc w:val="both"/>
              <w:rPr>
                <w:rFonts w:hint="eastAsia"/>
                <w:color w:val="auto"/>
                <w:lang w:val="en-US" w:eastAsia="zh-CN"/>
              </w:rPr>
            </w:pPr>
            <w:r>
              <w:rPr>
                <w:rFonts w:hint="eastAsia"/>
                <w:color w:val="auto"/>
                <w:lang w:val="en-US" w:eastAsia="zh-CN"/>
              </w:rPr>
              <w:t>7、有惯性冲撞的运动部件必须采取可靠的缓冲措施，防止因惯性而造成伤害事故。</w:t>
            </w:r>
          </w:p>
          <w:p w14:paraId="69D6E101">
            <w:pPr>
              <w:pStyle w:val="20"/>
              <w:bidi w:val="0"/>
              <w:jc w:val="both"/>
              <w:rPr>
                <w:rFonts w:hint="eastAsia"/>
                <w:color w:val="auto"/>
                <w:lang w:val="en-US" w:eastAsia="zh-CN"/>
              </w:rPr>
            </w:pPr>
            <w:r>
              <w:rPr>
                <w:rFonts w:hint="eastAsia"/>
                <w:color w:val="auto"/>
                <w:lang w:val="en-US" w:eastAsia="zh-CN"/>
              </w:rPr>
              <w:t>8、机械设备的各种开关接触良好、动作可靠、方便操作。在紧急情况下可迅速切断电源。</w:t>
            </w:r>
          </w:p>
          <w:p w14:paraId="26F18183">
            <w:pPr>
              <w:pStyle w:val="20"/>
              <w:bidi w:val="0"/>
              <w:jc w:val="both"/>
              <w:rPr>
                <w:rFonts w:hint="eastAsia"/>
                <w:color w:val="auto"/>
                <w:lang w:val="en-US" w:eastAsia="zh-CN"/>
              </w:rPr>
            </w:pPr>
            <w:r>
              <w:rPr>
                <w:rFonts w:hint="eastAsia"/>
                <w:color w:val="auto"/>
                <w:lang w:val="en-US" w:eastAsia="zh-CN"/>
              </w:rPr>
              <w:t>9、具有坠落危险的场所、高度超过坠落基准面2m的操作平台设供站立的平台和防坠落栏杆、安全盖板、防护板等。</w:t>
            </w:r>
          </w:p>
          <w:p w14:paraId="13CCE5A4">
            <w:pPr>
              <w:pStyle w:val="20"/>
              <w:bidi w:val="0"/>
              <w:jc w:val="both"/>
              <w:rPr>
                <w:rFonts w:hint="eastAsia"/>
                <w:color w:val="auto"/>
                <w:lang w:val="en-US" w:eastAsia="zh-CN"/>
              </w:rPr>
            </w:pPr>
            <w:r>
              <w:rPr>
                <w:rFonts w:hint="eastAsia"/>
                <w:color w:val="auto"/>
                <w:lang w:val="en-US" w:eastAsia="zh-CN"/>
              </w:rPr>
              <w:t>10、每层平台的直梯口均设计防操作人员坠落的措施，相邻两层的直梯错开设置。</w:t>
            </w:r>
          </w:p>
          <w:p w14:paraId="67009E1A">
            <w:pPr>
              <w:pStyle w:val="20"/>
              <w:bidi w:val="0"/>
              <w:jc w:val="both"/>
              <w:rPr>
                <w:rFonts w:hint="eastAsia"/>
                <w:color w:val="auto"/>
                <w:lang w:val="en-US" w:eastAsia="zh-CN"/>
              </w:rPr>
            </w:pPr>
            <w:r>
              <w:rPr>
                <w:rFonts w:hint="eastAsia"/>
                <w:color w:val="auto"/>
                <w:lang w:val="en-US" w:eastAsia="zh-CN"/>
              </w:rPr>
              <w:t>11、钢平台以及钢斜梯的踏脚板设计采用网纹钢板，有利于防滑；厂区内的排水设计符合要求</w:t>
            </w:r>
          </w:p>
          <w:p w14:paraId="1CE33264">
            <w:pPr>
              <w:pStyle w:val="20"/>
              <w:bidi w:val="0"/>
              <w:jc w:val="both"/>
              <w:rPr>
                <w:rFonts w:hint="eastAsia"/>
                <w:color w:val="auto"/>
                <w:lang w:val="en-US" w:eastAsia="zh-CN"/>
              </w:rPr>
            </w:pPr>
            <w:r>
              <w:rPr>
                <w:rFonts w:hint="eastAsia"/>
                <w:color w:val="auto"/>
                <w:lang w:val="en-US" w:eastAsia="zh-CN"/>
              </w:rPr>
              <w:t>防坍塌事故</w:t>
            </w:r>
          </w:p>
          <w:p w14:paraId="1B4412BC">
            <w:pPr>
              <w:pStyle w:val="20"/>
              <w:bidi w:val="0"/>
              <w:jc w:val="both"/>
              <w:rPr>
                <w:rFonts w:hint="eastAsia"/>
                <w:color w:val="auto"/>
                <w:lang w:val="en-US" w:eastAsia="zh-CN"/>
              </w:rPr>
            </w:pPr>
            <w:r>
              <w:rPr>
                <w:rFonts w:hint="eastAsia"/>
                <w:color w:val="auto"/>
                <w:lang w:val="en-US" w:eastAsia="zh-CN"/>
              </w:rPr>
              <w:t>1、本项目建构筑物均按本地6级抗震设防烈度设计和施工。</w:t>
            </w:r>
          </w:p>
          <w:p w14:paraId="7E1E5CD0">
            <w:pPr>
              <w:pStyle w:val="20"/>
              <w:bidi w:val="0"/>
              <w:jc w:val="both"/>
              <w:rPr>
                <w:rFonts w:hint="eastAsia"/>
                <w:color w:val="auto"/>
                <w:lang w:val="en-US" w:eastAsia="zh-CN"/>
              </w:rPr>
            </w:pPr>
            <w:r>
              <w:rPr>
                <w:rFonts w:hint="eastAsia"/>
                <w:color w:val="auto"/>
                <w:lang w:val="en-US" w:eastAsia="zh-CN"/>
              </w:rPr>
              <w:t>2、高架设施及平台的支柱，有足够的刚性强度，确保不失稳变形。</w:t>
            </w:r>
          </w:p>
          <w:p w14:paraId="281A8A60">
            <w:pPr>
              <w:pStyle w:val="20"/>
              <w:bidi w:val="0"/>
              <w:jc w:val="both"/>
              <w:rPr>
                <w:rFonts w:hint="eastAsia"/>
                <w:color w:val="auto"/>
                <w:lang w:val="en-US" w:eastAsia="zh-CN"/>
              </w:rPr>
            </w:pPr>
            <w:r>
              <w:rPr>
                <w:rFonts w:hint="eastAsia"/>
                <w:color w:val="auto"/>
                <w:lang w:val="en-US" w:eastAsia="zh-CN"/>
              </w:rPr>
              <w:t>3、工件等物体堆放不影响通行和作业，控制堆层和堆高，重心要稳固。行走或作业时不碰到堆高物件。</w:t>
            </w:r>
          </w:p>
          <w:p w14:paraId="15B171C8">
            <w:pPr>
              <w:pStyle w:val="20"/>
              <w:bidi w:val="0"/>
              <w:jc w:val="both"/>
              <w:rPr>
                <w:rFonts w:hint="eastAsia"/>
                <w:color w:val="auto"/>
                <w:lang w:val="en-US" w:eastAsia="zh-CN"/>
              </w:rPr>
            </w:pPr>
            <w:r>
              <w:rPr>
                <w:rFonts w:hint="eastAsia"/>
                <w:color w:val="auto"/>
                <w:lang w:val="en-US" w:eastAsia="zh-CN"/>
              </w:rPr>
              <w:t>防噪措施</w:t>
            </w:r>
          </w:p>
          <w:p w14:paraId="509FC4D6">
            <w:pPr>
              <w:pStyle w:val="20"/>
              <w:bidi w:val="0"/>
              <w:jc w:val="both"/>
              <w:rPr>
                <w:rFonts w:hint="eastAsia"/>
                <w:color w:val="auto"/>
                <w:lang w:val="en-US" w:eastAsia="zh-CN"/>
              </w:rPr>
            </w:pPr>
            <w:r>
              <w:rPr>
                <w:rFonts w:hint="eastAsia"/>
                <w:color w:val="auto"/>
                <w:lang w:val="en-US" w:eastAsia="zh-CN"/>
              </w:rPr>
              <w:t>1、声源上控制，设备选型定货时，首先选用高效、低噪、符合国家噪声标准的设备。</w:t>
            </w:r>
          </w:p>
          <w:p w14:paraId="21BC61F2">
            <w:pPr>
              <w:pStyle w:val="20"/>
              <w:bidi w:val="0"/>
              <w:jc w:val="both"/>
              <w:rPr>
                <w:rFonts w:hint="eastAsia"/>
                <w:color w:val="auto"/>
                <w:lang w:val="en-US" w:eastAsia="zh-CN"/>
              </w:rPr>
            </w:pPr>
            <w:r>
              <w:rPr>
                <w:rFonts w:hint="eastAsia"/>
                <w:color w:val="auto"/>
                <w:lang w:val="en-US" w:eastAsia="zh-CN"/>
              </w:rPr>
              <w:t>2、风机、水泵采取基础减震，出气口采用软连接装置。</w:t>
            </w:r>
          </w:p>
          <w:p w14:paraId="4765917C">
            <w:pPr>
              <w:pStyle w:val="20"/>
              <w:bidi w:val="0"/>
              <w:jc w:val="both"/>
              <w:rPr>
                <w:rFonts w:hint="eastAsia"/>
                <w:color w:val="auto"/>
                <w:lang w:val="en-US" w:eastAsia="zh-CN"/>
              </w:rPr>
            </w:pPr>
            <w:r>
              <w:rPr>
                <w:rFonts w:hint="eastAsia"/>
                <w:color w:val="auto"/>
                <w:lang w:val="en-US" w:eastAsia="zh-CN"/>
              </w:rPr>
              <w:t>3、从设备布置角度，将高噪音设备集中布置，降低噪音对其他生产工段的影响。</w:t>
            </w:r>
          </w:p>
          <w:p w14:paraId="4676EAE5">
            <w:pPr>
              <w:pStyle w:val="20"/>
              <w:bidi w:val="0"/>
              <w:jc w:val="both"/>
              <w:rPr>
                <w:rFonts w:hint="eastAsia"/>
                <w:color w:val="auto"/>
                <w:lang w:val="en-US" w:eastAsia="zh-CN"/>
              </w:rPr>
            </w:pPr>
            <w:r>
              <w:rPr>
                <w:rFonts w:hint="eastAsia"/>
                <w:color w:val="auto"/>
                <w:lang w:val="en-US" w:eastAsia="zh-CN"/>
              </w:rPr>
              <w:t>4、对部分噪声高工段的劳动作业人员配发防噪耳塞。</w:t>
            </w:r>
          </w:p>
          <w:p w14:paraId="475B62C5">
            <w:pPr>
              <w:pStyle w:val="20"/>
              <w:bidi w:val="0"/>
              <w:jc w:val="both"/>
              <w:rPr>
                <w:rFonts w:hint="eastAsia"/>
                <w:color w:val="auto"/>
                <w:lang w:val="en-US" w:eastAsia="zh-CN"/>
              </w:rPr>
            </w:pPr>
            <w:r>
              <w:rPr>
                <w:rFonts w:hint="eastAsia"/>
                <w:color w:val="auto"/>
                <w:lang w:val="en-US" w:eastAsia="zh-CN"/>
              </w:rPr>
              <w:t>防高温措施</w:t>
            </w:r>
          </w:p>
          <w:p w14:paraId="4A894844">
            <w:pPr>
              <w:pStyle w:val="20"/>
              <w:bidi w:val="0"/>
              <w:jc w:val="both"/>
              <w:rPr>
                <w:rFonts w:hint="eastAsia"/>
                <w:color w:val="auto"/>
                <w:lang w:val="en-US" w:eastAsia="zh-CN"/>
              </w:rPr>
            </w:pPr>
            <w:r>
              <w:rPr>
                <w:rFonts w:hint="eastAsia"/>
                <w:color w:val="auto"/>
                <w:lang w:val="en-US" w:eastAsia="zh-CN"/>
              </w:rPr>
              <w:t>本项目生产在高温下进行，生产场所对流热和辐射热同时存在，特别是高温季节，为了切实搞好防暑降温工作，减少高温对人体健康产生的危害。应采取以下措施：</w:t>
            </w:r>
          </w:p>
          <w:p w14:paraId="1A1D0DC2">
            <w:pPr>
              <w:pStyle w:val="20"/>
              <w:bidi w:val="0"/>
              <w:jc w:val="both"/>
              <w:rPr>
                <w:rFonts w:hint="eastAsia"/>
                <w:color w:val="auto"/>
                <w:lang w:val="en-US" w:eastAsia="zh-CN"/>
              </w:rPr>
            </w:pPr>
            <w:r>
              <w:rPr>
                <w:rFonts w:hint="eastAsia"/>
                <w:color w:val="auto"/>
                <w:lang w:val="en-US" w:eastAsia="zh-CN"/>
              </w:rPr>
              <w:t>1、合理安排员工的作业时间，搞好职工的防暑降温工作</w:t>
            </w:r>
          </w:p>
          <w:p w14:paraId="00146D35">
            <w:pPr>
              <w:pStyle w:val="20"/>
              <w:bidi w:val="0"/>
              <w:jc w:val="both"/>
              <w:rPr>
                <w:rFonts w:hint="eastAsia"/>
                <w:color w:val="auto"/>
                <w:lang w:val="en-US" w:eastAsia="zh-CN"/>
              </w:rPr>
            </w:pPr>
            <w:r>
              <w:rPr>
                <w:rFonts w:hint="eastAsia"/>
                <w:color w:val="auto"/>
                <w:lang w:val="en-US" w:eastAsia="zh-CN"/>
              </w:rPr>
              <w:t>2、生产车间操作点设置可移动的排风扇，加强局部空气对流，达到防暑降温的目的。</w:t>
            </w:r>
          </w:p>
          <w:p w14:paraId="654B94B0">
            <w:pPr>
              <w:pStyle w:val="20"/>
              <w:bidi w:val="0"/>
              <w:jc w:val="both"/>
              <w:rPr>
                <w:rFonts w:hint="eastAsia"/>
                <w:color w:val="auto"/>
                <w:lang w:val="en-US" w:eastAsia="zh-CN"/>
              </w:rPr>
            </w:pPr>
            <w:r>
              <w:rPr>
                <w:rFonts w:hint="eastAsia"/>
                <w:color w:val="auto"/>
                <w:lang w:val="en-US" w:eastAsia="zh-CN"/>
              </w:rPr>
              <w:t>3、厂区休息室、车间控制室和维修工房内设置风扇或空调。</w:t>
            </w:r>
          </w:p>
          <w:p w14:paraId="611BF756">
            <w:pPr>
              <w:pStyle w:val="20"/>
              <w:bidi w:val="0"/>
              <w:jc w:val="both"/>
              <w:rPr>
                <w:rFonts w:hint="eastAsia"/>
                <w:color w:val="auto"/>
                <w:lang w:val="en-US" w:eastAsia="zh-CN"/>
              </w:rPr>
            </w:pPr>
            <w:r>
              <w:rPr>
                <w:rFonts w:hint="eastAsia"/>
                <w:color w:val="auto"/>
                <w:lang w:val="en-US" w:eastAsia="zh-CN"/>
              </w:rPr>
              <w:t>4、合理安排职工接触热时间，加强个人防护。</w:t>
            </w:r>
          </w:p>
          <w:p w14:paraId="78CB2DFE">
            <w:pPr>
              <w:pStyle w:val="20"/>
              <w:bidi w:val="0"/>
              <w:jc w:val="both"/>
              <w:rPr>
                <w:rFonts w:hint="eastAsia"/>
                <w:color w:val="auto"/>
                <w:lang w:val="en-US" w:eastAsia="zh-CN"/>
              </w:rPr>
            </w:pPr>
            <w:r>
              <w:rPr>
                <w:rFonts w:hint="eastAsia"/>
                <w:color w:val="auto"/>
                <w:lang w:val="en-US" w:eastAsia="zh-CN"/>
              </w:rPr>
              <w:t>5、夏季在厂区休息室内配发清凉饮料。</w:t>
            </w:r>
          </w:p>
          <w:p w14:paraId="751DAB53">
            <w:pPr>
              <w:pStyle w:val="20"/>
              <w:bidi w:val="0"/>
              <w:jc w:val="both"/>
              <w:rPr>
                <w:rFonts w:hint="eastAsia"/>
                <w:color w:val="auto"/>
                <w:lang w:val="en-US" w:eastAsia="zh-CN"/>
              </w:rPr>
            </w:pPr>
            <w:r>
              <w:rPr>
                <w:rFonts w:hint="eastAsia"/>
                <w:color w:val="auto"/>
                <w:lang w:val="en-US" w:eastAsia="zh-CN"/>
              </w:rPr>
              <w:t>防物体打击</w:t>
            </w:r>
          </w:p>
          <w:p w14:paraId="31A5A175">
            <w:pPr>
              <w:pStyle w:val="20"/>
              <w:bidi w:val="0"/>
              <w:jc w:val="both"/>
              <w:rPr>
                <w:rFonts w:hint="eastAsia"/>
                <w:color w:val="auto"/>
                <w:lang w:val="en-US" w:eastAsia="zh-CN"/>
              </w:rPr>
            </w:pPr>
            <w:r>
              <w:rPr>
                <w:rFonts w:hint="eastAsia"/>
                <w:color w:val="auto"/>
                <w:lang w:val="en-US" w:eastAsia="zh-CN"/>
              </w:rPr>
              <w:t>1、禁止抛掷传递工具、物件。</w:t>
            </w:r>
          </w:p>
          <w:p w14:paraId="060DB32D">
            <w:pPr>
              <w:pStyle w:val="20"/>
              <w:bidi w:val="0"/>
              <w:jc w:val="both"/>
              <w:rPr>
                <w:rFonts w:hint="eastAsia"/>
                <w:color w:val="auto"/>
                <w:lang w:val="en-US" w:eastAsia="zh-CN"/>
              </w:rPr>
            </w:pPr>
            <w:r>
              <w:rPr>
                <w:rFonts w:hint="eastAsia"/>
                <w:color w:val="auto"/>
                <w:lang w:val="en-US" w:eastAsia="zh-CN"/>
              </w:rPr>
              <w:t>2、有人走动的高处不存放易滑落的重物。高平台边沿有防物体坠落的踢脚板。</w:t>
            </w:r>
          </w:p>
          <w:p w14:paraId="0495B03F">
            <w:pPr>
              <w:pStyle w:val="20"/>
              <w:bidi w:val="0"/>
              <w:jc w:val="both"/>
              <w:rPr>
                <w:rFonts w:hint="eastAsia"/>
                <w:color w:val="auto"/>
                <w:lang w:val="en-US" w:eastAsia="zh-CN"/>
              </w:rPr>
            </w:pPr>
            <w:r>
              <w:rPr>
                <w:rFonts w:hint="eastAsia"/>
                <w:color w:val="auto"/>
                <w:lang w:val="en-US" w:eastAsia="zh-CN"/>
              </w:rPr>
              <w:t>3、易倾倒的物体有支架。</w:t>
            </w:r>
          </w:p>
          <w:p w14:paraId="0ECCE9E4">
            <w:pPr>
              <w:pStyle w:val="20"/>
              <w:bidi w:val="0"/>
              <w:jc w:val="both"/>
              <w:rPr>
                <w:rFonts w:hint="eastAsia"/>
                <w:color w:val="auto"/>
                <w:lang w:val="en-US" w:eastAsia="zh-CN"/>
              </w:rPr>
            </w:pPr>
            <w:r>
              <w:rPr>
                <w:rFonts w:hint="eastAsia"/>
                <w:color w:val="auto"/>
                <w:lang w:val="en-US" w:eastAsia="zh-CN"/>
              </w:rPr>
              <w:t>4、不搬运超过自身承受能力的的重物；抓拿不便的重物要用工具搬运；多人搬抬重物要有一人统一指挥协调。</w:t>
            </w:r>
          </w:p>
          <w:p w14:paraId="60CD8ADA">
            <w:pPr>
              <w:pStyle w:val="20"/>
              <w:bidi w:val="0"/>
              <w:jc w:val="both"/>
              <w:rPr>
                <w:rFonts w:hint="eastAsia"/>
                <w:color w:val="auto"/>
                <w:lang w:val="en-US" w:eastAsia="zh-CN"/>
              </w:rPr>
            </w:pPr>
            <w:r>
              <w:rPr>
                <w:rFonts w:hint="eastAsia"/>
                <w:color w:val="auto"/>
                <w:lang w:val="en-US" w:eastAsia="zh-CN"/>
              </w:rPr>
              <w:t>5、加强对职工的安全教育，做到“三不伤害”：不伤害自己、不伤害他人、不被他人伤害。</w:t>
            </w:r>
          </w:p>
          <w:p w14:paraId="4E13DAFE">
            <w:pPr>
              <w:pStyle w:val="20"/>
              <w:bidi w:val="0"/>
              <w:jc w:val="both"/>
              <w:rPr>
                <w:rFonts w:hint="eastAsia"/>
                <w:color w:val="auto"/>
                <w:lang w:val="en-US" w:eastAsia="zh-CN"/>
              </w:rPr>
            </w:pPr>
            <w:r>
              <w:rPr>
                <w:rFonts w:hint="eastAsia"/>
                <w:color w:val="auto"/>
                <w:lang w:val="en-US" w:eastAsia="zh-CN"/>
              </w:rPr>
              <w:t>防车辆伤害</w:t>
            </w:r>
          </w:p>
          <w:p w14:paraId="2D62CE97">
            <w:pPr>
              <w:pStyle w:val="20"/>
              <w:bidi w:val="0"/>
              <w:jc w:val="both"/>
              <w:rPr>
                <w:rFonts w:hint="eastAsia"/>
                <w:color w:val="auto"/>
                <w:lang w:val="en-US" w:eastAsia="zh-CN"/>
              </w:rPr>
            </w:pPr>
            <w:r>
              <w:rPr>
                <w:rFonts w:hint="eastAsia"/>
                <w:color w:val="auto"/>
                <w:lang w:val="en-US" w:eastAsia="zh-CN"/>
              </w:rPr>
              <w:t>厂区内有机动车出入的路段设有限速、方向等交通标志。路口拐弯处不得设有影响司机视线的树木或其他物件，厂区内的叉车和汽车等定期进行检验，检验合格后方可使用。机动车辆司机经培训考试合格取得厂内机动车辆操作证书方可驾驶厂内车辆。厂内的道路保持畅通，不堆有影响车辆进出的妨碍品。</w:t>
            </w:r>
          </w:p>
          <w:p w14:paraId="675019D7">
            <w:pPr>
              <w:pStyle w:val="20"/>
              <w:bidi w:val="0"/>
              <w:jc w:val="both"/>
              <w:rPr>
                <w:rFonts w:hint="eastAsia"/>
                <w:color w:val="auto"/>
                <w:lang w:val="en-US" w:eastAsia="zh-CN"/>
              </w:rPr>
            </w:pPr>
            <w:r>
              <w:rPr>
                <w:rFonts w:hint="eastAsia"/>
                <w:color w:val="auto"/>
                <w:lang w:val="en-US" w:eastAsia="zh-CN"/>
              </w:rPr>
              <w:t>安全警示标志</w:t>
            </w:r>
          </w:p>
          <w:p w14:paraId="6FEB3D0D">
            <w:pPr>
              <w:pStyle w:val="20"/>
              <w:bidi w:val="0"/>
              <w:jc w:val="both"/>
              <w:rPr>
                <w:rFonts w:hint="eastAsia"/>
                <w:color w:val="auto"/>
                <w:lang w:val="en-US" w:eastAsia="zh-CN"/>
              </w:rPr>
            </w:pPr>
            <w:r>
              <w:rPr>
                <w:rFonts w:hint="eastAsia"/>
                <w:color w:val="auto"/>
                <w:lang w:val="en-US" w:eastAsia="zh-CN"/>
              </w:rPr>
              <w:t>1、厂内交通道路设置路牌、安全警告标志牌等设施，并定期维修保养，保持清晰。</w:t>
            </w:r>
          </w:p>
          <w:p w14:paraId="15E21E03">
            <w:pPr>
              <w:pStyle w:val="20"/>
              <w:bidi w:val="0"/>
              <w:jc w:val="both"/>
              <w:rPr>
                <w:rFonts w:hint="eastAsia"/>
                <w:color w:val="auto"/>
                <w:lang w:val="en-US" w:eastAsia="zh-CN"/>
              </w:rPr>
            </w:pPr>
            <w:r>
              <w:rPr>
                <w:rFonts w:hint="eastAsia"/>
                <w:color w:val="auto"/>
                <w:lang w:val="en-US" w:eastAsia="zh-CN"/>
              </w:rPr>
              <w:t>2、生产场所作业地点的紧急通道和紧急出口均设置明显的标志和指示箭头。</w:t>
            </w:r>
          </w:p>
          <w:p w14:paraId="5C28F30A">
            <w:pPr>
              <w:pStyle w:val="20"/>
              <w:bidi w:val="0"/>
              <w:jc w:val="both"/>
              <w:rPr>
                <w:rFonts w:hint="eastAsia"/>
                <w:color w:val="auto"/>
                <w:lang w:val="en-US" w:eastAsia="zh-CN"/>
              </w:rPr>
            </w:pPr>
            <w:r>
              <w:rPr>
                <w:rFonts w:hint="eastAsia"/>
                <w:color w:val="auto"/>
                <w:lang w:val="en-US" w:eastAsia="zh-CN"/>
              </w:rPr>
              <w:t>3、在危险作业地点应在项目处设置安全警示标志。</w:t>
            </w:r>
          </w:p>
          <w:p w14:paraId="15F13B24">
            <w:pPr>
              <w:pStyle w:val="20"/>
              <w:bidi w:val="0"/>
              <w:jc w:val="both"/>
              <w:rPr>
                <w:rFonts w:hint="eastAsia"/>
                <w:color w:val="auto"/>
                <w:lang w:val="en-US" w:eastAsia="zh-CN"/>
              </w:rPr>
            </w:pPr>
            <w:r>
              <w:rPr>
                <w:rFonts w:hint="eastAsia"/>
                <w:color w:val="auto"/>
                <w:lang w:val="en-US" w:eastAsia="zh-CN"/>
              </w:rPr>
              <w:t>4、在阀门比较集中，易因误操作而引发事故时，应在阀门附近标明输送物质名称、符号或设明显标志。</w:t>
            </w:r>
          </w:p>
          <w:p w14:paraId="05EF0403">
            <w:pPr>
              <w:pStyle w:val="20"/>
              <w:bidi w:val="0"/>
              <w:jc w:val="both"/>
              <w:rPr>
                <w:rFonts w:hint="eastAsia"/>
                <w:color w:val="auto"/>
                <w:lang w:val="en-US" w:eastAsia="zh-CN"/>
              </w:rPr>
            </w:pPr>
            <w:r>
              <w:rPr>
                <w:rFonts w:hint="eastAsia"/>
                <w:color w:val="auto"/>
                <w:lang w:val="en-US" w:eastAsia="zh-CN"/>
              </w:rPr>
              <w:t>5、各类管道按《工业管道的基本识别色、识别符号和安全标识》、《安全色》要求涂刷相应的色标和明显的流向标志。</w:t>
            </w:r>
          </w:p>
          <w:p w14:paraId="5F342215">
            <w:pPr>
              <w:pStyle w:val="20"/>
              <w:bidi w:val="0"/>
              <w:jc w:val="both"/>
              <w:rPr>
                <w:rFonts w:hint="eastAsia"/>
                <w:color w:val="auto"/>
                <w:lang w:val="en-US" w:eastAsia="zh-CN"/>
              </w:rPr>
            </w:pPr>
            <w:r>
              <w:rPr>
                <w:rFonts w:hint="eastAsia"/>
                <w:color w:val="auto"/>
                <w:lang w:val="en-US" w:eastAsia="zh-CN"/>
              </w:rPr>
              <w:t>6、母线护网、高压设备围栏、变配电设备遮拦等屏护设施上根据各自屏护对象特征设置相应警示标志。</w:t>
            </w:r>
          </w:p>
          <w:p w14:paraId="4390C243">
            <w:pPr>
              <w:pStyle w:val="20"/>
              <w:bidi w:val="0"/>
              <w:jc w:val="both"/>
              <w:rPr>
                <w:rFonts w:hint="eastAsia"/>
                <w:color w:val="auto"/>
                <w:lang w:val="en-US" w:eastAsia="zh-CN"/>
              </w:rPr>
            </w:pPr>
            <w:r>
              <w:rPr>
                <w:rFonts w:hint="eastAsia"/>
                <w:color w:val="auto"/>
                <w:lang w:val="en-US" w:eastAsia="zh-CN"/>
              </w:rPr>
              <w:t>7、高处作业时设置安全信号和标志。</w:t>
            </w:r>
          </w:p>
          <w:p w14:paraId="7627C303">
            <w:pPr>
              <w:pStyle w:val="20"/>
              <w:bidi w:val="0"/>
              <w:jc w:val="both"/>
              <w:rPr>
                <w:rFonts w:hint="eastAsia"/>
                <w:color w:val="auto"/>
                <w:lang w:val="en-US" w:eastAsia="zh-CN"/>
              </w:rPr>
            </w:pPr>
            <w:r>
              <w:rPr>
                <w:rFonts w:hint="eastAsia"/>
                <w:color w:val="auto"/>
                <w:lang w:val="en-US" w:eastAsia="zh-CN"/>
              </w:rPr>
              <w:t>8、重大危险场所，有毒、缺氧、窒息、存在高空坠落等危险作业地点应在醒目的地方设置安全警示标志。</w:t>
            </w:r>
          </w:p>
          <w:p w14:paraId="2E33219C">
            <w:pPr>
              <w:pStyle w:val="20"/>
              <w:bidi w:val="0"/>
              <w:jc w:val="both"/>
              <w:rPr>
                <w:rFonts w:hint="eastAsia"/>
                <w:color w:val="auto"/>
                <w:lang w:val="en-US" w:eastAsia="zh-CN"/>
              </w:rPr>
            </w:pPr>
            <w:r>
              <w:rPr>
                <w:rFonts w:hint="eastAsia"/>
                <w:color w:val="auto"/>
                <w:lang w:val="en-US" w:eastAsia="zh-CN"/>
              </w:rPr>
              <w:t>9、建筑内均设置有消防应急指示和应急疏散指示标志。</w:t>
            </w:r>
          </w:p>
          <w:p w14:paraId="7796307F">
            <w:pPr>
              <w:pStyle w:val="20"/>
              <w:bidi w:val="0"/>
              <w:jc w:val="both"/>
              <w:rPr>
                <w:rFonts w:hint="eastAsia"/>
                <w:color w:val="auto"/>
                <w:lang w:val="en-US" w:eastAsia="zh-CN"/>
              </w:rPr>
            </w:pPr>
            <w:r>
              <w:rPr>
                <w:rFonts w:hint="eastAsia"/>
                <w:color w:val="auto"/>
                <w:lang w:val="en-US" w:eastAsia="zh-CN"/>
              </w:rPr>
              <w:t>10、设备检修时，断电并设置“有人工作、禁止起动”警告标志。</w:t>
            </w:r>
          </w:p>
          <w:p w14:paraId="1AA31C7D">
            <w:pPr>
              <w:pStyle w:val="20"/>
              <w:bidi w:val="0"/>
              <w:jc w:val="both"/>
              <w:rPr>
                <w:rFonts w:hint="eastAsia"/>
                <w:color w:val="auto"/>
                <w:lang w:val="en-US" w:eastAsia="zh-CN"/>
              </w:rPr>
            </w:pPr>
            <w:r>
              <w:rPr>
                <w:rFonts w:hint="eastAsia"/>
                <w:color w:val="auto"/>
                <w:lang w:val="en-US" w:eastAsia="zh-CN"/>
              </w:rPr>
              <w:t>11、人员进入停止运转的设备内部或上部，事前应用操作牌换电源牌，切断电源，锁上电源开关，挂上“有人作业，严禁合闸”的标志牌，并设专人监护。</w:t>
            </w:r>
          </w:p>
          <w:p w14:paraId="6837E4F6">
            <w:pPr>
              <w:pStyle w:val="20"/>
              <w:bidi w:val="0"/>
              <w:jc w:val="both"/>
              <w:rPr>
                <w:rFonts w:hint="eastAsia"/>
                <w:color w:val="auto"/>
                <w:lang w:val="en-US" w:eastAsia="zh-CN"/>
              </w:rPr>
            </w:pPr>
            <w:r>
              <w:rPr>
                <w:rFonts w:hint="eastAsia"/>
                <w:color w:val="auto"/>
                <w:lang w:val="en-US" w:eastAsia="zh-CN"/>
              </w:rPr>
              <w:t>12、消火栓、灭火器、灭火桶、火灾报警器等消防用具以及严禁人员进入的车间内安全通道、太平门等采用绿色，工具箱、更衣柜等为绿色。</w:t>
            </w:r>
          </w:p>
          <w:p w14:paraId="2B68D3D2">
            <w:pPr>
              <w:pStyle w:val="20"/>
              <w:bidi w:val="0"/>
              <w:jc w:val="both"/>
              <w:rPr>
                <w:rFonts w:hint="eastAsia"/>
                <w:color w:val="auto"/>
                <w:lang w:val="en-US" w:eastAsia="zh-CN"/>
              </w:rPr>
            </w:pPr>
            <w:r>
              <w:rPr>
                <w:rFonts w:hint="eastAsia"/>
                <w:color w:val="auto"/>
                <w:lang w:val="en-US" w:eastAsia="zh-CN"/>
              </w:rPr>
              <w:t>13、厂区设置消防安全标志，符合《消防安全标志设置要求》（GB15630-1995）的规定。</w:t>
            </w:r>
          </w:p>
          <w:p w14:paraId="4229320A">
            <w:pPr>
              <w:pStyle w:val="20"/>
              <w:bidi w:val="0"/>
              <w:jc w:val="both"/>
              <w:rPr>
                <w:rFonts w:hint="eastAsia"/>
                <w:color w:val="auto"/>
                <w:lang w:val="en-US" w:eastAsia="zh-CN"/>
              </w:rPr>
            </w:pPr>
            <w:r>
              <w:rPr>
                <w:rFonts w:hint="eastAsia"/>
                <w:color w:val="auto"/>
                <w:lang w:val="en-US" w:eastAsia="zh-CN"/>
              </w:rPr>
              <w:t>14、厂区设置“禁止烟火”等警告标志，存在落物可能的区域内设置“小心落物”警告标志，行车设置“小心落物”和“起重物下不准站人”等警告标志，存在高处坠落危险的区域设置“小心坠落”警告标志，楼梯处设置“小心滑跌”警告标志，存在触电可能的位置设置“小心有电”警告标志。需要使用防护用品的区域设置“必须使用防护用品”的警告标志。电气室要配备“有人工作、禁止合闸”警告标志，检修场所要配备“有人工作、禁止起动”警告标志。生产场所，作业点的紧急通道和出入口，设置明显醒目的标志。</w:t>
            </w:r>
          </w:p>
          <w:p w14:paraId="7C90024B">
            <w:pPr>
              <w:pStyle w:val="20"/>
              <w:bidi w:val="0"/>
              <w:jc w:val="both"/>
              <w:rPr>
                <w:rFonts w:hint="eastAsia"/>
                <w:color w:val="auto"/>
                <w:lang w:val="en-US" w:eastAsia="zh-CN"/>
              </w:rPr>
            </w:pPr>
            <w:r>
              <w:rPr>
                <w:rFonts w:hint="eastAsia"/>
                <w:color w:val="auto"/>
                <w:lang w:val="en-US" w:eastAsia="zh-CN"/>
              </w:rPr>
              <w:t>劳动防护用品配备</w:t>
            </w:r>
          </w:p>
          <w:p w14:paraId="0FB4CEF2">
            <w:pPr>
              <w:pStyle w:val="20"/>
              <w:bidi w:val="0"/>
              <w:jc w:val="both"/>
              <w:rPr>
                <w:rFonts w:hint="eastAsia"/>
                <w:color w:val="auto"/>
                <w:lang w:val="en-US" w:eastAsia="zh-CN"/>
              </w:rPr>
            </w:pPr>
            <w:r>
              <w:rPr>
                <w:rFonts w:hint="eastAsia"/>
                <w:color w:val="auto"/>
                <w:lang w:val="en-US" w:eastAsia="zh-CN"/>
              </w:rPr>
              <w:t>劳动防护用品，是指由生产经营单位为从业人员配备的，使其在劳动过程中免遭或者减轻事故伤害及职业危害的个人防护装备。</w:t>
            </w:r>
          </w:p>
          <w:p w14:paraId="13F122E4">
            <w:pPr>
              <w:pStyle w:val="20"/>
              <w:bidi w:val="0"/>
              <w:jc w:val="both"/>
              <w:rPr>
                <w:rFonts w:hint="eastAsia"/>
                <w:color w:val="auto"/>
                <w:lang w:val="en-US" w:eastAsia="zh-CN"/>
              </w:rPr>
            </w:pPr>
            <w:r>
              <w:rPr>
                <w:rFonts w:hint="eastAsia"/>
                <w:color w:val="auto"/>
                <w:lang w:val="en-US" w:eastAsia="zh-CN"/>
              </w:rPr>
              <w:t>劳动防护用品和装备按照规范文件进行配备。</w:t>
            </w:r>
          </w:p>
        </w:tc>
        <w:tc>
          <w:tcPr>
            <w:tcW w:w="2047" w:type="pct"/>
            <w:tcBorders>
              <w:tl2br w:val="nil"/>
              <w:tr2bl w:val="nil"/>
            </w:tcBorders>
            <w:noWrap w:val="0"/>
            <w:vAlign w:val="center"/>
          </w:tcPr>
          <w:p w14:paraId="2457807D">
            <w:pPr>
              <w:pStyle w:val="20"/>
              <w:bidi w:val="0"/>
              <w:rPr>
                <w:rFonts w:hint="eastAsia"/>
                <w:color w:val="auto"/>
                <w:lang w:val="en-US" w:eastAsia="zh-CN"/>
              </w:rPr>
            </w:pPr>
            <w:r>
              <w:rPr>
                <w:rFonts w:hint="eastAsia"/>
                <w:color w:val="auto"/>
                <w:lang w:val="en-US" w:eastAsia="zh-CN"/>
              </w:rPr>
              <w:t>防尘措施</w:t>
            </w:r>
          </w:p>
          <w:p w14:paraId="391CD46A">
            <w:pPr>
              <w:pStyle w:val="20"/>
              <w:bidi w:val="0"/>
              <w:rPr>
                <w:rFonts w:hint="eastAsia"/>
                <w:color w:val="auto"/>
                <w:lang w:val="en-US" w:eastAsia="zh-CN"/>
              </w:rPr>
            </w:pPr>
            <w:r>
              <w:rPr>
                <w:rFonts w:hint="eastAsia"/>
                <w:color w:val="auto"/>
                <w:lang w:val="en-US" w:eastAsia="zh-CN"/>
              </w:rPr>
              <w:t xml:space="preserve">1、限制、抑制扬尘和粉尘扩散 </w:t>
            </w:r>
          </w:p>
          <w:p w14:paraId="1735C4C0">
            <w:pPr>
              <w:pStyle w:val="20"/>
              <w:bidi w:val="0"/>
              <w:rPr>
                <w:rFonts w:hint="eastAsia"/>
                <w:color w:val="auto"/>
                <w:lang w:val="en-US" w:eastAsia="zh-CN"/>
              </w:rPr>
            </w:pPr>
            <w:r>
              <w:rPr>
                <w:rFonts w:hint="eastAsia"/>
                <w:color w:val="auto"/>
                <w:lang w:val="en-US" w:eastAsia="zh-CN"/>
              </w:rPr>
              <w:t xml:space="preserve">1）窑灰采用密闭管道输送、密闭自动（机械）称量、密闭设备加工，防止粉尘外逸。 </w:t>
            </w:r>
          </w:p>
          <w:p w14:paraId="64A5E2A7">
            <w:pPr>
              <w:pStyle w:val="20"/>
              <w:bidi w:val="0"/>
              <w:rPr>
                <w:rFonts w:hint="eastAsia"/>
                <w:color w:val="auto"/>
                <w:lang w:val="en-US" w:eastAsia="zh-CN"/>
              </w:rPr>
            </w:pPr>
            <w:r>
              <w:rPr>
                <w:rFonts w:hint="eastAsia"/>
                <w:color w:val="auto"/>
                <w:lang w:val="en-US" w:eastAsia="zh-CN"/>
              </w:rPr>
              <w:t xml:space="preserve">2）通过降低物料落差、适当降低溜槽倾斜度、隔绝气流和减少诱导空气量等方法，抑制由于正压造成的扬尘。 </w:t>
            </w:r>
          </w:p>
          <w:p w14:paraId="6708A2A8">
            <w:pPr>
              <w:pStyle w:val="20"/>
              <w:bidi w:val="0"/>
              <w:rPr>
                <w:rFonts w:hint="eastAsia"/>
                <w:color w:val="auto"/>
                <w:lang w:val="en-US" w:eastAsia="zh-CN"/>
              </w:rPr>
            </w:pPr>
            <w:r>
              <w:rPr>
                <w:rFonts w:hint="eastAsia"/>
                <w:color w:val="auto"/>
                <w:lang w:val="en-US" w:eastAsia="zh-CN"/>
              </w:rPr>
              <w:t xml:space="preserve">3）使用负压清扫装置来清除逸散沉积在地面、墙壁、构件和设备上的粉尘，严禁用吹扫方式清扫积尘。 </w:t>
            </w:r>
          </w:p>
          <w:p w14:paraId="205BCE6B">
            <w:pPr>
              <w:pStyle w:val="20"/>
              <w:bidi w:val="0"/>
              <w:rPr>
                <w:rFonts w:hint="eastAsia"/>
                <w:color w:val="auto"/>
                <w:lang w:val="en-US" w:eastAsia="zh-CN"/>
              </w:rPr>
            </w:pPr>
            <w:r>
              <w:rPr>
                <w:rFonts w:hint="eastAsia"/>
                <w:color w:val="auto"/>
                <w:lang w:val="en-US" w:eastAsia="zh-CN"/>
              </w:rPr>
              <w:t>2、在产生粉尘的环节，安装通风除尘设施。</w:t>
            </w:r>
          </w:p>
          <w:p w14:paraId="2AE0678D">
            <w:pPr>
              <w:pStyle w:val="20"/>
              <w:bidi w:val="0"/>
              <w:rPr>
                <w:rFonts w:hint="eastAsia"/>
                <w:color w:val="auto"/>
                <w:lang w:val="en-US" w:eastAsia="zh-CN"/>
              </w:rPr>
            </w:pPr>
            <w:r>
              <w:rPr>
                <w:rFonts w:hint="eastAsia"/>
                <w:color w:val="auto"/>
                <w:lang w:val="en-US" w:eastAsia="zh-CN"/>
              </w:rPr>
              <w:t>3、对可能处在粉尘作业环境中的作业人员配备符合国家要求的防尘口罩，防尘口罩的阻尘率应达到1级标准要求（即对粒径不大于5μm的粉尘，阻尘率大于99%）。作业人员作业时须按要求佩戴好，并定期进行更换。</w:t>
            </w:r>
          </w:p>
          <w:p w14:paraId="68986E5E">
            <w:pPr>
              <w:pStyle w:val="20"/>
              <w:bidi w:val="0"/>
              <w:rPr>
                <w:rFonts w:hint="eastAsia"/>
                <w:color w:val="auto"/>
                <w:lang w:val="en-US" w:eastAsia="zh-CN"/>
              </w:rPr>
            </w:pPr>
            <w:r>
              <w:rPr>
                <w:rFonts w:hint="eastAsia"/>
                <w:color w:val="auto"/>
                <w:lang w:val="en-US" w:eastAsia="zh-CN"/>
              </w:rPr>
              <w:t>防机械伤害、防坠落、防滑措施</w:t>
            </w:r>
          </w:p>
          <w:p w14:paraId="2B54573A">
            <w:pPr>
              <w:pStyle w:val="20"/>
              <w:bidi w:val="0"/>
              <w:rPr>
                <w:rFonts w:hint="eastAsia"/>
                <w:color w:val="auto"/>
                <w:lang w:val="en-US" w:eastAsia="zh-CN"/>
              </w:rPr>
            </w:pPr>
            <w:r>
              <w:rPr>
                <w:rFonts w:hint="eastAsia"/>
                <w:color w:val="auto"/>
                <w:lang w:val="en-US" w:eastAsia="zh-CN"/>
              </w:rPr>
              <w:t>1、机械设备留有足够的移动空间，移动路径标识应简单、清晰。</w:t>
            </w:r>
          </w:p>
          <w:p w14:paraId="13510050">
            <w:pPr>
              <w:pStyle w:val="20"/>
              <w:bidi w:val="0"/>
              <w:rPr>
                <w:rFonts w:hint="eastAsia"/>
                <w:color w:val="auto"/>
                <w:lang w:val="en-US" w:eastAsia="zh-CN"/>
              </w:rPr>
            </w:pPr>
            <w:r>
              <w:rPr>
                <w:rFonts w:hint="eastAsia"/>
                <w:color w:val="auto"/>
                <w:lang w:val="en-US" w:eastAsia="zh-CN"/>
              </w:rPr>
              <w:t>2、所有输送设备的回转部件，均须加装保护盖，包括：头轮、尾轮、重力拉紧装置、耦合器、减速器等。</w:t>
            </w:r>
          </w:p>
          <w:p w14:paraId="4C4F9E25">
            <w:pPr>
              <w:pStyle w:val="20"/>
              <w:bidi w:val="0"/>
              <w:rPr>
                <w:rFonts w:hint="eastAsia"/>
                <w:color w:val="auto"/>
                <w:lang w:val="en-US" w:eastAsia="zh-CN"/>
              </w:rPr>
            </w:pPr>
            <w:r>
              <w:rPr>
                <w:rFonts w:hint="eastAsia"/>
                <w:color w:val="auto"/>
                <w:lang w:val="en-US" w:eastAsia="zh-CN"/>
              </w:rPr>
              <w:t>3、所有的旋转设备装设零速开关，如排浆泵、搅拌器、真空皮带脱水机等。</w:t>
            </w:r>
          </w:p>
          <w:p w14:paraId="3A8AA9D5">
            <w:pPr>
              <w:pStyle w:val="20"/>
              <w:bidi w:val="0"/>
              <w:rPr>
                <w:rFonts w:hint="eastAsia"/>
                <w:color w:val="auto"/>
                <w:lang w:val="en-US" w:eastAsia="zh-CN"/>
              </w:rPr>
            </w:pPr>
            <w:r>
              <w:rPr>
                <w:rFonts w:hint="eastAsia"/>
                <w:color w:val="auto"/>
                <w:lang w:val="en-US" w:eastAsia="zh-CN"/>
              </w:rPr>
              <w:t>4、转动设备的传动部位设置安全防护罩或安全防护栏杆。</w:t>
            </w:r>
          </w:p>
          <w:p w14:paraId="682C9E36">
            <w:pPr>
              <w:pStyle w:val="20"/>
              <w:bidi w:val="0"/>
              <w:rPr>
                <w:rFonts w:hint="eastAsia"/>
                <w:color w:val="auto"/>
                <w:lang w:val="en-US" w:eastAsia="zh-CN"/>
              </w:rPr>
            </w:pPr>
            <w:r>
              <w:rPr>
                <w:rFonts w:hint="eastAsia"/>
                <w:color w:val="auto"/>
                <w:lang w:val="en-US" w:eastAsia="zh-CN"/>
              </w:rPr>
              <w:t>5、在机械吊装作业时，防止高空散落、碰撞而发生危险。</w:t>
            </w:r>
          </w:p>
          <w:p w14:paraId="19F93A6B">
            <w:pPr>
              <w:pStyle w:val="20"/>
              <w:bidi w:val="0"/>
              <w:rPr>
                <w:rFonts w:hint="eastAsia"/>
                <w:color w:val="auto"/>
                <w:lang w:val="en-US" w:eastAsia="zh-CN"/>
              </w:rPr>
            </w:pPr>
            <w:r>
              <w:rPr>
                <w:rFonts w:hint="eastAsia"/>
                <w:color w:val="auto"/>
                <w:lang w:val="en-US" w:eastAsia="zh-CN"/>
              </w:rPr>
              <w:t>6、操作人员严格执行操作规程，不得在设备运转时擦拭设备。</w:t>
            </w:r>
          </w:p>
          <w:p w14:paraId="6C2CD653">
            <w:pPr>
              <w:pStyle w:val="20"/>
              <w:bidi w:val="0"/>
              <w:rPr>
                <w:rFonts w:hint="eastAsia"/>
                <w:color w:val="auto"/>
                <w:lang w:val="en-US" w:eastAsia="zh-CN"/>
              </w:rPr>
            </w:pPr>
            <w:r>
              <w:rPr>
                <w:rFonts w:hint="eastAsia"/>
                <w:color w:val="auto"/>
                <w:lang w:val="en-US" w:eastAsia="zh-CN"/>
              </w:rPr>
              <w:t>7、有惯性冲撞的运动部件必须采取可靠的缓冲措施，防止因惯性而造成伤害事故。</w:t>
            </w:r>
          </w:p>
          <w:p w14:paraId="40D44AED">
            <w:pPr>
              <w:pStyle w:val="20"/>
              <w:bidi w:val="0"/>
              <w:rPr>
                <w:rFonts w:hint="eastAsia"/>
                <w:color w:val="auto"/>
                <w:lang w:val="en-US" w:eastAsia="zh-CN"/>
              </w:rPr>
            </w:pPr>
            <w:r>
              <w:rPr>
                <w:rFonts w:hint="eastAsia"/>
                <w:color w:val="auto"/>
                <w:lang w:val="en-US" w:eastAsia="zh-CN"/>
              </w:rPr>
              <w:t>8、机械设备的各种开关接触良好、动作可靠、方便操作。在紧急情况下迅速切断电源。</w:t>
            </w:r>
          </w:p>
          <w:p w14:paraId="46DAC1E8">
            <w:pPr>
              <w:pStyle w:val="20"/>
              <w:bidi w:val="0"/>
              <w:rPr>
                <w:rFonts w:hint="eastAsia"/>
                <w:color w:val="auto"/>
                <w:lang w:val="en-US" w:eastAsia="zh-CN"/>
              </w:rPr>
            </w:pPr>
            <w:r>
              <w:rPr>
                <w:rFonts w:hint="eastAsia"/>
                <w:color w:val="auto"/>
                <w:lang w:val="en-US" w:eastAsia="zh-CN"/>
              </w:rPr>
              <w:t>9、具有坠落危险的场所、高度超过坠落基准面2m的操作平台设供站立的平台和防坠落栏杆、安全盖板、防护板等。</w:t>
            </w:r>
          </w:p>
          <w:p w14:paraId="69E0F134">
            <w:pPr>
              <w:pStyle w:val="20"/>
              <w:bidi w:val="0"/>
              <w:rPr>
                <w:rFonts w:hint="eastAsia"/>
                <w:color w:val="auto"/>
                <w:lang w:val="en-US" w:eastAsia="zh-CN"/>
              </w:rPr>
            </w:pPr>
            <w:r>
              <w:rPr>
                <w:rFonts w:hint="eastAsia"/>
                <w:color w:val="auto"/>
                <w:lang w:val="en-US" w:eastAsia="zh-CN"/>
              </w:rPr>
              <w:t>10、每层平台的直梯口均设计防操作人员坠落的措施，相邻两层的直梯错开设置。</w:t>
            </w:r>
          </w:p>
          <w:p w14:paraId="44AF1429">
            <w:pPr>
              <w:pStyle w:val="20"/>
              <w:bidi w:val="0"/>
              <w:rPr>
                <w:rFonts w:hint="eastAsia"/>
                <w:color w:val="auto"/>
                <w:lang w:val="en-US" w:eastAsia="zh-CN"/>
              </w:rPr>
            </w:pPr>
            <w:r>
              <w:rPr>
                <w:rFonts w:hint="eastAsia"/>
                <w:color w:val="auto"/>
                <w:lang w:val="en-US" w:eastAsia="zh-CN"/>
              </w:rPr>
              <w:t>11、钢平台以及钢斜梯的踏脚板设计采用网纹钢板，有利于防滑；厂区内的排水设计符合要求</w:t>
            </w:r>
          </w:p>
          <w:p w14:paraId="08EEAA18">
            <w:pPr>
              <w:pStyle w:val="20"/>
              <w:bidi w:val="0"/>
              <w:rPr>
                <w:rFonts w:hint="eastAsia"/>
                <w:color w:val="auto"/>
                <w:lang w:val="en-US" w:eastAsia="zh-CN"/>
              </w:rPr>
            </w:pPr>
            <w:r>
              <w:rPr>
                <w:rFonts w:hint="eastAsia"/>
                <w:color w:val="auto"/>
                <w:lang w:val="en-US" w:eastAsia="zh-CN"/>
              </w:rPr>
              <w:t>防坍塌事故</w:t>
            </w:r>
          </w:p>
          <w:p w14:paraId="0672F559">
            <w:pPr>
              <w:pStyle w:val="20"/>
              <w:bidi w:val="0"/>
              <w:rPr>
                <w:rFonts w:hint="eastAsia"/>
                <w:color w:val="auto"/>
                <w:lang w:val="en-US" w:eastAsia="zh-CN"/>
              </w:rPr>
            </w:pPr>
            <w:r>
              <w:rPr>
                <w:rFonts w:hint="eastAsia"/>
                <w:color w:val="auto"/>
                <w:lang w:val="en-US" w:eastAsia="zh-CN"/>
              </w:rPr>
              <w:t>1、本项目建构筑物均按本地6级抗震设防烈度设计和施工。</w:t>
            </w:r>
          </w:p>
          <w:p w14:paraId="6E62E3FC">
            <w:pPr>
              <w:pStyle w:val="20"/>
              <w:bidi w:val="0"/>
              <w:rPr>
                <w:rFonts w:hint="eastAsia"/>
                <w:color w:val="auto"/>
                <w:lang w:val="en-US" w:eastAsia="zh-CN"/>
              </w:rPr>
            </w:pPr>
            <w:r>
              <w:rPr>
                <w:rFonts w:hint="eastAsia"/>
                <w:color w:val="auto"/>
                <w:lang w:val="en-US" w:eastAsia="zh-CN"/>
              </w:rPr>
              <w:t>2、高架设施及平台的支柱，有足够的刚性强度，确保不失稳变形。</w:t>
            </w:r>
          </w:p>
          <w:p w14:paraId="0467562B">
            <w:pPr>
              <w:pStyle w:val="20"/>
              <w:bidi w:val="0"/>
              <w:rPr>
                <w:rFonts w:hint="eastAsia"/>
                <w:color w:val="auto"/>
                <w:lang w:val="en-US" w:eastAsia="zh-CN"/>
              </w:rPr>
            </w:pPr>
            <w:r>
              <w:rPr>
                <w:rFonts w:hint="eastAsia"/>
                <w:color w:val="auto"/>
                <w:lang w:val="en-US" w:eastAsia="zh-CN"/>
              </w:rPr>
              <w:t>3、工件等物体堆放不影响通行和作业，控制堆层和堆高，重心要稳固。行走或作业时不碰到堆高物件。</w:t>
            </w:r>
          </w:p>
          <w:p w14:paraId="3BFF0518">
            <w:pPr>
              <w:pStyle w:val="20"/>
              <w:bidi w:val="0"/>
              <w:rPr>
                <w:rFonts w:hint="eastAsia"/>
                <w:color w:val="auto"/>
                <w:lang w:val="en-US" w:eastAsia="zh-CN"/>
              </w:rPr>
            </w:pPr>
            <w:r>
              <w:rPr>
                <w:rFonts w:hint="eastAsia"/>
                <w:color w:val="auto"/>
                <w:lang w:val="en-US" w:eastAsia="zh-CN"/>
              </w:rPr>
              <w:t>防噪措施</w:t>
            </w:r>
          </w:p>
          <w:p w14:paraId="13767C16">
            <w:pPr>
              <w:pStyle w:val="20"/>
              <w:bidi w:val="0"/>
              <w:rPr>
                <w:rFonts w:hint="eastAsia"/>
                <w:color w:val="auto"/>
                <w:lang w:val="en-US" w:eastAsia="zh-CN"/>
              </w:rPr>
            </w:pPr>
            <w:r>
              <w:rPr>
                <w:rFonts w:hint="eastAsia"/>
                <w:color w:val="auto"/>
                <w:lang w:val="en-US" w:eastAsia="zh-CN"/>
              </w:rPr>
              <w:t>1、声源上控制，设备选型定货时，首先选用高效、低噪、符合国家噪声标准的设备。</w:t>
            </w:r>
          </w:p>
          <w:p w14:paraId="5ED8F9CB">
            <w:pPr>
              <w:pStyle w:val="20"/>
              <w:bidi w:val="0"/>
              <w:rPr>
                <w:rFonts w:hint="eastAsia"/>
                <w:color w:val="auto"/>
                <w:lang w:val="en-US" w:eastAsia="zh-CN"/>
              </w:rPr>
            </w:pPr>
            <w:r>
              <w:rPr>
                <w:rFonts w:hint="eastAsia"/>
                <w:color w:val="auto"/>
                <w:lang w:val="en-US" w:eastAsia="zh-CN"/>
              </w:rPr>
              <w:t>2、风机、水泵采取基础减震，出气口采用软连接装置。</w:t>
            </w:r>
          </w:p>
          <w:p w14:paraId="061A79A8">
            <w:pPr>
              <w:pStyle w:val="20"/>
              <w:bidi w:val="0"/>
              <w:rPr>
                <w:rFonts w:hint="eastAsia"/>
                <w:color w:val="auto"/>
                <w:lang w:val="en-US" w:eastAsia="zh-CN"/>
              </w:rPr>
            </w:pPr>
            <w:r>
              <w:rPr>
                <w:rFonts w:hint="eastAsia"/>
                <w:color w:val="auto"/>
                <w:lang w:val="en-US" w:eastAsia="zh-CN"/>
              </w:rPr>
              <w:t>3、将高噪音设备集中布置，降低噪音对其他生产工段的影响。</w:t>
            </w:r>
          </w:p>
          <w:p w14:paraId="58321483">
            <w:pPr>
              <w:pStyle w:val="20"/>
              <w:bidi w:val="0"/>
              <w:rPr>
                <w:rFonts w:hint="eastAsia"/>
                <w:color w:val="auto"/>
                <w:lang w:val="en-US" w:eastAsia="zh-CN"/>
              </w:rPr>
            </w:pPr>
            <w:r>
              <w:rPr>
                <w:rFonts w:hint="eastAsia"/>
                <w:color w:val="auto"/>
                <w:lang w:val="en-US" w:eastAsia="zh-CN"/>
              </w:rPr>
              <w:t>4、对部分噪声高工段的劳动作业人员配发防噪耳塞。</w:t>
            </w:r>
          </w:p>
          <w:p w14:paraId="58A64CEE">
            <w:pPr>
              <w:pStyle w:val="20"/>
              <w:bidi w:val="0"/>
              <w:rPr>
                <w:rFonts w:hint="eastAsia"/>
                <w:color w:val="auto"/>
                <w:lang w:val="en-US" w:eastAsia="zh-CN"/>
              </w:rPr>
            </w:pPr>
            <w:r>
              <w:rPr>
                <w:rFonts w:hint="eastAsia"/>
                <w:color w:val="auto"/>
                <w:lang w:val="en-US" w:eastAsia="zh-CN"/>
              </w:rPr>
              <w:t>防高温措施</w:t>
            </w:r>
          </w:p>
          <w:p w14:paraId="7C7A6E54">
            <w:pPr>
              <w:pStyle w:val="20"/>
              <w:bidi w:val="0"/>
              <w:rPr>
                <w:rFonts w:hint="eastAsia"/>
                <w:color w:val="auto"/>
                <w:lang w:val="en-US" w:eastAsia="zh-CN"/>
              </w:rPr>
            </w:pPr>
            <w:r>
              <w:rPr>
                <w:rFonts w:hint="eastAsia"/>
                <w:color w:val="auto"/>
                <w:lang w:val="en-US" w:eastAsia="zh-CN"/>
              </w:rPr>
              <w:t>1、合理安排员工的作业时间，搞好职工的防暑降温工作</w:t>
            </w:r>
          </w:p>
          <w:p w14:paraId="20E84A23">
            <w:pPr>
              <w:pStyle w:val="20"/>
              <w:bidi w:val="0"/>
              <w:rPr>
                <w:rFonts w:hint="eastAsia"/>
                <w:color w:val="auto"/>
                <w:lang w:val="en-US" w:eastAsia="zh-CN"/>
              </w:rPr>
            </w:pPr>
            <w:r>
              <w:rPr>
                <w:rFonts w:hint="eastAsia"/>
                <w:color w:val="auto"/>
                <w:lang w:val="en-US" w:eastAsia="zh-CN"/>
              </w:rPr>
              <w:t>2、生产车间操作点设置可移动的排风扇。</w:t>
            </w:r>
          </w:p>
          <w:p w14:paraId="0B47D5CD">
            <w:pPr>
              <w:pStyle w:val="20"/>
              <w:bidi w:val="0"/>
              <w:rPr>
                <w:rFonts w:hint="eastAsia"/>
                <w:color w:val="auto"/>
                <w:lang w:val="en-US" w:eastAsia="zh-CN"/>
              </w:rPr>
            </w:pPr>
            <w:r>
              <w:rPr>
                <w:rFonts w:hint="eastAsia"/>
                <w:color w:val="auto"/>
                <w:lang w:val="en-US" w:eastAsia="zh-CN"/>
              </w:rPr>
              <w:t>3、厂区休息室、车间控制室和维修工房内设置风扇或空调。</w:t>
            </w:r>
          </w:p>
          <w:p w14:paraId="000B29E6">
            <w:pPr>
              <w:pStyle w:val="20"/>
              <w:bidi w:val="0"/>
              <w:rPr>
                <w:rFonts w:hint="eastAsia"/>
                <w:color w:val="auto"/>
                <w:lang w:val="en-US" w:eastAsia="zh-CN"/>
              </w:rPr>
            </w:pPr>
            <w:r>
              <w:rPr>
                <w:rFonts w:hint="eastAsia"/>
                <w:color w:val="auto"/>
                <w:lang w:val="en-US" w:eastAsia="zh-CN"/>
              </w:rPr>
              <w:t>4、合理安排职工接触热时间，加强个人防护。</w:t>
            </w:r>
          </w:p>
          <w:p w14:paraId="50506335">
            <w:pPr>
              <w:pStyle w:val="20"/>
              <w:bidi w:val="0"/>
              <w:rPr>
                <w:rFonts w:hint="eastAsia"/>
                <w:color w:val="auto"/>
                <w:lang w:val="en-US" w:eastAsia="zh-CN"/>
              </w:rPr>
            </w:pPr>
            <w:r>
              <w:rPr>
                <w:rFonts w:hint="eastAsia"/>
                <w:color w:val="auto"/>
                <w:lang w:val="en-US" w:eastAsia="zh-CN"/>
              </w:rPr>
              <w:t>5、夏季在厂区休息室内配发清凉饮料。</w:t>
            </w:r>
          </w:p>
          <w:p w14:paraId="451652D4">
            <w:pPr>
              <w:pStyle w:val="20"/>
              <w:bidi w:val="0"/>
              <w:rPr>
                <w:rFonts w:hint="eastAsia"/>
                <w:color w:val="auto"/>
                <w:lang w:val="en-US" w:eastAsia="zh-CN"/>
              </w:rPr>
            </w:pPr>
            <w:r>
              <w:rPr>
                <w:rFonts w:hint="eastAsia"/>
                <w:color w:val="auto"/>
                <w:lang w:val="en-US" w:eastAsia="zh-CN"/>
              </w:rPr>
              <w:t>防物体打击</w:t>
            </w:r>
          </w:p>
          <w:p w14:paraId="65DF9B0B">
            <w:pPr>
              <w:pStyle w:val="20"/>
              <w:bidi w:val="0"/>
              <w:rPr>
                <w:rFonts w:hint="eastAsia"/>
                <w:color w:val="auto"/>
                <w:lang w:val="en-US" w:eastAsia="zh-CN"/>
              </w:rPr>
            </w:pPr>
            <w:r>
              <w:rPr>
                <w:rFonts w:hint="eastAsia"/>
                <w:color w:val="auto"/>
                <w:lang w:val="en-US" w:eastAsia="zh-CN"/>
              </w:rPr>
              <w:t>1、禁止抛掷传递工具、物件。</w:t>
            </w:r>
          </w:p>
          <w:p w14:paraId="3CF6DBA8">
            <w:pPr>
              <w:pStyle w:val="20"/>
              <w:bidi w:val="0"/>
              <w:rPr>
                <w:rFonts w:hint="eastAsia"/>
                <w:color w:val="auto"/>
                <w:lang w:val="en-US" w:eastAsia="zh-CN"/>
              </w:rPr>
            </w:pPr>
            <w:r>
              <w:rPr>
                <w:rFonts w:hint="eastAsia"/>
                <w:color w:val="auto"/>
                <w:lang w:val="en-US" w:eastAsia="zh-CN"/>
              </w:rPr>
              <w:t>2、有人走动的高处不存放易滑落的重物。高平台边沿有防物体坠落的踢脚板。</w:t>
            </w:r>
          </w:p>
          <w:p w14:paraId="74A8B7BA">
            <w:pPr>
              <w:pStyle w:val="20"/>
              <w:bidi w:val="0"/>
              <w:rPr>
                <w:rFonts w:hint="eastAsia"/>
                <w:color w:val="auto"/>
                <w:lang w:val="en-US" w:eastAsia="zh-CN"/>
              </w:rPr>
            </w:pPr>
            <w:r>
              <w:rPr>
                <w:rFonts w:hint="eastAsia"/>
                <w:color w:val="auto"/>
                <w:lang w:val="en-US" w:eastAsia="zh-CN"/>
              </w:rPr>
              <w:t>3、易倾倒的物体有支架。</w:t>
            </w:r>
          </w:p>
          <w:p w14:paraId="452B3E21">
            <w:pPr>
              <w:pStyle w:val="20"/>
              <w:bidi w:val="0"/>
              <w:rPr>
                <w:rFonts w:hint="eastAsia"/>
                <w:color w:val="auto"/>
                <w:lang w:val="en-US" w:eastAsia="zh-CN"/>
              </w:rPr>
            </w:pPr>
            <w:r>
              <w:rPr>
                <w:rFonts w:hint="eastAsia"/>
                <w:color w:val="auto"/>
                <w:lang w:val="en-US" w:eastAsia="zh-CN"/>
              </w:rPr>
              <w:t>4、不搬运超过自身承受能力的的重物；抓拿不便的重物要用工具搬运；多人搬抬重物有一人统一指挥协调。</w:t>
            </w:r>
          </w:p>
          <w:p w14:paraId="7985533D">
            <w:pPr>
              <w:pStyle w:val="20"/>
              <w:bidi w:val="0"/>
              <w:rPr>
                <w:rFonts w:hint="eastAsia"/>
                <w:color w:val="auto"/>
                <w:lang w:val="en-US" w:eastAsia="zh-CN"/>
              </w:rPr>
            </w:pPr>
            <w:r>
              <w:rPr>
                <w:rFonts w:hint="eastAsia"/>
                <w:color w:val="auto"/>
                <w:lang w:val="en-US" w:eastAsia="zh-CN"/>
              </w:rPr>
              <w:t>5、加强对职工的安全教育，做到“三不伤害”：不伤害自己、不伤害他人、不被他人伤害。</w:t>
            </w:r>
          </w:p>
          <w:p w14:paraId="39CF9CB2">
            <w:pPr>
              <w:pStyle w:val="20"/>
              <w:bidi w:val="0"/>
              <w:rPr>
                <w:rFonts w:hint="eastAsia"/>
                <w:color w:val="auto"/>
                <w:lang w:val="en-US" w:eastAsia="zh-CN"/>
              </w:rPr>
            </w:pPr>
            <w:r>
              <w:rPr>
                <w:rFonts w:hint="eastAsia"/>
                <w:color w:val="auto"/>
                <w:lang w:val="en-US" w:eastAsia="zh-CN"/>
              </w:rPr>
              <w:t>防车辆伤害</w:t>
            </w:r>
          </w:p>
          <w:p w14:paraId="6A1DAB99">
            <w:pPr>
              <w:pStyle w:val="20"/>
              <w:bidi w:val="0"/>
              <w:rPr>
                <w:rFonts w:hint="eastAsia"/>
                <w:color w:val="auto"/>
                <w:lang w:val="en-US" w:eastAsia="zh-CN"/>
              </w:rPr>
            </w:pPr>
            <w:r>
              <w:rPr>
                <w:rFonts w:hint="eastAsia"/>
                <w:color w:val="auto"/>
                <w:lang w:val="en-US" w:eastAsia="zh-CN"/>
              </w:rPr>
              <w:t>厂区内有机动车出入的路段设有限速、方向等交通标志。厂内的道路保持畅通，不堆有影响车辆进出的妨碍品。</w:t>
            </w:r>
          </w:p>
          <w:p w14:paraId="53E5F7FA">
            <w:pPr>
              <w:pStyle w:val="20"/>
              <w:bidi w:val="0"/>
              <w:rPr>
                <w:rFonts w:hint="eastAsia"/>
                <w:color w:val="auto"/>
                <w:lang w:val="en-US" w:eastAsia="zh-CN"/>
              </w:rPr>
            </w:pPr>
            <w:r>
              <w:rPr>
                <w:rFonts w:hint="eastAsia"/>
                <w:color w:val="auto"/>
                <w:lang w:val="en-US" w:eastAsia="zh-CN"/>
              </w:rPr>
              <w:t>安全警示标志</w:t>
            </w:r>
          </w:p>
          <w:p w14:paraId="138CF6E1">
            <w:pPr>
              <w:pStyle w:val="20"/>
              <w:bidi w:val="0"/>
              <w:rPr>
                <w:rFonts w:hint="eastAsia"/>
                <w:color w:val="auto"/>
                <w:lang w:val="en-US" w:eastAsia="zh-CN"/>
              </w:rPr>
            </w:pPr>
            <w:r>
              <w:rPr>
                <w:rFonts w:hint="eastAsia"/>
                <w:color w:val="auto"/>
                <w:lang w:val="en-US" w:eastAsia="zh-CN"/>
              </w:rPr>
              <w:t>1、厂内交通道路设置路牌、安全警告标志牌等设施，并定期维修保养，保持清晰。</w:t>
            </w:r>
          </w:p>
          <w:p w14:paraId="72F4DCDA">
            <w:pPr>
              <w:pStyle w:val="20"/>
              <w:bidi w:val="0"/>
              <w:rPr>
                <w:rFonts w:hint="eastAsia"/>
                <w:color w:val="auto"/>
                <w:lang w:val="en-US" w:eastAsia="zh-CN"/>
              </w:rPr>
            </w:pPr>
            <w:r>
              <w:rPr>
                <w:rFonts w:hint="eastAsia"/>
                <w:color w:val="auto"/>
                <w:lang w:val="en-US" w:eastAsia="zh-CN"/>
              </w:rPr>
              <w:t>2、生产场所作业地点的紧急通道和紧急出口均设置明显的标志和指示箭头。</w:t>
            </w:r>
          </w:p>
          <w:p w14:paraId="6CCBF2A2">
            <w:pPr>
              <w:pStyle w:val="20"/>
              <w:bidi w:val="0"/>
              <w:rPr>
                <w:rFonts w:hint="eastAsia"/>
                <w:color w:val="auto"/>
                <w:lang w:val="en-US" w:eastAsia="zh-CN"/>
              </w:rPr>
            </w:pPr>
            <w:r>
              <w:rPr>
                <w:rFonts w:hint="eastAsia"/>
                <w:color w:val="auto"/>
                <w:lang w:val="en-US" w:eastAsia="zh-CN"/>
              </w:rPr>
              <w:t>3、在危险作业地点设置安全警示标志。</w:t>
            </w:r>
          </w:p>
          <w:p w14:paraId="5468B726">
            <w:pPr>
              <w:pStyle w:val="20"/>
              <w:bidi w:val="0"/>
              <w:rPr>
                <w:rFonts w:hint="eastAsia"/>
                <w:color w:val="auto"/>
                <w:lang w:val="en-US" w:eastAsia="zh-CN"/>
              </w:rPr>
            </w:pPr>
            <w:r>
              <w:rPr>
                <w:rFonts w:hint="eastAsia"/>
                <w:color w:val="auto"/>
                <w:lang w:val="en-US" w:eastAsia="zh-CN"/>
              </w:rPr>
              <w:t>4、在阀门附近标明输送物质名称、符号或设明显标志。</w:t>
            </w:r>
          </w:p>
          <w:p w14:paraId="092BD172">
            <w:pPr>
              <w:pStyle w:val="20"/>
              <w:bidi w:val="0"/>
              <w:rPr>
                <w:rFonts w:hint="eastAsia"/>
                <w:color w:val="auto"/>
                <w:lang w:val="en-US" w:eastAsia="zh-CN"/>
              </w:rPr>
            </w:pPr>
            <w:r>
              <w:rPr>
                <w:rFonts w:hint="eastAsia"/>
                <w:color w:val="auto"/>
                <w:lang w:val="en-US" w:eastAsia="zh-CN"/>
              </w:rPr>
              <w:t>5、各类管道按《工业管道的基本识别色、识别符号和安全标识》、《安全色》涂刷相应的色标和明显的流向标志。</w:t>
            </w:r>
          </w:p>
          <w:p w14:paraId="313C1952">
            <w:pPr>
              <w:pStyle w:val="20"/>
              <w:bidi w:val="0"/>
              <w:rPr>
                <w:rFonts w:hint="eastAsia"/>
                <w:color w:val="auto"/>
                <w:lang w:val="en-US" w:eastAsia="zh-CN"/>
              </w:rPr>
            </w:pPr>
            <w:r>
              <w:rPr>
                <w:rFonts w:hint="eastAsia"/>
                <w:color w:val="auto"/>
                <w:lang w:val="en-US" w:eastAsia="zh-CN"/>
              </w:rPr>
              <w:t>6、母线护网、高压设备围栏、变配电设备遮拦等屏护设施设置相应警示标志。</w:t>
            </w:r>
          </w:p>
          <w:p w14:paraId="4CCDAB05">
            <w:pPr>
              <w:pStyle w:val="20"/>
              <w:bidi w:val="0"/>
              <w:rPr>
                <w:rFonts w:hint="eastAsia"/>
                <w:color w:val="auto"/>
                <w:lang w:val="en-US" w:eastAsia="zh-CN"/>
              </w:rPr>
            </w:pPr>
            <w:r>
              <w:rPr>
                <w:rFonts w:hint="eastAsia"/>
                <w:color w:val="auto"/>
                <w:lang w:val="en-US" w:eastAsia="zh-CN"/>
              </w:rPr>
              <w:t>7、高处作业时设置安全信号和标志。</w:t>
            </w:r>
          </w:p>
          <w:p w14:paraId="597EAA0D">
            <w:pPr>
              <w:pStyle w:val="20"/>
              <w:bidi w:val="0"/>
              <w:rPr>
                <w:rFonts w:hint="eastAsia"/>
                <w:color w:val="auto"/>
                <w:lang w:val="en-US" w:eastAsia="zh-CN"/>
              </w:rPr>
            </w:pPr>
            <w:r>
              <w:rPr>
                <w:rFonts w:hint="eastAsia"/>
                <w:color w:val="auto"/>
                <w:lang w:val="en-US" w:eastAsia="zh-CN"/>
              </w:rPr>
              <w:t>8、重大危险场所设置安全警示标志。</w:t>
            </w:r>
          </w:p>
          <w:p w14:paraId="6A4933D7">
            <w:pPr>
              <w:pStyle w:val="20"/>
              <w:bidi w:val="0"/>
              <w:rPr>
                <w:rFonts w:hint="eastAsia"/>
                <w:color w:val="auto"/>
                <w:lang w:val="en-US" w:eastAsia="zh-CN"/>
              </w:rPr>
            </w:pPr>
            <w:r>
              <w:rPr>
                <w:rFonts w:hint="eastAsia"/>
                <w:color w:val="auto"/>
                <w:lang w:val="en-US" w:eastAsia="zh-CN"/>
              </w:rPr>
              <w:t>9、建筑内均设置有消防应急指示和应急疏散指示标志。</w:t>
            </w:r>
          </w:p>
          <w:p w14:paraId="602054BA">
            <w:pPr>
              <w:pStyle w:val="20"/>
              <w:bidi w:val="0"/>
              <w:rPr>
                <w:rFonts w:hint="eastAsia"/>
                <w:color w:val="auto"/>
                <w:lang w:val="en-US" w:eastAsia="zh-CN"/>
              </w:rPr>
            </w:pPr>
            <w:r>
              <w:rPr>
                <w:rFonts w:hint="eastAsia"/>
                <w:color w:val="auto"/>
                <w:lang w:val="en-US" w:eastAsia="zh-CN"/>
              </w:rPr>
              <w:t>10、设备检修时，断电并设置“有人工作、禁止起动”警告标志。</w:t>
            </w:r>
          </w:p>
          <w:p w14:paraId="387753DF">
            <w:pPr>
              <w:pStyle w:val="20"/>
              <w:bidi w:val="0"/>
              <w:rPr>
                <w:rFonts w:hint="eastAsia"/>
                <w:color w:val="auto"/>
                <w:lang w:val="en-US" w:eastAsia="zh-CN"/>
              </w:rPr>
            </w:pPr>
            <w:r>
              <w:rPr>
                <w:rFonts w:hint="eastAsia"/>
                <w:color w:val="auto"/>
                <w:lang w:val="en-US" w:eastAsia="zh-CN"/>
              </w:rPr>
              <w:t>11、人员进入停止运转的设备内部或上部，事前应用操作牌换电源牌，切断电源，锁上电源开关，挂上“有人作业，严禁合闸”的标志牌，并设专人监护。</w:t>
            </w:r>
          </w:p>
          <w:p w14:paraId="19858FFD">
            <w:pPr>
              <w:pStyle w:val="20"/>
              <w:bidi w:val="0"/>
              <w:rPr>
                <w:rFonts w:hint="eastAsia"/>
                <w:color w:val="auto"/>
                <w:lang w:val="en-US" w:eastAsia="zh-CN"/>
              </w:rPr>
            </w:pPr>
            <w:r>
              <w:rPr>
                <w:rFonts w:hint="eastAsia"/>
                <w:color w:val="auto"/>
                <w:lang w:val="en-US" w:eastAsia="zh-CN"/>
              </w:rPr>
              <w:t>12、消火栓、灭火器、灭火桶、火灾报警器等消防用具以及严禁人员进入的车间内安全通道、太平门等采用绿色，工具箱、更衣柜等为绿色。</w:t>
            </w:r>
          </w:p>
          <w:p w14:paraId="2A363568">
            <w:pPr>
              <w:pStyle w:val="20"/>
              <w:bidi w:val="0"/>
              <w:rPr>
                <w:rFonts w:hint="eastAsia"/>
                <w:color w:val="auto"/>
                <w:lang w:val="en-US" w:eastAsia="zh-CN"/>
              </w:rPr>
            </w:pPr>
            <w:r>
              <w:rPr>
                <w:rFonts w:hint="eastAsia"/>
                <w:color w:val="auto"/>
                <w:lang w:val="en-US" w:eastAsia="zh-CN"/>
              </w:rPr>
              <w:t>13、厂区设置消防安全标志，符合《消防安全标志设置要求》（GB15630-1995）的规定。</w:t>
            </w:r>
          </w:p>
          <w:p w14:paraId="3A930A4A">
            <w:pPr>
              <w:pStyle w:val="20"/>
              <w:bidi w:val="0"/>
              <w:rPr>
                <w:rFonts w:hint="eastAsia"/>
                <w:color w:val="auto"/>
                <w:lang w:val="en-US" w:eastAsia="zh-CN"/>
              </w:rPr>
            </w:pPr>
            <w:r>
              <w:rPr>
                <w:rFonts w:hint="eastAsia"/>
                <w:color w:val="auto"/>
                <w:lang w:val="en-US" w:eastAsia="zh-CN"/>
              </w:rPr>
              <w:t>14、厂区设置“禁止烟火”等警告标志，存在落物可能的区域内设置“小心落物”警告标志，行车设置“小心落物”和“起重物下不准站人”等警告标志，存在高处坠落危险的区域设置“小心坠落”警告标志，楼梯处设置“小心滑跌”警告标志，存在触电可能的位置设置“小心有电”警告标志。需要使用防护用品的区域设置“必须使用防护用品”的警告标志。电气室要配备“有人工作、禁止合闸”警告标志，检修场所要配备“有人工作、禁止起动”警告标志。生产场所，作业点的紧急通道和出入口，设置明显醒目的标志。</w:t>
            </w:r>
          </w:p>
          <w:p w14:paraId="1F66DDDC">
            <w:pPr>
              <w:pStyle w:val="20"/>
              <w:bidi w:val="0"/>
              <w:rPr>
                <w:rFonts w:hint="eastAsia"/>
                <w:color w:val="auto"/>
                <w:lang w:val="en-US" w:eastAsia="zh-CN"/>
              </w:rPr>
            </w:pPr>
            <w:r>
              <w:rPr>
                <w:rFonts w:hint="eastAsia"/>
                <w:color w:val="auto"/>
                <w:lang w:val="en-US" w:eastAsia="zh-CN"/>
              </w:rPr>
              <w:t>劳动防护用品配备</w:t>
            </w:r>
          </w:p>
          <w:p w14:paraId="030F4778">
            <w:pPr>
              <w:pStyle w:val="20"/>
              <w:bidi w:val="0"/>
              <w:rPr>
                <w:rFonts w:hint="eastAsia"/>
                <w:color w:val="auto"/>
                <w:lang w:val="en-US" w:eastAsia="zh-CN"/>
              </w:rPr>
            </w:pPr>
            <w:r>
              <w:rPr>
                <w:rFonts w:hint="eastAsia"/>
                <w:color w:val="auto"/>
                <w:lang w:val="en-US" w:eastAsia="zh-CN"/>
              </w:rPr>
              <w:t>劳动防护用品和装备按照规范文件进行配备。</w:t>
            </w:r>
          </w:p>
        </w:tc>
        <w:tc>
          <w:tcPr>
            <w:tcW w:w="589" w:type="pct"/>
            <w:tcBorders>
              <w:tl2br w:val="nil"/>
              <w:tr2bl w:val="nil"/>
            </w:tcBorders>
            <w:noWrap w:val="0"/>
            <w:vAlign w:val="center"/>
          </w:tcPr>
          <w:p w14:paraId="446F1AC2">
            <w:pPr>
              <w:pStyle w:val="20"/>
              <w:bidi w:val="0"/>
              <w:rPr>
                <w:rFonts w:hint="default"/>
                <w:color w:val="auto"/>
                <w:lang w:val="en-US" w:eastAsia="zh-CN"/>
              </w:rPr>
            </w:pPr>
            <w:r>
              <w:rPr>
                <w:rFonts w:hint="eastAsia"/>
                <w:color w:val="auto"/>
                <w:lang w:val="en-US" w:eastAsia="zh-CN"/>
              </w:rPr>
              <w:t>已落实</w:t>
            </w:r>
          </w:p>
        </w:tc>
      </w:tr>
    </w:tbl>
    <w:p w14:paraId="7EDA2E16">
      <w:pPr>
        <w:rPr>
          <w:rFonts w:hint="eastAsia" w:eastAsia="宋体"/>
          <w:color w:val="auto"/>
          <w:lang w:val="en-US" w:eastAsia="zh-CN"/>
        </w:rPr>
      </w:pPr>
      <w:r>
        <w:rPr>
          <w:rFonts w:hint="eastAsia"/>
          <w:color w:val="auto"/>
          <w:lang w:val="en-US" w:eastAsia="zh-CN"/>
        </w:rPr>
        <w:t>总结：据企业介绍，本项目设计中涉及的四台叉车实际未使用，故本项目不涉及特种设备。</w:t>
      </w:r>
      <w:r>
        <w:rPr>
          <w:rFonts w:hint="eastAsia"/>
          <w:color w:val="auto"/>
        </w:rPr>
        <w:br w:type="page"/>
      </w:r>
    </w:p>
    <w:p w14:paraId="3C93CE35">
      <w:pPr>
        <w:pStyle w:val="2"/>
        <w:numPr>
          <w:ilvl w:val="0"/>
          <w:numId w:val="0"/>
        </w:numPr>
        <w:bidi w:val="0"/>
        <w:ind w:left="0" w:leftChars="0" w:firstLine="0" w:firstLineChars="0"/>
        <w:rPr>
          <w:rFonts w:hint="eastAsia"/>
          <w:color w:val="auto"/>
        </w:rPr>
      </w:pPr>
      <w:bookmarkStart w:id="118" w:name="_Toc14724"/>
      <w:r>
        <w:rPr>
          <w:rFonts w:hint="eastAsia" w:ascii="Times New Roman" w:hAnsi="Times New Roman" w:eastAsia="宋体" w:cs="Times New Roman"/>
          <w:b/>
          <w:color w:val="auto"/>
          <w:kern w:val="44"/>
          <w:sz w:val="32"/>
          <w:szCs w:val="28"/>
          <w:lang w:val="en-US" w:eastAsia="zh-CN" w:bidi="ar-SA"/>
        </w:rPr>
        <w:t>6.</w:t>
      </w:r>
      <w:r>
        <w:rPr>
          <w:rFonts w:hint="eastAsia"/>
          <w:color w:val="auto"/>
        </w:rPr>
        <w:t>定量评价</w:t>
      </w:r>
      <w:bookmarkEnd w:id="118"/>
    </w:p>
    <w:p w14:paraId="7BA67D65">
      <w:pPr>
        <w:pStyle w:val="3"/>
        <w:bidi w:val="0"/>
        <w:rPr>
          <w:rFonts w:hint="default"/>
          <w:color w:val="auto"/>
          <w:lang w:val="en-US" w:eastAsia="zh-CN"/>
        </w:rPr>
      </w:pPr>
      <w:bookmarkStart w:id="119" w:name="_Toc3049"/>
      <w:r>
        <w:rPr>
          <w:rFonts w:hint="default"/>
          <w:color w:val="auto"/>
          <w:lang w:val="en-US" w:eastAsia="zh-CN"/>
        </w:rPr>
        <w:t>6.</w:t>
      </w:r>
      <w:r>
        <w:rPr>
          <w:rFonts w:hint="eastAsia"/>
          <w:color w:val="auto"/>
          <w:lang w:val="en-US" w:eastAsia="zh-CN"/>
        </w:rPr>
        <w:t>1</w:t>
      </w:r>
      <w:r>
        <w:rPr>
          <w:rFonts w:hint="default"/>
          <w:color w:val="auto"/>
          <w:lang w:val="en-US" w:eastAsia="zh-CN"/>
        </w:rPr>
        <w:t>作业条件危险性分析</w:t>
      </w:r>
      <w:bookmarkEnd w:id="119"/>
    </w:p>
    <w:p w14:paraId="12AF15CA">
      <w:pPr>
        <w:bidi w:val="0"/>
        <w:rPr>
          <w:rFonts w:hint="eastAsia"/>
          <w:color w:val="auto"/>
          <w:lang w:val="en-US" w:eastAsia="zh-CN"/>
        </w:rPr>
      </w:pPr>
      <w:r>
        <w:rPr>
          <w:rFonts w:hint="default"/>
          <w:color w:val="auto"/>
          <w:lang w:val="en-US" w:eastAsia="zh-CN"/>
        </w:rPr>
        <w:t>根据本项目总平面布置、生产工艺过程等分析，采用作业条件危险性分析法</w:t>
      </w:r>
      <w:r>
        <w:rPr>
          <w:rFonts w:hint="eastAsia"/>
          <w:color w:val="auto"/>
          <w:lang w:val="en-US" w:eastAsia="zh-CN"/>
        </w:rPr>
        <w:t>，以配电室单元为例：</w:t>
      </w:r>
    </w:p>
    <w:p w14:paraId="5B931AEF">
      <w:pPr>
        <w:bidi w:val="0"/>
        <w:rPr>
          <w:rFonts w:hint="default"/>
          <w:color w:val="auto"/>
          <w:lang w:val="en-US" w:eastAsia="zh-CN"/>
        </w:rPr>
      </w:pPr>
      <w:r>
        <w:rPr>
          <w:rFonts w:hint="default"/>
          <w:color w:val="auto"/>
          <w:lang w:val="en-US" w:eastAsia="zh-CN"/>
        </w:rPr>
        <w:t>1</w:t>
      </w:r>
      <w:r>
        <w:rPr>
          <w:rFonts w:hint="eastAsia"/>
          <w:color w:val="auto"/>
          <w:lang w:val="en-US" w:eastAsia="zh-CN"/>
        </w:rPr>
        <w:t>.</w:t>
      </w:r>
      <w:r>
        <w:rPr>
          <w:rFonts w:hint="default"/>
          <w:color w:val="auto"/>
          <w:lang w:val="en-US" w:eastAsia="zh-CN"/>
        </w:rPr>
        <w:t>事故发生的可能性L：</w:t>
      </w:r>
      <w:r>
        <w:rPr>
          <w:rFonts w:hint="eastAsia"/>
          <w:color w:val="auto"/>
          <w:lang w:val="en-US" w:eastAsia="zh-CN"/>
        </w:rPr>
        <w:t>配电室</w:t>
      </w:r>
      <w:r>
        <w:rPr>
          <w:rFonts w:hint="default"/>
          <w:color w:val="auto"/>
          <w:lang w:val="en-US" w:eastAsia="zh-CN"/>
        </w:rPr>
        <w:t>发生火灾属“可能性很小，完全意外”，故其分值L＝1；</w:t>
      </w:r>
    </w:p>
    <w:p w14:paraId="5EAFFDEB">
      <w:pPr>
        <w:bidi w:val="0"/>
        <w:rPr>
          <w:rFonts w:hint="default"/>
          <w:color w:val="auto"/>
          <w:lang w:val="en-US" w:eastAsia="zh-CN"/>
        </w:rPr>
      </w:pPr>
      <w:r>
        <w:rPr>
          <w:rFonts w:hint="default"/>
          <w:color w:val="auto"/>
          <w:lang w:val="en-US" w:eastAsia="zh-CN"/>
        </w:rPr>
        <w:t>2</w:t>
      </w:r>
      <w:r>
        <w:rPr>
          <w:rFonts w:hint="eastAsia"/>
          <w:color w:val="auto"/>
          <w:lang w:val="en-US" w:eastAsia="zh-CN"/>
        </w:rPr>
        <w:t>.</w:t>
      </w:r>
      <w:r>
        <w:rPr>
          <w:rFonts w:hint="default"/>
          <w:color w:val="auto"/>
          <w:lang w:val="en-US" w:eastAsia="zh-CN"/>
        </w:rPr>
        <w:t>暴露于危险环境的频繁程度E：每周一次或偶然暴露，故取E＝</w:t>
      </w:r>
      <w:r>
        <w:rPr>
          <w:rFonts w:hint="eastAsia"/>
          <w:color w:val="auto"/>
          <w:lang w:val="en-US" w:eastAsia="zh-CN"/>
        </w:rPr>
        <w:t>3</w:t>
      </w:r>
      <w:r>
        <w:rPr>
          <w:rFonts w:hint="default"/>
          <w:color w:val="auto"/>
          <w:lang w:val="en-US" w:eastAsia="zh-CN"/>
        </w:rPr>
        <w:t>；</w:t>
      </w:r>
    </w:p>
    <w:p w14:paraId="0FAEF9D5">
      <w:pPr>
        <w:bidi w:val="0"/>
        <w:rPr>
          <w:rFonts w:hint="default"/>
          <w:color w:val="auto"/>
          <w:lang w:val="en-US" w:eastAsia="zh-CN"/>
        </w:rPr>
      </w:pPr>
      <w:r>
        <w:rPr>
          <w:rFonts w:hint="default"/>
          <w:color w:val="auto"/>
          <w:lang w:val="en-US" w:eastAsia="zh-CN"/>
        </w:rPr>
        <w:t>3</w:t>
      </w:r>
      <w:r>
        <w:rPr>
          <w:rFonts w:hint="eastAsia"/>
          <w:color w:val="auto"/>
          <w:lang w:val="en-US" w:eastAsia="zh-CN"/>
        </w:rPr>
        <w:t>.</w:t>
      </w:r>
      <w:r>
        <w:rPr>
          <w:rFonts w:hint="default"/>
          <w:color w:val="auto"/>
          <w:lang w:val="en-US" w:eastAsia="zh-CN"/>
        </w:rPr>
        <w:t>发生事故产生的后果C：可能造成人员伤害，故取C＝</w:t>
      </w:r>
      <w:r>
        <w:rPr>
          <w:rFonts w:hint="eastAsia"/>
          <w:color w:val="auto"/>
          <w:lang w:val="en-US" w:eastAsia="zh-CN"/>
        </w:rPr>
        <w:t>15</w:t>
      </w:r>
      <w:r>
        <w:rPr>
          <w:rFonts w:hint="default"/>
          <w:color w:val="auto"/>
          <w:lang w:val="en-US" w:eastAsia="zh-CN"/>
        </w:rPr>
        <w:t>；</w:t>
      </w:r>
    </w:p>
    <w:p w14:paraId="3C0A958C">
      <w:pPr>
        <w:bidi w:val="0"/>
        <w:rPr>
          <w:rFonts w:hint="default"/>
          <w:color w:val="auto"/>
          <w:lang w:val="en-US" w:eastAsia="zh-CN"/>
        </w:rPr>
      </w:pPr>
      <w:r>
        <w:rPr>
          <w:rFonts w:hint="default"/>
          <w:color w:val="auto"/>
          <w:lang w:val="en-US" w:eastAsia="zh-CN"/>
        </w:rPr>
        <w:t>D＝L×E×C＝1×</w:t>
      </w:r>
      <w:r>
        <w:rPr>
          <w:rFonts w:hint="eastAsia"/>
          <w:color w:val="auto"/>
          <w:lang w:val="en-US" w:eastAsia="zh-CN"/>
        </w:rPr>
        <w:t>3</w:t>
      </w:r>
      <w:r>
        <w:rPr>
          <w:rFonts w:hint="default"/>
          <w:color w:val="auto"/>
          <w:lang w:val="en-US" w:eastAsia="zh-CN"/>
        </w:rPr>
        <w:t>×</w:t>
      </w:r>
      <w:r>
        <w:rPr>
          <w:rFonts w:hint="eastAsia"/>
          <w:color w:val="auto"/>
          <w:lang w:val="en-US" w:eastAsia="zh-CN"/>
        </w:rPr>
        <w:t>15</w:t>
      </w:r>
      <w:r>
        <w:rPr>
          <w:rFonts w:hint="default"/>
          <w:color w:val="auto"/>
          <w:lang w:val="en-US" w:eastAsia="zh-CN"/>
        </w:rPr>
        <w:t>＝</w:t>
      </w:r>
      <w:r>
        <w:rPr>
          <w:rFonts w:hint="eastAsia"/>
          <w:color w:val="auto"/>
          <w:lang w:val="en-US" w:eastAsia="zh-CN"/>
        </w:rPr>
        <w:t>45</w:t>
      </w:r>
      <w:r>
        <w:rPr>
          <w:rFonts w:hint="default"/>
          <w:color w:val="auto"/>
          <w:lang w:val="en-US" w:eastAsia="zh-CN"/>
        </w:rPr>
        <w:t>。</w:t>
      </w:r>
    </w:p>
    <w:p w14:paraId="4492DCC3">
      <w:pPr>
        <w:bidi w:val="0"/>
        <w:rPr>
          <w:rFonts w:hint="default"/>
          <w:color w:val="auto"/>
          <w:lang w:val="en-US" w:eastAsia="zh-CN"/>
        </w:rPr>
      </w:pPr>
      <w:r>
        <w:rPr>
          <w:rFonts w:hint="eastAsia"/>
          <w:color w:val="auto"/>
          <w:lang w:val="en-US" w:eastAsia="zh-CN"/>
        </w:rPr>
        <w:t>综上所述，配电室发生火灾危险性等级D为45分，</w:t>
      </w:r>
      <w:r>
        <w:rPr>
          <w:rFonts w:hint="default"/>
          <w:color w:val="auto"/>
          <w:lang w:val="en-US" w:eastAsia="zh-CN"/>
        </w:rPr>
        <w:t>属“一般危险，需要注意”范围。</w:t>
      </w:r>
    </w:p>
    <w:p w14:paraId="3FB4954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en-US" w:eastAsia="zh-CN"/>
        </w:rPr>
      </w:pPr>
      <w:r>
        <w:rPr>
          <w:rFonts w:hint="eastAsia"/>
          <w:color w:val="auto"/>
          <w:lang w:val="en-US" w:eastAsia="zh-CN"/>
        </w:rPr>
        <w:t>表6.1-1作业条件危险性评价表</w:t>
      </w:r>
    </w:p>
    <w:tbl>
      <w:tblPr>
        <w:tblStyle w:val="14"/>
        <w:tblW w:w="94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448"/>
        <w:gridCol w:w="2171"/>
        <w:gridCol w:w="644"/>
        <w:gridCol w:w="658"/>
        <w:gridCol w:w="579"/>
        <w:gridCol w:w="816"/>
        <w:gridCol w:w="2618"/>
      </w:tblGrid>
      <w:tr w14:paraId="5A2A70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9" w:hRule="atLeast"/>
          <w:tblHeader/>
        </w:trPr>
        <w:tc>
          <w:tcPr>
            <w:tcW w:w="546" w:type="dxa"/>
            <w:vMerge w:val="restart"/>
            <w:noWrap w:val="0"/>
            <w:vAlign w:val="center"/>
          </w:tcPr>
          <w:p w14:paraId="3A06EBAF">
            <w:pPr>
              <w:pStyle w:val="21"/>
              <w:bidi w:val="0"/>
              <w:rPr>
                <w:color w:val="auto"/>
              </w:rPr>
            </w:pPr>
            <w:r>
              <w:rPr>
                <w:color w:val="auto"/>
              </w:rPr>
              <w:t>序号</w:t>
            </w:r>
          </w:p>
        </w:tc>
        <w:tc>
          <w:tcPr>
            <w:tcW w:w="1448" w:type="dxa"/>
            <w:vMerge w:val="restart"/>
            <w:noWrap w:val="0"/>
            <w:vAlign w:val="center"/>
          </w:tcPr>
          <w:p w14:paraId="5B41718B">
            <w:pPr>
              <w:pStyle w:val="21"/>
              <w:bidi w:val="0"/>
              <w:rPr>
                <w:color w:val="auto"/>
              </w:rPr>
            </w:pPr>
            <w:r>
              <w:rPr>
                <w:color w:val="auto"/>
              </w:rPr>
              <w:t>评价单元</w:t>
            </w:r>
          </w:p>
        </w:tc>
        <w:tc>
          <w:tcPr>
            <w:tcW w:w="2171" w:type="dxa"/>
            <w:vMerge w:val="restart"/>
            <w:noWrap w:val="0"/>
            <w:vAlign w:val="center"/>
          </w:tcPr>
          <w:p w14:paraId="5B44DDB8">
            <w:pPr>
              <w:pStyle w:val="21"/>
              <w:bidi w:val="0"/>
              <w:rPr>
                <w:color w:val="auto"/>
              </w:rPr>
            </w:pPr>
            <w:r>
              <w:rPr>
                <w:color w:val="auto"/>
              </w:rPr>
              <w:t>危险源及潜在危险</w:t>
            </w:r>
          </w:p>
        </w:tc>
        <w:tc>
          <w:tcPr>
            <w:tcW w:w="2697" w:type="dxa"/>
            <w:gridSpan w:val="4"/>
            <w:noWrap w:val="0"/>
            <w:vAlign w:val="center"/>
          </w:tcPr>
          <w:p w14:paraId="7FE00671">
            <w:pPr>
              <w:pStyle w:val="21"/>
              <w:bidi w:val="0"/>
              <w:rPr>
                <w:color w:val="auto"/>
              </w:rPr>
            </w:pPr>
            <w:r>
              <w:rPr>
                <w:color w:val="auto"/>
              </w:rPr>
              <w:t>D＝L×E×C</w:t>
            </w:r>
          </w:p>
        </w:tc>
        <w:tc>
          <w:tcPr>
            <w:tcW w:w="2618" w:type="dxa"/>
            <w:vMerge w:val="restart"/>
            <w:noWrap w:val="0"/>
            <w:vAlign w:val="center"/>
          </w:tcPr>
          <w:p w14:paraId="0DF0E24D">
            <w:pPr>
              <w:pStyle w:val="21"/>
              <w:bidi w:val="0"/>
              <w:rPr>
                <w:color w:val="auto"/>
              </w:rPr>
            </w:pPr>
            <w:r>
              <w:rPr>
                <w:color w:val="auto"/>
              </w:rPr>
              <w:t>危险等级</w:t>
            </w:r>
          </w:p>
        </w:tc>
      </w:tr>
      <w:tr w14:paraId="5335D7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blHeader/>
        </w:trPr>
        <w:tc>
          <w:tcPr>
            <w:tcW w:w="546" w:type="dxa"/>
            <w:vMerge w:val="continue"/>
            <w:noWrap w:val="0"/>
            <w:vAlign w:val="center"/>
          </w:tcPr>
          <w:p w14:paraId="531AF9F6">
            <w:pPr>
              <w:widowControl/>
              <w:adjustRightInd/>
              <w:snapToGrid/>
              <w:spacing w:line="320" w:lineRule="exact"/>
              <w:ind w:firstLine="0" w:firstLineChars="0"/>
              <w:jc w:val="center"/>
              <w:rPr>
                <w:rFonts w:ascii="Times New Roman" w:hAnsi="Times New Roman" w:eastAsia="宋体" w:cs="Times New Roman"/>
                <w:color w:val="auto"/>
                <w:sz w:val="21"/>
                <w:szCs w:val="21"/>
              </w:rPr>
            </w:pPr>
          </w:p>
        </w:tc>
        <w:tc>
          <w:tcPr>
            <w:tcW w:w="1448" w:type="dxa"/>
            <w:vMerge w:val="continue"/>
            <w:noWrap w:val="0"/>
            <w:vAlign w:val="center"/>
          </w:tcPr>
          <w:p w14:paraId="04F9247F">
            <w:pPr>
              <w:widowControl/>
              <w:adjustRightInd/>
              <w:snapToGrid/>
              <w:spacing w:line="320" w:lineRule="exact"/>
              <w:ind w:firstLine="0" w:firstLineChars="0"/>
              <w:jc w:val="center"/>
              <w:rPr>
                <w:rFonts w:ascii="Times New Roman" w:hAnsi="Times New Roman" w:eastAsia="宋体" w:cs="Times New Roman"/>
                <w:color w:val="auto"/>
                <w:sz w:val="21"/>
                <w:szCs w:val="21"/>
              </w:rPr>
            </w:pPr>
          </w:p>
        </w:tc>
        <w:tc>
          <w:tcPr>
            <w:tcW w:w="2171" w:type="dxa"/>
            <w:vMerge w:val="continue"/>
            <w:noWrap w:val="0"/>
            <w:vAlign w:val="center"/>
          </w:tcPr>
          <w:p w14:paraId="3951BC08">
            <w:pPr>
              <w:widowControl/>
              <w:adjustRightInd/>
              <w:snapToGrid/>
              <w:spacing w:line="320" w:lineRule="exact"/>
              <w:ind w:firstLine="0" w:firstLineChars="0"/>
              <w:jc w:val="center"/>
              <w:rPr>
                <w:rFonts w:ascii="Times New Roman" w:hAnsi="Times New Roman" w:eastAsia="宋体" w:cs="Times New Roman"/>
                <w:color w:val="auto"/>
                <w:sz w:val="21"/>
                <w:szCs w:val="21"/>
              </w:rPr>
            </w:pPr>
          </w:p>
        </w:tc>
        <w:tc>
          <w:tcPr>
            <w:tcW w:w="644" w:type="dxa"/>
            <w:noWrap w:val="0"/>
            <w:vAlign w:val="center"/>
          </w:tcPr>
          <w:p w14:paraId="4A4EECE0">
            <w:pPr>
              <w:pStyle w:val="21"/>
              <w:bidi w:val="0"/>
              <w:rPr>
                <w:color w:val="auto"/>
              </w:rPr>
            </w:pPr>
            <w:r>
              <w:rPr>
                <w:color w:val="auto"/>
              </w:rPr>
              <w:t>L</w:t>
            </w:r>
          </w:p>
        </w:tc>
        <w:tc>
          <w:tcPr>
            <w:tcW w:w="658" w:type="dxa"/>
            <w:noWrap w:val="0"/>
            <w:vAlign w:val="center"/>
          </w:tcPr>
          <w:p w14:paraId="052C153C">
            <w:pPr>
              <w:pStyle w:val="21"/>
              <w:bidi w:val="0"/>
              <w:rPr>
                <w:color w:val="auto"/>
              </w:rPr>
            </w:pPr>
            <w:r>
              <w:rPr>
                <w:color w:val="auto"/>
              </w:rPr>
              <w:t>E</w:t>
            </w:r>
          </w:p>
        </w:tc>
        <w:tc>
          <w:tcPr>
            <w:tcW w:w="579" w:type="dxa"/>
            <w:noWrap w:val="0"/>
            <w:vAlign w:val="center"/>
          </w:tcPr>
          <w:p w14:paraId="08C589B9">
            <w:pPr>
              <w:pStyle w:val="21"/>
              <w:bidi w:val="0"/>
              <w:rPr>
                <w:color w:val="auto"/>
              </w:rPr>
            </w:pPr>
            <w:r>
              <w:rPr>
                <w:color w:val="auto"/>
              </w:rPr>
              <w:t>C</w:t>
            </w:r>
          </w:p>
        </w:tc>
        <w:tc>
          <w:tcPr>
            <w:tcW w:w="816" w:type="dxa"/>
            <w:noWrap w:val="0"/>
            <w:vAlign w:val="center"/>
          </w:tcPr>
          <w:p w14:paraId="15731828">
            <w:pPr>
              <w:pStyle w:val="21"/>
              <w:bidi w:val="0"/>
              <w:rPr>
                <w:color w:val="auto"/>
              </w:rPr>
            </w:pPr>
            <w:r>
              <w:rPr>
                <w:color w:val="auto"/>
              </w:rPr>
              <w:t>D</w:t>
            </w:r>
          </w:p>
        </w:tc>
        <w:tc>
          <w:tcPr>
            <w:tcW w:w="2618" w:type="dxa"/>
            <w:vMerge w:val="continue"/>
            <w:noWrap w:val="0"/>
            <w:vAlign w:val="center"/>
          </w:tcPr>
          <w:p w14:paraId="3EE875F8">
            <w:pPr>
              <w:widowControl/>
              <w:adjustRightInd/>
              <w:snapToGrid/>
              <w:spacing w:line="320" w:lineRule="exact"/>
              <w:ind w:firstLine="0" w:firstLineChars="0"/>
              <w:jc w:val="center"/>
              <w:rPr>
                <w:rFonts w:ascii="Times New Roman" w:hAnsi="Times New Roman" w:eastAsia="宋体" w:cs="Times New Roman"/>
                <w:color w:val="auto"/>
                <w:sz w:val="21"/>
                <w:szCs w:val="21"/>
              </w:rPr>
            </w:pPr>
          </w:p>
        </w:tc>
      </w:tr>
      <w:tr w14:paraId="40AAB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restart"/>
            <w:noWrap w:val="0"/>
            <w:vAlign w:val="center"/>
          </w:tcPr>
          <w:p w14:paraId="680A2D1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w:t>
            </w:r>
          </w:p>
        </w:tc>
        <w:tc>
          <w:tcPr>
            <w:tcW w:w="1448" w:type="dxa"/>
            <w:vMerge w:val="restart"/>
            <w:noWrap w:val="0"/>
            <w:vAlign w:val="center"/>
          </w:tcPr>
          <w:p w14:paraId="2A9E238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lang w:val="en-US" w:eastAsia="zh-CN"/>
              </w:rPr>
              <w:t>配电室</w:t>
            </w:r>
          </w:p>
        </w:tc>
        <w:tc>
          <w:tcPr>
            <w:tcW w:w="2171" w:type="dxa"/>
            <w:noWrap w:val="0"/>
            <w:vAlign w:val="center"/>
          </w:tcPr>
          <w:p w14:paraId="059CE11F">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火灾</w:t>
            </w:r>
          </w:p>
        </w:tc>
        <w:tc>
          <w:tcPr>
            <w:tcW w:w="644" w:type="dxa"/>
            <w:noWrap w:val="0"/>
            <w:vAlign w:val="center"/>
          </w:tcPr>
          <w:p w14:paraId="7440705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w:t>
            </w:r>
          </w:p>
        </w:tc>
        <w:tc>
          <w:tcPr>
            <w:tcW w:w="658" w:type="dxa"/>
            <w:noWrap w:val="0"/>
            <w:vAlign w:val="center"/>
          </w:tcPr>
          <w:p w14:paraId="2318E4E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3</w:t>
            </w:r>
          </w:p>
        </w:tc>
        <w:tc>
          <w:tcPr>
            <w:tcW w:w="579" w:type="dxa"/>
            <w:noWrap w:val="0"/>
            <w:vAlign w:val="center"/>
          </w:tcPr>
          <w:p w14:paraId="2A9B78A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15</w:t>
            </w:r>
          </w:p>
        </w:tc>
        <w:tc>
          <w:tcPr>
            <w:tcW w:w="816" w:type="dxa"/>
            <w:noWrap w:val="0"/>
            <w:vAlign w:val="center"/>
          </w:tcPr>
          <w:p w14:paraId="3A470CF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45</w:t>
            </w:r>
          </w:p>
        </w:tc>
        <w:tc>
          <w:tcPr>
            <w:tcW w:w="2618" w:type="dxa"/>
            <w:noWrap w:val="0"/>
            <w:vAlign w:val="center"/>
          </w:tcPr>
          <w:p w14:paraId="0845270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5514DB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631C64C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44C3217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5B550B9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灼烫</w:t>
            </w:r>
          </w:p>
        </w:tc>
        <w:tc>
          <w:tcPr>
            <w:tcW w:w="644" w:type="dxa"/>
            <w:noWrap w:val="0"/>
            <w:vAlign w:val="center"/>
          </w:tcPr>
          <w:p w14:paraId="184FC33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w:t>
            </w:r>
          </w:p>
        </w:tc>
        <w:tc>
          <w:tcPr>
            <w:tcW w:w="658" w:type="dxa"/>
            <w:noWrap w:val="0"/>
            <w:vAlign w:val="center"/>
          </w:tcPr>
          <w:p w14:paraId="5CB3456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3</w:t>
            </w:r>
          </w:p>
        </w:tc>
        <w:tc>
          <w:tcPr>
            <w:tcW w:w="579" w:type="dxa"/>
            <w:noWrap w:val="0"/>
            <w:vAlign w:val="center"/>
          </w:tcPr>
          <w:p w14:paraId="662964E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1270CD4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21</w:t>
            </w:r>
          </w:p>
        </w:tc>
        <w:tc>
          <w:tcPr>
            <w:tcW w:w="2618" w:type="dxa"/>
            <w:noWrap w:val="0"/>
            <w:vAlign w:val="center"/>
          </w:tcPr>
          <w:p w14:paraId="57387FF1">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2F2AE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008F3D5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0F98DFC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589B511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rPr>
            </w:pPr>
            <w:r>
              <w:rPr>
                <w:rFonts w:hint="eastAsia"/>
                <w:color w:val="auto"/>
              </w:rPr>
              <w:t>触电</w:t>
            </w:r>
          </w:p>
        </w:tc>
        <w:tc>
          <w:tcPr>
            <w:tcW w:w="644" w:type="dxa"/>
            <w:noWrap w:val="0"/>
            <w:vAlign w:val="center"/>
          </w:tcPr>
          <w:p w14:paraId="16D0FF8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rPr>
            </w:pPr>
            <w:r>
              <w:rPr>
                <w:rFonts w:hint="eastAsia"/>
                <w:color w:val="auto"/>
              </w:rPr>
              <w:t>1</w:t>
            </w:r>
          </w:p>
        </w:tc>
        <w:tc>
          <w:tcPr>
            <w:tcW w:w="658" w:type="dxa"/>
            <w:noWrap w:val="0"/>
            <w:vAlign w:val="center"/>
          </w:tcPr>
          <w:p w14:paraId="2A9C6FC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3</w:t>
            </w:r>
          </w:p>
        </w:tc>
        <w:tc>
          <w:tcPr>
            <w:tcW w:w="579" w:type="dxa"/>
            <w:noWrap w:val="0"/>
            <w:vAlign w:val="center"/>
          </w:tcPr>
          <w:p w14:paraId="3C9631B3">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rPr>
              <w:t>7</w:t>
            </w:r>
          </w:p>
        </w:tc>
        <w:tc>
          <w:tcPr>
            <w:tcW w:w="816" w:type="dxa"/>
            <w:noWrap w:val="0"/>
            <w:vAlign w:val="center"/>
          </w:tcPr>
          <w:p w14:paraId="2023DE8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21</w:t>
            </w:r>
          </w:p>
        </w:tc>
        <w:tc>
          <w:tcPr>
            <w:tcW w:w="2618" w:type="dxa"/>
            <w:noWrap w:val="0"/>
            <w:vAlign w:val="center"/>
          </w:tcPr>
          <w:p w14:paraId="146A89B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6D808D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1447F60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7D8C445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08A978F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物体打击</w:t>
            </w:r>
          </w:p>
        </w:tc>
        <w:tc>
          <w:tcPr>
            <w:tcW w:w="644" w:type="dxa"/>
            <w:noWrap w:val="0"/>
            <w:vAlign w:val="center"/>
          </w:tcPr>
          <w:p w14:paraId="393E20D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0.5</w:t>
            </w:r>
          </w:p>
        </w:tc>
        <w:tc>
          <w:tcPr>
            <w:tcW w:w="658" w:type="dxa"/>
            <w:noWrap w:val="0"/>
            <w:vAlign w:val="center"/>
          </w:tcPr>
          <w:p w14:paraId="2FEF7C0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3</w:t>
            </w:r>
          </w:p>
        </w:tc>
        <w:tc>
          <w:tcPr>
            <w:tcW w:w="579" w:type="dxa"/>
            <w:noWrap w:val="0"/>
            <w:vAlign w:val="center"/>
          </w:tcPr>
          <w:p w14:paraId="2EABE7AC">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6674289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10.5</w:t>
            </w:r>
          </w:p>
        </w:tc>
        <w:tc>
          <w:tcPr>
            <w:tcW w:w="2618" w:type="dxa"/>
            <w:noWrap w:val="0"/>
            <w:vAlign w:val="center"/>
          </w:tcPr>
          <w:p w14:paraId="43F0C2D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rPr>
              <w:t>稍有危险，可以接受</w:t>
            </w:r>
          </w:p>
        </w:tc>
      </w:tr>
      <w:tr w14:paraId="02B8C7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1FC4068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0FA7FEC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12CDFE23">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rPr>
            </w:pPr>
            <w:r>
              <w:rPr>
                <w:rFonts w:hint="eastAsia"/>
                <w:color w:val="auto"/>
              </w:rPr>
              <w:t>坍塌</w:t>
            </w:r>
          </w:p>
        </w:tc>
        <w:tc>
          <w:tcPr>
            <w:tcW w:w="644" w:type="dxa"/>
            <w:noWrap w:val="0"/>
            <w:vAlign w:val="center"/>
          </w:tcPr>
          <w:p w14:paraId="323504C3">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rPr>
              <w:t>0.5</w:t>
            </w:r>
          </w:p>
        </w:tc>
        <w:tc>
          <w:tcPr>
            <w:tcW w:w="658" w:type="dxa"/>
            <w:noWrap w:val="0"/>
            <w:vAlign w:val="center"/>
          </w:tcPr>
          <w:p w14:paraId="3A92965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3</w:t>
            </w:r>
          </w:p>
        </w:tc>
        <w:tc>
          <w:tcPr>
            <w:tcW w:w="579" w:type="dxa"/>
            <w:noWrap w:val="0"/>
            <w:vAlign w:val="center"/>
          </w:tcPr>
          <w:p w14:paraId="5AF6CE91">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rPr>
            </w:pPr>
            <w:r>
              <w:rPr>
                <w:rFonts w:hint="eastAsia"/>
                <w:color w:val="auto"/>
              </w:rPr>
              <w:t>7</w:t>
            </w:r>
          </w:p>
        </w:tc>
        <w:tc>
          <w:tcPr>
            <w:tcW w:w="816" w:type="dxa"/>
            <w:noWrap w:val="0"/>
            <w:vAlign w:val="center"/>
          </w:tcPr>
          <w:p w14:paraId="3DA8A20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10.5</w:t>
            </w:r>
          </w:p>
        </w:tc>
        <w:tc>
          <w:tcPr>
            <w:tcW w:w="2618" w:type="dxa"/>
            <w:noWrap w:val="0"/>
            <w:vAlign w:val="center"/>
          </w:tcPr>
          <w:p w14:paraId="5BF3188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rPr>
              <w:t>稍有危险，可以接受</w:t>
            </w:r>
          </w:p>
        </w:tc>
      </w:tr>
      <w:tr w14:paraId="0FAD4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restart"/>
            <w:noWrap w:val="0"/>
            <w:vAlign w:val="center"/>
          </w:tcPr>
          <w:p w14:paraId="702452C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2</w:t>
            </w:r>
          </w:p>
        </w:tc>
        <w:tc>
          <w:tcPr>
            <w:tcW w:w="1448" w:type="dxa"/>
            <w:vMerge w:val="restart"/>
            <w:noWrap w:val="0"/>
            <w:vAlign w:val="center"/>
          </w:tcPr>
          <w:p w14:paraId="7C931FF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吸收塔</w:t>
            </w:r>
          </w:p>
        </w:tc>
        <w:tc>
          <w:tcPr>
            <w:tcW w:w="2171" w:type="dxa"/>
            <w:noWrap w:val="0"/>
            <w:vAlign w:val="center"/>
          </w:tcPr>
          <w:p w14:paraId="2CBFDF1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机械伤害</w:t>
            </w:r>
          </w:p>
        </w:tc>
        <w:tc>
          <w:tcPr>
            <w:tcW w:w="644" w:type="dxa"/>
            <w:noWrap w:val="0"/>
            <w:vAlign w:val="center"/>
          </w:tcPr>
          <w:p w14:paraId="1304A9E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w:t>
            </w:r>
          </w:p>
        </w:tc>
        <w:tc>
          <w:tcPr>
            <w:tcW w:w="658" w:type="dxa"/>
            <w:noWrap w:val="0"/>
            <w:vAlign w:val="center"/>
          </w:tcPr>
          <w:p w14:paraId="0355763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1D88C88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1D7FE1E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42</w:t>
            </w:r>
          </w:p>
        </w:tc>
        <w:tc>
          <w:tcPr>
            <w:tcW w:w="2618" w:type="dxa"/>
            <w:noWrap w:val="0"/>
            <w:vAlign w:val="center"/>
          </w:tcPr>
          <w:p w14:paraId="267938F1">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1E1F6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74185D0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1DB96D9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3E545E5C">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物体打击</w:t>
            </w:r>
          </w:p>
        </w:tc>
        <w:tc>
          <w:tcPr>
            <w:tcW w:w="644" w:type="dxa"/>
            <w:noWrap w:val="0"/>
            <w:vAlign w:val="center"/>
          </w:tcPr>
          <w:p w14:paraId="0BD2472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0.5</w:t>
            </w:r>
          </w:p>
        </w:tc>
        <w:tc>
          <w:tcPr>
            <w:tcW w:w="658" w:type="dxa"/>
            <w:noWrap w:val="0"/>
            <w:vAlign w:val="center"/>
          </w:tcPr>
          <w:p w14:paraId="41A0C521">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3D22550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6E45B71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21</w:t>
            </w:r>
          </w:p>
        </w:tc>
        <w:tc>
          <w:tcPr>
            <w:tcW w:w="2618" w:type="dxa"/>
            <w:noWrap w:val="0"/>
            <w:vAlign w:val="center"/>
          </w:tcPr>
          <w:p w14:paraId="1228B733">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0E2036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68C10DE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3A5A9F9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4FA625A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高处坠落</w:t>
            </w:r>
          </w:p>
        </w:tc>
        <w:tc>
          <w:tcPr>
            <w:tcW w:w="644" w:type="dxa"/>
            <w:noWrap w:val="0"/>
            <w:vAlign w:val="center"/>
          </w:tcPr>
          <w:p w14:paraId="5B57CFA8">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0.5</w:t>
            </w:r>
          </w:p>
        </w:tc>
        <w:tc>
          <w:tcPr>
            <w:tcW w:w="658" w:type="dxa"/>
            <w:noWrap w:val="0"/>
            <w:vAlign w:val="center"/>
          </w:tcPr>
          <w:p w14:paraId="3A1806B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622817C1">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1A656A9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21</w:t>
            </w:r>
          </w:p>
        </w:tc>
        <w:tc>
          <w:tcPr>
            <w:tcW w:w="2618" w:type="dxa"/>
            <w:noWrap w:val="0"/>
            <w:vAlign w:val="center"/>
          </w:tcPr>
          <w:p w14:paraId="69916FF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33B39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restart"/>
            <w:noWrap w:val="0"/>
            <w:vAlign w:val="center"/>
          </w:tcPr>
          <w:p w14:paraId="6F910715">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3</w:t>
            </w:r>
          </w:p>
        </w:tc>
        <w:tc>
          <w:tcPr>
            <w:tcW w:w="1448" w:type="dxa"/>
            <w:vMerge w:val="restart"/>
            <w:noWrap w:val="0"/>
            <w:vAlign w:val="center"/>
          </w:tcPr>
          <w:p w14:paraId="76BBE748">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皮带脱水机房</w:t>
            </w:r>
          </w:p>
        </w:tc>
        <w:tc>
          <w:tcPr>
            <w:tcW w:w="2171" w:type="dxa"/>
            <w:noWrap w:val="0"/>
            <w:vAlign w:val="center"/>
          </w:tcPr>
          <w:p w14:paraId="2CE1B5C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火灾</w:t>
            </w:r>
          </w:p>
        </w:tc>
        <w:tc>
          <w:tcPr>
            <w:tcW w:w="644" w:type="dxa"/>
            <w:noWrap w:val="0"/>
            <w:vAlign w:val="center"/>
          </w:tcPr>
          <w:p w14:paraId="30729FA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w:t>
            </w:r>
          </w:p>
        </w:tc>
        <w:tc>
          <w:tcPr>
            <w:tcW w:w="658" w:type="dxa"/>
            <w:noWrap w:val="0"/>
            <w:vAlign w:val="center"/>
          </w:tcPr>
          <w:p w14:paraId="3375E76A">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3</w:t>
            </w:r>
          </w:p>
        </w:tc>
        <w:tc>
          <w:tcPr>
            <w:tcW w:w="579" w:type="dxa"/>
            <w:noWrap w:val="0"/>
            <w:vAlign w:val="center"/>
          </w:tcPr>
          <w:p w14:paraId="503626D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15</w:t>
            </w:r>
          </w:p>
        </w:tc>
        <w:tc>
          <w:tcPr>
            <w:tcW w:w="816" w:type="dxa"/>
            <w:noWrap w:val="0"/>
            <w:vAlign w:val="center"/>
          </w:tcPr>
          <w:p w14:paraId="6559EC2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45</w:t>
            </w:r>
          </w:p>
        </w:tc>
        <w:tc>
          <w:tcPr>
            <w:tcW w:w="2618" w:type="dxa"/>
            <w:noWrap w:val="0"/>
            <w:vAlign w:val="center"/>
          </w:tcPr>
          <w:p w14:paraId="43CC0F7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7321DA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031396EC">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2C7EF41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0521252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rPr>
              <w:t>触电</w:t>
            </w:r>
          </w:p>
        </w:tc>
        <w:tc>
          <w:tcPr>
            <w:tcW w:w="644" w:type="dxa"/>
            <w:noWrap w:val="0"/>
            <w:vAlign w:val="center"/>
          </w:tcPr>
          <w:p w14:paraId="0F0CD14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0.5</w:t>
            </w:r>
          </w:p>
        </w:tc>
        <w:tc>
          <w:tcPr>
            <w:tcW w:w="658" w:type="dxa"/>
            <w:noWrap w:val="0"/>
            <w:vAlign w:val="center"/>
          </w:tcPr>
          <w:p w14:paraId="76B8808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3</w:t>
            </w:r>
          </w:p>
        </w:tc>
        <w:tc>
          <w:tcPr>
            <w:tcW w:w="579" w:type="dxa"/>
            <w:noWrap w:val="0"/>
            <w:vAlign w:val="center"/>
          </w:tcPr>
          <w:p w14:paraId="325238C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0A23A85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10.5</w:t>
            </w:r>
          </w:p>
        </w:tc>
        <w:tc>
          <w:tcPr>
            <w:tcW w:w="2618" w:type="dxa"/>
            <w:noWrap w:val="0"/>
            <w:vAlign w:val="center"/>
          </w:tcPr>
          <w:p w14:paraId="400DB003">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稍有危险，可以接受</w:t>
            </w:r>
          </w:p>
        </w:tc>
      </w:tr>
      <w:tr w14:paraId="72EC35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50FD461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7E90232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70F4A56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rPr>
            </w:pPr>
            <w:r>
              <w:rPr>
                <w:color w:val="auto"/>
              </w:rPr>
              <w:t>机械伤害</w:t>
            </w:r>
          </w:p>
        </w:tc>
        <w:tc>
          <w:tcPr>
            <w:tcW w:w="644" w:type="dxa"/>
            <w:noWrap w:val="0"/>
            <w:vAlign w:val="center"/>
          </w:tcPr>
          <w:p w14:paraId="381189CF">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1</w:t>
            </w:r>
          </w:p>
        </w:tc>
        <w:tc>
          <w:tcPr>
            <w:tcW w:w="658" w:type="dxa"/>
            <w:noWrap w:val="0"/>
            <w:vAlign w:val="center"/>
          </w:tcPr>
          <w:p w14:paraId="7B8DE1C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714C7D4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18B53AC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42</w:t>
            </w:r>
          </w:p>
        </w:tc>
        <w:tc>
          <w:tcPr>
            <w:tcW w:w="2618" w:type="dxa"/>
            <w:noWrap w:val="0"/>
            <w:vAlign w:val="center"/>
          </w:tcPr>
          <w:p w14:paraId="63C2834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66AD4F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41C1EA37">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64780F0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50C305FC">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物体打击</w:t>
            </w:r>
          </w:p>
        </w:tc>
        <w:tc>
          <w:tcPr>
            <w:tcW w:w="644" w:type="dxa"/>
            <w:noWrap w:val="0"/>
            <w:vAlign w:val="center"/>
          </w:tcPr>
          <w:p w14:paraId="5E3EC40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1</w:t>
            </w:r>
          </w:p>
        </w:tc>
        <w:tc>
          <w:tcPr>
            <w:tcW w:w="658" w:type="dxa"/>
            <w:noWrap w:val="0"/>
            <w:vAlign w:val="center"/>
          </w:tcPr>
          <w:p w14:paraId="38ED5BC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6E85E5F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7C93EC9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42</w:t>
            </w:r>
          </w:p>
        </w:tc>
        <w:tc>
          <w:tcPr>
            <w:tcW w:w="2618" w:type="dxa"/>
            <w:noWrap w:val="0"/>
            <w:vAlign w:val="center"/>
          </w:tcPr>
          <w:p w14:paraId="3EF875B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015942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501497D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4990349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76F3A96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高处坠落</w:t>
            </w:r>
          </w:p>
        </w:tc>
        <w:tc>
          <w:tcPr>
            <w:tcW w:w="644" w:type="dxa"/>
            <w:noWrap w:val="0"/>
            <w:vAlign w:val="center"/>
          </w:tcPr>
          <w:p w14:paraId="1B2D0A8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1</w:t>
            </w:r>
          </w:p>
        </w:tc>
        <w:tc>
          <w:tcPr>
            <w:tcW w:w="658" w:type="dxa"/>
            <w:noWrap w:val="0"/>
            <w:vAlign w:val="center"/>
          </w:tcPr>
          <w:p w14:paraId="7BCAC20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23F8D344">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7</w:t>
            </w:r>
          </w:p>
        </w:tc>
        <w:tc>
          <w:tcPr>
            <w:tcW w:w="816" w:type="dxa"/>
            <w:noWrap w:val="0"/>
            <w:vAlign w:val="center"/>
          </w:tcPr>
          <w:p w14:paraId="00F9F836">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42</w:t>
            </w:r>
          </w:p>
        </w:tc>
        <w:tc>
          <w:tcPr>
            <w:tcW w:w="2618" w:type="dxa"/>
            <w:noWrap w:val="0"/>
            <w:vAlign w:val="center"/>
          </w:tcPr>
          <w:p w14:paraId="3315D70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一般危险，需要注意</w:t>
            </w:r>
          </w:p>
        </w:tc>
      </w:tr>
      <w:tr w14:paraId="391894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33D802D8">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5A9CAC6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535AA89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噪声</w:t>
            </w:r>
          </w:p>
        </w:tc>
        <w:tc>
          <w:tcPr>
            <w:tcW w:w="644" w:type="dxa"/>
            <w:noWrap w:val="0"/>
            <w:vAlign w:val="center"/>
          </w:tcPr>
          <w:p w14:paraId="6700E71D">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1</w:t>
            </w:r>
          </w:p>
        </w:tc>
        <w:tc>
          <w:tcPr>
            <w:tcW w:w="658" w:type="dxa"/>
            <w:noWrap w:val="0"/>
            <w:vAlign w:val="center"/>
          </w:tcPr>
          <w:p w14:paraId="6885E178">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6</w:t>
            </w:r>
          </w:p>
        </w:tc>
        <w:tc>
          <w:tcPr>
            <w:tcW w:w="579" w:type="dxa"/>
            <w:noWrap w:val="0"/>
            <w:vAlign w:val="center"/>
          </w:tcPr>
          <w:p w14:paraId="2FE43C11">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3</w:t>
            </w:r>
          </w:p>
        </w:tc>
        <w:tc>
          <w:tcPr>
            <w:tcW w:w="816" w:type="dxa"/>
            <w:noWrap w:val="0"/>
            <w:vAlign w:val="center"/>
          </w:tcPr>
          <w:p w14:paraId="55EEE69E">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color w:val="auto"/>
                <w:lang w:val="en-US" w:eastAsia="zh-CN"/>
              </w:rPr>
            </w:pPr>
            <w:r>
              <w:rPr>
                <w:rFonts w:hint="eastAsia"/>
                <w:color w:val="auto"/>
                <w:lang w:val="en-US" w:eastAsia="zh-CN"/>
              </w:rPr>
              <w:t>18</w:t>
            </w:r>
          </w:p>
        </w:tc>
        <w:tc>
          <w:tcPr>
            <w:tcW w:w="2618" w:type="dxa"/>
            <w:noWrap w:val="0"/>
            <w:vAlign w:val="center"/>
          </w:tcPr>
          <w:p w14:paraId="028A22C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稍有危险，可以接受</w:t>
            </w:r>
          </w:p>
        </w:tc>
      </w:tr>
      <w:tr w14:paraId="6FA15A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030A8943">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1448" w:type="dxa"/>
            <w:vMerge w:val="continue"/>
            <w:noWrap w:val="0"/>
            <w:vAlign w:val="center"/>
          </w:tcPr>
          <w:p w14:paraId="1DCD343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p>
        </w:tc>
        <w:tc>
          <w:tcPr>
            <w:tcW w:w="2171" w:type="dxa"/>
            <w:noWrap w:val="0"/>
            <w:vAlign w:val="center"/>
          </w:tcPr>
          <w:p w14:paraId="4AECE079">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粉尘</w:t>
            </w:r>
          </w:p>
        </w:tc>
        <w:tc>
          <w:tcPr>
            <w:tcW w:w="644" w:type="dxa"/>
            <w:noWrap w:val="0"/>
            <w:vAlign w:val="center"/>
          </w:tcPr>
          <w:p w14:paraId="6F3F738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1</w:t>
            </w:r>
          </w:p>
        </w:tc>
        <w:tc>
          <w:tcPr>
            <w:tcW w:w="658" w:type="dxa"/>
            <w:noWrap w:val="0"/>
            <w:vAlign w:val="center"/>
          </w:tcPr>
          <w:p w14:paraId="3C28DD90">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3</w:t>
            </w:r>
          </w:p>
        </w:tc>
        <w:tc>
          <w:tcPr>
            <w:tcW w:w="579" w:type="dxa"/>
            <w:noWrap w:val="0"/>
            <w:vAlign w:val="center"/>
          </w:tcPr>
          <w:p w14:paraId="45755772">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color w:val="auto"/>
              </w:rPr>
              <w:t>3</w:t>
            </w:r>
          </w:p>
        </w:tc>
        <w:tc>
          <w:tcPr>
            <w:tcW w:w="816" w:type="dxa"/>
            <w:noWrap w:val="0"/>
            <w:vAlign w:val="center"/>
          </w:tcPr>
          <w:p w14:paraId="1CC25D9F">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color w:val="auto"/>
                <w:lang w:eastAsia="zh-CN"/>
              </w:rPr>
            </w:pPr>
            <w:r>
              <w:rPr>
                <w:rFonts w:hint="eastAsia"/>
                <w:color w:val="auto"/>
                <w:lang w:val="en-US" w:eastAsia="zh-CN"/>
              </w:rPr>
              <w:t>9</w:t>
            </w:r>
          </w:p>
        </w:tc>
        <w:tc>
          <w:tcPr>
            <w:tcW w:w="2618" w:type="dxa"/>
            <w:noWrap w:val="0"/>
            <w:vAlign w:val="center"/>
          </w:tcPr>
          <w:p w14:paraId="66E81BDB">
            <w:pPr>
              <w:pStyle w:val="20"/>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color w:val="auto"/>
              </w:rPr>
              <w:t>稍有危险，可以接受</w:t>
            </w:r>
          </w:p>
        </w:tc>
      </w:tr>
      <w:tr w14:paraId="263851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restart"/>
            <w:noWrap w:val="0"/>
            <w:vAlign w:val="center"/>
          </w:tcPr>
          <w:p w14:paraId="26F2423E">
            <w:pPr>
              <w:pStyle w:val="20"/>
              <w:bidi w:val="0"/>
              <w:rPr>
                <w:color w:val="auto"/>
              </w:rPr>
            </w:pPr>
            <w:r>
              <w:rPr>
                <w:color w:val="auto"/>
              </w:rPr>
              <w:t>4</w:t>
            </w:r>
          </w:p>
        </w:tc>
        <w:tc>
          <w:tcPr>
            <w:tcW w:w="1448" w:type="dxa"/>
            <w:vMerge w:val="restart"/>
            <w:noWrap w:val="0"/>
            <w:vAlign w:val="center"/>
          </w:tcPr>
          <w:p w14:paraId="0B65312F">
            <w:pPr>
              <w:pStyle w:val="20"/>
              <w:bidi w:val="0"/>
              <w:rPr>
                <w:rFonts w:hint="default"/>
                <w:color w:val="auto"/>
                <w:lang w:val="en-US" w:eastAsia="zh-CN"/>
              </w:rPr>
            </w:pPr>
            <w:r>
              <w:rPr>
                <w:rFonts w:hint="eastAsia"/>
                <w:color w:val="auto"/>
                <w:lang w:val="en-US" w:eastAsia="zh-CN"/>
              </w:rPr>
              <w:t>事故浆液箱</w:t>
            </w:r>
          </w:p>
        </w:tc>
        <w:tc>
          <w:tcPr>
            <w:tcW w:w="2171" w:type="dxa"/>
            <w:noWrap w:val="0"/>
            <w:vAlign w:val="center"/>
          </w:tcPr>
          <w:p w14:paraId="7301E34F">
            <w:pPr>
              <w:pStyle w:val="20"/>
              <w:bidi w:val="0"/>
              <w:rPr>
                <w:color w:val="auto"/>
              </w:rPr>
            </w:pPr>
            <w:r>
              <w:rPr>
                <w:color w:val="auto"/>
              </w:rPr>
              <w:t>火灾</w:t>
            </w:r>
            <w:r>
              <w:rPr>
                <w:rFonts w:hint="eastAsia"/>
                <w:color w:val="auto"/>
              </w:rPr>
              <w:t>、爆炸</w:t>
            </w:r>
          </w:p>
        </w:tc>
        <w:tc>
          <w:tcPr>
            <w:tcW w:w="644" w:type="dxa"/>
            <w:noWrap w:val="0"/>
            <w:vAlign w:val="center"/>
          </w:tcPr>
          <w:p w14:paraId="6F25D7AE">
            <w:pPr>
              <w:pStyle w:val="20"/>
              <w:bidi w:val="0"/>
              <w:rPr>
                <w:color w:val="auto"/>
              </w:rPr>
            </w:pPr>
            <w:r>
              <w:rPr>
                <w:color w:val="auto"/>
              </w:rPr>
              <w:t>1</w:t>
            </w:r>
          </w:p>
        </w:tc>
        <w:tc>
          <w:tcPr>
            <w:tcW w:w="658" w:type="dxa"/>
            <w:noWrap w:val="0"/>
            <w:vAlign w:val="center"/>
          </w:tcPr>
          <w:p w14:paraId="2861A80A">
            <w:pPr>
              <w:pStyle w:val="20"/>
              <w:bidi w:val="0"/>
              <w:rPr>
                <w:color w:val="auto"/>
              </w:rPr>
            </w:pPr>
            <w:r>
              <w:rPr>
                <w:rFonts w:hint="eastAsia"/>
                <w:color w:val="auto"/>
              </w:rPr>
              <w:t>6</w:t>
            </w:r>
          </w:p>
        </w:tc>
        <w:tc>
          <w:tcPr>
            <w:tcW w:w="579" w:type="dxa"/>
            <w:noWrap w:val="0"/>
            <w:vAlign w:val="center"/>
          </w:tcPr>
          <w:p w14:paraId="7102597C">
            <w:pPr>
              <w:pStyle w:val="20"/>
              <w:bidi w:val="0"/>
              <w:rPr>
                <w:color w:val="auto"/>
              </w:rPr>
            </w:pPr>
            <w:r>
              <w:rPr>
                <w:rFonts w:hint="eastAsia"/>
                <w:color w:val="auto"/>
              </w:rPr>
              <w:t>7</w:t>
            </w:r>
          </w:p>
        </w:tc>
        <w:tc>
          <w:tcPr>
            <w:tcW w:w="816" w:type="dxa"/>
            <w:noWrap w:val="0"/>
            <w:vAlign w:val="center"/>
          </w:tcPr>
          <w:p w14:paraId="7942AD3F">
            <w:pPr>
              <w:pStyle w:val="20"/>
              <w:bidi w:val="0"/>
              <w:rPr>
                <w:color w:val="auto"/>
              </w:rPr>
            </w:pPr>
            <w:r>
              <w:rPr>
                <w:rFonts w:hint="eastAsia"/>
                <w:color w:val="auto"/>
              </w:rPr>
              <w:t>42</w:t>
            </w:r>
          </w:p>
        </w:tc>
        <w:tc>
          <w:tcPr>
            <w:tcW w:w="2618" w:type="dxa"/>
            <w:noWrap w:val="0"/>
            <w:vAlign w:val="center"/>
          </w:tcPr>
          <w:p w14:paraId="0F3FBB08">
            <w:pPr>
              <w:pStyle w:val="20"/>
              <w:bidi w:val="0"/>
              <w:rPr>
                <w:color w:val="auto"/>
              </w:rPr>
            </w:pPr>
            <w:r>
              <w:rPr>
                <w:color w:val="auto"/>
              </w:rPr>
              <w:t>一般危险，需要注意</w:t>
            </w:r>
          </w:p>
        </w:tc>
      </w:tr>
      <w:tr w14:paraId="786487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64C3194C">
            <w:pPr>
              <w:pStyle w:val="20"/>
              <w:bidi w:val="0"/>
              <w:rPr>
                <w:color w:val="auto"/>
              </w:rPr>
            </w:pPr>
          </w:p>
        </w:tc>
        <w:tc>
          <w:tcPr>
            <w:tcW w:w="1448" w:type="dxa"/>
            <w:vMerge w:val="continue"/>
            <w:noWrap w:val="0"/>
            <w:vAlign w:val="center"/>
          </w:tcPr>
          <w:p w14:paraId="259B0F94">
            <w:pPr>
              <w:pStyle w:val="20"/>
              <w:bidi w:val="0"/>
              <w:rPr>
                <w:color w:val="auto"/>
              </w:rPr>
            </w:pPr>
          </w:p>
        </w:tc>
        <w:tc>
          <w:tcPr>
            <w:tcW w:w="2171" w:type="dxa"/>
            <w:noWrap w:val="0"/>
            <w:vAlign w:val="center"/>
          </w:tcPr>
          <w:p w14:paraId="1F6F6A2B">
            <w:pPr>
              <w:pStyle w:val="20"/>
              <w:bidi w:val="0"/>
              <w:rPr>
                <w:rFonts w:hint="eastAsia"/>
                <w:color w:val="auto"/>
              </w:rPr>
            </w:pPr>
            <w:r>
              <w:rPr>
                <w:color w:val="auto"/>
              </w:rPr>
              <w:t>触电</w:t>
            </w:r>
          </w:p>
        </w:tc>
        <w:tc>
          <w:tcPr>
            <w:tcW w:w="644" w:type="dxa"/>
            <w:noWrap w:val="0"/>
            <w:vAlign w:val="center"/>
          </w:tcPr>
          <w:p w14:paraId="1BD3D3B7">
            <w:pPr>
              <w:pStyle w:val="20"/>
              <w:bidi w:val="0"/>
              <w:rPr>
                <w:rFonts w:hint="eastAsia"/>
                <w:color w:val="auto"/>
              </w:rPr>
            </w:pPr>
            <w:r>
              <w:rPr>
                <w:rFonts w:hint="eastAsia"/>
                <w:color w:val="auto"/>
              </w:rPr>
              <w:t>1</w:t>
            </w:r>
          </w:p>
        </w:tc>
        <w:tc>
          <w:tcPr>
            <w:tcW w:w="658" w:type="dxa"/>
            <w:noWrap w:val="0"/>
            <w:vAlign w:val="center"/>
          </w:tcPr>
          <w:p w14:paraId="6888920F">
            <w:pPr>
              <w:pStyle w:val="20"/>
              <w:bidi w:val="0"/>
              <w:rPr>
                <w:rFonts w:hint="eastAsia"/>
                <w:color w:val="auto"/>
              </w:rPr>
            </w:pPr>
            <w:r>
              <w:rPr>
                <w:color w:val="auto"/>
              </w:rPr>
              <w:t>3</w:t>
            </w:r>
          </w:p>
        </w:tc>
        <w:tc>
          <w:tcPr>
            <w:tcW w:w="579" w:type="dxa"/>
            <w:noWrap w:val="0"/>
            <w:vAlign w:val="center"/>
          </w:tcPr>
          <w:p w14:paraId="72200125">
            <w:pPr>
              <w:pStyle w:val="20"/>
              <w:bidi w:val="0"/>
              <w:rPr>
                <w:rFonts w:hint="eastAsia"/>
                <w:color w:val="auto"/>
              </w:rPr>
            </w:pPr>
            <w:r>
              <w:rPr>
                <w:color w:val="auto"/>
              </w:rPr>
              <w:t>7</w:t>
            </w:r>
          </w:p>
        </w:tc>
        <w:tc>
          <w:tcPr>
            <w:tcW w:w="816" w:type="dxa"/>
            <w:noWrap w:val="0"/>
            <w:vAlign w:val="center"/>
          </w:tcPr>
          <w:p w14:paraId="35BA6586">
            <w:pPr>
              <w:pStyle w:val="20"/>
              <w:bidi w:val="0"/>
              <w:rPr>
                <w:color w:val="auto"/>
              </w:rPr>
            </w:pPr>
            <w:r>
              <w:rPr>
                <w:rFonts w:hint="eastAsia"/>
                <w:color w:val="auto"/>
              </w:rPr>
              <w:t>21</w:t>
            </w:r>
          </w:p>
        </w:tc>
        <w:tc>
          <w:tcPr>
            <w:tcW w:w="2618" w:type="dxa"/>
            <w:noWrap w:val="0"/>
            <w:vAlign w:val="center"/>
          </w:tcPr>
          <w:p w14:paraId="091937AF">
            <w:pPr>
              <w:pStyle w:val="20"/>
              <w:bidi w:val="0"/>
              <w:rPr>
                <w:color w:val="auto"/>
              </w:rPr>
            </w:pPr>
            <w:r>
              <w:rPr>
                <w:color w:val="auto"/>
              </w:rPr>
              <w:t>一般危险，需要注意</w:t>
            </w:r>
          </w:p>
        </w:tc>
      </w:tr>
      <w:tr w14:paraId="4A818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7C0D95D9">
            <w:pPr>
              <w:pStyle w:val="20"/>
              <w:bidi w:val="0"/>
              <w:rPr>
                <w:color w:val="auto"/>
              </w:rPr>
            </w:pPr>
          </w:p>
        </w:tc>
        <w:tc>
          <w:tcPr>
            <w:tcW w:w="1448" w:type="dxa"/>
            <w:vMerge w:val="continue"/>
            <w:noWrap w:val="0"/>
            <w:vAlign w:val="center"/>
          </w:tcPr>
          <w:p w14:paraId="0F731A01">
            <w:pPr>
              <w:pStyle w:val="20"/>
              <w:bidi w:val="0"/>
              <w:rPr>
                <w:color w:val="auto"/>
              </w:rPr>
            </w:pPr>
          </w:p>
        </w:tc>
        <w:tc>
          <w:tcPr>
            <w:tcW w:w="2171" w:type="dxa"/>
            <w:noWrap w:val="0"/>
            <w:vAlign w:val="center"/>
          </w:tcPr>
          <w:p w14:paraId="122EBC6F">
            <w:pPr>
              <w:pStyle w:val="20"/>
              <w:bidi w:val="0"/>
              <w:rPr>
                <w:rFonts w:hint="eastAsia"/>
                <w:color w:val="auto"/>
              </w:rPr>
            </w:pPr>
            <w:r>
              <w:rPr>
                <w:color w:val="auto"/>
              </w:rPr>
              <w:t>机械伤害</w:t>
            </w:r>
          </w:p>
        </w:tc>
        <w:tc>
          <w:tcPr>
            <w:tcW w:w="644" w:type="dxa"/>
            <w:noWrap w:val="0"/>
            <w:vAlign w:val="center"/>
          </w:tcPr>
          <w:p w14:paraId="5678FA0C">
            <w:pPr>
              <w:pStyle w:val="20"/>
              <w:bidi w:val="0"/>
              <w:rPr>
                <w:rFonts w:hint="eastAsia"/>
                <w:color w:val="auto"/>
              </w:rPr>
            </w:pPr>
            <w:r>
              <w:rPr>
                <w:color w:val="auto"/>
              </w:rPr>
              <w:t>1</w:t>
            </w:r>
          </w:p>
        </w:tc>
        <w:tc>
          <w:tcPr>
            <w:tcW w:w="658" w:type="dxa"/>
            <w:noWrap w:val="0"/>
            <w:vAlign w:val="center"/>
          </w:tcPr>
          <w:p w14:paraId="01F1BCCA">
            <w:pPr>
              <w:pStyle w:val="20"/>
              <w:bidi w:val="0"/>
              <w:rPr>
                <w:rFonts w:hint="eastAsia"/>
                <w:color w:val="auto"/>
              </w:rPr>
            </w:pPr>
            <w:r>
              <w:rPr>
                <w:color w:val="auto"/>
              </w:rPr>
              <w:t>6</w:t>
            </w:r>
          </w:p>
        </w:tc>
        <w:tc>
          <w:tcPr>
            <w:tcW w:w="579" w:type="dxa"/>
            <w:noWrap w:val="0"/>
            <w:vAlign w:val="center"/>
          </w:tcPr>
          <w:p w14:paraId="777DC2E7">
            <w:pPr>
              <w:pStyle w:val="20"/>
              <w:bidi w:val="0"/>
              <w:rPr>
                <w:rFonts w:hint="eastAsia"/>
                <w:color w:val="auto"/>
              </w:rPr>
            </w:pPr>
            <w:r>
              <w:rPr>
                <w:rFonts w:hint="eastAsia"/>
                <w:color w:val="auto"/>
              </w:rPr>
              <w:t>3</w:t>
            </w:r>
          </w:p>
        </w:tc>
        <w:tc>
          <w:tcPr>
            <w:tcW w:w="816" w:type="dxa"/>
            <w:noWrap w:val="0"/>
            <w:vAlign w:val="center"/>
          </w:tcPr>
          <w:p w14:paraId="2E0C6513">
            <w:pPr>
              <w:pStyle w:val="20"/>
              <w:bidi w:val="0"/>
              <w:rPr>
                <w:color w:val="auto"/>
              </w:rPr>
            </w:pPr>
            <w:r>
              <w:rPr>
                <w:rFonts w:hint="eastAsia"/>
                <w:color w:val="auto"/>
              </w:rPr>
              <w:t>18</w:t>
            </w:r>
          </w:p>
        </w:tc>
        <w:tc>
          <w:tcPr>
            <w:tcW w:w="2618" w:type="dxa"/>
            <w:noWrap w:val="0"/>
            <w:vAlign w:val="center"/>
          </w:tcPr>
          <w:p w14:paraId="1047D4E5">
            <w:pPr>
              <w:pStyle w:val="20"/>
              <w:bidi w:val="0"/>
              <w:rPr>
                <w:color w:val="auto"/>
              </w:rPr>
            </w:pPr>
            <w:r>
              <w:rPr>
                <w:color w:val="auto"/>
              </w:rPr>
              <w:t>稍有危险，可以接受</w:t>
            </w:r>
          </w:p>
        </w:tc>
      </w:tr>
      <w:tr w14:paraId="1638FB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4F031CC0">
            <w:pPr>
              <w:pStyle w:val="20"/>
              <w:bidi w:val="0"/>
              <w:rPr>
                <w:color w:val="auto"/>
              </w:rPr>
            </w:pPr>
          </w:p>
        </w:tc>
        <w:tc>
          <w:tcPr>
            <w:tcW w:w="1448" w:type="dxa"/>
            <w:vMerge w:val="continue"/>
            <w:noWrap w:val="0"/>
            <w:vAlign w:val="center"/>
          </w:tcPr>
          <w:p w14:paraId="43E00834">
            <w:pPr>
              <w:pStyle w:val="20"/>
              <w:bidi w:val="0"/>
              <w:rPr>
                <w:color w:val="auto"/>
              </w:rPr>
            </w:pPr>
          </w:p>
        </w:tc>
        <w:tc>
          <w:tcPr>
            <w:tcW w:w="2171" w:type="dxa"/>
            <w:noWrap w:val="0"/>
            <w:vAlign w:val="center"/>
          </w:tcPr>
          <w:p w14:paraId="50208006">
            <w:pPr>
              <w:pStyle w:val="20"/>
              <w:bidi w:val="0"/>
              <w:rPr>
                <w:rFonts w:hint="eastAsia"/>
                <w:color w:val="auto"/>
              </w:rPr>
            </w:pPr>
            <w:r>
              <w:rPr>
                <w:color w:val="auto"/>
              </w:rPr>
              <w:t>物体打击</w:t>
            </w:r>
          </w:p>
        </w:tc>
        <w:tc>
          <w:tcPr>
            <w:tcW w:w="644" w:type="dxa"/>
            <w:noWrap w:val="0"/>
            <w:vAlign w:val="center"/>
          </w:tcPr>
          <w:p w14:paraId="18715F39">
            <w:pPr>
              <w:pStyle w:val="20"/>
              <w:bidi w:val="0"/>
              <w:rPr>
                <w:rFonts w:hint="eastAsia"/>
                <w:color w:val="auto"/>
              </w:rPr>
            </w:pPr>
            <w:r>
              <w:rPr>
                <w:color w:val="auto"/>
              </w:rPr>
              <w:t>0.5</w:t>
            </w:r>
          </w:p>
        </w:tc>
        <w:tc>
          <w:tcPr>
            <w:tcW w:w="658" w:type="dxa"/>
            <w:noWrap w:val="0"/>
            <w:vAlign w:val="center"/>
          </w:tcPr>
          <w:p w14:paraId="7F243215">
            <w:pPr>
              <w:pStyle w:val="20"/>
              <w:bidi w:val="0"/>
              <w:rPr>
                <w:rFonts w:hint="eastAsia"/>
                <w:color w:val="auto"/>
              </w:rPr>
            </w:pPr>
            <w:r>
              <w:rPr>
                <w:color w:val="auto"/>
              </w:rPr>
              <w:t>6</w:t>
            </w:r>
          </w:p>
        </w:tc>
        <w:tc>
          <w:tcPr>
            <w:tcW w:w="579" w:type="dxa"/>
            <w:noWrap w:val="0"/>
            <w:vAlign w:val="center"/>
          </w:tcPr>
          <w:p w14:paraId="227EB775">
            <w:pPr>
              <w:pStyle w:val="20"/>
              <w:bidi w:val="0"/>
              <w:rPr>
                <w:rFonts w:hint="eastAsia"/>
                <w:color w:val="auto"/>
              </w:rPr>
            </w:pPr>
            <w:r>
              <w:rPr>
                <w:color w:val="auto"/>
              </w:rPr>
              <w:t>7</w:t>
            </w:r>
          </w:p>
        </w:tc>
        <w:tc>
          <w:tcPr>
            <w:tcW w:w="816" w:type="dxa"/>
            <w:noWrap w:val="0"/>
            <w:vAlign w:val="center"/>
          </w:tcPr>
          <w:p w14:paraId="332AD249">
            <w:pPr>
              <w:pStyle w:val="20"/>
              <w:bidi w:val="0"/>
              <w:rPr>
                <w:rFonts w:hint="eastAsia"/>
                <w:color w:val="auto"/>
              </w:rPr>
            </w:pPr>
            <w:r>
              <w:rPr>
                <w:color w:val="auto"/>
              </w:rPr>
              <w:t>21</w:t>
            </w:r>
          </w:p>
        </w:tc>
        <w:tc>
          <w:tcPr>
            <w:tcW w:w="2618" w:type="dxa"/>
            <w:noWrap w:val="0"/>
            <w:vAlign w:val="center"/>
          </w:tcPr>
          <w:p w14:paraId="4F1083B9">
            <w:pPr>
              <w:pStyle w:val="20"/>
              <w:bidi w:val="0"/>
              <w:rPr>
                <w:color w:val="auto"/>
              </w:rPr>
            </w:pPr>
            <w:r>
              <w:rPr>
                <w:color w:val="auto"/>
              </w:rPr>
              <w:t>一般危险，需要注意</w:t>
            </w:r>
          </w:p>
        </w:tc>
      </w:tr>
      <w:tr w14:paraId="3F097E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46" w:type="dxa"/>
            <w:vMerge w:val="continue"/>
            <w:noWrap w:val="0"/>
            <w:vAlign w:val="center"/>
          </w:tcPr>
          <w:p w14:paraId="403C58CA">
            <w:pPr>
              <w:pStyle w:val="20"/>
              <w:bidi w:val="0"/>
              <w:rPr>
                <w:color w:val="auto"/>
              </w:rPr>
            </w:pPr>
          </w:p>
        </w:tc>
        <w:tc>
          <w:tcPr>
            <w:tcW w:w="1448" w:type="dxa"/>
            <w:vMerge w:val="continue"/>
            <w:noWrap w:val="0"/>
            <w:vAlign w:val="center"/>
          </w:tcPr>
          <w:p w14:paraId="727A42FA">
            <w:pPr>
              <w:pStyle w:val="20"/>
              <w:bidi w:val="0"/>
              <w:rPr>
                <w:color w:val="auto"/>
              </w:rPr>
            </w:pPr>
          </w:p>
        </w:tc>
        <w:tc>
          <w:tcPr>
            <w:tcW w:w="2171" w:type="dxa"/>
            <w:noWrap w:val="0"/>
            <w:vAlign w:val="center"/>
          </w:tcPr>
          <w:p w14:paraId="75B5324E">
            <w:pPr>
              <w:pStyle w:val="20"/>
              <w:bidi w:val="0"/>
              <w:rPr>
                <w:rFonts w:hint="eastAsia"/>
                <w:color w:val="auto"/>
              </w:rPr>
            </w:pPr>
            <w:r>
              <w:rPr>
                <w:color w:val="auto"/>
              </w:rPr>
              <w:t>高处坠落</w:t>
            </w:r>
          </w:p>
        </w:tc>
        <w:tc>
          <w:tcPr>
            <w:tcW w:w="644" w:type="dxa"/>
            <w:noWrap w:val="0"/>
            <w:vAlign w:val="center"/>
          </w:tcPr>
          <w:p w14:paraId="78C0F396">
            <w:pPr>
              <w:pStyle w:val="20"/>
              <w:bidi w:val="0"/>
              <w:rPr>
                <w:rFonts w:hint="eastAsia"/>
                <w:color w:val="auto"/>
              </w:rPr>
            </w:pPr>
            <w:r>
              <w:rPr>
                <w:color w:val="auto"/>
              </w:rPr>
              <w:t>0.5</w:t>
            </w:r>
          </w:p>
        </w:tc>
        <w:tc>
          <w:tcPr>
            <w:tcW w:w="658" w:type="dxa"/>
            <w:noWrap w:val="0"/>
            <w:vAlign w:val="center"/>
          </w:tcPr>
          <w:p w14:paraId="005E1D82">
            <w:pPr>
              <w:pStyle w:val="20"/>
              <w:bidi w:val="0"/>
              <w:rPr>
                <w:rFonts w:hint="eastAsia"/>
                <w:color w:val="auto"/>
              </w:rPr>
            </w:pPr>
            <w:r>
              <w:rPr>
                <w:color w:val="auto"/>
              </w:rPr>
              <w:t>6</w:t>
            </w:r>
          </w:p>
        </w:tc>
        <w:tc>
          <w:tcPr>
            <w:tcW w:w="579" w:type="dxa"/>
            <w:noWrap w:val="0"/>
            <w:vAlign w:val="center"/>
          </w:tcPr>
          <w:p w14:paraId="2AB5BF21">
            <w:pPr>
              <w:pStyle w:val="20"/>
              <w:bidi w:val="0"/>
              <w:rPr>
                <w:rFonts w:hint="eastAsia"/>
                <w:color w:val="auto"/>
              </w:rPr>
            </w:pPr>
            <w:r>
              <w:rPr>
                <w:color w:val="auto"/>
              </w:rPr>
              <w:t>7</w:t>
            </w:r>
          </w:p>
        </w:tc>
        <w:tc>
          <w:tcPr>
            <w:tcW w:w="816" w:type="dxa"/>
            <w:noWrap w:val="0"/>
            <w:vAlign w:val="center"/>
          </w:tcPr>
          <w:p w14:paraId="1444CFF7">
            <w:pPr>
              <w:pStyle w:val="20"/>
              <w:bidi w:val="0"/>
              <w:rPr>
                <w:rFonts w:hint="eastAsia"/>
                <w:color w:val="auto"/>
              </w:rPr>
            </w:pPr>
            <w:r>
              <w:rPr>
                <w:color w:val="auto"/>
              </w:rPr>
              <w:t>21</w:t>
            </w:r>
          </w:p>
        </w:tc>
        <w:tc>
          <w:tcPr>
            <w:tcW w:w="2618" w:type="dxa"/>
            <w:noWrap w:val="0"/>
            <w:vAlign w:val="center"/>
          </w:tcPr>
          <w:p w14:paraId="46D099E6">
            <w:pPr>
              <w:pStyle w:val="20"/>
              <w:bidi w:val="0"/>
              <w:rPr>
                <w:color w:val="auto"/>
              </w:rPr>
            </w:pPr>
            <w:r>
              <w:rPr>
                <w:color w:val="auto"/>
              </w:rPr>
              <w:t>一般危险，需要注意</w:t>
            </w:r>
          </w:p>
        </w:tc>
      </w:tr>
      <w:tr w14:paraId="39462D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restart"/>
            <w:noWrap w:val="0"/>
            <w:vAlign w:val="center"/>
          </w:tcPr>
          <w:p w14:paraId="47B294A3">
            <w:pPr>
              <w:pStyle w:val="20"/>
              <w:bidi w:val="0"/>
              <w:rPr>
                <w:rFonts w:hint="eastAsia"/>
                <w:color w:val="auto"/>
                <w:lang w:eastAsia="zh-CN"/>
              </w:rPr>
            </w:pPr>
            <w:r>
              <w:rPr>
                <w:rFonts w:hint="eastAsia"/>
                <w:color w:val="auto"/>
                <w:lang w:val="en-US" w:eastAsia="zh-CN"/>
              </w:rPr>
              <w:t>5</w:t>
            </w:r>
          </w:p>
        </w:tc>
        <w:tc>
          <w:tcPr>
            <w:tcW w:w="1448" w:type="dxa"/>
            <w:vMerge w:val="restart"/>
            <w:noWrap w:val="0"/>
            <w:vAlign w:val="center"/>
          </w:tcPr>
          <w:p w14:paraId="59DC40B1">
            <w:pPr>
              <w:pStyle w:val="20"/>
              <w:bidi w:val="0"/>
              <w:rPr>
                <w:rFonts w:hint="default"/>
                <w:color w:val="auto"/>
                <w:lang w:val="en-US" w:eastAsia="zh-CN"/>
              </w:rPr>
            </w:pPr>
            <w:r>
              <w:rPr>
                <w:rFonts w:hint="eastAsia"/>
                <w:color w:val="auto"/>
                <w:lang w:val="en-US" w:eastAsia="zh-CN"/>
              </w:rPr>
              <w:t>浆液制备系统</w:t>
            </w:r>
          </w:p>
        </w:tc>
        <w:tc>
          <w:tcPr>
            <w:tcW w:w="2171" w:type="dxa"/>
            <w:noWrap w:val="0"/>
            <w:vAlign w:val="center"/>
          </w:tcPr>
          <w:p w14:paraId="4B995363">
            <w:pPr>
              <w:pStyle w:val="20"/>
              <w:bidi w:val="0"/>
              <w:rPr>
                <w:color w:val="auto"/>
              </w:rPr>
            </w:pPr>
            <w:r>
              <w:rPr>
                <w:color w:val="auto"/>
              </w:rPr>
              <w:t>火灾</w:t>
            </w:r>
          </w:p>
        </w:tc>
        <w:tc>
          <w:tcPr>
            <w:tcW w:w="644" w:type="dxa"/>
            <w:noWrap w:val="0"/>
            <w:vAlign w:val="center"/>
          </w:tcPr>
          <w:p w14:paraId="31A5B788">
            <w:pPr>
              <w:pStyle w:val="20"/>
              <w:bidi w:val="0"/>
              <w:rPr>
                <w:color w:val="auto"/>
              </w:rPr>
            </w:pPr>
            <w:r>
              <w:rPr>
                <w:rFonts w:hint="eastAsia"/>
                <w:color w:val="auto"/>
              </w:rPr>
              <w:t>1</w:t>
            </w:r>
          </w:p>
        </w:tc>
        <w:tc>
          <w:tcPr>
            <w:tcW w:w="658" w:type="dxa"/>
            <w:noWrap w:val="0"/>
            <w:vAlign w:val="center"/>
          </w:tcPr>
          <w:p w14:paraId="56CB831B">
            <w:pPr>
              <w:pStyle w:val="20"/>
              <w:bidi w:val="0"/>
              <w:rPr>
                <w:rFonts w:hint="eastAsia"/>
                <w:color w:val="auto"/>
                <w:lang w:eastAsia="zh-CN"/>
              </w:rPr>
            </w:pPr>
            <w:r>
              <w:rPr>
                <w:rFonts w:hint="eastAsia"/>
                <w:color w:val="auto"/>
                <w:lang w:val="en-US" w:eastAsia="zh-CN"/>
              </w:rPr>
              <w:t>6</w:t>
            </w:r>
          </w:p>
        </w:tc>
        <w:tc>
          <w:tcPr>
            <w:tcW w:w="579" w:type="dxa"/>
            <w:noWrap w:val="0"/>
            <w:vAlign w:val="center"/>
          </w:tcPr>
          <w:p w14:paraId="2EBAFF09">
            <w:pPr>
              <w:pStyle w:val="20"/>
              <w:bidi w:val="0"/>
              <w:rPr>
                <w:color w:val="auto"/>
              </w:rPr>
            </w:pPr>
            <w:r>
              <w:rPr>
                <w:rFonts w:hint="eastAsia"/>
                <w:color w:val="auto"/>
              </w:rPr>
              <w:t>7</w:t>
            </w:r>
          </w:p>
        </w:tc>
        <w:tc>
          <w:tcPr>
            <w:tcW w:w="816" w:type="dxa"/>
            <w:noWrap w:val="0"/>
            <w:vAlign w:val="center"/>
          </w:tcPr>
          <w:p w14:paraId="0C258890">
            <w:pPr>
              <w:pStyle w:val="20"/>
              <w:bidi w:val="0"/>
              <w:rPr>
                <w:rFonts w:hint="default"/>
                <w:color w:val="auto"/>
                <w:lang w:val="en-US" w:eastAsia="zh-CN"/>
              </w:rPr>
            </w:pPr>
            <w:r>
              <w:rPr>
                <w:rFonts w:hint="eastAsia"/>
                <w:color w:val="auto"/>
                <w:lang w:val="en-US" w:eastAsia="zh-CN"/>
              </w:rPr>
              <w:t>42</w:t>
            </w:r>
          </w:p>
        </w:tc>
        <w:tc>
          <w:tcPr>
            <w:tcW w:w="2618" w:type="dxa"/>
            <w:noWrap w:val="0"/>
            <w:vAlign w:val="center"/>
          </w:tcPr>
          <w:p w14:paraId="744CFA9F">
            <w:pPr>
              <w:pStyle w:val="20"/>
              <w:bidi w:val="0"/>
              <w:rPr>
                <w:color w:val="auto"/>
              </w:rPr>
            </w:pPr>
            <w:r>
              <w:rPr>
                <w:color w:val="auto"/>
              </w:rPr>
              <w:t>一般危险，需要注意</w:t>
            </w:r>
          </w:p>
        </w:tc>
      </w:tr>
      <w:tr w14:paraId="6E580F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0DE0E10C">
            <w:pPr>
              <w:pStyle w:val="20"/>
              <w:bidi w:val="0"/>
              <w:rPr>
                <w:color w:val="auto"/>
              </w:rPr>
            </w:pPr>
          </w:p>
        </w:tc>
        <w:tc>
          <w:tcPr>
            <w:tcW w:w="1448" w:type="dxa"/>
            <w:vMerge w:val="continue"/>
            <w:noWrap w:val="0"/>
            <w:vAlign w:val="center"/>
          </w:tcPr>
          <w:p w14:paraId="6D09A033">
            <w:pPr>
              <w:pStyle w:val="20"/>
              <w:bidi w:val="0"/>
              <w:rPr>
                <w:color w:val="auto"/>
              </w:rPr>
            </w:pPr>
          </w:p>
        </w:tc>
        <w:tc>
          <w:tcPr>
            <w:tcW w:w="2171" w:type="dxa"/>
            <w:noWrap w:val="0"/>
            <w:vAlign w:val="center"/>
          </w:tcPr>
          <w:p w14:paraId="507FA62B">
            <w:pPr>
              <w:pStyle w:val="20"/>
              <w:bidi w:val="0"/>
              <w:rPr>
                <w:color w:val="auto"/>
              </w:rPr>
            </w:pPr>
            <w:r>
              <w:rPr>
                <w:color w:val="auto"/>
              </w:rPr>
              <w:t>粉尘</w:t>
            </w:r>
          </w:p>
        </w:tc>
        <w:tc>
          <w:tcPr>
            <w:tcW w:w="644" w:type="dxa"/>
            <w:noWrap w:val="0"/>
            <w:vAlign w:val="center"/>
          </w:tcPr>
          <w:p w14:paraId="58BADEC8">
            <w:pPr>
              <w:pStyle w:val="20"/>
              <w:bidi w:val="0"/>
              <w:rPr>
                <w:rFonts w:hint="eastAsia"/>
                <w:color w:val="auto"/>
              </w:rPr>
            </w:pPr>
            <w:r>
              <w:rPr>
                <w:rFonts w:hint="eastAsia"/>
                <w:color w:val="auto"/>
              </w:rPr>
              <w:t>1</w:t>
            </w:r>
          </w:p>
        </w:tc>
        <w:tc>
          <w:tcPr>
            <w:tcW w:w="658" w:type="dxa"/>
            <w:noWrap w:val="0"/>
            <w:vAlign w:val="center"/>
          </w:tcPr>
          <w:p w14:paraId="710C96CC">
            <w:pPr>
              <w:pStyle w:val="20"/>
              <w:bidi w:val="0"/>
              <w:rPr>
                <w:rFonts w:hint="eastAsia"/>
                <w:color w:val="auto"/>
                <w:lang w:eastAsia="zh-CN"/>
              </w:rPr>
            </w:pPr>
            <w:r>
              <w:rPr>
                <w:rFonts w:hint="eastAsia"/>
                <w:color w:val="auto"/>
                <w:lang w:val="en-US" w:eastAsia="zh-CN"/>
              </w:rPr>
              <w:t>6</w:t>
            </w:r>
          </w:p>
        </w:tc>
        <w:tc>
          <w:tcPr>
            <w:tcW w:w="579" w:type="dxa"/>
            <w:noWrap w:val="0"/>
            <w:vAlign w:val="center"/>
          </w:tcPr>
          <w:p w14:paraId="7C514DA2">
            <w:pPr>
              <w:pStyle w:val="20"/>
              <w:bidi w:val="0"/>
              <w:rPr>
                <w:rFonts w:hint="eastAsia"/>
                <w:color w:val="auto"/>
                <w:lang w:eastAsia="zh-CN"/>
              </w:rPr>
            </w:pPr>
            <w:r>
              <w:rPr>
                <w:rFonts w:hint="eastAsia"/>
                <w:color w:val="auto"/>
                <w:lang w:val="en-US" w:eastAsia="zh-CN"/>
              </w:rPr>
              <w:t>3</w:t>
            </w:r>
          </w:p>
        </w:tc>
        <w:tc>
          <w:tcPr>
            <w:tcW w:w="816" w:type="dxa"/>
            <w:noWrap w:val="0"/>
            <w:vAlign w:val="center"/>
          </w:tcPr>
          <w:p w14:paraId="1D5A6FCB">
            <w:pPr>
              <w:pStyle w:val="20"/>
              <w:bidi w:val="0"/>
              <w:rPr>
                <w:rFonts w:hint="default"/>
                <w:color w:val="auto"/>
                <w:lang w:val="en-US" w:eastAsia="zh-CN"/>
              </w:rPr>
            </w:pPr>
            <w:r>
              <w:rPr>
                <w:rFonts w:hint="eastAsia"/>
                <w:color w:val="auto"/>
                <w:lang w:val="en-US" w:eastAsia="zh-CN"/>
              </w:rPr>
              <w:t>18</w:t>
            </w:r>
          </w:p>
        </w:tc>
        <w:tc>
          <w:tcPr>
            <w:tcW w:w="2618" w:type="dxa"/>
            <w:noWrap w:val="0"/>
            <w:vAlign w:val="center"/>
          </w:tcPr>
          <w:p w14:paraId="2ECA25C5">
            <w:pPr>
              <w:pStyle w:val="20"/>
              <w:bidi w:val="0"/>
              <w:rPr>
                <w:color w:val="auto"/>
              </w:rPr>
            </w:pPr>
            <w:r>
              <w:rPr>
                <w:color w:val="auto"/>
              </w:rPr>
              <w:t>稍有危险，可以接受</w:t>
            </w:r>
          </w:p>
        </w:tc>
      </w:tr>
      <w:tr w14:paraId="0CCD7E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20A1CB1B">
            <w:pPr>
              <w:pStyle w:val="20"/>
              <w:bidi w:val="0"/>
              <w:rPr>
                <w:color w:val="auto"/>
              </w:rPr>
            </w:pPr>
          </w:p>
        </w:tc>
        <w:tc>
          <w:tcPr>
            <w:tcW w:w="1448" w:type="dxa"/>
            <w:vMerge w:val="continue"/>
            <w:noWrap w:val="0"/>
            <w:vAlign w:val="center"/>
          </w:tcPr>
          <w:p w14:paraId="7AA3FF9E">
            <w:pPr>
              <w:pStyle w:val="20"/>
              <w:bidi w:val="0"/>
              <w:rPr>
                <w:color w:val="auto"/>
              </w:rPr>
            </w:pPr>
          </w:p>
        </w:tc>
        <w:tc>
          <w:tcPr>
            <w:tcW w:w="2171" w:type="dxa"/>
            <w:noWrap w:val="0"/>
            <w:vAlign w:val="center"/>
          </w:tcPr>
          <w:p w14:paraId="583B7DF8">
            <w:pPr>
              <w:pStyle w:val="20"/>
              <w:bidi w:val="0"/>
              <w:rPr>
                <w:rFonts w:hint="eastAsia"/>
                <w:color w:val="auto"/>
              </w:rPr>
            </w:pPr>
            <w:r>
              <w:rPr>
                <w:rFonts w:hint="eastAsia"/>
                <w:color w:val="auto"/>
              </w:rPr>
              <w:t>高处坠落</w:t>
            </w:r>
          </w:p>
        </w:tc>
        <w:tc>
          <w:tcPr>
            <w:tcW w:w="644" w:type="dxa"/>
            <w:noWrap w:val="0"/>
            <w:vAlign w:val="center"/>
          </w:tcPr>
          <w:p w14:paraId="0B2D232D">
            <w:pPr>
              <w:pStyle w:val="20"/>
              <w:bidi w:val="0"/>
              <w:rPr>
                <w:rFonts w:hint="eastAsia"/>
                <w:color w:val="auto"/>
              </w:rPr>
            </w:pPr>
            <w:r>
              <w:rPr>
                <w:rFonts w:hint="eastAsia"/>
                <w:color w:val="auto"/>
              </w:rPr>
              <w:t>1</w:t>
            </w:r>
          </w:p>
        </w:tc>
        <w:tc>
          <w:tcPr>
            <w:tcW w:w="658" w:type="dxa"/>
            <w:noWrap w:val="0"/>
            <w:vAlign w:val="center"/>
          </w:tcPr>
          <w:p w14:paraId="7DE43E56">
            <w:pPr>
              <w:pStyle w:val="20"/>
              <w:bidi w:val="0"/>
              <w:rPr>
                <w:rFonts w:hint="eastAsia"/>
                <w:color w:val="auto"/>
              </w:rPr>
            </w:pPr>
            <w:r>
              <w:rPr>
                <w:rFonts w:hint="eastAsia"/>
                <w:color w:val="auto"/>
              </w:rPr>
              <w:t>3</w:t>
            </w:r>
          </w:p>
        </w:tc>
        <w:tc>
          <w:tcPr>
            <w:tcW w:w="579" w:type="dxa"/>
            <w:noWrap w:val="0"/>
            <w:vAlign w:val="center"/>
          </w:tcPr>
          <w:p w14:paraId="31188593">
            <w:pPr>
              <w:pStyle w:val="20"/>
              <w:bidi w:val="0"/>
              <w:rPr>
                <w:rFonts w:hint="eastAsia"/>
                <w:color w:val="auto"/>
              </w:rPr>
            </w:pPr>
            <w:r>
              <w:rPr>
                <w:rFonts w:hint="eastAsia"/>
                <w:color w:val="auto"/>
              </w:rPr>
              <w:t>7</w:t>
            </w:r>
          </w:p>
        </w:tc>
        <w:tc>
          <w:tcPr>
            <w:tcW w:w="816" w:type="dxa"/>
            <w:noWrap w:val="0"/>
            <w:vAlign w:val="center"/>
          </w:tcPr>
          <w:p w14:paraId="17ADA0A5">
            <w:pPr>
              <w:pStyle w:val="20"/>
              <w:bidi w:val="0"/>
              <w:rPr>
                <w:color w:val="auto"/>
              </w:rPr>
            </w:pPr>
            <w:r>
              <w:rPr>
                <w:rFonts w:hint="eastAsia"/>
                <w:color w:val="auto"/>
              </w:rPr>
              <w:t>21</w:t>
            </w:r>
          </w:p>
        </w:tc>
        <w:tc>
          <w:tcPr>
            <w:tcW w:w="2618" w:type="dxa"/>
            <w:noWrap w:val="0"/>
            <w:vAlign w:val="center"/>
          </w:tcPr>
          <w:p w14:paraId="13B27D70">
            <w:pPr>
              <w:pStyle w:val="20"/>
              <w:bidi w:val="0"/>
              <w:rPr>
                <w:color w:val="auto"/>
              </w:rPr>
            </w:pPr>
            <w:r>
              <w:rPr>
                <w:color w:val="auto"/>
              </w:rPr>
              <w:t>一般危险，需要注意</w:t>
            </w:r>
          </w:p>
        </w:tc>
      </w:tr>
      <w:tr w14:paraId="182C15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4E70BFF4">
            <w:pPr>
              <w:pStyle w:val="20"/>
              <w:bidi w:val="0"/>
              <w:rPr>
                <w:color w:val="auto"/>
              </w:rPr>
            </w:pPr>
          </w:p>
        </w:tc>
        <w:tc>
          <w:tcPr>
            <w:tcW w:w="1448" w:type="dxa"/>
            <w:vMerge w:val="continue"/>
            <w:noWrap w:val="0"/>
            <w:vAlign w:val="center"/>
          </w:tcPr>
          <w:p w14:paraId="5ABDBA6F">
            <w:pPr>
              <w:pStyle w:val="20"/>
              <w:bidi w:val="0"/>
              <w:rPr>
                <w:color w:val="auto"/>
              </w:rPr>
            </w:pPr>
          </w:p>
        </w:tc>
        <w:tc>
          <w:tcPr>
            <w:tcW w:w="2171" w:type="dxa"/>
            <w:noWrap w:val="0"/>
            <w:vAlign w:val="center"/>
          </w:tcPr>
          <w:p w14:paraId="32EF9881">
            <w:pPr>
              <w:pStyle w:val="20"/>
              <w:bidi w:val="0"/>
              <w:rPr>
                <w:rFonts w:hint="eastAsia"/>
                <w:color w:val="auto"/>
              </w:rPr>
            </w:pPr>
            <w:r>
              <w:rPr>
                <w:rFonts w:hint="eastAsia"/>
                <w:color w:val="auto"/>
              </w:rPr>
              <w:t>物体打击</w:t>
            </w:r>
          </w:p>
        </w:tc>
        <w:tc>
          <w:tcPr>
            <w:tcW w:w="644" w:type="dxa"/>
            <w:noWrap w:val="0"/>
            <w:vAlign w:val="center"/>
          </w:tcPr>
          <w:p w14:paraId="7D60C18E">
            <w:pPr>
              <w:pStyle w:val="20"/>
              <w:bidi w:val="0"/>
              <w:rPr>
                <w:color w:val="auto"/>
              </w:rPr>
            </w:pPr>
            <w:r>
              <w:rPr>
                <w:rFonts w:hint="eastAsia"/>
                <w:color w:val="auto"/>
              </w:rPr>
              <w:t>1</w:t>
            </w:r>
          </w:p>
        </w:tc>
        <w:tc>
          <w:tcPr>
            <w:tcW w:w="658" w:type="dxa"/>
            <w:noWrap w:val="0"/>
            <w:vAlign w:val="center"/>
          </w:tcPr>
          <w:p w14:paraId="0676082C">
            <w:pPr>
              <w:pStyle w:val="20"/>
              <w:bidi w:val="0"/>
              <w:rPr>
                <w:color w:val="auto"/>
              </w:rPr>
            </w:pPr>
            <w:r>
              <w:rPr>
                <w:rFonts w:hint="eastAsia"/>
                <w:color w:val="auto"/>
              </w:rPr>
              <w:t>3</w:t>
            </w:r>
          </w:p>
        </w:tc>
        <w:tc>
          <w:tcPr>
            <w:tcW w:w="579" w:type="dxa"/>
            <w:noWrap w:val="0"/>
            <w:vAlign w:val="center"/>
          </w:tcPr>
          <w:p w14:paraId="4B74776C">
            <w:pPr>
              <w:pStyle w:val="20"/>
              <w:bidi w:val="0"/>
              <w:rPr>
                <w:rFonts w:hint="eastAsia"/>
                <w:color w:val="auto"/>
              </w:rPr>
            </w:pPr>
            <w:r>
              <w:rPr>
                <w:rFonts w:hint="eastAsia"/>
                <w:color w:val="auto"/>
              </w:rPr>
              <w:t>3</w:t>
            </w:r>
          </w:p>
        </w:tc>
        <w:tc>
          <w:tcPr>
            <w:tcW w:w="816" w:type="dxa"/>
            <w:noWrap w:val="0"/>
            <w:vAlign w:val="center"/>
          </w:tcPr>
          <w:p w14:paraId="24FBCDED">
            <w:pPr>
              <w:pStyle w:val="20"/>
              <w:bidi w:val="0"/>
              <w:rPr>
                <w:rFonts w:hint="eastAsia"/>
                <w:color w:val="auto"/>
              </w:rPr>
            </w:pPr>
            <w:r>
              <w:rPr>
                <w:rFonts w:hint="eastAsia"/>
                <w:color w:val="auto"/>
              </w:rPr>
              <w:t>9</w:t>
            </w:r>
          </w:p>
        </w:tc>
        <w:tc>
          <w:tcPr>
            <w:tcW w:w="2618" w:type="dxa"/>
            <w:noWrap w:val="0"/>
            <w:vAlign w:val="center"/>
          </w:tcPr>
          <w:p w14:paraId="216E0B61">
            <w:pPr>
              <w:pStyle w:val="20"/>
              <w:bidi w:val="0"/>
              <w:rPr>
                <w:color w:val="auto"/>
              </w:rPr>
            </w:pPr>
            <w:r>
              <w:rPr>
                <w:color w:val="auto"/>
              </w:rPr>
              <w:t>稍有危险，可以接受</w:t>
            </w:r>
          </w:p>
        </w:tc>
      </w:tr>
      <w:tr w14:paraId="4AB94B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2F186BF8">
            <w:pPr>
              <w:pStyle w:val="20"/>
              <w:bidi w:val="0"/>
              <w:rPr>
                <w:color w:val="auto"/>
              </w:rPr>
            </w:pPr>
          </w:p>
        </w:tc>
        <w:tc>
          <w:tcPr>
            <w:tcW w:w="1448" w:type="dxa"/>
            <w:vMerge w:val="continue"/>
            <w:noWrap w:val="0"/>
            <w:vAlign w:val="center"/>
          </w:tcPr>
          <w:p w14:paraId="2DE1ADF1">
            <w:pPr>
              <w:pStyle w:val="20"/>
              <w:bidi w:val="0"/>
              <w:rPr>
                <w:color w:val="auto"/>
              </w:rPr>
            </w:pPr>
          </w:p>
        </w:tc>
        <w:tc>
          <w:tcPr>
            <w:tcW w:w="2171" w:type="dxa"/>
            <w:noWrap w:val="0"/>
            <w:vAlign w:val="center"/>
          </w:tcPr>
          <w:p w14:paraId="335E1198">
            <w:pPr>
              <w:pStyle w:val="20"/>
              <w:bidi w:val="0"/>
              <w:rPr>
                <w:rFonts w:hint="eastAsia"/>
                <w:color w:val="auto"/>
              </w:rPr>
            </w:pPr>
            <w:r>
              <w:rPr>
                <w:rFonts w:hint="eastAsia"/>
                <w:color w:val="auto"/>
              </w:rPr>
              <w:t>机械伤害</w:t>
            </w:r>
          </w:p>
        </w:tc>
        <w:tc>
          <w:tcPr>
            <w:tcW w:w="644" w:type="dxa"/>
            <w:noWrap w:val="0"/>
            <w:vAlign w:val="center"/>
          </w:tcPr>
          <w:p w14:paraId="229727DD">
            <w:pPr>
              <w:pStyle w:val="20"/>
              <w:bidi w:val="0"/>
              <w:rPr>
                <w:rFonts w:hint="eastAsia"/>
                <w:color w:val="auto"/>
              </w:rPr>
            </w:pPr>
            <w:r>
              <w:rPr>
                <w:rFonts w:hint="eastAsia"/>
                <w:color w:val="auto"/>
              </w:rPr>
              <w:t>1</w:t>
            </w:r>
          </w:p>
        </w:tc>
        <w:tc>
          <w:tcPr>
            <w:tcW w:w="658" w:type="dxa"/>
            <w:noWrap w:val="0"/>
            <w:vAlign w:val="center"/>
          </w:tcPr>
          <w:p w14:paraId="34A9B88C">
            <w:pPr>
              <w:pStyle w:val="20"/>
              <w:bidi w:val="0"/>
              <w:rPr>
                <w:rFonts w:hint="eastAsia"/>
                <w:color w:val="auto"/>
              </w:rPr>
            </w:pPr>
            <w:r>
              <w:rPr>
                <w:rFonts w:hint="eastAsia"/>
                <w:color w:val="auto"/>
              </w:rPr>
              <w:t>6</w:t>
            </w:r>
          </w:p>
        </w:tc>
        <w:tc>
          <w:tcPr>
            <w:tcW w:w="579" w:type="dxa"/>
            <w:noWrap w:val="0"/>
            <w:vAlign w:val="center"/>
          </w:tcPr>
          <w:p w14:paraId="42B7DCAE">
            <w:pPr>
              <w:pStyle w:val="20"/>
              <w:bidi w:val="0"/>
              <w:rPr>
                <w:rFonts w:hint="eastAsia"/>
                <w:color w:val="auto"/>
              </w:rPr>
            </w:pPr>
            <w:r>
              <w:rPr>
                <w:rFonts w:hint="eastAsia"/>
                <w:color w:val="auto"/>
              </w:rPr>
              <w:t>3</w:t>
            </w:r>
          </w:p>
        </w:tc>
        <w:tc>
          <w:tcPr>
            <w:tcW w:w="816" w:type="dxa"/>
            <w:noWrap w:val="0"/>
            <w:vAlign w:val="center"/>
          </w:tcPr>
          <w:p w14:paraId="3126E018">
            <w:pPr>
              <w:pStyle w:val="20"/>
              <w:bidi w:val="0"/>
              <w:rPr>
                <w:color w:val="auto"/>
              </w:rPr>
            </w:pPr>
            <w:r>
              <w:rPr>
                <w:rFonts w:hint="eastAsia"/>
                <w:color w:val="auto"/>
              </w:rPr>
              <w:t>18</w:t>
            </w:r>
          </w:p>
        </w:tc>
        <w:tc>
          <w:tcPr>
            <w:tcW w:w="2618" w:type="dxa"/>
            <w:noWrap w:val="0"/>
            <w:vAlign w:val="center"/>
          </w:tcPr>
          <w:p w14:paraId="5FD5E822">
            <w:pPr>
              <w:pStyle w:val="20"/>
              <w:bidi w:val="0"/>
              <w:rPr>
                <w:color w:val="auto"/>
              </w:rPr>
            </w:pPr>
            <w:r>
              <w:rPr>
                <w:color w:val="auto"/>
              </w:rPr>
              <w:t>稍有危险，可以接受</w:t>
            </w:r>
          </w:p>
        </w:tc>
      </w:tr>
      <w:tr w14:paraId="4CAD2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46" w:type="dxa"/>
            <w:vMerge w:val="continue"/>
            <w:noWrap w:val="0"/>
            <w:vAlign w:val="center"/>
          </w:tcPr>
          <w:p w14:paraId="094098C5">
            <w:pPr>
              <w:pStyle w:val="20"/>
              <w:bidi w:val="0"/>
              <w:rPr>
                <w:color w:val="auto"/>
              </w:rPr>
            </w:pPr>
          </w:p>
        </w:tc>
        <w:tc>
          <w:tcPr>
            <w:tcW w:w="1448" w:type="dxa"/>
            <w:vMerge w:val="continue"/>
            <w:noWrap w:val="0"/>
            <w:vAlign w:val="center"/>
          </w:tcPr>
          <w:p w14:paraId="4A453D78">
            <w:pPr>
              <w:pStyle w:val="20"/>
              <w:bidi w:val="0"/>
              <w:rPr>
                <w:color w:val="auto"/>
              </w:rPr>
            </w:pPr>
          </w:p>
        </w:tc>
        <w:tc>
          <w:tcPr>
            <w:tcW w:w="2171" w:type="dxa"/>
            <w:noWrap w:val="0"/>
            <w:vAlign w:val="center"/>
          </w:tcPr>
          <w:p w14:paraId="146A3E31">
            <w:pPr>
              <w:pStyle w:val="20"/>
              <w:bidi w:val="0"/>
              <w:rPr>
                <w:rFonts w:hint="eastAsia"/>
                <w:color w:val="auto"/>
              </w:rPr>
            </w:pPr>
            <w:r>
              <w:rPr>
                <w:rFonts w:hint="eastAsia"/>
                <w:color w:val="auto"/>
              </w:rPr>
              <w:t>触电</w:t>
            </w:r>
          </w:p>
        </w:tc>
        <w:tc>
          <w:tcPr>
            <w:tcW w:w="644" w:type="dxa"/>
            <w:noWrap w:val="0"/>
            <w:vAlign w:val="center"/>
          </w:tcPr>
          <w:p w14:paraId="268CB559">
            <w:pPr>
              <w:pStyle w:val="20"/>
              <w:bidi w:val="0"/>
              <w:rPr>
                <w:color w:val="auto"/>
              </w:rPr>
            </w:pPr>
            <w:r>
              <w:rPr>
                <w:rFonts w:hint="eastAsia"/>
                <w:color w:val="auto"/>
              </w:rPr>
              <w:t>1</w:t>
            </w:r>
          </w:p>
        </w:tc>
        <w:tc>
          <w:tcPr>
            <w:tcW w:w="658" w:type="dxa"/>
            <w:noWrap w:val="0"/>
            <w:vAlign w:val="center"/>
          </w:tcPr>
          <w:p w14:paraId="1D6A17BD">
            <w:pPr>
              <w:pStyle w:val="20"/>
              <w:bidi w:val="0"/>
              <w:rPr>
                <w:color w:val="auto"/>
              </w:rPr>
            </w:pPr>
            <w:r>
              <w:rPr>
                <w:rFonts w:hint="eastAsia"/>
                <w:color w:val="auto"/>
              </w:rPr>
              <w:t>6</w:t>
            </w:r>
          </w:p>
        </w:tc>
        <w:tc>
          <w:tcPr>
            <w:tcW w:w="579" w:type="dxa"/>
            <w:noWrap w:val="0"/>
            <w:vAlign w:val="center"/>
          </w:tcPr>
          <w:p w14:paraId="74F62966">
            <w:pPr>
              <w:pStyle w:val="20"/>
              <w:bidi w:val="0"/>
              <w:rPr>
                <w:color w:val="auto"/>
              </w:rPr>
            </w:pPr>
            <w:r>
              <w:rPr>
                <w:rFonts w:hint="eastAsia"/>
                <w:color w:val="auto"/>
              </w:rPr>
              <w:t>3</w:t>
            </w:r>
          </w:p>
        </w:tc>
        <w:tc>
          <w:tcPr>
            <w:tcW w:w="816" w:type="dxa"/>
            <w:noWrap w:val="0"/>
            <w:vAlign w:val="center"/>
          </w:tcPr>
          <w:p w14:paraId="68C56F16">
            <w:pPr>
              <w:pStyle w:val="20"/>
              <w:bidi w:val="0"/>
              <w:rPr>
                <w:color w:val="auto"/>
              </w:rPr>
            </w:pPr>
            <w:r>
              <w:rPr>
                <w:rFonts w:hint="eastAsia"/>
                <w:color w:val="auto"/>
              </w:rPr>
              <w:t>18</w:t>
            </w:r>
          </w:p>
        </w:tc>
        <w:tc>
          <w:tcPr>
            <w:tcW w:w="2618" w:type="dxa"/>
            <w:noWrap w:val="0"/>
            <w:vAlign w:val="center"/>
          </w:tcPr>
          <w:p w14:paraId="7D9FDCF9">
            <w:pPr>
              <w:pStyle w:val="20"/>
              <w:bidi w:val="0"/>
              <w:rPr>
                <w:color w:val="auto"/>
              </w:rPr>
            </w:pPr>
            <w:r>
              <w:rPr>
                <w:color w:val="auto"/>
              </w:rPr>
              <w:t>稍有危险，可以接受</w:t>
            </w:r>
          </w:p>
        </w:tc>
      </w:tr>
      <w:tr w14:paraId="3403E1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46" w:type="dxa"/>
            <w:vMerge w:val="restart"/>
            <w:noWrap w:val="0"/>
            <w:vAlign w:val="center"/>
          </w:tcPr>
          <w:p w14:paraId="74ECF600">
            <w:pPr>
              <w:pStyle w:val="20"/>
              <w:bidi w:val="0"/>
              <w:rPr>
                <w:rFonts w:hint="eastAsia"/>
                <w:color w:val="auto"/>
                <w:lang w:eastAsia="zh-CN"/>
              </w:rPr>
            </w:pPr>
            <w:r>
              <w:rPr>
                <w:rFonts w:hint="eastAsia"/>
                <w:color w:val="auto"/>
                <w:lang w:val="en-US" w:eastAsia="zh-CN"/>
              </w:rPr>
              <w:t>6</w:t>
            </w:r>
          </w:p>
        </w:tc>
        <w:tc>
          <w:tcPr>
            <w:tcW w:w="1448" w:type="dxa"/>
            <w:vMerge w:val="restart"/>
            <w:noWrap w:val="0"/>
            <w:vAlign w:val="center"/>
          </w:tcPr>
          <w:p w14:paraId="25E5BB6D">
            <w:pPr>
              <w:pStyle w:val="20"/>
              <w:bidi w:val="0"/>
              <w:rPr>
                <w:rFonts w:hint="eastAsia"/>
                <w:color w:val="auto"/>
              </w:rPr>
            </w:pPr>
            <w:r>
              <w:rPr>
                <w:rFonts w:hint="eastAsia"/>
                <w:color w:val="auto"/>
              </w:rPr>
              <w:t>厂内道路</w:t>
            </w:r>
          </w:p>
        </w:tc>
        <w:tc>
          <w:tcPr>
            <w:tcW w:w="2171" w:type="dxa"/>
            <w:noWrap w:val="0"/>
            <w:vAlign w:val="center"/>
          </w:tcPr>
          <w:p w14:paraId="3818ED7D">
            <w:pPr>
              <w:pStyle w:val="20"/>
              <w:bidi w:val="0"/>
              <w:rPr>
                <w:color w:val="auto"/>
              </w:rPr>
            </w:pPr>
            <w:r>
              <w:rPr>
                <w:color w:val="auto"/>
              </w:rPr>
              <w:t>车辆伤害</w:t>
            </w:r>
          </w:p>
        </w:tc>
        <w:tc>
          <w:tcPr>
            <w:tcW w:w="644" w:type="dxa"/>
            <w:noWrap w:val="0"/>
            <w:vAlign w:val="center"/>
          </w:tcPr>
          <w:p w14:paraId="2BA66897">
            <w:pPr>
              <w:pStyle w:val="20"/>
              <w:bidi w:val="0"/>
              <w:rPr>
                <w:rFonts w:hint="eastAsia"/>
                <w:color w:val="auto"/>
              </w:rPr>
            </w:pPr>
            <w:r>
              <w:rPr>
                <w:rFonts w:hint="eastAsia"/>
                <w:color w:val="auto"/>
              </w:rPr>
              <w:t>1</w:t>
            </w:r>
          </w:p>
        </w:tc>
        <w:tc>
          <w:tcPr>
            <w:tcW w:w="658" w:type="dxa"/>
            <w:noWrap w:val="0"/>
            <w:vAlign w:val="center"/>
          </w:tcPr>
          <w:p w14:paraId="017C7E48">
            <w:pPr>
              <w:pStyle w:val="20"/>
              <w:bidi w:val="0"/>
              <w:rPr>
                <w:color w:val="auto"/>
              </w:rPr>
            </w:pPr>
            <w:r>
              <w:rPr>
                <w:color w:val="auto"/>
              </w:rPr>
              <w:t>6</w:t>
            </w:r>
          </w:p>
        </w:tc>
        <w:tc>
          <w:tcPr>
            <w:tcW w:w="579" w:type="dxa"/>
            <w:noWrap w:val="0"/>
            <w:vAlign w:val="center"/>
          </w:tcPr>
          <w:p w14:paraId="2D0AD78C">
            <w:pPr>
              <w:pStyle w:val="20"/>
              <w:bidi w:val="0"/>
              <w:rPr>
                <w:color w:val="auto"/>
              </w:rPr>
            </w:pPr>
            <w:r>
              <w:rPr>
                <w:color w:val="auto"/>
              </w:rPr>
              <w:t>7</w:t>
            </w:r>
          </w:p>
        </w:tc>
        <w:tc>
          <w:tcPr>
            <w:tcW w:w="816" w:type="dxa"/>
            <w:noWrap w:val="0"/>
            <w:vAlign w:val="center"/>
          </w:tcPr>
          <w:p w14:paraId="67918EDD">
            <w:pPr>
              <w:pStyle w:val="20"/>
              <w:bidi w:val="0"/>
              <w:rPr>
                <w:color w:val="auto"/>
              </w:rPr>
            </w:pPr>
            <w:r>
              <w:rPr>
                <w:rFonts w:hint="eastAsia"/>
                <w:color w:val="auto"/>
              </w:rPr>
              <w:t>42</w:t>
            </w:r>
          </w:p>
        </w:tc>
        <w:tc>
          <w:tcPr>
            <w:tcW w:w="2618" w:type="dxa"/>
            <w:noWrap w:val="0"/>
            <w:vAlign w:val="center"/>
          </w:tcPr>
          <w:p w14:paraId="66BC6AFD">
            <w:pPr>
              <w:pStyle w:val="20"/>
              <w:bidi w:val="0"/>
              <w:rPr>
                <w:color w:val="auto"/>
              </w:rPr>
            </w:pPr>
            <w:r>
              <w:rPr>
                <w:color w:val="auto"/>
              </w:rPr>
              <w:t>一般危险，需要注意</w:t>
            </w:r>
          </w:p>
        </w:tc>
      </w:tr>
      <w:tr w14:paraId="1D2A57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46" w:type="dxa"/>
            <w:vMerge w:val="continue"/>
            <w:noWrap w:val="0"/>
            <w:vAlign w:val="center"/>
          </w:tcPr>
          <w:p w14:paraId="792E5DD2">
            <w:pPr>
              <w:pStyle w:val="20"/>
              <w:bidi w:val="0"/>
              <w:rPr>
                <w:color w:val="auto"/>
              </w:rPr>
            </w:pPr>
          </w:p>
        </w:tc>
        <w:tc>
          <w:tcPr>
            <w:tcW w:w="1448" w:type="dxa"/>
            <w:vMerge w:val="continue"/>
            <w:noWrap w:val="0"/>
            <w:vAlign w:val="center"/>
          </w:tcPr>
          <w:p w14:paraId="7751F0C4">
            <w:pPr>
              <w:pStyle w:val="20"/>
              <w:bidi w:val="0"/>
              <w:rPr>
                <w:rFonts w:hint="eastAsia"/>
                <w:color w:val="auto"/>
              </w:rPr>
            </w:pPr>
          </w:p>
        </w:tc>
        <w:tc>
          <w:tcPr>
            <w:tcW w:w="2171" w:type="dxa"/>
            <w:noWrap w:val="0"/>
            <w:vAlign w:val="center"/>
          </w:tcPr>
          <w:p w14:paraId="3641AA11">
            <w:pPr>
              <w:pStyle w:val="20"/>
              <w:bidi w:val="0"/>
              <w:rPr>
                <w:color w:val="auto"/>
              </w:rPr>
            </w:pPr>
            <w:r>
              <w:rPr>
                <w:color w:val="auto"/>
              </w:rPr>
              <w:t>噪声</w:t>
            </w:r>
          </w:p>
        </w:tc>
        <w:tc>
          <w:tcPr>
            <w:tcW w:w="644" w:type="dxa"/>
            <w:noWrap w:val="0"/>
            <w:vAlign w:val="center"/>
          </w:tcPr>
          <w:p w14:paraId="20EB0A5E">
            <w:pPr>
              <w:pStyle w:val="20"/>
              <w:bidi w:val="0"/>
              <w:rPr>
                <w:rFonts w:hint="eastAsia"/>
                <w:color w:val="auto"/>
              </w:rPr>
            </w:pPr>
            <w:r>
              <w:rPr>
                <w:color w:val="auto"/>
              </w:rPr>
              <w:t>0.5</w:t>
            </w:r>
          </w:p>
        </w:tc>
        <w:tc>
          <w:tcPr>
            <w:tcW w:w="658" w:type="dxa"/>
            <w:noWrap w:val="0"/>
            <w:vAlign w:val="center"/>
          </w:tcPr>
          <w:p w14:paraId="66C53D08">
            <w:pPr>
              <w:pStyle w:val="20"/>
              <w:bidi w:val="0"/>
              <w:rPr>
                <w:color w:val="auto"/>
              </w:rPr>
            </w:pPr>
            <w:r>
              <w:rPr>
                <w:color w:val="auto"/>
              </w:rPr>
              <w:t>6</w:t>
            </w:r>
          </w:p>
        </w:tc>
        <w:tc>
          <w:tcPr>
            <w:tcW w:w="579" w:type="dxa"/>
            <w:noWrap w:val="0"/>
            <w:vAlign w:val="center"/>
          </w:tcPr>
          <w:p w14:paraId="2C976C83">
            <w:pPr>
              <w:pStyle w:val="20"/>
              <w:bidi w:val="0"/>
              <w:rPr>
                <w:color w:val="auto"/>
              </w:rPr>
            </w:pPr>
            <w:r>
              <w:rPr>
                <w:color w:val="auto"/>
              </w:rPr>
              <w:t>3</w:t>
            </w:r>
          </w:p>
        </w:tc>
        <w:tc>
          <w:tcPr>
            <w:tcW w:w="816" w:type="dxa"/>
            <w:noWrap w:val="0"/>
            <w:vAlign w:val="center"/>
          </w:tcPr>
          <w:p w14:paraId="1280086A">
            <w:pPr>
              <w:pStyle w:val="20"/>
              <w:bidi w:val="0"/>
              <w:rPr>
                <w:rFonts w:hint="eastAsia"/>
                <w:color w:val="auto"/>
              </w:rPr>
            </w:pPr>
            <w:r>
              <w:rPr>
                <w:color w:val="auto"/>
              </w:rPr>
              <w:t>9</w:t>
            </w:r>
          </w:p>
        </w:tc>
        <w:tc>
          <w:tcPr>
            <w:tcW w:w="2618" w:type="dxa"/>
            <w:noWrap w:val="0"/>
            <w:vAlign w:val="center"/>
          </w:tcPr>
          <w:p w14:paraId="46B7D443">
            <w:pPr>
              <w:pStyle w:val="20"/>
              <w:bidi w:val="0"/>
              <w:rPr>
                <w:color w:val="auto"/>
              </w:rPr>
            </w:pPr>
            <w:r>
              <w:rPr>
                <w:color w:val="auto"/>
              </w:rPr>
              <w:t>稍有危险，可以接受</w:t>
            </w:r>
          </w:p>
        </w:tc>
      </w:tr>
      <w:tr w14:paraId="76D344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546" w:type="dxa"/>
            <w:vMerge w:val="continue"/>
            <w:noWrap w:val="0"/>
            <w:vAlign w:val="center"/>
          </w:tcPr>
          <w:p w14:paraId="036A3BAA">
            <w:pPr>
              <w:pStyle w:val="20"/>
              <w:bidi w:val="0"/>
              <w:rPr>
                <w:color w:val="auto"/>
              </w:rPr>
            </w:pPr>
          </w:p>
        </w:tc>
        <w:tc>
          <w:tcPr>
            <w:tcW w:w="1448" w:type="dxa"/>
            <w:vMerge w:val="continue"/>
            <w:noWrap w:val="0"/>
            <w:vAlign w:val="center"/>
          </w:tcPr>
          <w:p w14:paraId="7A22935C">
            <w:pPr>
              <w:pStyle w:val="20"/>
              <w:bidi w:val="0"/>
              <w:rPr>
                <w:rFonts w:hint="eastAsia"/>
                <w:color w:val="auto"/>
              </w:rPr>
            </w:pPr>
          </w:p>
        </w:tc>
        <w:tc>
          <w:tcPr>
            <w:tcW w:w="2171" w:type="dxa"/>
            <w:noWrap w:val="0"/>
            <w:vAlign w:val="center"/>
          </w:tcPr>
          <w:p w14:paraId="77D893FF">
            <w:pPr>
              <w:pStyle w:val="20"/>
              <w:bidi w:val="0"/>
              <w:rPr>
                <w:color w:val="auto"/>
              </w:rPr>
            </w:pPr>
            <w:r>
              <w:rPr>
                <w:rFonts w:hint="eastAsia"/>
                <w:color w:val="auto"/>
              </w:rPr>
              <w:t>高温</w:t>
            </w:r>
          </w:p>
        </w:tc>
        <w:tc>
          <w:tcPr>
            <w:tcW w:w="644" w:type="dxa"/>
            <w:noWrap w:val="0"/>
            <w:vAlign w:val="center"/>
          </w:tcPr>
          <w:p w14:paraId="5379930F">
            <w:pPr>
              <w:pStyle w:val="20"/>
              <w:bidi w:val="0"/>
              <w:rPr>
                <w:rFonts w:hint="eastAsia"/>
                <w:color w:val="auto"/>
              </w:rPr>
            </w:pPr>
            <w:r>
              <w:rPr>
                <w:color w:val="auto"/>
              </w:rPr>
              <w:t>0.5</w:t>
            </w:r>
          </w:p>
        </w:tc>
        <w:tc>
          <w:tcPr>
            <w:tcW w:w="658" w:type="dxa"/>
            <w:noWrap w:val="0"/>
            <w:vAlign w:val="center"/>
          </w:tcPr>
          <w:p w14:paraId="06582073">
            <w:pPr>
              <w:pStyle w:val="20"/>
              <w:bidi w:val="0"/>
              <w:rPr>
                <w:color w:val="auto"/>
              </w:rPr>
            </w:pPr>
            <w:r>
              <w:rPr>
                <w:color w:val="auto"/>
              </w:rPr>
              <w:t>3</w:t>
            </w:r>
          </w:p>
        </w:tc>
        <w:tc>
          <w:tcPr>
            <w:tcW w:w="579" w:type="dxa"/>
            <w:noWrap w:val="0"/>
            <w:vAlign w:val="center"/>
          </w:tcPr>
          <w:p w14:paraId="24E69226">
            <w:pPr>
              <w:pStyle w:val="20"/>
              <w:bidi w:val="0"/>
              <w:rPr>
                <w:color w:val="auto"/>
              </w:rPr>
            </w:pPr>
            <w:r>
              <w:rPr>
                <w:rFonts w:hint="eastAsia"/>
                <w:color w:val="auto"/>
              </w:rPr>
              <w:t>3</w:t>
            </w:r>
          </w:p>
        </w:tc>
        <w:tc>
          <w:tcPr>
            <w:tcW w:w="816" w:type="dxa"/>
            <w:noWrap w:val="0"/>
            <w:vAlign w:val="center"/>
          </w:tcPr>
          <w:p w14:paraId="35F031AE">
            <w:pPr>
              <w:pStyle w:val="20"/>
              <w:bidi w:val="0"/>
              <w:rPr>
                <w:rFonts w:hint="eastAsia"/>
                <w:color w:val="auto"/>
              </w:rPr>
            </w:pPr>
            <w:r>
              <w:rPr>
                <w:rFonts w:hint="eastAsia"/>
                <w:color w:val="auto"/>
              </w:rPr>
              <w:t>4.5</w:t>
            </w:r>
          </w:p>
        </w:tc>
        <w:tc>
          <w:tcPr>
            <w:tcW w:w="2618" w:type="dxa"/>
            <w:noWrap w:val="0"/>
            <w:vAlign w:val="center"/>
          </w:tcPr>
          <w:p w14:paraId="06004C95">
            <w:pPr>
              <w:pStyle w:val="20"/>
              <w:bidi w:val="0"/>
              <w:rPr>
                <w:color w:val="auto"/>
              </w:rPr>
            </w:pPr>
            <w:r>
              <w:rPr>
                <w:color w:val="auto"/>
              </w:rPr>
              <w:t>稍有危险，可以接受</w:t>
            </w:r>
          </w:p>
        </w:tc>
      </w:tr>
    </w:tbl>
    <w:p w14:paraId="2F705B7A">
      <w:pPr>
        <w:spacing w:line="360" w:lineRule="auto"/>
        <w:ind w:firstLine="560" w:firstLineChars="200"/>
        <w:rPr>
          <w:rFonts w:hint="eastAsia" w:eastAsia="宋体"/>
          <w:color w:val="auto"/>
          <w:sz w:val="28"/>
          <w:szCs w:val="28"/>
          <w:lang w:val="en-US" w:eastAsia="zh-CN"/>
        </w:rPr>
      </w:pPr>
      <w:r>
        <w:rPr>
          <w:rFonts w:hint="eastAsia"/>
          <w:color w:val="auto"/>
          <w:lang w:val="en-US" w:eastAsia="zh-CN"/>
        </w:rPr>
        <w:t>由上表可知，本项目的作业条件危险等级均为</w:t>
      </w:r>
      <w:r>
        <w:rPr>
          <w:color w:val="auto"/>
          <w:sz w:val="28"/>
          <w:szCs w:val="28"/>
        </w:rPr>
        <w:t>“</w:t>
      </w:r>
      <w:r>
        <w:rPr>
          <w:rFonts w:hint="eastAsia"/>
          <w:color w:val="auto"/>
          <w:sz w:val="28"/>
          <w:szCs w:val="28"/>
        </w:rPr>
        <w:t>一般</w:t>
      </w:r>
      <w:r>
        <w:rPr>
          <w:color w:val="auto"/>
          <w:sz w:val="28"/>
          <w:szCs w:val="28"/>
        </w:rPr>
        <w:t>危险，需要注意”</w:t>
      </w:r>
      <w:r>
        <w:rPr>
          <w:rFonts w:hint="eastAsia"/>
          <w:color w:val="auto"/>
          <w:sz w:val="28"/>
          <w:szCs w:val="28"/>
        </w:rPr>
        <w:t>或“稍有危险，可以接受”</w:t>
      </w:r>
      <w:r>
        <w:rPr>
          <w:rFonts w:hint="eastAsia"/>
          <w:color w:val="auto"/>
          <w:sz w:val="28"/>
          <w:szCs w:val="28"/>
          <w:lang w:eastAsia="zh-CN"/>
        </w:rPr>
        <w:t>，</w:t>
      </w:r>
      <w:r>
        <w:rPr>
          <w:color w:val="auto"/>
          <w:sz w:val="28"/>
          <w:szCs w:val="28"/>
        </w:rPr>
        <w:t>作业条件相对安全</w:t>
      </w:r>
      <w:r>
        <w:rPr>
          <w:rFonts w:hint="eastAsia"/>
          <w:color w:val="auto"/>
          <w:sz w:val="28"/>
          <w:szCs w:val="28"/>
          <w:lang w:eastAsia="zh-CN"/>
        </w:rPr>
        <w:t>。</w:t>
      </w:r>
    </w:p>
    <w:p w14:paraId="3239FED8">
      <w:pPr>
        <w:rPr>
          <w:rFonts w:hint="default"/>
          <w:color w:val="auto"/>
          <w:lang w:val="en-US" w:eastAsia="zh-CN"/>
        </w:rPr>
      </w:pPr>
      <w:r>
        <w:rPr>
          <w:rFonts w:hint="default"/>
          <w:color w:val="auto"/>
          <w:lang w:val="en-US" w:eastAsia="zh-CN"/>
        </w:rPr>
        <w:br w:type="page"/>
      </w:r>
    </w:p>
    <w:p w14:paraId="68E56693">
      <w:pPr>
        <w:pStyle w:val="2"/>
        <w:bidi w:val="0"/>
        <w:rPr>
          <w:rFonts w:hint="default"/>
          <w:color w:val="auto"/>
          <w:lang w:val="en-US" w:eastAsia="zh-CN"/>
        </w:rPr>
      </w:pPr>
      <w:bookmarkStart w:id="120" w:name="_Toc17994"/>
      <w:r>
        <w:rPr>
          <w:rFonts w:hint="default"/>
          <w:color w:val="auto"/>
          <w:lang w:val="en-US" w:eastAsia="zh-CN"/>
        </w:rPr>
        <w:t>7.安全对策措施建议</w:t>
      </w:r>
      <w:bookmarkEnd w:id="120"/>
    </w:p>
    <w:p w14:paraId="059F052F">
      <w:pPr>
        <w:pStyle w:val="3"/>
        <w:bidi w:val="0"/>
        <w:rPr>
          <w:rFonts w:hint="default"/>
          <w:color w:val="auto"/>
          <w:lang w:val="en-US" w:eastAsia="zh-CN"/>
        </w:rPr>
      </w:pPr>
      <w:bookmarkStart w:id="121" w:name="_Toc6955"/>
      <w:r>
        <w:rPr>
          <w:rFonts w:hint="default"/>
          <w:color w:val="auto"/>
          <w:lang w:val="en-US" w:eastAsia="zh-CN"/>
        </w:rPr>
        <w:t>7.</w:t>
      </w:r>
      <w:r>
        <w:rPr>
          <w:rFonts w:hint="eastAsia"/>
          <w:color w:val="auto"/>
          <w:lang w:val="en-US" w:eastAsia="zh-CN"/>
        </w:rPr>
        <w:t>1</w:t>
      </w:r>
      <w:r>
        <w:rPr>
          <w:rFonts w:hint="default"/>
          <w:color w:val="auto"/>
          <w:lang w:val="en-US" w:eastAsia="zh-CN"/>
        </w:rPr>
        <w:t>安全对策措施建议</w:t>
      </w:r>
      <w:bookmarkEnd w:id="121"/>
    </w:p>
    <w:p w14:paraId="5AA09B53">
      <w:pPr>
        <w:pStyle w:val="4"/>
        <w:bidi w:val="0"/>
        <w:rPr>
          <w:rFonts w:hint="default"/>
          <w:color w:val="auto"/>
          <w:lang w:val="en-US" w:eastAsia="zh-CN"/>
        </w:rPr>
      </w:pPr>
      <w:bookmarkStart w:id="122" w:name="_Toc1643"/>
      <w:r>
        <w:rPr>
          <w:rFonts w:hint="default"/>
          <w:color w:val="auto"/>
          <w:lang w:val="en-US" w:eastAsia="zh-CN"/>
        </w:rPr>
        <w:t>7.</w:t>
      </w:r>
      <w:r>
        <w:rPr>
          <w:rFonts w:hint="eastAsia"/>
          <w:color w:val="auto"/>
          <w:lang w:val="en-US" w:eastAsia="zh-CN"/>
        </w:rPr>
        <w:t>1</w:t>
      </w:r>
      <w:r>
        <w:rPr>
          <w:rFonts w:hint="default"/>
          <w:color w:val="auto"/>
          <w:lang w:val="en-US" w:eastAsia="zh-CN"/>
        </w:rPr>
        <w:t>.1建设项目存在的问题及改进建议</w:t>
      </w:r>
      <w:bookmarkEnd w:id="122"/>
    </w:p>
    <w:p w14:paraId="783FD682">
      <w:pPr>
        <w:spacing w:line="600" w:lineRule="exact"/>
        <w:ind w:firstLine="536" w:firstLineChars="200"/>
        <w:rPr>
          <w:rFonts w:hint="eastAsia"/>
          <w:color w:val="auto"/>
          <w:sz w:val="28"/>
          <w:szCs w:val="28"/>
        </w:rPr>
      </w:pPr>
      <w:r>
        <w:rPr>
          <w:color w:val="auto"/>
          <w:spacing w:val="-6"/>
          <w:sz w:val="28"/>
          <w:szCs w:val="28"/>
        </w:rPr>
        <w:t>依据有关法规、标准</w:t>
      </w:r>
      <w:r>
        <w:rPr>
          <w:rFonts w:hint="eastAsia"/>
          <w:color w:val="auto"/>
          <w:spacing w:val="-6"/>
          <w:sz w:val="28"/>
          <w:szCs w:val="28"/>
        </w:rPr>
        <w:t>及本项目安全设施设计</w:t>
      </w:r>
      <w:r>
        <w:rPr>
          <w:color w:val="auto"/>
          <w:spacing w:val="-6"/>
          <w:sz w:val="28"/>
          <w:szCs w:val="28"/>
        </w:rPr>
        <w:t>的要求，结合公司的实际情况，该建</w:t>
      </w:r>
      <w:r>
        <w:rPr>
          <w:rFonts w:hint="eastAsia"/>
          <w:color w:val="auto"/>
          <w:spacing w:val="-6"/>
          <w:sz w:val="28"/>
          <w:szCs w:val="28"/>
        </w:rPr>
        <w:t>设</w:t>
      </w:r>
      <w:r>
        <w:rPr>
          <w:color w:val="auto"/>
          <w:spacing w:val="-6"/>
          <w:sz w:val="28"/>
          <w:szCs w:val="28"/>
        </w:rPr>
        <w:t>项目生产、储存等场所方面存在表</w:t>
      </w:r>
      <w:r>
        <w:rPr>
          <w:rFonts w:hint="eastAsia"/>
          <w:color w:val="auto"/>
          <w:spacing w:val="-6"/>
          <w:sz w:val="28"/>
          <w:szCs w:val="28"/>
        </w:rPr>
        <w:t>7.</w:t>
      </w:r>
      <w:r>
        <w:rPr>
          <w:rFonts w:hint="eastAsia"/>
          <w:color w:val="auto"/>
          <w:spacing w:val="-6"/>
          <w:sz w:val="28"/>
          <w:szCs w:val="28"/>
          <w:lang w:val="en-US" w:eastAsia="zh-CN"/>
        </w:rPr>
        <w:t>1.1</w:t>
      </w:r>
      <w:r>
        <w:rPr>
          <w:rFonts w:hint="eastAsia"/>
          <w:color w:val="auto"/>
          <w:spacing w:val="-6"/>
          <w:sz w:val="28"/>
          <w:szCs w:val="28"/>
        </w:rPr>
        <w:t>-1</w:t>
      </w:r>
      <w:r>
        <w:rPr>
          <w:color w:val="auto"/>
          <w:spacing w:val="-6"/>
          <w:sz w:val="28"/>
          <w:szCs w:val="28"/>
        </w:rPr>
        <w:t>中的问题，并针对存在的问题提出相应的对策措施与建议，以进一步提高该公司的安全管理水平。</w:t>
      </w:r>
    </w:p>
    <w:p w14:paraId="1F1EC47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en-US" w:eastAsia="zh-CN"/>
        </w:rPr>
      </w:pPr>
      <w:r>
        <w:rPr>
          <w:color w:val="auto"/>
          <w:lang w:val="en-US" w:eastAsia="zh-CN"/>
        </w:rPr>
        <w:t>表</w:t>
      </w:r>
      <w:r>
        <w:rPr>
          <w:rFonts w:hint="eastAsia"/>
          <w:color w:val="auto"/>
          <w:lang w:val="en-US" w:eastAsia="zh-CN"/>
        </w:rPr>
        <w:t>7.1.1-1存在的问题及整改</w:t>
      </w:r>
      <w:r>
        <w:rPr>
          <w:color w:val="auto"/>
          <w:lang w:val="en-US" w:eastAsia="zh-CN"/>
        </w:rPr>
        <w:t>建议表</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2764"/>
        <w:gridCol w:w="2896"/>
        <w:gridCol w:w="715"/>
        <w:gridCol w:w="2270"/>
      </w:tblGrid>
      <w:tr w14:paraId="1AC371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426" w:type="dxa"/>
            <w:noWrap w:val="0"/>
            <w:vAlign w:val="center"/>
          </w:tcPr>
          <w:p w14:paraId="3028ABF8">
            <w:pPr>
              <w:pStyle w:val="21"/>
              <w:bidi w:val="0"/>
              <w:rPr>
                <w:rFonts w:hint="eastAsia"/>
                <w:color w:val="auto"/>
                <w:lang w:val="en-US" w:eastAsia="zh-CN"/>
              </w:rPr>
            </w:pPr>
            <w:r>
              <w:rPr>
                <w:rFonts w:hint="eastAsia"/>
                <w:color w:val="auto"/>
                <w:lang w:val="en-US" w:eastAsia="zh-CN"/>
              </w:rPr>
              <w:t>序号</w:t>
            </w:r>
          </w:p>
        </w:tc>
        <w:tc>
          <w:tcPr>
            <w:tcW w:w="2764" w:type="dxa"/>
            <w:noWrap w:val="0"/>
            <w:vAlign w:val="center"/>
          </w:tcPr>
          <w:p w14:paraId="524D0691">
            <w:pPr>
              <w:pStyle w:val="21"/>
              <w:bidi w:val="0"/>
              <w:rPr>
                <w:rFonts w:hint="eastAsia"/>
                <w:color w:val="auto"/>
                <w:lang w:val="en-US" w:eastAsia="zh-CN"/>
              </w:rPr>
            </w:pPr>
            <w:r>
              <w:rPr>
                <w:rFonts w:hint="eastAsia"/>
                <w:color w:val="auto"/>
                <w:lang w:val="en-US" w:eastAsia="zh-CN"/>
              </w:rPr>
              <w:t>不合格项目</w:t>
            </w:r>
          </w:p>
        </w:tc>
        <w:tc>
          <w:tcPr>
            <w:tcW w:w="2896" w:type="dxa"/>
            <w:noWrap w:val="0"/>
            <w:vAlign w:val="center"/>
          </w:tcPr>
          <w:p w14:paraId="12E47961">
            <w:pPr>
              <w:pStyle w:val="21"/>
              <w:bidi w:val="0"/>
              <w:rPr>
                <w:rFonts w:hint="eastAsia"/>
                <w:color w:val="auto"/>
                <w:lang w:val="en-US" w:eastAsia="zh-CN"/>
              </w:rPr>
            </w:pPr>
            <w:r>
              <w:rPr>
                <w:rFonts w:hint="eastAsia"/>
                <w:color w:val="auto"/>
                <w:lang w:val="en-US" w:eastAsia="zh-CN"/>
              </w:rPr>
              <w:t>检查依据</w:t>
            </w:r>
          </w:p>
        </w:tc>
        <w:tc>
          <w:tcPr>
            <w:tcW w:w="715" w:type="dxa"/>
            <w:noWrap w:val="0"/>
            <w:vAlign w:val="center"/>
          </w:tcPr>
          <w:p w14:paraId="410F17C9">
            <w:pPr>
              <w:pStyle w:val="21"/>
              <w:bidi w:val="0"/>
              <w:rPr>
                <w:rFonts w:hint="eastAsia"/>
                <w:color w:val="auto"/>
                <w:lang w:val="en-US" w:eastAsia="zh-CN"/>
              </w:rPr>
            </w:pPr>
            <w:r>
              <w:rPr>
                <w:rFonts w:hint="eastAsia"/>
                <w:color w:val="auto"/>
                <w:lang w:val="en-US" w:eastAsia="zh-CN"/>
              </w:rPr>
              <w:t>风险程度</w:t>
            </w:r>
          </w:p>
        </w:tc>
        <w:tc>
          <w:tcPr>
            <w:tcW w:w="2270" w:type="dxa"/>
            <w:noWrap w:val="0"/>
            <w:vAlign w:val="center"/>
          </w:tcPr>
          <w:p w14:paraId="3B244836">
            <w:pPr>
              <w:pStyle w:val="21"/>
              <w:bidi w:val="0"/>
              <w:rPr>
                <w:rFonts w:hint="eastAsia"/>
                <w:color w:val="auto"/>
                <w:lang w:val="en-US" w:eastAsia="zh-CN"/>
              </w:rPr>
            </w:pPr>
            <w:r>
              <w:rPr>
                <w:rFonts w:hint="eastAsia"/>
                <w:color w:val="auto"/>
                <w:lang w:val="en-US" w:eastAsia="zh-CN"/>
              </w:rPr>
              <w:t>整改建议</w:t>
            </w:r>
          </w:p>
        </w:tc>
      </w:tr>
      <w:tr w14:paraId="20A680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819" w:hRule="atLeast"/>
          <w:jc w:val="center"/>
        </w:trPr>
        <w:tc>
          <w:tcPr>
            <w:tcW w:w="426" w:type="dxa"/>
            <w:noWrap w:val="0"/>
            <w:vAlign w:val="center"/>
          </w:tcPr>
          <w:p w14:paraId="492C5E37">
            <w:pPr>
              <w:pStyle w:val="20"/>
              <w:bidi w:val="0"/>
              <w:rPr>
                <w:rFonts w:hint="eastAsia"/>
                <w:color w:val="auto"/>
                <w:lang w:val="en-US" w:eastAsia="zh-CN"/>
              </w:rPr>
            </w:pPr>
            <w:r>
              <w:rPr>
                <w:rFonts w:hint="eastAsia"/>
                <w:color w:val="auto"/>
                <w:lang w:val="en-US" w:eastAsia="zh-CN"/>
              </w:rPr>
              <w:t>1</w:t>
            </w:r>
          </w:p>
        </w:tc>
        <w:tc>
          <w:tcPr>
            <w:tcW w:w="2764" w:type="dxa"/>
            <w:noWrap w:val="0"/>
            <w:vAlign w:val="center"/>
          </w:tcPr>
          <w:p w14:paraId="3C2DFCAF">
            <w:pPr>
              <w:pStyle w:val="20"/>
              <w:bidi w:val="0"/>
              <w:rPr>
                <w:rFonts w:hint="eastAsia"/>
                <w:color w:val="auto"/>
                <w:lang w:val="en-US" w:eastAsia="zh-CN"/>
              </w:rPr>
            </w:pPr>
            <w:r>
              <w:rPr>
                <w:rFonts w:hint="eastAsia"/>
                <w:color w:val="auto"/>
                <w:lang w:val="en-US" w:eastAsia="zh-CN"/>
              </w:rPr>
              <w:t>皮带脱水机房未配备灭火器。</w:t>
            </w:r>
          </w:p>
        </w:tc>
        <w:tc>
          <w:tcPr>
            <w:tcW w:w="2896" w:type="dxa"/>
            <w:noWrap w:val="0"/>
            <w:vAlign w:val="center"/>
          </w:tcPr>
          <w:p w14:paraId="6F939F22">
            <w:pPr>
              <w:pStyle w:val="20"/>
              <w:bidi w:val="0"/>
              <w:rPr>
                <w:rFonts w:hint="eastAsia"/>
                <w:color w:val="auto"/>
                <w:lang w:val="en-US" w:eastAsia="zh-CN"/>
              </w:rPr>
            </w:pPr>
            <w:r>
              <w:rPr>
                <w:rFonts w:hint="eastAsia"/>
                <w:color w:val="auto"/>
                <w:lang w:val="en-US" w:eastAsia="zh-CN"/>
              </w:rPr>
              <w:t>《建筑灭火器配置设计规范》GB50140-2005第6.1条</w:t>
            </w:r>
          </w:p>
        </w:tc>
        <w:tc>
          <w:tcPr>
            <w:tcW w:w="715" w:type="dxa"/>
            <w:noWrap w:val="0"/>
            <w:vAlign w:val="center"/>
          </w:tcPr>
          <w:p w14:paraId="0F53FC05">
            <w:pPr>
              <w:pStyle w:val="20"/>
              <w:bidi w:val="0"/>
              <w:rPr>
                <w:rFonts w:hint="eastAsia"/>
                <w:color w:val="auto"/>
                <w:lang w:val="en-US" w:eastAsia="zh-CN"/>
              </w:rPr>
            </w:pPr>
            <w:r>
              <w:rPr>
                <w:rFonts w:hint="eastAsia"/>
                <w:color w:val="auto"/>
                <w:lang w:val="en-US" w:eastAsia="zh-CN"/>
              </w:rPr>
              <w:t>高</w:t>
            </w:r>
          </w:p>
        </w:tc>
        <w:tc>
          <w:tcPr>
            <w:tcW w:w="2270" w:type="dxa"/>
            <w:noWrap w:val="0"/>
            <w:vAlign w:val="center"/>
          </w:tcPr>
          <w:p w14:paraId="48252168">
            <w:pPr>
              <w:pStyle w:val="20"/>
              <w:bidi w:val="0"/>
              <w:rPr>
                <w:rFonts w:hint="eastAsia"/>
                <w:color w:val="auto"/>
                <w:lang w:val="en-US" w:eastAsia="zh-CN"/>
              </w:rPr>
            </w:pPr>
            <w:r>
              <w:rPr>
                <w:rFonts w:hint="eastAsia"/>
                <w:color w:val="auto"/>
                <w:lang w:val="en-US" w:eastAsia="zh-CN"/>
              </w:rPr>
              <w:t>配备2具4公斤干粉灭火器。</w:t>
            </w:r>
          </w:p>
        </w:tc>
      </w:tr>
      <w:tr w14:paraId="4A21CD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atLeast"/>
          <w:jc w:val="center"/>
        </w:trPr>
        <w:tc>
          <w:tcPr>
            <w:tcW w:w="426" w:type="dxa"/>
            <w:noWrap w:val="0"/>
            <w:vAlign w:val="center"/>
          </w:tcPr>
          <w:p w14:paraId="52AF56D7">
            <w:pPr>
              <w:pStyle w:val="20"/>
              <w:bidi w:val="0"/>
              <w:rPr>
                <w:rFonts w:hint="eastAsia"/>
                <w:color w:val="auto"/>
                <w:lang w:val="en-US" w:eastAsia="zh-CN"/>
              </w:rPr>
            </w:pPr>
            <w:r>
              <w:rPr>
                <w:rFonts w:hint="eastAsia"/>
                <w:color w:val="auto"/>
                <w:lang w:val="en-US" w:eastAsia="zh-CN"/>
              </w:rPr>
              <w:t>2</w:t>
            </w:r>
          </w:p>
        </w:tc>
        <w:tc>
          <w:tcPr>
            <w:tcW w:w="2764" w:type="dxa"/>
            <w:noWrap w:val="0"/>
            <w:vAlign w:val="center"/>
          </w:tcPr>
          <w:p w14:paraId="009A17E2">
            <w:pPr>
              <w:pStyle w:val="20"/>
              <w:bidi w:val="0"/>
              <w:rPr>
                <w:rFonts w:hint="eastAsia"/>
                <w:color w:val="auto"/>
                <w:lang w:val="en-US" w:eastAsia="zh-CN"/>
              </w:rPr>
            </w:pPr>
            <w:r>
              <w:rPr>
                <w:rFonts w:hint="eastAsia"/>
                <w:color w:val="auto"/>
                <w:lang w:val="en-US" w:eastAsia="zh-CN"/>
              </w:rPr>
              <w:t>中控室PLC系统石膏仓料位器显示为-3.56m。</w:t>
            </w:r>
          </w:p>
        </w:tc>
        <w:tc>
          <w:tcPr>
            <w:tcW w:w="2896" w:type="dxa"/>
            <w:noWrap w:val="0"/>
            <w:vAlign w:val="center"/>
          </w:tcPr>
          <w:p w14:paraId="084339A1">
            <w:pPr>
              <w:pStyle w:val="20"/>
              <w:bidi w:val="0"/>
              <w:rPr>
                <w:rFonts w:hint="default"/>
                <w:color w:val="auto"/>
                <w:lang w:val="en-US" w:eastAsia="zh-CN"/>
              </w:rPr>
            </w:pPr>
            <w:r>
              <w:rPr>
                <w:rFonts w:hint="eastAsia"/>
                <w:color w:val="auto"/>
                <w:lang w:val="en-US" w:eastAsia="zh-CN"/>
              </w:rPr>
              <w:t>《石灰石/石灰-石膏湿法烟气脱硫工程通用技术规范》第6.6.4条</w:t>
            </w:r>
          </w:p>
        </w:tc>
        <w:tc>
          <w:tcPr>
            <w:tcW w:w="715" w:type="dxa"/>
            <w:noWrap w:val="0"/>
            <w:vAlign w:val="center"/>
          </w:tcPr>
          <w:p w14:paraId="0532C1CE">
            <w:pPr>
              <w:pStyle w:val="20"/>
              <w:bidi w:val="0"/>
              <w:rPr>
                <w:rFonts w:hint="eastAsia"/>
                <w:color w:val="auto"/>
                <w:lang w:val="en-US" w:eastAsia="zh-CN"/>
              </w:rPr>
            </w:pPr>
            <w:r>
              <w:rPr>
                <w:rFonts w:hint="eastAsia"/>
                <w:color w:val="auto"/>
                <w:lang w:val="en-US" w:eastAsia="zh-CN"/>
              </w:rPr>
              <w:t>中</w:t>
            </w:r>
          </w:p>
        </w:tc>
        <w:tc>
          <w:tcPr>
            <w:tcW w:w="2270" w:type="dxa"/>
            <w:noWrap w:val="0"/>
            <w:vAlign w:val="center"/>
          </w:tcPr>
          <w:p w14:paraId="4E974465">
            <w:pPr>
              <w:pStyle w:val="20"/>
              <w:bidi w:val="0"/>
              <w:rPr>
                <w:rFonts w:hint="eastAsia"/>
                <w:color w:val="auto"/>
                <w:lang w:val="en-US" w:eastAsia="zh-CN"/>
              </w:rPr>
            </w:pPr>
            <w:r>
              <w:rPr>
                <w:rFonts w:hint="eastAsia"/>
                <w:color w:val="auto"/>
                <w:lang w:val="en-US" w:eastAsia="zh-CN"/>
              </w:rPr>
              <w:t>将石膏仓料位器调整为正常状态。</w:t>
            </w:r>
          </w:p>
        </w:tc>
      </w:tr>
    </w:tbl>
    <w:p w14:paraId="40274A00">
      <w:pPr>
        <w:pStyle w:val="4"/>
        <w:spacing w:before="240"/>
        <w:ind w:firstLine="562"/>
        <w:rPr>
          <w:rFonts w:hint="eastAsia"/>
          <w:color w:val="auto"/>
        </w:rPr>
      </w:pPr>
      <w:bookmarkStart w:id="123" w:name="_Toc25909"/>
      <w:r>
        <w:rPr>
          <w:rFonts w:hint="eastAsia"/>
          <w:color w:val="auto"/>
        </w:rPr>
        <w:t>7.</w:t>
      </w:r>
      <w:r>
        <w:rPr>
          <w:rFonts w:hint="eastAsia"/>
          <w:color w:val="auto"/>
          <w:lang w:val="en-US" w:eastAsia="zh-CN"/>
        </w:rPr>
        <w:t>1</w:t>
      </w:r>
      <w:r>
        <w:rPr>
          <w:rFonts w:hint="eastAsia"/>
          <w:color w:val="auto"/>
        </w:rPr>
        <w:t>.</w:t>
      </w:r>
      <w:r>
        <w:rPr>
          <w:rFonts w:hint="eastAsia"/>
          <w:color w:val="auto"/>
          <w:lang w:val="en-US" w:eastAsia="zh-CN"/>
        </w:rPr>
        <w:t>2</w:t>
      </w:r>
      <w:r>
        <w:rPr>
          <w:rFonts w:hint="eastAsia"/>
          <w:color w:val="auto"/>
        </w:rPr>
        <w:t>建议补充的安全对策措施</w:t>
      </w:r>
      <w:bookmarkEnd w:id="123"/>
    </w:p>
    <w:p w14:paraId="3507B250">
      <w:pPr>
        <w:rPr>
          <w:rFonts w:hint="eastAsia"/>
          <w:color w:val="auto"/>
        </w:rPr>
      </w:pPr>
      <w:r>
        <w:rPr>
          <w:rFonts w:hint="eastAsia"/>
          <w:color w:val="auto"/>
        </w:rPr>
        <w:t>根据现场安全检查和验收评价，本安全设施竣工验收评价报告提出以下建议：</w:t>
      </w:r>
    </w:p>
    <w:p w14:paraId="3A9F8C90">
      <w:pPr>
        <w:rPr>
          <w:rFonts w:hint="eastAsia"/>
          <w:color w:val="auto"/>
        </w:rPr>
      </w:pPr>
      <w:r>
        <w:rPr>
          <w:rFonts w:hint="eastAsia"/>
          <w:color w:val="auto"/>
          <w:lang w:val="en-US" w:eastAsia="zh-CN"/>
        </w:rPr>
        <w:t>1.</w:t>
      </w:r>
      <w:r>
        <w:rPr>
          <w:rFonts w:hint="eastAsia"/>
          <w:color w:val="auto"/>
        </w:rPr>
        <w:t>进一步健全和完善安全生产管理制度，加强人员的安全知识培训和安全技能教育，完善安全技术措施和设施，进一步提高本质安全度。定期进行应急演练。加强防腐蚀、防泄漏、防雷管理，以达到安全生产的目的。</w:t>
      </w:r>
    </w:p>
    <w:p w14:paraId="7B8FCDDD">
      <w:pPr>
        <w:rPr>
          <w:rFonts w:hint="eastAsia"/>
          <w:color w:val="auto"/>
        </w:rPr>
      </w:pPr>
      <w:r>
        <w:rPr>
          <w:rFonts w:hint="eastAsia"/>
          <w:color w:val="auto"/>
          <w:lang w:val="en-US" w:eastAsia="zh-CN"/>
        </w:rPr>
        <w:t>2.</w:t>
      </w:r>
      <w:r>
        <w:rPr>
          <w:rFonts w:hint="eastAsia"/>
          <w:color w:val="auto"/>
        </w:rPr>
        <w:t>应严格危险作业的管理，严格遵守操作规程，加强巡回检查和动火、有限空间作业审批制度，以防发生火灾、中毒窒息事故。</w:t>
      </w:r>
    </w:p>
    <w:p w14:paraId="61C34E32">
      <w:pPr>
        <w:rPr>
          <w:rFonts w:hint="eastAsia"/>
          <w:color w:val="auto"/>
        </w:rPr>
      </w:pPr>
      <w:r>
        <w:rPr>
          <w:rFonts w:hint="eastAsia"/>
          <w:color w:val="auto"/>
          <w:lang w:val="en-US" w:eastAsia="zh-CN"/>
        </w:rPr>
        <w:t>3.</w:t>
      </w:r>
      <w:r>
        <w:rPr>
          <w:rFonts w:hint="eastAsia"/>
          <w:color w:val="auto"/>
        </w:rPr>
        <w:t>委托具有资质的单位对现场有害因素进行较全面的检测并出具职业卫生控制效果评价报告书。</w:t>
      </w:r>
    </w:p>
    <w:p w14:paraId="6429DABC">
      <w:pPr>
        <w:rPr>
          <w:rFonts w:hint="eastAsia"/>
          <w:color w:val="auto"/>
        </w:rPr>
      </w:pPr>
      <w:r>
        <w:rPr>
          <w:rFonts w:hint="eastAsia"/>
          <w:color w:val="auto"/>
          <w:lang w:val="en-US" w:eastAsia="zh-CN"/>
        </w:rPr>
        <w:t>4.</w:t>
      </w:r>
      <w:r>
        <w:rPr>
          <w:rFonts w:hint="eastAsia"/>
          <w:color w:val="auto"/>
        </w:rPr>
        <w:t>按照《安全生产法》《江西省安全生产条例》的要求健全和完善各项安全管理制度和安全生产责任制。</w:t>
      </w:r>
    </w:p>
    <w:p w14:paraId="3859015C">
      <w:pPr>
        <w:rPr>
          <w:rFonts w:hint="eastAsia"/>
          <w:color w:val="auto"/>
        </w:rPr>
      </w:pPr>
      <w:r>
        <w:rPr>
          <w:rFonts w:hint="eastAsia"/>
          <w:color w:val="auto"/>
          <w:lang w:val="en-US" w:eastAsia="zh-CN"/>
        </w:rPr>
        <w:t>5.</w:t>
      </w:r>
      <w:r>
        <w:rPr>
          <w:rFonts w:hint="eastAsia"/>
          <w:color w:val="auto"/>
        </w:rPr>
        <w:t>应按安全标准化的要求，制定安全生产方针、安全生产目标，年度安全生产计划，签订安全生产责任书，完善管理制度和台账。</w:t>
      </w:r>
    </w:p>
    <w:p w14:paraId="2F839A51">
      <w:pPr>
        <w:rPr>
          <w:rFonts w:hint="default" w:eastAsia="宋体"/>
          <w:color w:val="auto"/>
          <w:lang w:val="en-US" w:eastAsia="zh-CN"/>
        </w:rPr>
      </w:pPr>
      <w:r>
        <w:rPr>
          <w:rFonts w:hint="eastAsia"/>
          <w:color w:val="auto"/>
          <w:lang w:val="en-US" w:eastAsia="zh-CN"/>
        </w:rPr>
        <w:t>6.应对本项目制定专项应急预案，并归入生产安全应急事故预案。</w:t>
      </w:r>
    </w:p>
    <w:p w14:paraId="732CEB95">
      <w:pPr>
        <w:rPr>
          <w:rFonts w:hint="eastAsia"/>
          <w:color w:val="auto"/>
          <w:lang w:eastAsia="zh-CN"/>
        </w:rPr>
      </w:pPr>
      <w:r>
        <w:rPr>
          <w:rFonts w:hint="eastAsia"/>
          <w:color w:val="auto"/>
          <w:lang w:val="en-US" w:eastAsia="zh-CN"/>
        </w:rPr>
        <w:t>7.后续若有需要对项目设备设施进行</w:t>
      </w:r>
      <w:r>
        <w:rPr>
          <w:rFonts w:hint="eastAsia"/>
          <w:color w:val="auto"/>
        </w:rPr>
        <w:t>升级改造</w:t>
      </w:r>
      <w:r>
        <w:rPr>
          <w:rFonts w:hint="eastAsia"/>
          <w:color w:val="auto"/>
          <w:lang w:eastAsia="zh-CN"/>
        </w:rPr>
        <w:t>，</w:t>
      </w:r>
      <w:r>
        <w:rPr>
          <w:rFonts w:hint="eastAsia"/>
          <w:color w:val="auto"/>
        </w:rPr>
        <w:t>应按《中华人民共和国安全生产法》《建设项目安全设施“三同时”监督管理办法》等的要求完善技改项目“三同时”手续，并落实安全设施设计采取的安全防护措施</w:t>
      </w:r>
      <w:r>
        <w:rPr>
          <w:rFonts w:hint="eastAsia"/>
          <w:color w:val="auto"/>
          <w:lang w:eastAsia="zh-CN"/>
        </w:rPr>
        <w:t>。</w:t>
      </w:r>
    </w:p>
    <w:p w14:paraId="3B99C8E4">
      <w:pPr>
        <w:pStyle w:val="3"/>
        <w:bidi w:val="0"/>
        <w:rPr>
          <w:color w:val="auto"/>
          <w:lang w:val="en-US" w:eastAsia="zh-CN"/>
        </w:rPr>
      </w:pPr>
      <w:bookmarkStart w:id="124" w:name="_Toc3238"/>
      <w:r>
        <w:rPr>
          <w:rFonts w:hint="eastAsia"/>
          <w:color w:val="auto"/>
          <w:lang w:val="en-US" w:eastAsia="zh-CN"/>
        </w:rPr>
        <w:t>7.2企业隐患整改情况</w:t>
      </w:r>
      <w:bookmarkEnd w:id="124"/>
    </w:p>
    <w:p w14:paraId="1421E1C9">
      <w:pPr>
        <w:adjustRightInd/>
        <w:snapToGrid/>
        <w:spacing w:line="360" w:lineRule="auto"/>
        <w:ind w:firstLine="570" w:firstLineChars="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该公司对安全设施竣工验收评价中提出的存在事故隐患问题进行了整改。总的隐患整改情况为本项目预防、减弱系统的危险、危害程度起到一定作用，使生产过程和现场的安全生产条件得到进一步完善。</w:t>
      </w:r>
    </w:p>
    <w:p w14:paraId="68FED841">
      <w:pPr>
        <w:adjustRightInd w:val="0"/>
        <w:snapToGrid w:val="0"/>
        <w:spacing w:line="360" w:lineRule="auto"/>
        <w:ind w:firstLine="560" w:firstLineChars="200"/>
        <w:rPr>
          <w:rFonts w:hint="eastAsia" w:ascii="Times New Roman" w:hAnsi="Times New Roman" w:eastAsia="宋体" w:cs="Times New Roman"/>
          <w:color w:val="auto"/>
          <w:sz w:val="21"/>
          <w:szCs w:val="24"/>
        </w:rPr>
      </w:pPr>
      <w:r>
        <w:rPr>
          <w:rFonts w:hint="eastAsia" w:ascii="Times New Roman" w:hAnsi="Times New Roman" w:eastAsia="宋体" w:cs="Times New Roman"/>
          <w:color w:val="auto"/>
          <w:sz w:val="28"/>
          <w:szCs w:val="28"/>
        </w:rPr>
        <w:t>隐患整改情况如下：</w:t>
      </w:r>
    </w:p>
    <w:tbl>
      <w:tblPr>
        <w:tblStyle w:val="14"/>
        <w:tblW w:w="911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6"/>
        <w:gridCol w:w="4982"/>
        <w:gridCol w:w="3453"/>
      </w:tblGrid>
      <w:tr w14:paraId="5E4E1C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 w:hRule="atLeast"/>
          <w:jc w:val="center"/>
        </w:trPr>
        <w:tc>
          <w:tcPr>
            <w:tcW w:w="676" w:type="dxa"/>
            <w:noWrap w:val="0"/>
            <w:vAlign w:val="center"/>
          </w:tcPr>
          <w:p w14:paraId="3D669484">
            <w:pPr>
              <w:pStyle w:val="21"/>
              <w:bidi w:val="0"/>
              <w:rPr>
                <w:color w:val="auto"/>
              </w:rPr>
            </w:pPr>
            <w:r>
              <w:rPr>
                <w:color w:val="auto"/>
              </w:rPr>
              <w:t>序号</w:t>
            </w:r>
          </w:p>
        </w:tc>
        <w:tc>
          <w:tcPr>
            <w:tcW w:w="4982" w:type="dxa"/>
            <w:noWrap w:val="0"/>
            <w:vAlign w:val="center"/>
          </w:tcPr>
          <w:p w14:paraId="730E9AFA">
            <w:pPr>
              <w:pStyle w:val="21"/>
              <w:bidi w:val="0"/>
              <w:rPr>
                <w:color w:val="auto"/>
              </w:rPr>
            </w:pPr>
            <w:r>
              <w:rPr>
                <w:color w:val="auto"/>
              </w:rPr>
              <w:t>不合格项目</w:t>
            </w:r>
          </w:p>
        </w:tc>
        <w:tc>
          <w:tcPr>
            <w:tcW w:w="3453" w:type="dxa"/>
            <w:noWrap w:val="0"/>
            <w:vAlign w:val="center"/>
          </w:tcPr>
          <w:p w14:paraId="2C09E0C2">
            <w:pPr>
              <w:pStyle w:val="21"/>
              <w:bidi w:val="0"/>
              <w:rPr>
                <w:rFonts w:hint="eastAsia"/>
                <w:color w:val="auto"/>
              </w:rPr>
            </w:pPr>
            <w:r>
              <w:rPr>
                <w:color w:val="auto"/>
              </w:rPr>
              <w:t>整改</w:t>
            </w:r>
            <w:r>
              <w:rPr>
                <w:rFonts w:hint="eastAsia"/>
                <w:color w:val="auto"/>
              </w:rPr>
              <w:t>落实情况</w:t>
            </w:r>
          </w:p>
        </w:tc>
      </w:tr>
      <w:tr w14:paraId="467A72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 w:hRule="atLeast"/>
          <w:jc w:val="center"/>
        </w:trPr>
        <w:tc>
          <w:tcPr>
            <w:tcW w:w="676" w:type="dxa"/>
            <w:noWrap w:val="0"/>
            <w:vAlign w:val="center"/>
          </w:tcPr>
          <w:p w14:paraId="035D146F">
            <w:pPr>
              <w:pStyle w:val="20"/>
              <w:bidi w:val="0"/>
              <w:rPr>
                <w:rFonts w:hint="eastAsia"/>
                <w:color w:val="auto"/>
              </w:rPr>
            </w:pPr>
            <w:r>
              <w:rPr>
                <w:rFonts w:hint="eastAsia"/>
                <w:color w:val="auto"/>
              </w:rPr>
              <w:t>1</w:t>
            </w:r>
          </w:p>
        </w:tc>
        <w:tc>
          <w:tcPr>
            <w:tcW w:w="4982" w:type="dxa"/>
            <w:noWrap w:val="0"/>
            <w:vAlign w:val="center"/>
          </w:tcPr>
          <w:p w14:paraId="1D460F93">
            <w:pPr>
              <w:pStyle w:val="20"/>
              <w:bidi w:val="0"/>
              <w:rPr>
                <w:color w:val="auto"/>
              </w:rPr>
            </w:pPr>
            <w:r>
              <w:rPr>
                <w:rFonts w:hint="eastAsia"/>
                <w:color w:val="auto"/>
              </w:rPr>
              <w:t>皮带脱水机房未配备灭火器。</w:t>
            </w:r>
          </w:p>
        </w:tc>
        <w:tc>
          <w:tcPr>
            <w:tcW w:w="3453" w:type="dxa"/>
            <w:noWrap w:val="0"/>
            <w:vAlign w:val="center"/>
          </w:tcPr>
          <w:p w14:paraId="57B648C7">
            <w:pPr>
              <w:pStyle w:val="20"/>
              <w:bidi w:val="0"/>
              <w:rPr>
                <w:color w:val="auto"/>
              </w:rPr>
            </w:pPr>
            <w:r>
              <w:rPr>
                <w:rFonts w:hint="eastAsia"/>
                <w:color w:val="auto"/>
                <w:lang w:val="en-US" w:eastAsia="zh-CN"/>
              </w:rPr>
              <w:t>已整改增设</w:t>
            </w:r>
            <w:r>
              <w:rPr>
                <w:rFonts w:hint="eastAsia"/>
                <w:color w:val="auto"/>
              </w:rPr>
              <w:t>配备2具4公斤干粉灭火器。</w:t>
            </w:r>
          </w:p>
        </w:tc>
      </w:tr>
      <w:tr w14:paraId="0D691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 w:hRule="atLeast"/>
          <w:jc w:val="center"/>
        </w:trPr>
        <w:tc>
          <w:tcPr>
            <w:tcW w:w="676" w:type="dxa"/>
            <w:noWrap w:val="0"/>
            <w:vAlign w:val="center"/>
          </w:tcPr>
          <w:p w14:paraId="2CA962CB">
            <w:pPr>
              <w:pStyle w:val="20"/>
              <w:bidi w:val="0"/>
              <w:rPr>
                <w:rFonts w:hint="eastAsia"/>
                <w:color w:val="auto"/>
              </w:rPr>
            </w:pPr>
            <w:r>
              <w:rPr>
                <w:rFonts w:hint="eastAsia"/>
                <w:color w:val="auto"/>
              </w:rPr>
              <w:t>2</w:t>
            </w:r>
          </w:p>
        </w:tc>
        <w:tc>
          <w:tcPr>
            <w:tcW w:w="4982" w:type="dxa"/>
            <w:noWrap w:val="0"/>
            <w:vAlign w:val="center"/>
          </w:tcPr>
          <w:p w14:paraId="22EDAB11">
            <w:pPr>
              <w:pStyle w:val="20"/>
              <w:bidi w:val="0"/>
              <w:rPr>
                <w:color w:val="auto"/>
              </w:rPr>
            </w:pPr>
            <w:r>
              <w:rPr>
                <w:rFonts w:hint="eastAsia"/>
                <w:color w:val="auto"/>
              </w:rPr>
              <w:t>中控室PLC系统石膏仓料位器显示为-3.56m。</w:t>
            </w:r>
          </w:p>
        </w:tc>
        <w:tc>
          <w:tcPr>
            <w:tcW w:w="3453" w:type="dxa"/>
            <w:noWrap w:val="0"/>
            <w:vAlign w:val="center"/>
          </w:tcPr>
          <w:p w14:paraId="0B518981">
            <w:pPr>
              <w:pStyle w:val="20"/>
              <w:bidi w:val="0"/>
              <w:rPr>
                <w:rFonts w:hint="eastAsia"/>
                <w:color w:val="auto"/>
                <w:lang w:eastAsia="zh-CN"/>
              </w:rPr>
            </w:pPr>
            <w:r>
              <w:rPr>
                <w:rFonts w:hint="eastAsia"/>
                <w:color w:val="auto"/>
              </w:rPr>
              <w:t>经核实现场无料位计，已开单修改显示数据为“***”</w:t>
            </w:r>
            <w:r>
              <w:rPr>
                <w:rFonts w:hint="eastAsia"/>
                <w:color w:val="auto"/>
                <w:lang w:eastAsia="zh-CN"/>
              </w:rPr>
              <w:t>。</w:t>
            </w:r>
          </w:p>
        </w:tc>
      </w:tr>
    </w:tbl>
    <w:p w14:paraId="6FB18447">
      <w:p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企业整改回复具体见报告附件。</w:t>
      </w:r>
    </w:p>
    <w:p w14:paraId="6273E0CD">
      <w:pPr>
        <w:rPr>
          <w:rFonts w:hint="eastAsia"/>
          <w:color w:val="auto"/>
          <w:lang w:eastAsia="zh-CN"/>
        </w:rPr>
      </w:pPr>
      <w:r>
        <w:rPr>
          <w:rFonts w:hint="eastAsia"/>
          <w:color w:val="auto"/>
          <w:lang w:eastAsia="zh-CN"/>
        </w:rPr>
        <w:br w:type="page"/>
      </w:r>
    </w:p>
    <w:p w14:paraId="419E1823">
      <w:pPr>
        <w:pStyle w:val="2"/>
        <w:bidi w:val="0"/>
        <w:rPr>
          <w:rFonts w:hint="eastAsia"/>
          <w:color w:val="auto"/>
          <w:lang w:eastAsia="zh-CN"/>
        </w:rPr>
      </w:pPr>
      <w:bookmarkStart w:id="125" w:name="_Toc6803"/>
      <w:r>
        <w:rPr>
          <w:rFonts w:hint="eastAsia"/>
          <w:color w:val="auto"/>
          <w:lang w:eastAsia="zh-CN"/>
        </w:rPr>
        <w:t>8.评价结论</w:t>
      </w:r>
      <w:bookmarkEnd w:id="125"/>
    </w:p>
    <w:p w14:paraId="71887611">
      <w:pPr>
        <w:pStyle w:val="3"/>
        <w:bidi w:val="0"/>
        <w:rPr>
          <w:rFonts w:hint="eastAsia"/>
          <w:color w:val="auto"/>
          <w:lang w:eastAsia="zh-CN"/>
        </w:rPr>
      </w:pPr>
      <w:bookmarkStart w:id="126" w:name="_Toc13565"/>
      <w:r>
        <w:rPr>
          <w:rFonts w:hint="eastAsia"/>
          <w:color w:val="auto"/>
          <w:lang w:eastAsia="zh-CN"/>
        </w:rPr>
        <w:t>8.1危险、有害因素辨识结果</w:t>
      </w:r>
      <w:bookmarkEnd w:id="126"/>
    </w:p>
    <w:p w14:paraId="2801D6E7">
      <w:pPr>
        <w:spacing w:line="360" w:lineRule="auto"/>
        <w:ind w:firstLine="560" w:firstLineChars="200"/>
        <w:rPr>
          <w:rFonts w:hint="eastAsia" w:eastAsia="黑体"/>
          <w:color w:val="auto"/>
          <w:lang w:eastAsia="zh-CN"/>
        </w:rPr>
      </w:pPr>
      <w:r>
        <w:rPr>
          <w:color w:val="auto"/>
        </w:rPr>
        <w:t>根据《国家安全监管总局关于公布首批重点监管的危险化学品名录的通知》（安监总管三〔2011〕95号）和《国家安全监管总局关于公布第二批重点监管危险化学品名录的通知》（安监总管三〔2013〕12号）对涉及的危险化学品进行辨识，</w:t>
      </w:r>
      <w:r>
        <w:rPr>
          <w:rFonts w:hint="eastAsia"/>
          <w:color w:val="auto"/>
          <w:lang w:val="en-US" w:eastAsia="zh-CN"/>
        </w:rPr>
        <w:t>本</w:t>
      </w:r>
      <w:r>
        <w:rPr>
          <w:color w:val="auto"/>
        </w:rPr>
        <w:t>项目</w:t>
      </w:r>
      <w:r>
        <w:rPr>
          <w:rFonts w:hint="eastAsia"/>
          <w:color w:val="auto"/>
        </w:rPr>
        <w:t>回转窑烟气中的SO</w:t>
      </w:r>
      <w:r>
        <w:rPr>
          <w:rFonts w:hint="eastAsia"/>
          <w:color w:val="auto"/>
          <w:vertAlign w:val="subscript"/>
        </w:rPr>
        <w:t>2</w:t>
      </w:r>
      <w:r>
        <w:rPr>
          <w:rFonts w:hint="eastAsia"/>
          <w:color w:val="auto"/>
          <w:lang w:val="en-US" w:eastAsia="zh-CN"/>
        </w:rPr>
        <w:t>属于</w:t>
      </w:r>
      <w:r>
        <w:rPr>
          <w:color w:val="auto"/>
        </w:rPr>
        <w:t>重点监管的危险化学品。</w:t>
      </w:r>
    </w:p>
    <w:p w14:paraId="297921D2">
      <w:pPr>
        <w:spacing w:line="360" w:lineRule="auto"/>
        <w:ind w:firstLine="560" w:firstLineChars="200"/>
        <w:rPr>
          <w:color w:val="auto"/>
        </w:rPr>
      </w:pPr>
      <w:r>
        <w:rPr>
          <w:rFonts w:hint="eastAsia"/>
          <w:color w:val="auto"/>
        </w:rPr>
        <w:t>1</w:t>
      </w:r>
      <w:r>
        <w:rPr>
          <w:rFonts w:hint="eastAsia"/>
          <w:color w:val="auto"/>
          <w:lang w:val="en-US" w:eastAsia="zh-CN"/>
        </w:rPr>
        <w:t>.</w:t>
      </w:r>
      <w:r>
        <w:rPr>
          <w:color w:val="auto"/>
        </w:rPr>
        <w:t>监控化学品辨识</w:t>
      </w:r>
    </w:p>
    <w:p w14:paraId="36E537A0">
      <w:pPr>
        <w:spacing w:line="360" w:lineRule="auto"/>
        <w:ind w:firstLine="560" w:firstLineChars="200"/>
        <w:rPr>
          <w:color w:val="auto"/>
        </w:rPr>
      </w:pPr>
      <w:r>
        <w:rPr>
          <w:color w:val="auto"/>
        </w:rPr>
        <w:t>依据《中华人民共和国监控化学品管理条例》（</w:t>
      </w:r>
      <w:r>
        <w:rPr>
          <w:rFonts w:hint="eastAsia"/>
          <w:color w:val="auto"/>
        </w:rPr>
        <w:t>国务院令第588号修订</w:t>
      </w:r>
      <w:r>
        <w:rPr>
          <w:color w:val="auto"/>
        </w:rPr>
        <w:t>）进行辨识，本项目</w:t>
      </w:r>
      <w:r>
        <w:rPr>
          <w:rFonts w:hint="eastAsia"/>
          <w:color w:val="auto"/>
        </w:rPr>
        <w:t>不涉及</w:t>
      </w:r>
      <w:r>
        <w:rPr>
          <w:color w:val="auto"/>
        </w:rPr>
        <w:t>监控化学品管理条例</w:t>
      </w:r>
      <w:r>
        <w:rPr>
          <w:rFonts w:hint="eastAsia"/>
          <w:color w:val="auto"/>
        </w:rPr>
        <w:t>中的监控化学品</w:t>
      </w:r>
      <w:r>
        <w:rPr>
          <w:color w:val="auto"/>
        </w:rPr>
        <w:t>。</w:t>
      </w:r>
    </w:p>
    <w:p w14:paraId="2FC83A25">
      <w:pPr>
        <w:spacing w:line="360" w:lineRule="auto"/>
        <w:ind w:firstLine="560" w:firstLineChars="200"/>
        <w:rPr>
          <w:color w:val="auto"/>
        </w:rPr>
      </w:pPr>
      <w:r>
        <w:rPr>
          <w:rFonts w:hint="eastAsia"/>
          <w:color w:val="auto"/>
        </w:rPr>
        <w:t>2</w:t>
      </w:r>
      <w:r>
        <w:rPr>
          <w:rFonts w:hint="eastAsia"/>
          <w:color w:val="auto"/>
          <w:lang w:val="en-US" w:eastAsia="zh-CN"/>
        </w:rPr>
        <w:t>.</w:t>
      </w:r>
      <w:r>
        <w:rPr>
          <w:color w:val="auto"/>
        </w:rPr>
        <w:t>易制毒化学品辨识</w:t>
      </w:r>
    </w:p>
    <w:p w14:paraId="45416AFC">
      <w:pPr>
        <w:spacing w:line="360" w:lineRule="auto"/>
        <w:ind w:firstLine="560" w:firstLineChars="200"/>
        <w:rPr>
          <w:color w:val="auto"/>
        </w:rPr>
      </w:pPr>
      <w:r>
        <w:rPr>
          <w:color w:val="auto"/>
        </w:rPr>
        <w:t>依据《易制毒化学品管理条例》（国务院令第</w:t>
      </w:r>
      <w:r>
        <w:rPr>
          <w:rFonts w:hint="eastAsia"/>
          <w:color w:val="auto"/>
        </w:rPr>
        <w:t>703号修订</w:t>
      </w:r>
      <w:r>
        <w:rPr>
          <w:color w:val="auto"/>
        </w:rPr>
        <w:t>）及附表规定进行辨识，本项目</w:t>
      </w:r>
      <w:r>
        <w:rPr>
          <w:rFonts w:hint="eastAsia"/>
          <w:color w:val="auto"/>
        </w:rPr>
        <w:t>不涉及</w:t>
      </w:r>
      <w:r>
        <w:rPr>
          <w:rFonts w:hint="eastAsia" w:hAnsi="宋体"/>
          <w:color w:val="auto"/>
        </w:rPr>
        <w:t>易制毒化学品</w:t>
      </w:r>
      <w:r>
        <w:rPr>
          <w:color w:val="auto"/>
        </w:rPr>
        <w:t>。</w:t>
      </w:r>
    </w:p>
    <w:p w14:paraId="595DEE71">
      <w:pPr>
        <w:spacing w:line="360" w:lineRule="auto"/>
        <w:rPr>
          <w:rFonts w:hAnsi="宋体"/>
          <w:color w:val="auto"/>
        </w:rPr>
      </w:pPr>
      <w:r>
        <w:rPr>
          <w:rFonts w:hint="eastAsia" w:hAnsi="宋体"/>
          <w:color w:val="auto"/>
        </w:rPr>
        <w:t>3</w:t>
      </w:r>
      <w:r>
        <w:rPr>
          <w:rFonts w:hint="eastAsia" w:hAnsi="宋体"/>
          <w:color w:val="auto"/>
          <w:lang w:val="en-US" w:eastAsia="zh-CN"/>
        </w:rPr>
        <w:t>.危险</w:t>
      </w:r>
      <w:r>
        <w:rPr>
          <w:rFonts w:hint="eastAsia" w:hAnsi="宋体"/>
          <w:color w:val="auto"/>
        </w:rPr>
        <w:t>化学品辨识</w:t>
      </w:r>
    </w:p>
    <w:p w14:paraId="1327CDF3">
      <w:pPr>
        <w:spacing w:line="360" w:lineRule="auto"/>
        <w:ind w:firstLine="560" w:firstLineChars="200"/>
        <w:rPr>
          <w:rFonts w:hAnsi="宋体"/>
          <w:color w:val="auto"/>
        </w:rPr>
      </w:pPr>
      <w:r>
        <w:rPr>
          <w:rFonts w:hint="eastAsia" w:hAnsi="宋体"/>
          <w:color w:val="auto"/>
        </w:rPr>
        <w:t>依据</w:t>
      </w:r>
      <w:r>
        <w:rPr>
          <w:rFonts w:eastAsiaTheme="minorEastAsia"/>
          <w:color w:val="auto"/>
        </w:rPr>
        <w:t>《危险化学品目录</w:t>
      </w:r>
      <w:r>
        <w:rPr>
          <w:rFonts w:hint="eastAsia" w:eastAsiaTheme="minorEastAsia"/>
          <w:color w:val="auto"/>
          <w:lang w:eastAsia="zh-CN"/>
        </w:rPr>
        <w:t>（</w:t>
      </w:r>
      <w:r>
        <w:rPr>
          <w:rFonts w:hint="eastAsia" w:eastAsiaTheme="minorEastAsia"/>
          <w:color w:val="auto"/>
          <w:lang w:val="en-US" w:eastAsia="zh-CN"/>
        </w:rPr>
        <w:t>2015</w:t>
      </w:r>
      <w:r>
        <w:rPr>
          <w:rFonts w:hint="eastAsia" w:eastAsiaTheme="minorEastAsia"/>
          <w:color w:val="auto"/>
          <w:lang w:eastAsia="zh-CN"/>
        </w:rPr>
        <w:t>）</w:t>
      </w:r>
      <w:r>
        <w:rPr>
          <w:rFonts w:eastAsiaTheme="minorEastAsia"/>
          <w:color w:val="auto"/>
        </w:rPr>
        <w:t>》（2022年调整版）</w:t>
      </w:r>
      <w:r>
        <w:rPr>
          <w:rFonts w:hint="eastAsia" w:hAnsi="宋体"/>
          <w:color w:val="auto"/>
        </w:rPr>
        <w:t>进行辨识，本项目回转窑烟气中的SO</w:t>
      </w:r>
      <w:r>
        <w:rPr>
          <w:rFonts w:hint="eastAsia" w:hAnsi="宋体"/>
          <w:color w:val="auto"/>
          <w:vertAlign w:val="subscript"/>
        </w:rPr>
        <w:t>2</w:t>
      </w:r>
      <w:r>
        <w:rPr>
          <w:rFonts w:hint="eastAsia" w:hAnsi="宋体"/>
          <w:color w:val="auto"/>
        </w:rPr>
        <w:t>属于</w:t>
      </w:r>
      <w:r>
        <w:rPr>
          <w:rFonts w:hint="eastAsia" w:hAnsi="宋体"/>
          <w:color w:val="auto"/>
          <w:lang w:val="en-US" w:eastAsia="zh-CN"/>
        </w:rPr>
        <w:t>危险</w:t>
      </w:r>
      <w:r>
        <w:rPr>
          <w:rFonts w:hint="eastAsia" w:hAnsi="宋体"/>
          <w:color w:val="auto"/>
        </w:rPr>
        <w:t>化学品。</w:t>
      </w:r>
    </w:p>
    <w:p w14:paraId="764B54CE">
      <w:pPr>
        <w:spacing w:line="360" w:lineRule="auto"/>
        <w:rPr>
          <w:rFonts w:hAnsi="宋体"/>
          <w:color w:val="auto"/>
        </w:rPr>
      </w:pPr>
      <w:r>
        <w:rPr>
          <w:rFonts w:hint="eastAsia" w:hAnsi="宋体"/>
          <w:color w:val="auto"/>
        </w:rPr>
        <w:t>4</w:t>
      </w:r>
      <w:r>
        <w:rPr>
          <w:rFonts w:hint="eastAsia" w:hAnsi="宋体"/>
          <w:color w:val="auto"/>
          <w:lang w:val="en-US" w:eastAsia="zh-CN"/>
        </w:rPr>
        <w:t>.</w:t>
      </w:r>
      <w:r>
        <w:rPr>
          <w:rFonts w:hint="eastAsia" w:hAnsi="宋体"/>
          <w:color w:val="auto"/>
        </w:rPr>
        <w:t>高毒物品辨识</w:t>
      </w:r>
    </w:p>
    <w:p w14:paraId="586F9872">
      <w:pPr>
        <w:spacing w:line="360" w:lineRule="auto"/>
        <w:ind w:firstLine="560" w:firstLineChars="200"/>
        <w:rPr>
          <w:rFonts w:hAnsi="宋体"/>
          <w:color w:val="auto"/>
        </w:rPr>
      </w:pPr>
      <w:r>
        <w:rPr>
          <w:rFonts w:hint="eastAsia" w:hAnsi="宋体"/>
          <w:color w:val="auto"/>
        </w:rPr>
        <w:t>依据《高毒物品目录》（卫法监发</w:t>
      </w:r>
      <w:r>
        <w:rPr>
          <w:rFonts w:hAnsi="宋体"/>
          <w:color w:val="auto"/>
        </w:rPr>
        <w:t>[2003]142</w:t>
      </w:r>
      <w:r>
        <w:rPr>
          <w:rFonts w:hint="eastAsia" w:hAnsi="宋体"/>
          <w:color w:val="auto"/>
        </w:rPr>
        <w:t>号）进行辨识，本项目不涉及高毒物品。</w:t>
      </w:r>
    </w:p>
    <w:p w14:paraId="7BD0B6D4">
      <w:pPr>
        <w:spacing w:line="360" w:lineRule="auto"/>
        <w:ind w:firstLine="560" w:firstLineChars="200"/>
        <w:rPr>
          <w:rFonts w:hAnsi="宋体"/>
          <w:color w:val="auto"/>
        </w:rPr>
      </w:pPr>
      <w:r>
        <w:rPr>
          <w:rFonts w:hint="eastAsia"/>
          <w:color w:val="auto"/>
        </w:rPr>
        <w:t>5</w:t>
      </w:r>
      <w:r>
        <w:rPr>
          <w:rFonts w:hint="eastAsia"/>
          <w:color w:val="auto"/>
          <w:lang w:val="en-US" w:eastAsia="zh-CN"/>
        </w:rPr>
        <w:t>.</w:t>
      </w:r>
      <w:r>
        <w:rPr>
          <w:rFonts w:hint="eastAsia" w:hAnsi="宋体"/>
          <w:color w:val="auto"/>
        </w:rPr>
        <w:t>易制爆危险化学品辨识</w:t>
      </w:r>
    </w:p>
    <w:p w14:paraId="22238501">
      <w:pPr>
        <w:spacing w:line="360" w:lineRule="auto"/>
        <w:ind w:firstLine="560" w:firstLineChars="200"/>
        <w:rPr>
          <w:rFonts w:hAnsi="宋体"/>
          <w:color w:val="auto"/>
        </w:rPr>
      </w:pPr>
      <w:r>
        <w:rPr>
          <w:rFonts w:hint="eastAsia" w:hAnsi="宋体"/>
          <w:color w:val="auto"/>
        </w:rPr>
        <w:t>根据《易制爆危险化学品名录》（</w:t>
      </w:r>
      <w:r>
        <w:rPr>
          <w:rFonts w:hAnsi="宋体"/>
          <w:color w:val="auto"/>
        </w:rPr>
        <w:t>2017</w:t>
      </w:r>
      <w:r>
        <w:rPr>
          <w:rFonts w:hint="eastAsia" w:hAnsi="宋体"/>
          <w:color w:val="auto"/>
        </w:rPr>
        <w:t>年版）进行辨识，本项目</w:t>
      </w:r>
      <w:r>
        <w:rPr>
          <w:rFonts w:hint="eastAsia"/>
          <w:color w:val="auto"/>
        </w:rPr>
        <w:t>不涉及</w:t>
      </w:r>
      <w:r>
        <w:rPr>
          <w:rFonts w:hint="eastAsia" w:hAnsi="宋体"/>
          <w:color w:val="auto"/>
        </w:rPr>
        <w:t>易制爆危险化学品。</w:t>
      </w:r>
    </w:p>
    <w:p w14:paraId="66DD3212">
      <w:pPr>
        <w:spacing w:line="360" w:lineRule="auto"/>
        <w:ind w:firstLine="560" w:firstLineChars="200"/>
        <w:rPr>
          <w:color w:val="auto"/>
        </w:rPr>
      </w:pPr>
      <w:r>
        <w:rPr>
          <w:rFonts w:hint="eastAsia"/>
          <w:color w:val="auto"/>
        </w:rPr>
        <w:t>6</w:t>
      </w:r>
      <w:r>
        <w:rPr>
          <w:rFonts w:hint="eastAsia"/>
          <w:color w:val="auto"/>
          <w:lang w:val="en-US" w:eastAsia="zh-CN"/>
        </w:rPr>
        <w:t>.</w:t>
      </w:r>
      <w:r>
        <w:rPr>
          <w:color w:val="auto"/>
        </w:rPr>
        <w:t>特别管控危险化学品辨识</w:t>
      </w:r>
    </w:p>
    <w:p w14:paraId="6AEAC9C0">
      <w:pPr>
        <w:spacing w:line="360" w:lineRule="auto"/>
        <w:ind w:firstLine="560" w:firstLineChars="200"/>
        <w:rPr>
          <w:color w:val="auto"/>
        </w:rPr>
      </w:pPr>
      <w:r>
        <w:rPr>
          <w:color w:val="auto"/>
        </w:rPr>
        <w:t>根据《特别管控危险化学品名录（第一版）》，经辨识，本项目</w:t>
      </w:r>
      <w:r>
        <w:rPr>
          <w:rFonts w:hint="eastAsia"/>
          <w:color w:val="auto"/>
        </w:rPr>
        <w:t>不涉及</w:t>
      </w:r>
      <w:r>
        <w:rPr>
          <w:color w:val="auto"/>
        </w:rPr>
        <w:t>特别管控危险化学品。</w:t>
      </w:r>
    </w:p>
    <w:p w14:paraId="33A9DFC3">
      <w:pPr>
        <w:spacing w:line="360" w:lineRule="auto"/>
        <w:ind w:firstLine="560" w:firstLineChars="200"/>
        <w:rPr>
          <w:rFonts w:hAnsi="宋体"/>
          <w:color w:val="auto"/>
        </w:rPr>
      </w:pPr>
      <w:r>
        <w:rPr>
          <w:rFonts w:hint="eastAsia" w:hAnsi="宋体"/>
          <w:color w:val="auto"/>
        </w:rPr>
        <w:t>7</w:t>
      </w:r>
      <w:r>
        <w:rPr>
          <w:rFonts w:hint="eastAsia" w:hAnsi="宋体"/>
          <w:color w:val="auto"/>
          <w:lang w:val="en-US" w:eastAsia="zh-CN"/>
        </w:rPr>
        <w:t>.</w:t>
      </w:r>
      <w:r>
        <w:rPr>
          <w:rFonts w:hint="eastAsia" w:hAnsi="宋体"/>
          <w:color w:val="auto"/>
        </w:rPr>
        <w:t>重点监管的危险化工工艺辨识</w:t>
      </w:r>
    </w:p>
    <w:p w14:paraId="2941C1C4">
      <w:pPr>
        <w:spacing w:line="360" w:lineRule="auto"/>
        <w:ind w:firstLine="560" w:firstLineChars="200"/>
        <w:rPr>
          <w:rFonts w:hint="eastAsia" w:hAnsi="宋体"/>
          <w:color w:val="auto"/>
        </w:rPr>
      </w:pPr>
      <w:r>
        <w:rPr>
          <w:rFonts w:hint="eastAsia" w:hAnsi="宋体"/>
          <w:color w:val="auto"/>
        </w:rPr>
        <w:t>依据《关于公布首批重点监管的危险化工工艺目录的通知》（安监总管三</w:t>
      </w:r>
      <w:r>
        <w:rPr>
          <w:rFonts w:hAnsi="宋体"/>
          <w:color w:val="auto"/>
        </w:rPr>
        <w:t>[2009]116</w:t>
      </w:r>
      <w:r>
        <w:rPr>
          <w:rFonts w:hint="eastAsia" w:hAnsi="宋体"/>
          <w:color w:val="auto"/>
        </w:rPr>
        <w:t>号）及《关于公布第二批重点监管危险化工工艺目录和调整首批重点监管危险化工工艺中部分典型工艺的通知》（安监总管三</w:t>
      </w:r>
      <w:r>
        <w:rPr>
          <w:rFonts w:hAnsi="宋体"/>
          <w:color w:val="auto"/>
        </w:rPr>
        <w:t>[2013]3</w:t>
      </w:r>
      <w:r>
        <w:rPr>
          <w:rFonts w:hint="eastAsia" w:hAnsi="宋体"/>
          <w:color w:val="auto"/>
        </w:rPr>
        <w:t>号）的要求，本项目不涉及危险化工工艺。</w:t>
      </w:r>
    </w:p>
    <w:p w14:paraId="4913095C">
      <w:pPr>
        <w:spacing w:line="360" w:lineRule="auto"/>
        <w:ind w:firstLine="560" w:firstLineChars="200"/>
        <w:rPr>
          <w:rFonts w:hint="eastAsia" w:hAnsi="宋体" w:eastAsia="宋体"/>
          <w:color w:val="auto"/>
          <w:lang w:val="en-US" w:eastAsia="zh-CN"/>
        </w:rPr>
      </w:pPr>
      <w:r>
        <w:rPr>
          <w:rFonts w:hint="eastAsia" w:hAnsi="宋体"/>
          <w:color w:val="auto"/>
          <w:lang w:val="en-US" w:eastAsia="zh-CN"/>
        </w:rPr>
        <w:t>8.</w:t>
      </w:r>
      <w:r>
        <w:rPr>
          <w:rFonts w:hint="eastAsia"/>
          <w:color w:val="auto"/>
          <w:sz w:val="28"/>
          <w:szCs w:val="28"/>
        </w:rPr>
        <w:t>本项目各建构筑物与周边各建筑的间距符合规范规定，</w:t>
      </w:r>
    </w:p>
    <w:p w14:paraId="18118850">
      <w:pPr>
        <w:rPr>
          <w:rFonts w:hint="eastAsia"/>
          <w:color w:val="auto"/>
          <w:sz w:val="28"/>
          <w:szCs w:val="28"/>
        </w:rPr>
      </w:pPr>
      <w:r>
        <w:rPr>
          <w:rFonts w:hint="eastAsia"/>
          <w:color w:val="auto"/>
          <w:lang w:val="en-US" w:eastAsia="zh-CN"/>
        </w:rPr>
        <w:t>9.</w:t>
      </w:r>
      <w:r>
        <w:rPr>
          <w:rFonts w:hint="eastAsia"/>
          <w:color w:val="auto"/>
          <w:sz w:val="28"/>
          <w:szCs w:val="28"/>
        </w:rPr>
        <w:t>作业条件危险性分析结果：本项目的作业条件相对比较安全，其危险度为“一般危险，需要注意”。</w:t>
      </w:r>
    </w:p>
    <w:p w14:paraId="7CA2F967">
      <w:pPr>
        <w:rPr>
          <w:rFonts w:hint="eastAsia"/>
          <w:color w:val="auto"/>
          <w:sz w:val="28"/>
          <w:szCs w:val="28"/>
          <w:lang w:val="en-US" w:eastAsia="zh-CN"/>
        </w:rPr>
      </w:pPr>
      <w:r>
        <w:rPr>
          <w:rFonts w:hint="eastAsia"/>
          <w:color w:val="auto"/>
          <w:sz w:val="28"/>
          <w:szCs w:val="28"/>
          <w:lang w:val="en-US" w:eastAsia="zh-CN"/>
        </w:rPr>
        <w:t>10.本项目不构成危险化学品重大危险源。</w:t>
      </w:r>
    </w:p>
    <w:p w14:paraId="2BA09A98">
      <w:pPr>
        <w:rPr>
          <w:rFonts w:hint="eastAsia"/>
          <w:color w:val="auto"/>
          <w:sz w:val="28"/>
          <w:szCs w:val="28"/>
        </w:rPr>
      </w:pPr>
      <w:r>
        <w:rPr>
          <w:rFonts w:hint="eastAsia"/>
          <w:color w:val="auto"/>
          <w:sz w:val="28"/>
          <w:szCs w:val="28"/>
          <w:lang w:val="en-US" w:eastAsia="zh-CN"/>
        </w:rPr>
        <w:t>11.</w:t>
      </w:r>
      <w:r>
        <w:rPr>
          <w:rFonts w:hint="eastAsia" w:cs="宋体"/>
          <w:b w:val="0"/>
          <w:bCs w:val="0"/>
          <w:color w:val="auto"/>
          <w:sz w:val="28"/>
          <w:lang w:val="en-US" w:eastAsia="zh-CN"/>
        </w:rPr>
        <w:t>本项目不存在</w:t>
      </w:r>
      <w:r>
        <w:rPr>
          <w:color w:val="auto"/>
          <w:sz w:val="28"/>
          <w:szCs w:val="28"/>
        </w:rPr>
        <w:t>重大生产安全事故隐患</w:t>
      </w:r>
      <w:r>
        <w:rPr>
          <w:rFonts w:hint="eastAsia"/>
          <w:color w:val="auto"/>
          <w:sz w:val="28"/>
          <w:szCs w:val="28"/>
        </w:rPr>
        <w:t>。</w:t>
      </w:r>
    </w:p>
    <w:p w14:paraId="39A02F64">
      <w:pPr>
        <w:rPr>
          <w:rFonts w:hint="default"/>
          <w:color w:val="auto"/>
          <w:sz w:val="28"/>
          <w:szCs w:val="28"/>
          <w:lang w:val="en-US" w:eastAsia="zh-CN"/>
        </w:rPr>
      </w:pPr>
      <w:r>
        <w:rPr>
          <w:rFonts w:hint="eastAsia"/>
          <w:color w:val="auto"/>
          <w:sz w:val="28"/>
          <w:szCs w:val="28"/>
          <w:lang w:val="en-US" w:eastAsia="zh-CN"/>
        </w:rPr>
        <w:t>12.</w:t>
      </w:r>
      <w:r>
        <w:rPr>
          <w:rFonts w:hint="default"/>
          <w:color w:val="auto"/>
          <w:lang w:val="en-US" w:eastAsia="zh-CN"/>
        </w:rPr>
        <w:t>依据《产业结构调整指导目录》（2024年本），</w:t>
      </w:r>
      <w:r>
        <w:rPr>
          <w:rFonts w:hint="eastAsia"/>
          <w:color w:val="auto"/>
          <w:lang w:val="en-US" w:eastAsia="zh-CN"/>
        </w:rPr>
        <w:t>本项目</w:t>
      </w:r>
      <w:r>
        <w:rPr>
          <w:rFonts w:hint="default"/>
          <w:color w:val="auto"/>
          <w:lang w:val="en-US" w:eastAsia="zh-CN"/>
        </w:rPr>
        <w:t>不属于限制类及淘汰类，属鼓励类，符合国家产业政策。</w:t>
      </w:r>
    </w:p>
    <w:p w14:paraId="5C03743A">
      <w:pPr>
        <w:pStyle w:val="3"/>
        <w:bidi w:val="0"/>
        <w:rPr>
          <w:rFonts w:hint="default"/>
          <w:color w:val="auto"/>
          <w:lang w:val="en-US" w:eastAsia="zh-CN"/>
        </w:rPr>
      </w:pPr>
      <w:bookmarkStart w:id="127" w:name="_Toc26204"/>
      <w:r>
        <w:rPr>
          <w:rFonts w:hint="default"/>
          <w:color w:val="auto"/>
          <w:lang w:val="en-US" w:eastAsia="zh-CN"/>
        </w:rPr>
        <w:t>8.2符合性评价结果</w:t>
      </w:r>
      <w:bookmarkEnd w:id="127"/>
    </w:p>
    <w:p w14:paraId="6CF24802">
      <w:pPr>
        <w:bidi w:val="0"/>
        <w:rPr>
          <w:rFonts w:hint="default"/>
          <w:color w:val="auto"/>
          <w:lang w:val="en-US" w:eastAsia="zh-CN"/>
        </w:rPr>
      </w:pPr>
      <w:r>
        <w:rPr>
          <w:rFonts w:hint="eastAsia"/>
          <w:color w:val="auto"/>
          <w:lang w:val="en-US" w:eastAsia="zh-CN"/>
        </w:rPr>
        <w:t>本项目</w:t>
      </w:r>
      <w:r>
        <w:rPr>
          <w:rFonts w:hint="default"/>
          <w:color w:val="auto"/>
          <w:lang w:val="en-US" w:eastAsia="zh-CN"/>
        </w:rPr>
        <w:t>按照建设项目“三同时”的要求，办理了规划手续，取得了项目备案文件，进行了安全预评价、安全设施设计审查，由具有资质的单位设计、施工安装和监理，在设计、施工过程中能够按照安全预评价报告、安全设施设计专篇的要求及国家相关法规、标准、规范的要求进行，对项目存在的危险因素采取了切实可行的安全对策措施，采用成熟、先进的工艺，加上科学有效的安全管理，可以预防、控制危险、有害因素转化为事故。</w:t>
      </w:r>
    </w:p>
    <w:p w14:paraId="75489ACD">
      <w:pPr>
        <w:bidi w:val="0"/>
        <w:rPr>
          <w:rFonts w:hint="default"/>
          <w:color w:val="auto"/>
          <w:lang w:val="en-US" w:eastAsia="zh-CN"/>
        </w:rPr>
      </w:pPr>
      <w:r>
        <w:rPr>
          <w:rFonts w:hint="eastAsia"/>
          <w:color w:val="auto"/>
          <w:lang w:val="en-US" w:eastAsia="zh-CN"/>
        </w:rPr>
        <w:t>一、产业政策、规划的符合性检查</w:t>
      </w:r>
    </w:p>
    <w:p w14:paraId="3E87E51D">
      <w:pPr>
        <w:rPr>
          <w:rFonts w:hint="default"/>
          <w:color w:val="auto"/>
          <w:lang w:val="en-US" w:eastAsia="zh-CN"/>
        </w:rPr>
      </w:pPr>
      <w:r>
        <w:rPr>
          <w:rFonts w:hint="default"/>
          <w:color w:val="auto"/>
          <w:lang w:val="en-US" w:eastAsia="zh-CN"/>
        </w:rPr>
        <w:t>1</w:t>
      </w:r>
      <w:r>
        <w:rPr>
          <w:rFonts w:hint="eastAsia"/>
          <w:color w:val="auto"/>
          <w:lang w:val="en-US" w:eastAsia="zh-CN"/>
        </w:rPr>
        <w:t>.</w:t>
      </w:r>
      <w:r>
        <w:rPr>
          <w:rFonts w:hint="default"/>
          <w:color w:val="auto"/>
          <w:lang w:val="en-US" w:eastAsia="zh-CN"/>
        </w:rPr>
        <w:t>依据《产业结构调整指导目录》（2024年本），</w:t>
      </w:r>
      <w:r>
        <w:rPr>
          <w:rFonts w:hint="eastAsia"/>
          <w:color w:val="auto"/>
          <w:lang w:val="en-US" w:eastAsia="zh-CN"/>
        </w:rPr>
        <w:t>本项目</w:t>
      </w:r>
      <w:r>
        <w:rPr>
          <w:rFonts w:hint="default"/>
          <w:color w:val="auto"/>
          <w:lang w:val="en-US" w:eastAsia="zh-CN"/>
        </w:rPr>
        <w:t>不属于限制类及淘汰类，属鼓励类，符合国家产业政策。</w:t>
      </w:r>
    </w:p>
    <w:p w14:paraId="573A1DDD">
      <w:pPr>
        <w:spacing w:line="360" w:lineRule="auto"/>
        <w:ind w:firstLine="560" w:firstLineChars="200"/>
        <w:rPr>
          <w:color w:val="auto"/>
        </w:rPr>
      </w:pPr>
      <w:r>
        <w:rPr>
          <w:rFonts w:hint="default"/>
          <w:color w:val="auto"/>
          <w:lang w:val="en-US" w:eastAsia="zh-CN"/>
        </w:rPr>
        <w:t>2</w:t>
      </w:r>
      <w:r>
        <w:rPr>
          <w:rFonts w:hint="eastAsia"/>
          <w:color w:val="auto"/>
          <w:lang w:val="en-US" w:eastAsia="zh-CN"/>
        </w:rPr>
        <w:t>.</w:t>
      </w:r>
      <w:r>
        <w:rPr>
          <w:rFonts w:hint="eastAsia"/>
          <w:color w:val="auto"/>
        </w:rPr>
        <w:t>瑞昌市发展和改革委</w:t>
      </w:r>
      <w:r>
        <w:rPr>
          <w:rFonts w:hint="eastAsia"/>
          <w:color w:val="auto"/>
          <w:lang w:eastAsia="zh-CN"/>
        </w:rPr>
        <w:t>员会</w:t>
      </w:r>
      <w:r>
        <w:rPr>
          <w:rFonts w:hint="eastAsia"/>
          <w:color w:val="auto"/>
        </w:rPr>
        <w:t>对本</w:t>
      </w:r>
      <w:r>
        <w:rPr>
          <w:color w:val="auto"/>
          <w:lang w:val="en-GB"/>
        </w:rPr>
        <w:t>项目</w:t>
      </w:r>
      <w:r>
        <w:rPr>
          <w:rFonts w:hint="eastAsia"/>
          <w:color w:val="auto"/>
          <w:lang w:val="en-GB"/>
        </w:rPr>
        <w:t>进行了</w:t>
      </w:r>
      <w:r>
        <w:rPr>
          <w:color w:val="auto"/>
          <w:lang w:val="en-GB"/>
        </w:rPr>
        <w:t>备案</w:t>
      </w:r>
      <w:r>
        <w:rPr>
          <w:rFonts w:hint="eastAsia"/>
          <w:color w:val="auto"/>
          <w:lang w:val="en-GB"/>
        </w:rPr>
        <w:t>（项目统一代码为：</w:t>
      </w:r>
      <w:r>
        <w:rPr>
          <w:rFonts w:hint="eastAsia"/>
          <w:color w:val="auto"/>
        </w:rPr>
        <w:t>2018-360481-77-03-028649</w:t>
      </w:r>
      <w:r>
        <w:rPr>
          <w:rFonts w:hint="eastAsia"/>
          <w:color w:val="auto"/>
          <w:lang w:val="en-GB"/>
        </w:rPr>
        <w:t>）</w:t>
      </w:r>
      <w:r>
        <w:rPr>
          <w:rFonts w:hint="eastAsia"/>
          <w:color w:val="auto"/>
          <w:lang w:val="en-GB" w:eastAsia="zh-CN"/>
        </w:rPr>
        <w:t>，</w:t>
      </w:r>
      <w:r>
        <w:rPr>
          <w:color w:val="auto"/>
          <w:lang w:val="en-GB"/>
        </w:rPr>
        <w:t>同意项目建设，建设项目符合国家</w:t>
      </w:r>
      <w:r>
        <w:rPr>
          <w:color w:val="auto"/>
        </w:rPr>
        <w:t>产业政策</w:t>
      </w:r>
      <w:r>
        <w:rPr>
          <w:color w:val="auto"/>
          <w:lang w:val="en-GB"/>
        </w:rPr>
        <w:t>。</w:t>
      </w:r>
    </w:p>
    <w:p w14:paraId="2AEACFF3">
      <w:pP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w:t>
      </w:r>
      <w:r>
        <w:rPr>
          <w:rFonts w:hint="eastAsia" w:cs="Times New Roman"/>
          <w:color w:val="auto"/>
          <w:lang w:val="en-US" w:eastAsia="zh-CN"/>
        </w:rPr>
        <w:t>本项目</w:t>
      </w:r>
      <w:r>
        <w:rPr>
          <w:rFonts w:hint="eastAsia" w:ascii="Times New Roman" w:hAnsi="Times New Roman" w:eastAsia="宋体" w:cs="Times New Roman"/>
          <w:color w:val="auto"/>
          <w:lang w:val="en-US" w:eastAsia="zh-CN"/>
        </w:rPr>
        <w:t>已取得《国有土地使用证》</w:t>
      </w:r>
      <w:r>
        <w:rPr>
          <w:rFonts w:hint="default" w:ascii="Times New Roman" w:hAnsi="Times New Roman" w:eastAsia="宋体" w:cs="Times New Roman"/>
          <w:color w:val="auto"/>
          <w:lang w:val="en-US" w:eastAsia="zh-CN"/>
        </w:rPr>
        <w:t>，其建设规划符合国家促进节约集约利用土地和产业结构调整的政策。符合当地土地利用规划的基本方针，不影响本地土地利用总体规划。</w:t>
      </w:r>
    </w:p>
    <w:p w14:paraId="332B1E46">
      <w:pPr>
        <w:rPr>
          <w:rFonts w:hint="default" w:ascii="Times New Roman" w:hAnsi="Times New Roman" w:eastAsia="宋体" w:cs="Times New Roman"/>
          <w:color w:val="auto"/>
          <w:lang w:val="en-US" w:eastAsia="zh-CN"/>
        </w:rPr>
      </w:pPr>
      <w:r>
        <w:rPr>
          <w:rFonts w:hint="eastAsia" w:cs="Times New Roman"/>
          <w:color w:val="auto"/>
          <w:lang w:val="en-US" w:eastAsia="zh-CN"/>
        </w:rPr>
        <w:t>二、项目设计、施工、建设合法性检查</w:t>
      </w:r>
    </w:p>
    <w:p w14:paraId="58209F86">
      <w:pPr>
        <w:spacing w:line="560" w:lineRule="exact"/>
        <w:ind w:firstLine="560" w:firstLineChars="200"/>
        <w:rPr>
          <w:rFonts w:hint="eastAsia"/>
          <w:color w:val="auto"/>
          <w:sz w:val="28"/>
          <w:szCs w:val="28"/>
        </w:rPr>
      </w:pPr>
      <w:r>
        <w:rPr>
          <w:rFonts w:hint="eastAsia"/>
          <w:color w:val="auto"/>
          <w:sz w:val="28"/>
          <w:szCs w:val="28"/>
        </w:rPr>
        <w:t>本项目进行了安全预评价、安全设施设计，委托具备相应资质的施工、监理单位，项目建设过程“三同时”落实情况符合国家有关法律、法规要求。</w:t>
      </w:r>
    </w:p>
    <w:p w14:paraId="3820BD12">
      <w:pPr>
        <w:spacing w:line="360" w:lineRule="auto"/>
        <w:ind w:firstLine="560"/>
        <w:rPr>
          <w:rFonts w:hint="eastAsia"/>
          <w:color w:val="auto"/>
          <w:lang w:val="en-US" w:eastAsia="zh-CN"/>
        </w:rPr>
      </w:pPr>
      <w:r>
        <w:rPr>
          <w:rFonts w:hint="eastAsia"/>
          <w:color w:val="auto"/>
          <w:lang w:val="en-US" w:eastAsia="zh-CN"/>
        </w:rPr>
        <w:t>三、总图运输单元</w:t>
      </w:r>
    </w:p>
    <w:p w14:paraId="05A805C3">
      <w:pPr>
        <w:bidi w:val="0"/>
        <w:rPr>
          <w:rFonts w:hint="default"/>
          <w:color w:val="auto"/>
          <w:lang w:val="en-US" w:eastAsia="zh-CN"/>
        </w:rPr>
      </w:pPr>
      <w:r>
        <w:rPr>
          <w:color w:val="auto"/>
          <w:lang w:val="en-US" w:eastAsia="zh-CN"/>
        </w:rPr>
        <w:t>通过对总图运输单元进行了</w:t>
      </w:r>
      <w:r>
        <w:rPr>
          <w:rFonts w:hint="eastAsia"/>
          <w:color w:val="auto"/>
          <w:lang w:val="en-US" w:eastAsia="zh-CN"/>
        </w:rPr>
        <w:t>26</w:t>
      </w:r>
      <w:r>
        <w:rPr>
          <w:color w:val="auto"/>
          <w:lang w:val="en-US" w:eastAsia="zh-CN"/>
        </w:rPr>
        <w:t>项检查，</w:t>
      </w:r>
      <w:r>
        <w:rPr>
          <w:rFonts w:hint="eastAsia"/>
          <w:color w:val="auto"/>
          <w:lang w:val="en-US" w:eastAsia="zh-CN"/>
        </w:rPr>
        <w:t>26项符合，0项不符合。总平面布置符合《建筑设计防火规范》要求，总图运输单元符合法律法规要求。</w:t>
      </w:r>
    </w:p>
    <w:p w14:paraId="41A42405">
      <w:pPr>
        <w:numPr>
          <w:ilvl w:val="0"/>
          <w:numId w:val="0"/>
        </w:numPr>
        <w:bidi w:val="0"/>
        <w:ind w:firstLine="560" w:firstLineChars="200"/>
        <w:rPr>
          <w:rFonts w:hint="eastAsia"/>
          <w:color w:val="auto"/>
          <w:highlight w:val="none"/>
          <w:shd w:val="clear" w:color="auto" w:fill="auto"/>
          <w:lang w:val="en-US" w:eastAsia="zh-CN"/>
        </w:rPr>
      </w:pPr>
      <w:r>
        <w:rPr>
          <w:rFonts w:hint="eastAsia" w:cs="Times New Roman"/>
          <w:color w:val="auto"/>
          <w:kern w:val="2"/>
          <w:sz w:val="28"/>
          <w:szCs w:val="28"/>
          <w:shd w:val="clear" w:fill="auto"/>
          <w:lang w:val="en-US" w:eastAsia="zh-CN" w:bidi="ar-SA"/>
        </w:rPr>
        <w:t>四</w:t>
      </w:r>
      <w:r>
        <w:rPr>
          <w:rFonts w:hint="eastAsia" w:ascii="Times New Roman" w:hAnsi="Times New Roman" w:eastAsia="宋体" w:cs="Times New Roman"/>
          <w:color w:val="auto"/>
          <w:kern w:val="2"/>
          <w:sz w:val="28"/>
          <w:szCs w:val="28"/>
          <w:shd w:val="clear" w:fill="auto"/>
          <w:lang w:val="en-US" w:eastAsia="zh-CN" w:bidi="ar-SA"/>
        </w:rPr>
        <w:t>、</w:t>
      </w:r>
      <w:r>
        <w:rPr>
          <w:rFonts w:hint="eastAsia"/>
          <w:color w:val="auto"/>
          <w:highlight w:val="none"/>
          <w:shd w:val="clear" w:color="auto" w:fill="auto"/>
          <w:lang w:val="en-US" w:eastAsia="zh-CN"/>
        </w:rPr>
        <w:t>生产工艺设备设施单元</w:t>
      </w:r>
    </w:p>
    <w:p w14:paraId="105E2DF9">
      <w:pPr>
        <w:bidi w:val="0"/>
        <w:rPr>
          <w:rFonts w:hint="default"/>
          <w:color w:val="auto"/>
          <w:lang w:val="en-US" w:eastAsia="zh-CN"/>
        </w:rPr>
      </w:pPr>
      <w:r>
        <w:rPr>
          <w:color w:val="auto"/>
          <w:lang w:val="en-US" w:eastAsia="zh-CN"/>
        </w:rPr>
        <w:t>通过对</w:t>
      </w:r>
      <w:r>
        <w:rPr>
          <w:rFonts w:hint="eastAsia"/>
          <w:color w:val="auto"/>
          <w:lang w:val="en-US" w:eastAsia="zh-CN"/>
        </w:rPr>
        <w:t>工艺设备设施</w:t>
      </w:r>
      <w:r>
        <w:rPr>
          <w:color w:val="auto"/>
          <w:lang w:val="en-US" w:eastAsia="zh-CN"/>
        </w:rPr>
        <w:t>单元进行了</w:t>
      </w:r>
      <w:r>
        <w:rPr>
          <w:rFonts w:hint="eastAsia"/>
          <w:color w:val="auto"/>
          <w:lang w:val="en-US" w:eastAsia="zh-CN"/>
        </w:rPr>
        <w:t>7</w:t>
      </w:r>
      <w:r>
        <w:rPr>
          <w:color w:val="auto"/>
          <w:lang w:val="en-US" w:eastAsia="zh-CN"/>
        </w:rPr>
        <w:t>项检查，</w:t>
      </w:r>
      <w:r>
        <w:rPr>
          <w:rFonts w:hint="eastAsia"/>
          <w:color w:val="auto"/>
          <w:lang w:val="en-US" w:eastAsia="zh-CN"/>
        </w:rPr>
        <w:t>6项符合，1项不符合。</w:t>
      </w:r>
      <w:r>
        <w:rPr>
          <w:rFonts w:hint="eastAsia"/>
          <w:color w:val="auto"/>
          <w:highlight w:val="none"/>
          <w:shd w:val="clear" w:color="auto" w:fill="auto"/>
          <w:lang w:val="en-US" w:eastAsia="zh-CN"/>
        </w:rPr>
        <w:t>不符合项为：</w:t>
      </w:r>
      <w:r>
        <w:rPr>
          <w:rFonts w:hint="eastAsia" w:ascii="Times New Roman" w:hAnsi="Times New Roman"/>
          <w:color w:val="auto"/>
          <w:highlight w:val="none"/>
          <w:shd w:val="clear" w:color="auto" w:fill="auto"/>
          <w:lang w:val="en-US" w:eastAsia="zh-CN"/>
        </w:rPr>
        <w:t>石膏仓料位计读数显示不正常</w:t>
      </w:r>
      <w:r>
        <w:rPr>
          <w:rFonts w:hint="eastAsia"/>
          <w:color w:val="auto"/>
          <w:highlight w:val="none"/>
          <w:shd w:val="clear" w:color="auto" w:fill="auto"/>
          <w:lang w:val="en-US" w:eastAsia="zh-CN"/>
        </w:rPr>
        <w:t>。</w:t>
      </w:r>
    </w:p>
    <w:p w14:paraId="38D2353C">
      <w:pPr>
        <w:numPr>
          <w:ilvl w:val="0"/>
          <w:numId w:val="0"/>
        </w:numPr>
        <w:spacing w:line="360" w:lineRule="auto"/>
        <w:ind w:left="0" w:leftChars="0" w:firstLine="560" w:firstLineChars="200"/>
        <w:rPr>
          <w:rFonts w:hint="eastAsia"/>
          <w:color w:val="auto"/>
          <w:lang w:val="en-US" w:eastAsia="zh-CN"/>
        </w:rPr>
      </w:pPr>
      <w:r>
        <w:rPr>
          <w:rFonts w:hint="eastAsia" w:cs="Times New Roman"/>
          <w:color w:val="auto"/>
          <w:kern w:val="2"/>
          <w:sz w:val="28"/>
          <w:szCs w:val="28"/>
          <w:lang w:val="en-US" w:eastAsia="zh-CN" w:bidi="ar-SA"/>
        </w:rPr>
        <w:t>五</w:t>
      </w:r>
      <w:r>
        <w:rPr>
          <w:rFonts w:hint="eastAsia" w:ascii="Times New Roman" w:hAnsi="Times New Roman" w:eastAsia="宋体" w:cs="Times New Roman"/>
          <w:color w:val="auto"/>
          <w:kern w:val="2"/>
          <w:sz w:val="28"/>
          <w:szCs w:val="28"/>
          <w:lang w:val="en-US" w:eastAsia="zh-CN" w:bidi="ar-SA"/>
        </w:rPr>
        <w:t>、</w:t>
      </w:r>
      <w:r>
        <w:rPr>
          <w:rFonts w:hint="eastAsia"/>
          <w:color w:val="auto"/>
          <w:lang w:val="en-US" w:eastAsia="zh-CN"/>
        </w:rPr>
        <w:t>公辅设施单元</w:t>
      </w:r>
    </w:p>
    <w:p w14:paraId="7A7B1FAC">
      <w:pPr>
        <w:bidi w:val="0"/>
        <w:rPr>
          <w:rFonts w:hint="default"/>
          <w:color w:val="auto"/>
          <w:lang w:val="en-US" w:eastAsia="zh-CN"/>
        </w:rPr>
      </w:pPr>
      <w:r>
        <w:rPr>
          <w:rFonts w:hint="eastAsia"/>
          <w:color w:val="auto"/>
          <w:highlight w:val="none"/>
          <w:shd w:val="clear" w:color="auto" w:fill="auto"/>
          <w:lang w:val="en-US" w:eastAsia="zh-CN"/>
        </w:rPr>
        <w:t>对公辅设施</w:t>
      </w:r>
      <w:r>
        <w:rPr>
          <w:rFonts w:ascii="Times New Roman" w:hAnsi="Times New Roman"/>
          <w:color w:val="auto"/>
          <w:highlight w:val="none"/>
          <w:shd w:val="clear" w:color="auto" w:fill="auto"/>
          <w:lang w:val="en-US" w:eastAsia="zh-CN"/>
        </w:rPr>
        <w:t>单元进行了</w:t>
      </w:r>
      <w:r>
        <w:rPr>
          <w:rFonts w:hint="eastAsia"/>
          <w:color w:val="auto"/>
          <w:highlight w:val="none"/>
          <w:shd w:val="clear" w:color="auto" w:fill="auto"/>
          <w:lang w:val="en-US" w:eastAsia="zh-CN"/>
        </w:rPr>
        <w:t>26</w:t>
      </w:r>
      <w:r>
        <w:rPr>
          <w:rFonts w:ascii="Times New Roman" w:hAnsi="Times New Roman"/>
          <w:color w:val="auto"/>
          <w:highlight w:val="none"/>
          <w:shd w:val="clear" w:color="auto" w:fill="auto"/>
          <w:lang w:val="en-US" w:eastAsia="zh-CN"/>
        </w:rPr>
        <w:t>项检查，</w:t>
      </w:r>
      <w:r>
        <w:rPr>
          <w:rFonts w:hint="eastAsia"/>
          <w:color w:val="auto"/>
          <w:highlight w:val="none"/>
          <w:shd w:val="clear" w:color="auto" w:fill="auto"/>
          <w:lang w:val="en-US" w:eastAsia="zh-CN"/>
        </w:rPr>
        <w:t>25</w:t>
      </w:r>
      <w:r>
        <w:rPr>
          <w:rFonts w:hint="eastAsia" w:ascii="Times New Roman" w:hAnsi="Times New Roman"/>
          <w:color w:val="auto"/>
          <w:highlight w:val="none"/>
          <w:shd w:val="clear" w:color="auto" w:fill="auto"/>
          <w:lang w:val="en-US" w:eastAsia="zh-CN"/>
        </w:rPr>
        <w:t>项符合，</w:t>
      </w:r>
      <w:r>
        <w:rPr>
          <w:rFonts w:hint="eastAsia"/>
          <w:color w:val="auto"/>
          <w:highlight w:val="none"/>
          <w:shd w:val="clear" w:color="auto" w:fill="auto"/>
          <w:lang w:val="en-US" w:eastAsia="zh-CN"/>
        </w:rPr>
        <w:t>1项不符合</w:t>
      </w:r>
      <w:r>
        <w:rPr>
          <w:rFonts w:hint="eastAsia" w:ascii="Times New Roman" w:hAnsi="Times New Roman"/>
          <w:color w:val="auto"/>
          <w:highlight w:val="none"/>
          <w:shd w:val="clear" w:color="auto" w:fill="auto"/>
          <w:lang w:val="en-US" w:eastAsia="zh-CN"/>
        </w:rPr>
        <w:t>。</w:t>
      </w:r>
      <w:r>
        <w:rPr>
          <w:rFonts w:hint="eastAsia"/>
          <w:color w:val="auto"/>
          <w:lang w:val="en-US" w:eastAsia="zh-CN"/>
        </w:rPr>
        <w:t>皮带脱水机房未配备灭火器，应配备2具4公斤干粉灭火器。</w:t>
      </w:r>
    </w:p>
    <w:p w14:paraId="0A28DA6D">
      <w:pPr>
        <w:numPr>
          <w:ilvl w:val="0"/>
          <w:numId w:val="0"/>
        </w:numPr>
        <w:spacing w:line="360" w:lineRule="auto"/>
        <w:ind w:left="0" w:leftChars="0" w:firstLine="560" w:firstLineChars="200"/>
        <w:rPr>
          <w:rFonts w:hint="eastAsia"/>
          <w:color w:val="auto"/>
          <w:lang w:val="en-US" w:eastAsia="zh-CN"/>
        </w:rPr>
      </w:pPr>
      <w:r>
        <w:rPr>
          <w:rFonts w:hint="eastAsia" w:cs="Times New Roman"/>
          <w:color w:val="auto"/>
          <w:kern w:val="2"/>
          <w:sz w:val="28"/>
          <w:szCs w:val="28"/>
          <w:lang w:val="en-US" w:eastAsia="zh-CN" w:bidi="ar-SA"/>
        </w:rPr>
        <w:t>六</w:t>
      </w:r>
      <w:r>
        <w:rPr>
          <w:rFonts w:hint="eastAsia" w:ascii="Times New Roman" w:hAnsi="Times New Roman" w:eastAsia="宋体" w:cs="Times New Roman"/>
          <w:color w:val="auto"/>
          <w:kern w:val="2"/>
          <w:sz w:val="28"/>
          <w:szCs w:val="28"/>
          <w:lang w:val="en-US" w:eastAsia="zh-CN" w:bidi="ar-SA"/>
        </w:rPr>
        <w:t>、</w:t>
      </w:r>
      <w:r>
        <w:rPr>
          <w:rFonts w:hint="eastAsia"/>
          <w:color w:val="auto"/>
          <w:lang w:val="en-US" w:eastAsia="zh-CN"/>
        </w:rPr>
        <w:t>安全管理评价单元</w:t>
      </w:r>
    </w:p>
    <w:p w14:paraId="1F92425D">
      <w:pPr>
        <w:adjustRightInd w:val="0"/>
        <w:snapToGrid w:val="0"/>
        <w:spacing w:line="360" w:lineRule="auto"/>
        <w:ind w:firstLine="482"/>
        <w:rPr>
          <w:rFonts w:hint="eastAsia"/>
          <w:color w:val="auto"/>
          <w:spacing w:val="4"/>
          <w:kern w:val="0"/>
          <w:sz w:val="28"/>
          <w:szCs w:val="28"/>
        </w:rPr>
      </w:pPr>
      <w:r>
        <w:rPr>
          <w:rFonts w:hint="eastAsia"/>
          <w:color w:val="auto"/>
          <w:spacing w:val="4"/>
          <w:kern w:val="0"/>
          <w:sz w:val="28"/>
          <w:szCs w:val="28"/>
          <w:lang w:val="en-US" w:eastAsia="zh-CN"/>
        </w:rPr>
        <w:t>1.</w:t>
      </w:r>
      <w:r>
        <w:rPr>
          <w:rFonts w:hint="eastAsia"/>
          <w:color w:val="auto"/>
          <w:spacing w:val="4"/>
          <w:kern w:val="0"/>
          <w:sz w:val="28"/>
          <w:szCs w:val="28"/>
        </w:rPr>
        <w:t>特种设备、防雷装置等国家有强制检测要求的按要求定期进行了检测。</w:t>
      </w:r>
    </w:p>
    <w:p w14:paraId="53BAD664">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2.</w:t>
      </w:r>
      <w:r>
        <w:rPr>
          <w:color w:val="auto"/>
          <w:kern w:val="0"/>
          <w:sz w:val="28"/>
          <w:szCs w:val="28"/>
        </w:rPr>
        <w:t>该公司设置</w:t>
      </w:r>
      <w:r>
        <w:rPr>
          <w:rFonts w:hint="eastAsia"/>
          <w:color w:val="auto"/>
          <w:kern w:val="0"/>
          <w:sz w:val="28"/>
          <w:szCs w:val="28"/>
        </w:rPr>
        <w:t>了</w:t>
      </w:r>
      <w:r>
        <w:rPr>
          <w:color w:val="auto"/>
          <w:kern w:val="0"/>
          <w:sz w:val="28"/>
          <w:szCs w:val="28"/>
        </w:rPr>
        <w:t>安全生产管理机构，安全管理制度、</w:t>
      </w:r>
      <w:r>
        <w:rPr>
          <w:rFonts w:hint="eastAsia"/>
          <w:color w:val="auto"/>
          <w:kern w:val="0"/>
          <w:sz w:val="28"/>
          <w:szCs w:val="28"/>
        </w:rPr>
        <w:t>安全操作规程</w:t>
      </w:r>
      <w:r>
        <w:rPr>
          <w:color w:val="auto"/>
          <w:kern w:val="0"/>
          <w:sz w:val="28"/>
          <w:szCs w:val="28"/>
        </w:rPr>
        <w:t>及日常安全检查</w:t>
      </w:r>
      <w:r>
        <w:rPr>
          <w:rFonts w:hint="eastAsia"/>
          <w:color w:val="auto"/>
          <w:kern w:val="0"/>
          <w:sz w:val="28"/>
          <w:szCs w:val="28"/>
          <w:lang w:eastAsia="zh-CN"/>
        </w:rPr>
        <w:t>，</w:t>
      </w:r>
      <w:r>
        <w:rPr>
          <w:rFonts w:hint="eastAsia"/>
          <w:color w:val="auto"/>
          <w:kern w:val="0"/>
          <w:sz w:val="28"/>
          <w:szCs w:val="28"/>
        </w:rPr>
        <w:t>基本</w:t>
      </w:r>
      <w:r>
        <w:rPr>
          <w:color w:val="auto"/>
          <w:kern w:val="0"/>
          <w:sz w:val="28"/>
          <w:szCs w:val="28"/>
        </w:rPr>
        <w:t>符合相关规范的要求。</w:t>
      </w:r>
    </w:p>
    <w:p w14:paraId="44E3AE3A">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3.</w:t>
      </w:r>
      <w:r>
        <w:rPr>
          <w:color w:val="auto"/>
          <w:kern w:val="0"/>
          <w:sz w:val="28"/>
          <w:szCs w:val="28"/>
        </w:rPr>
        <w:t>该公司制定了</w:t>
      </w:r>
      <w:r>
        <w:rPr>
          <w:rFonts w:hint="eastAsia"/>
          <w:color w:val="auto"/>
          <w:kern w:val="0"/>
          <w:sz w:val="28"/>
          <w:szCs w:val="28"/>
        </w:rPr>
        <w:t>生产安全</w:t>
      </w:r>
      <w:r>
        <w:rPr>
          <w:color w:val="auto"/>
          <w:kern w:val="0"/>
          <w:sz w:val="28"/>
          <w:szCs w:val="28"/>
        </w:rPr>
        <w:t>事故应急预案</w:t>
      </w:r>
      <w:r>
        <w:rPr>
          <w:rFonts w:hint="eastAsia"/>
          <w:color w:val="auto"/>
          <w:kern w:val="0"/>
          <w:sz w:val="28"/>
          <w:szCs w:val="28"/>
        </w:rPr>
        <w:t>，按要求进行备案，</w:t>
      </w:r>
      <w:r>
        <w:rPr>
          <w:rFonts w:hint="eastAsia"/>
          <w:color w:val="auto"/>
          <w:spacing w:val="4"/>
          <w:sz w:val="28"/>
          <w:szCs w:val="28"/>
          <w:lang w:val="zh-CN"/>
        </w:rPr>
        <w:t>配备必要的应急救援器材、设备和物资，</w:t>
      </w:r>
      <w:r>
        <w:rPr>
          <w:rFonts w:hint="eastAsia"/>
          <w:color w:val="auto"/>
          <w:spacing w:val="4"/>
          <w:sz w:val="28"/>
          <w:szCs w:val="28"/>
        </w:rPr>
        <w:t>并按要求进行了应急演练</w:t>
      </w:r>
      <w:r>
        <w:rPr>
          <w:color w:val="auto"/>
          <w:kern w:val="0"/>
          <w:sz w:val="28"/>
          <w:szCs w:val="28"/>
        </w:rPr>
        <w:t>。</w:t>
      </w:r>
    </w:p>
    <w:p w14:paraId="410A2016">
      <w:pPr>
        <w:adjustRightInd w:val="0"/>
        <w:snapToGrid w:val="0"/>
        <w:spacing w:line="360" w:lineRule="auto"/>
        <w:ind w:firstLine="482"/>
        <w:rPr>
          <w:color w:val="auto"/>
          <w:kern w:val="0"/>
          <w:sz w:val="28"/>
          <w:szCs w:val="28"/>
        </w:rPr>
      </w:pPr>
      <w:r>
        <w:rPr>
          <w:rFonts w:hint="eastAsia"/>
          <w:color w:val="auto"/>
          <w:kern w:val="0"/>
          <w:sz w:val="28"/>
          <w:szCs w:val="28"/>
          <w:lang w:val="en-US" w:eastAsia="zh-CN"/>
        </w:rPr>
        <w:t>4.</w:t>
      </w:r>
      <w:r>
        <w:rPr>
          <w:color w:val="auto"/>
          <w:kern w:val="0"/>
          <w:sz w:val="28"/>
          <w:szCs w:val="28"/>
        </w:rPr>
        <w:t>该公司</w:t>
      </w:r>
      <w:r>
        <w:rPr>
          <w:rFonts w:hint="eastAsia"/>
          <w:color w:val="auto"/>
          <w:kern w:val="0"/>
          <w:sz w:val="28"/>
          <w:szCs w:val="28"/>
        </w:rPr>
        <w:t>按要求保障</w:t>
      </w:r>
      <w:r>
        <w:rPr>
          <w:color w:val="auto"/>
          <w:kern w:val="0"/>
          <w:sz w:val="28"/>
          <w:szCs w:val="28"/>
        </w:rPr>
        <w:t>安全投入</w:t>
      </w:r>
      <w:r>
        <w:rPr>
          <w:rFonts w:hint="eastAsia"/>
          <w:color w:val="auto"/>
          <w:kern w:val="0"/>
          <w:sz w:val="28"/>
          <w:szCs w:val="28"/>
        </w:rPr>
        <w:t>，为</w:t>
      </w:r>
      <w:r>
        <w:rPr>
          <w:color w:val="auto"/>
          <w:kern w:val="0"/>
          <w:sz w:val="28"/>
          <w:szCs w:val="28"/>
        </w:rPr>
        <w:t>职工</w:t>
      </w:r>
      <w:r>
        <w:rPr>
          <w:rFonts w:hint="eastAsia"/>
          <w:color w:val="auto"/>
          <w:kern w:val="0"/>
          <w:sz w:val="28"/>
          <w:szCs w:val="28"/>
        </w:rPr>
        <w:t>缴纳</w:t>
      </w:r>
      <w:r>
        <w:rPr>
          <w:color w:val="auto"/>
          <w:kern w:val="0"/>
          <w:sz w:val="28"/>
          <w:szCs w:val="28"/>
        </w:rPr>
        <w:t>工伤保险。</w:t>
      </w:r>
    </w:p>
    <w:p w14:paraId="146724BC">
      <w:pPr>
        <w:adjustRightInd w:val="0"/>
        <w:snapToGrid w:val="0"/>
        <w:spacing w:line="360" w:lineRule="auto"/>
        <w:ind w:firstLine="482"/>
        <w:rPr>
          <w:rFonts w:hint="eastAsia"/>
          <w:color w:val="auto"/>
          <w:kern w:val="0"/>
          <w:sz w:val="28"/>
          <w:szCs w:val="28"/>
        </w:rPr>
      </w:pPr>
      <w:r>
        <w:rPr>
          <w:rFonts w:hint="eastAsia"/>
          <w:color w:val="auto"/>
          <w:kern w:val="0"/>
          <w:sz w:val="28"/>
          <w:szCs w:val="28"/>
          <w:lang w:val="en-US" w:eastAsia="zh-CN"/>
        </w:rPr>
        <w:t>5.</w:t>
      </w:r>
      <w:r>
        <w:rPr>
          <w:rFonts w:hint="eastAsia"/>
          <w:color w:val="auto"/>
          <w:kern w:val="0"/>
          <w:sz w:val="28"/>
          <w:szCs w:val="28"/>
        </w:rPr>
        <w:t>该公司对从业人员进行了安全生产教育和培训，并经考核，合格方准许上岗，能够熟练掌握本专业及本岗位的生产技能。</w:t>
      </w:r>
    </w:p>
    <w:p w14:paraId="0D6F7C4F">
      <w:pPr>
        <w:adjustRightInd w:val="0"/>
        <w:snapToGrid w:val="0"/>
        <w:spacing w:line="360" w:lineRule="auto"/>
        <w:ind w:firstLine="482"/>
        <w:rPr>
          <w:rFonts w:hint="eastAsia"/>
          <w:color w:val="auto"/>
          <w:kern w:val="0"/>
          <w:sz w:val="28"/>
          <w:szCs w:val="28"/>
        </w:rPr>
      </w:pPr>
      <w:r>
        <w:rPr>
          <w:rFonts w:hint="eastAsia"/>
          <w:color w:val="auto"/>
          <w:kern w:val="0"/>
          <w:sz w:val="28"/>
          <w:szCs w:val="28"/>
          <w:lang w:val="en-US" w:eastAsia="zh-CN"/>
        </w:rPr>
        <w:t>6.该公司</w:t>
      </w:r>
      <w:r>
        <w:rPr>
          <w:rFonts w:hint="eastAsia"/>
          <w:color w:val="auto"/>
          <w:kern w:val="0"/>
          <w:sz w:val="28"/>
          <w:szCs w:val="28"/>
        </w:rPr>
        <w:t>按要求为从业人员配备所需的劳动防护用品。</w:t>
      </w:r>
    </w:p>
    <w:p w14:paraId="1F66E038">
      <w:pPr>
        <w:adjustRightInd w:val="0"/>
        <w:snapToGrid w:val="0"/>
        <w:spacing w:line="360" w:lineRule="auto"/>
        <w:ind w:firstLine="482"/>
        <w:rPr>
          <w:color w:val="auto"/>
          <w:kern w:val="0"/>
          <w:sz w:val="28"/>
          <w:szCs w:val="28"/>
        </w:rPr>
      </w:pPr>
      <w:r>
        <w:rPr>
          <w:rFonts w:hint="eastAsia"/>
          <w:color w:val="auto"/>
          <w:spacing w:val="-6"/>
          <w:kern w:val="0"/>
          <w:sz w:val="28"/>
          <w:szCs w:val="28"/>
          <w:lang w:val="en-US" w:eastAsia="zh-CN"/>
        </w:rPr>
        <w:t>7.</w:t>
      </w:r>
      <w:r>
        <w:rPr>
          <w:rFonts w:hint="eastAsia"/>
          <w:color w:val="auto"/>
          <w:spacing w:val="-6"/>
          <w:kern w:val="0"/>
          <w:sz w:val="28"/>
          <w:szCs w:val="28"/>
        </w:rPr>
        <w:t>该公司按规定进行了风险分级管控和隐患排查治理双重预防机制建设。</w:t>
      </w:r>
    </w:p>
    <w:p w14:paraId="61B407FB">
      <w:pPr>
        <w:numPr>
          <w:ilvl w:val="0"/>
          <w:numId w:val="0"/>
        </w:numPr>
        <w:spacing w:line="360" w:lineRule="auto"/>
        <w:ind w:leftChars="200"/>
        <w:rPr>
          <w:rFonts w:hint="default"/>
          <w:color w:val="auto"/>
          <w:lang w:val="en-US" w:eastAsia="zh-CN"/>
        </w:rPr>
      </w:pPr>
      <w:r>
        <w:rPr>
          <w:rFonts w:hint="eastAsia"/>
          <w:color w:val="auto"/>
          <w:lang w:val="en-US" w:eastAsia="zh-CN"/>
        </w:rPr>
        <w:t>8.</w:t>
      </w:r>
      <w:r>
        <w:rPr>
          <w:rFonts w:hint="eastAsia"/>
          <w:color w:val="auto"/>
          <w:sz w:val="28"/>
          <w:szCs w:val="28"/>
        </w:rPr>
        <w:t>本项目不存在重大生产安全事故隐患。</w:t>
      </w:r>
    </w:p>
    <w:p w14:paraId="025B3765">
      <w:pPr>
        <w:pStyle w:val="3"/>
        <w:bidi w:val="0"/>
        <w:rPr>
          <w:rFonts w:hint="eastAsia"/>
          <w:color w:val="auto"/>
          <w:lang w:val="en-US" w:eastAsia="zh-CN"/>
        </w:rPr>
      </w:pPr>
      <w:bookmarkStart w:id="128" w:name="_Toc10460"/>
      <w:r>
        <w:rPr>
          <w:rFonts w:hint="eastAsia"/>
          <w:color w:val="auto"/>
          <w:lang w:val="en-US" w:eastAsia="zh-CN"/>
        </w:rPr>
        <w:t>8.3评价结论</w:t>
      </w:r>
      <w:bookmarkEnd w:id="128"/>
    </w:p>
    <w:p w14:paraId="0DBDD720">
      <w:pPr>
        <w:spacing w:line="520" w:lineRule="exact"/>
        <w:ind w:firstLine="560" w:firstLineChars="200"/>
        <w:rPr>
          <w:rFonts w:hint="eastAsia"/>
          <w:color w:val="auto"/>
          <w:sz w:val="28"/>
          <w:szCs w:val="28"/>
        </w:rPr>
      </w:pPr>
      <w:r>
        <w:rPr>
          <w:rFonts w:hint="eastAsia"/>
          <w:color w:val="auto"/>
          <w:sz w:val="28"/>
          <w:szCs w:val="28"/>
        </w:rPr>
        <w:t>本项目安全设施设计专篇设计的安全设施基本落实，对部分不符合要求项已提出整改措施，企业已落实整改，现场与设计情况相符，符合国家安全生产方面的法律、法规、标准、规范的要求。</w:t>
      </w:r>
    </w:p>
    <w:p w14:paraId="7925A944">
      <w:pPr>
        <w:spacing w:line="520" w:lineRule="exact"/>
        <w:ind w:firstLine="562" w:firstLineChars="200"/>
        <w:rPr>
          <w:rFonts w:hint="eastAsia"/>
          <w:b/>
          <w:color w:val="auto"/>
          <w:sz w:val="28"/>
          <w:szCs w:val="28"/>
        </w:rPr>
      </w:pPr>
      <w:r>
        <w:rPr>
          <w:rFonts w:hint="eastAsia"/>
          <w:b/>
          <w:bCs/>
          <w:color w:val="auto"/>
          <w:sz w:val="28"/>
          <w:szCs w:val="28"/>
        </w:rPr>
        <w:t>综上所述，江西亚东水泥有限公司瑞昌制造二厂降低二氧化硫排放项目（2*6000t/d）的安全设施符合国家及有关部门关于安全生产法律、法规、标准的要求，安全风险是受控制的，其风险程度是可以接受的，具</w:t>
      </w:r>
      <w:r>
        <w:rPr>
          <w:rFonts w:hint="eastAsia"/>
          <w:b/>
          <w:bCs/>
          <w:color w:val="auto"/>
          <w:sz w:val="28"/>
          <w:szCs w:val="28"/>
          <w:lang w:val="en-US" w:eastAsia="zh-CN"/>
        </w:rPr>
        <w:t>备</w:t>
      </w:r>
      <w:r>
        <w:rPr>
          <w:rFonts w:hint="eastAsia"/>
          <w:b/>
          <w:bCs/>
          <w:color w:val="auto"/>
          <w:sz w:val="28"/>
          <w:szCs w:val="28"/>
        </w:rPr>
        <w:t>安全设施“三同时”验收条件。</w:t>
      </w:r>
    </w:p>
    <w:p w14:paraId="319862A1">
      <w:pPr>
        <w:rPr>
          <w:color w:val="auto"/>
        </w:rPr>
      </w:pPr>
      <w:r>
        <w:rPr>
          <w:color w:val="auto"/>
        </w:rPr>
        <w:br w:type="page"/>
      </w:r>
    </w:p>
    <w:p w14:paraId="1EE12E2C">
      <w:pPr>
        <w:pStyle w:val="2"/>
        <w:bidi w:val="0"/>
        <w:spacing w:line="240" w:lineRule="auto"/>
        <w:rPr>
          <w:rFonts w:hint="eastAsia"/>
          <w:color w:val="auto"/>
          <w:lang w:val="en-US" w:eastAsia="zh-CN"/>
        </w:rPr>
      </w:pPr>
      <w:bookmarkStart w:id="129" w:name="_Toc5171"/>
      <w:r>
        <w:rPr>
          <w:color w:val="auto"/>
        </w:rPr>
        <w:t>9</w:t>
      </w:r>
      <w:r>
        <w:rPr>
          <w:rFonts w:hint="eastAsia"/>
          <w:color w:val="auto"/>
        </w:rPr>
        <w:t>.与建设单位交换意见的情况结果</w:t>
      </w:r>
      <w:bookmarkEnd w:id="129"/>
      <w:bookmarkStart w:id="130" w:name="_Toc21916"/>
    </w:p>
    <w:p w14:paraId="04B173D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lang w:val="en-US" w:eastAsia="zh-CN"/>
        </w:rPr>
      </w:pPr>
      <w:r>
        <w:rPr>
          <w:rFonts w:hint="eastAsia"/>
          <w:color w:val="auto"/>
          <w:lang w:val="en-US" w:eastAsia="zh-CN"/>
        </w:rPr>
        <w:drawing>
          <wp:inline distT="0" distB="0" distL="114300" distR="114300">
            <wp:extent cx="5113020" cy="6062980"/>
            <wp:effectExtent l="0" t="0" r="11430" b="13970"/>
            <wp:docPr id="17" name="图片 17" descr="ddf60c92b53d77e68a2c43f4f32c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df60c92b53d77e68a2c43f4f32c371"/>
                    <pic:cNvPicPr>
                      <a:picLocks noChangeAspect="1"/>
                    </pic:cNvPicPr>
                  </pic:nvPicPr>
                  <pic:blipFill>
                    <a:blip r:embed="rId13"/>
                    <a:srcRect l="11155" b="5514"/>
                    <a:stretch>
                      <a:fillRect/>
                    </a:stretch>
                  </pic:blipFill>
                  <pic:spPr>
                    <a:xfrm>
                      <a:off x="0" y="0"/>
                      <a:ext cx="5113020" cy="6062980"/>
                    </a:xfrm>
                    <a:prstGeom prst="rect">
                      <a:avLst/>
                    </a:prstGeom>
                  </pic:spPr>
                </pic:pic>
              </a:graphicData>
            </a:graphic>
          </wp:inline>
        </w:drawing>
      </w:r>
      <w:r>
        <w:rPr>
          <w:rFonts w:hint="eastAsia"/>
          <w:color w:val="auto"/>
          <w:lang w:val="en-US" w:eastAsia="zh-CN"/>
        </w:rPr>
        <w:br w:type="page"/>
      </w:r>
    </w:p>
    <w:p w14:paraId="238DFD4E">
      <w:pPr>
        <w:pStyle w:val="2"/>
        <w:numPr>
          <w:ilvl w:val="0"/>
          <w:numId w:val="2"/>
        </w:numPr>
        <w:bidi w:val="0"/>
        <w:rPr>
          <w:rFonts w:hint="eastAsia"/>
          <w:color w:val="auto"/>
          <w:lang w:val="en-US" w:eastAsia="zh-CN"/>
        </w:rPr>
      </w:pPr>
      <w:r>
        <w:rPr>
          <w:rFonts w:hint="eastAsia"/>
          <w:color w:val="auto"/>
          <w:lang w:val="en-US" w:eastAsia="zh-CN"/>
        </w:rPr>
        <w:t>附件</w:t>
      </w:r>
      <w:bookmarkEnd w:id="130"/>
    </w:p>
    <w:p w14:paraId="1A401D28">
      <w:pPr>
        <w:numPr>
          <w:ilvl w:val="0"/>
          <w:numId w:val="3"/>
        </w:numPr>
        <w:spacing w:line="480" w:lineRule="exact"/>
        <w:ind w:left="0" w:firstLine="560" w:firstLineChars="200"/>
        <w:rPr>
          <w:rFonts w:hint="eastAsia"/>
          <w:bCs/>
          <w:color w:val="auto"/>
          <w:sz w:val="28"/>
        </w:rPr>
      </w:pPr>
      <w:r>
        <w:rPr>
          <w:rFonts w:hint="eastAsia"/>
          <w:bCs/>
          <w:color w:val="auto"/>
          <w:sz w:val="28"/>
        </w:rPr>
        <w:t>整改回复</w:t>
      </w:r>
    </w:p>
    <w:p w14:paraId="19764382">
      <w:pPr>
        <w:numPr>
          <w:ilvl w:val="0"/>
          <w:numId w:val="3"/>
        </w:numPr>
        <w:spacing w:line="480" w:lineRule="exact"/>
        <w:ind w:left="0" w:firstLine="560" w:firstLineChars="200"/>
        <w:rPr>
          <w:rFonts w:hint="eastAsia"/>
          <w:bCs/>
          <w:color w:val="auto"/>
          <w:sz w:val="28"/>
        </w:rPr>
      </w:pPr>
      <w:r>
        <w:rPr>
          <w:rFonts w:hint="eastAsia"/>
          <w:bCs/>
          <w:color w:val="auto"/>
          <w:sz w:val="28"/>
        </w:rPr>
        <w:t>建设单位营业执照</w:t>
      </w:r>
    </w:p>
    <w:p w14:paraId="3CE4FF7D">
      <w:pPr>
        <w:numPr>
          <w:ilvl w:val="0"/>
          <w:numId w:val="3"/>
        </w:numPr>
        <w:spacing w:line="480" w:lineRule="exact"/>
        <w:ind w:left="0" w:firstLine="560" w:firstLineChars="200"/>
        <w:rPr>
          <w:rFonts w:hint="eastAsia"/>
          <w:bCs/>
          <w:color w:val="auto"/>
          <w:sz w:val="28"/>
        </w:rPr>
      </w:pPr>
      <w:r>
        <w:rPr>
          <w:rFonts w:hint="eastAsia"/>
          <w:bCs/>
          <w:color w:val="auto"/>
          <w:sz w:val="28"/>
        </w:rPr>
        <w:t>瑞昌市环境保护局文件《关于江西亚东水泥有限公司降低二氧化硫排放项目环境影响报告表的批复》（瑞环评字〔2019〕30号）</w:t>
      </w:r>
    </w:p>
    <w:p w14:paraId="01F9BAB2">
      <w:pPr>
        <w:numPr>
          <w:ilvl w:val="0"/>
          <w:numId w:val="3"/>
        </w:numPr>
        <w:spacing w:line="480" w:lineRule="exact"/>
        <w:ind w:left="0" w:firstLine="528" w:firstLineChars="200"/>
        <w:rPr>
          <w:rFonts w:hint="eastAsia"/>
          <w:color w:val="auto"/>
          <w:sz w:val="28"/>
        </w:rPr>
      </w:pPr>
      <w:r>
        <w:rPr>
          <w:rFonts w:hint="eastAsia"/>
          <w:color w:val="auto"/>
          <w:spacing w:val="-8"/>
          <w:sz w:val="28"/>
          <w:szCs w:val="28"/>
        </w:rPr>
        <w:t>项目备案通知书</w:t>
      </w:r>
    </w:p>
    <w:p w14:paraId="71A7BF24">
      <w:pPr>
        <w:numPr>
          <w:ilvl w:val="0"/>
          <w:numId w:val="3"/>
        </w:numPr>
        <w:spacing w:line="480" w:lineRule="exact"/>
        <w:ind w:left="0" w:firstLine="528" w:firstLineChars="200"/>
        <w:rPr>
          <w:rFonts w:hint="eastAsia"/>
          <w:color w:val="auto"/>
          <w:sz w:val="28"/>
          <w:szCs w:val="28"/>
        </w:rPr>
      </w:pPr>
      <w:r>
        <w:rPr>
          <w:rFonts w:hint="eastAsia"/>
          <w:color w:val="auto"/>
          <w:spacing w:val="-8"/>
          <w:sz w:val="28"/>
          <w:szCs w:val="28"/>
        </w:rPr>
        <w:t>建设用地规划许可证</w:t>
      </w:r>
    </w:p>
    <w:p w14:paraId="568559CB">
      <w:pPr>
        <w:numPr>
          <w:ilvl w:val="0"/>
          <w:numId w:val="3"/>
        </w:numPr>
        <w:spacing w:line="480" w:lineRule="exact"/>
        <w:ind w:left="0" w:firstLine="560" w:firstLineChars="200"/>
        <w:rPr>
          <w:rFonts w:hint="eastAsia"/>
          <w:color w:val="auto"/>
          <w:sz w:val="28"/>
          <w:szCs w:val="28"/>
        </w:rPr>
      </w:pPr>
      <w:r>
        <w:rPr>
          <w:rFonts w:hint="eastAsia"/>
          <w:color w:val="auto"/>
          <w:sz w:val="28"/>
          <w:szCs w:val="28"/>
        </w:rPr>
        <w:t>安全预评价</w:t>
      </w:r>
      <w:r>
        <w:rPr>
          <w:rFonts w:hint="eastAsia"/>
          <w:color w:val="auto"/>
          <w:sz w:val="28"/>
          <w:szCs w:val="28"/>
          <w:lang w:val="en-US" w:eastAsia="zh-CN"/>
        </w:rPr>
        <w:t>收悉函、</w:t>
      </w:r>
      <w:r>
        <w:rPr>
          <w:rFonts w:hint="eastAsia"/>
          <w:color w:val="auto"/>
          <w:sz w:val="28"/>
          <w:szCs w:val="28"/>
        </w:rPr>
        <w:t>安全预评价</w:t>
      </w:r>
      <w:r>
        <w:rPr>
          <w:rFonts w:hint="eastAsia"/>
          <w:color w:val="auto"/>
          <w:sz w:val="28"/>
          <w:szCs w:val="28"/>
          <w:lang w:val="en-US" w:eastAsia="zh-CN"/>
        </w:rPr>
        <w:t>报告、审查专家组意见、</w:t>
      </w:r>
      <w:r>
        <w:rPr>
          <w:rFonts w:hint="eastAsia"/>
          <w:color w:val="auto"/>
          <w:sz w:val="28"/>
          <w:szCs w:val="28"/>
        </w:rPr>
        <w:t>单位资质证照</w:t>
      </w:r>
    </w:p>
    <w:p w14:paraId="68D0BC14">
      <w:pPr>
        <w:numPr>
          <w:ilvl w:val="0"/>
          <w:numId w:val="3"/>
        </w:numPr>
        <w:spacing w:line="480" w:lineRule="exact"/>
        <w:ind w:left="0" w:firstLine="560" w:firstLineChars="200"/>
        <w:rPr>
          <w:rFonts w:hint="eastAsia"/>
          <w:color w:val="auto"/>
          <w:sz w:val="28"/>
          <w:szCs w:val="28"/>
        </w:rPr>
      </w:pPr>
      <w:r>
        <w:rPr>
          <w:rFonts w:hint="eastAsia"/>
          <w:color w:val="auto"/>
          <w:sz w:val="28"/>
          <w:szCs w:val="28"/>
        </w:rPr>
        <w:t>安全设施设计</w:t>
      </w:r>
      <w:r>
        <w:rPr>
          <w:rFonts w:hint="eastAsia"/>
          <w:color w:val="auto"/>
          <w:sz w:val="28"/>
          <w:szCs w:val="28"/>
          <w:lang w:val="en-US" w:eastAsia="zh-CN"/>
        </w:rPr>
        <w:t>收悉函、</w:t>
      </w:r>
      <w:r>
        <w:rPr>
          <w:rFonts w:hint="eastAsia"/>
          <w:color w:val="auto"/>
          <w:sz w:val="28"/>
          <w:szCs w:val="28"/>
        </w:rPr>
        <w:t>单位资质证照</w:t>
      </w:r>
      <w:r>
        <w:rPr>
          <w:rFonts w:hint="eastAsia"/>
          <w:color w:val="auto"/>
          <w:sz w:val="28"/>
          <w:szCs w:val="28"/>
          <w:lang w:eastAsia="zh-CN"/>
        </w:rPr>
        <w:t>、</w:t>
      </w:r>
      <w:r>
        <w:rPr>
          <w:rFonts w:hint="eastAsia"/>
          <w:color w:val="auto"/>
          <w:sz w:val="28"/>
          <w:szCs w:val="28"/>
        </w:rPr>
        <w:t>审查专家组意见</w:t>
      </w:r>
      <w:r>
        <w:rPr>
          <w:rFonts w:hint="eastAsia"/>
          <w:color w:val="auto"/>
          <w:sz w:val="28"/>
          <w:szCs w:val="28"/>
          <w:lang w:eastAsia="zh-CN"/>
        </w:rPr>
        <w:t>、</w:t>
      </w:r>
      <w:r>
        <w:rPr>
          <w:rFonts w:hint="eastAsia"/>
          <w:color w:val="auto"/>
          <w:sz w:val="28"/>
          <w:szCs w:val="28"/>
          <w:lang w:val="en-US" w:eastAsia="zh-CN"/>
        </w:rPr>
        <w:t>评审意见修改对照表</w:t>
      </w:r>
    </w:p>
    <w:p w14:paraId="20BFB937">
      <w:pPr>
        <w:numPr>
          <w:ilvl w:val="0"/>
          <w:numId w:val="3"/>
        </w:numPr>
        <w:spacing w:line="480" w:lineRule="exact"/>
        <w:ind w:left="0" w:firstLine="560" w:firstLineChars="200"/>
        <w:rPr>
          <w:rFonts w:hint="eastAsia"/>
          <w:bCs/>
          <w:color w:val="auto"/>
          <w:sz w:val="28"/>
        </w:rPr>
      </w:pPr>
      <w:r>
        <w:rPr>
          <w:rFonts w:hint="eastAsia"/>
          <w:color w:val="auto"/>
          <w:sz w:val="28"/>
          <w:szCs w:val="28"/>
          <w:lang w:val="en-US" w:eastAsia="zh-CN"/>
        </w:rPr>
        <w:t>安全生产协议书、</w:t>
      </w:r>
      <w:r>
        <w:rPr>
          <w:rFonts w:hint="eastAsia"/>
          <w:color w:val="auto"/>
          <w:sz w:val="28"/>
          <w:szCs w:val="28"/>
        </w:rPr>
        <w:t>施工</w:t>
      </w:r>
      <w:r>
        <w:rPr>
          <w:rFonts w:hint="eastAsia"/>
          <w:color w:val="auto"/>
          <w:sz w:val="28"/>
          <w:szCs w:val="28"/>
          <w:lang w:val="en-US" w:eastAsia="zh-CN"/>
        </w:rPr>
        <w:t>单位营业执照、单位资质</w:t>
      </w:r>
    </w:p>
    <w:p w14:paraId="23EC2578">
      <w:pPr>
        <w:numPr>
          <w:ilvl w:val="0"/>
          <w:numId w:val="3"/>
        </w:numPr>
        <w:spacing w:line="480" w:lineRule="exact"/>
        <w:ind w:left="0" w:firstLine="560" w:firstLineChars="200"/>
        <w:rPr>
          <w:rFonts w:hint="eastAsia"/>
          <w:bCs/>
          <w:color w:val="auto"/>
          <w:sz w:val="28"/>
        </w:rPr>
      </w:pPr>
      <w:r>
        <w:rPr>
          <w:rFonts w:hint="eastAsia"/>
          <w:color w:val="auto"/>
          <w:sz w:val="28"/>
          <w:szCs w:val="28"/>
          <w:lang w:val="en-US" w:eastAsia="zh-CN"/>
        </w:rPr>
        <w:t>监理单位资质</w:t>
      </w:r>
    </w:p>
    <w:p w14:paraId="6D6F3A72">
      <w:pPr>
        <w:numPr>
          <w:ilvl w:val="0"/>
          <w:numId w:val="3"/>
        </w:numPr>
        <w:spacing w:line="480" w:lineRule="exact"/>
        <w:ind w:left="0" w:firstLine="528" w:firstLineChars="200"/>
        <w:rPr>
          <w:rFonts w:hint="eastAsia"/>
          <w:bCs/>
          <w:color w:val="auto"/>
          <w:sz w:val="28"/>
        </w:rPr>
      </w:pPr>
      <w:r>
        <w:rPr>
          <w:rFonts w:hint="eastAsia"/>
          <w:color w:val="auto"/>
          <w:spacing w:val="-8"/>
          <w:sz w:val="28"/>
          <w:szCs w:val="28"/>
          <w:lang w:val="en-US" w:eastAsia="zh-CN"/>
        </w:rPr>
        <w:t>工程竣工验收证明</w:t>
      </w:r>
    </w:p>
    <w:p w14:paraId="48525F72">
      <w:pPr>
        <w:numPr>
          <w:ilvl w:val="0"/>
          <w:numId w:val="3"/>
        </w:numPr>
        <w:spacing w:line="480" w:lineRule="exact"/>
        <w:ind w:left="0" w:firstLine="560" w:firstLineChars="200"/>
        <w:rPr>
          <w:rFonts w:hint="eastAsia"/>
          <w:bCs/>
          <w:color w:val="auto"/>
          <w:sz w:val="28"/>
        </w:rPr>
      </w:pPr>
      <w:r>
        <w:rPr>
          <w:rFonts w:hint="eastAsia"/>
          <w:color w:val="auto"/>
          <w:sz w:val="28"/>
        </w:rPr>
        <w:t>试生产总结报告</w:t>
      </w:r>
    </w:p>
    <w:p w14:paraId="327E17AB">
      <w:pPr>
        <w:numPr>
          <w:ilvl w:val="0"/>
          <w:numId w:val="3"/>
        </w:numPr>
        <w:spacing w:line="480" w:lineRule="exact"/>
        <w:ind w:left="0" w:firstLine="560" w:firstLineChars="200"/>
        <w:rPr>
          <w:rFonts w:hint="eastAsia"/>
          <w:bCs/>
          <w:color w:val="auto"/>
          <w:sz w:val="28"/>
        </w:rPr>
      </w:pPr>
      <w:r>
        <w:rPr>
          <w:rFonts w:hint="eastAsia"/>
          <w:color w:val="auto"/>
          <w:sz w:val="28"/>
        </w:rPr>
        <w:t>主要负责人和安全生产管理人员考核合格</w:t>
      </w:r>
      <w:r>
        <w:rPr>
          <w:color w:val="auto"/>
          <w:sz w:val="28"/>
        </w:rPr>
        <w:t>证</w:t>
      </w:r>
    </w:p>
    <w:p w14:paraId="3584998B">
      <w:pPr>
        <w:numPr>
          <w:ilvl w:val="0"/>
          <w:numId w:val="3"/>
        </w:numPr>
        <w:spacing w:line="480" w:lineRule="exact"/>
        <w:ind w:left="0" w:firstLine="560" w:firstLineChars="200"/>
        <w:rPr>
          <w:rFonts w:hint="eastAsia"/>
          <w:color w:val="auto"/>
          <w:sz w:val="28"/>
          <w:szCs w:val="28"/>
        </w:rPr>
      </w:pPr>
      <w:r>
        <w:rPr>
          <w:color w:val="auto"/>
          <w:sz w:val="28"/>
          <w:szCs w:val="28"/>
        </w:rPr>
        <w:t>安全生产管理</w:t>
      </w:r>
      <w:r>
        <w:rPr>
          <w:rFonts w:hint="eastAsia"/>
          <w:color w:val="auto"/>
          <w:sz w:val="28"/>
          <w:szCs w:val="28"/>
        </w:rPr>
        <w:t>组织机构图、设立安全生产委员会及人员任命文件</w:t>
      </w:r>
    </w:p>
    <w:p w14:paraId="126DE737">
      <w:pPr>
        <w:numPr>
          <w:ilvl w:val="0"/>
          <w:numId w:val="3"/>
        </w:numPr>
        <w:spacing w:line="480" w:lineRule="exact"/>
        <w:ind w:left="0" w:firstLine="528" w:firstLineChars="200"/>
        <w:rPr>
          <w:rFonts w:hint="eastAsia"/>
          <w:color w:val="auto"/>
          <w:sz w:val="28"/>
          <w:szCs w:val="28"/>
        </w:rPr>
      </w:pPr>
      <w:r>
        <w:rPr>
          <w:rFonts w:hint="eastAsia"/>
          <w:color w:val="auto"/>
          <w:spacing w:val="-8"/>
          <w:sz w:val="28"/>
          <w:szCs w:val="28"/>
        </w:rPr>
        <w:t>全员安全生产责任制</w:t>
      </w:r>
    </w:p>
    <w:p w14:paraId="1CA101A0">
      <w:pPr>
        <w:numPr>
          <w:ilvl w:val="0"/>
          <w:numId w:val="3"/>
        </w:numPr>
        <w:spacing w:line="480" w:lineRule="exact"/>
        <w:ind w:left="0" w:firstLine="560" w:firstLineChars="200"/>
        <w:rPr>
          <w:rFonts w:hint="eastAsia"/>
          <w:color w:val="auto"/>
          <w:sz w:val="28"/>
          <w:szCs w:val="28"/>
        </w:rPr>
      </w:pPr>
      <w:r>
        <w:rPr>
          <w:rFonts w:hint="eastAsia"/>
          <w:color w:val="auto"/>
          <w:sz w:val="28"/>
          <w:szCs w:val="28"/>
        </w:rPr>
        <w:t>应急预案</w:t>
      </w:r>
      <w:r>
        <w:rPr>
          <w:rFonts w:hint="eastAsia"/>
          <w:color w:val="auto"/>
          <w:sz w:val="28"/>
          <w:szCs w:val="28"/>
          <w:lang w:val="en-US" w:eastAsia="zh-CN"/>
        </w:rPr>
        <w:t>及</w:t>
      </w:r>
      <w:r>
        <w:rPr>
          <w:rFonts w:hint="eastAsia"/>
          <w:color w:val="auto"/>
          <w:sz w:val="28"/>
          <w:szCs w:val="28"/>
        </w:rPr>
        <w:t>备案登记表、应急物资清单</w:t>
      </w:r>
      <w:r>
        <w:rPr>
          <w:rFonts w:hint="eastAsia"/>
          <w:color w:val="auto"/>
          <w:sz w:val="28"/>
          <w:szCs w:val="28"/>
          <w:lang w:eastAsia="zh-CN"/>
        </w:rPr>
        <w:t>、</w:t>
      </w:r>
      <w:r>
        <w:rPr>
          <w:rFonts w:hint="eastAsia"/>
          <w:color w:val="auto"/>
          <w:sz w:val="28"/>
          <w:szCs w:val="28"/>
        </w:rPr>
        <w:t>预案演练</w:t>
      </w:r>
      <w:r>
        <w:rPr>
          <w:rFonts w:hint="eastAsia"/>
          <w:color w:val="auto"/>
          <w:sz w:val="28"/>
          <w:szCs w:val="28"/>
          <w:lang w:val="en-US" w:eastAsia="zh-CN"/>
        </w:rPr>
        <w:t>计划、演练记录</w:t>
      </w:r>
    </w:p>
    <w:p w14:paraId="247DAB6D">
      <w:pPr>
        <w:numPr>
          <w:ilvl w:val="0"/>
          <w:numId w:val="3"/>
        </w:numPr>
        <w:spacing w:line="480" w:lineRule="exact"/>
        <w:ind w:left="0" w:firstLine="560" w:firstLineChars="200"/>
        <w:rPr>
          <w:rFonts w:hint="eastAsia"/>
          <w:color w:val="auto"/>
          <w:sz w:val="28"/>
          <w:szCs w:val="28"/>
        </w:rPr>
      </w:pPr>
      <w:r>
        <w:rPr>
          <w:rFonts w:hint="eastAsia"/>
          <w:color w:val="auto"/>
          <w:sz w:val="28"/>
          <w:szCs w:val="28"/>
        </w:rPr>
        <w:t>安全风险分级分布图、隐患排查治理台账</w:t>
      </w:r>
    </w:p>
    <w:p w14:paraId="618867B2">
      <w:pPr>
        <w:numPr>
          <w:ilvl w:val="0"/>
          <w:numId w:val="3"/>
        </w:numPr>
        <w:spacing w:line="480" w:lineRule="exact"/>
        <w:ind w:left="0" w:firstLine="560" w:firstLineChars="200"/>
        <w:rPr>
          <w:rFonts w:hint="eastAsia"/>
          <w:color w:val="auto"/>
          <w:sz w:val="28"/>
        </w:rPr>
      </w:pPr>
      <w:r>
        <w:rPr>
          <w:rFonts w:hint="eastAsia"/>
          <w:color w:val="auto"/>
          <w:sz w:val="28"/>
          <w:szCs w:val="28"/>
        </w:rPr>
        <w:t>劳保用品领用登记表及各岗位劳保用品配置情况</w:t>
      </w:r>
    </w:p>
    <w:p w14:paraId="40CDC6E0">
      <w:pPr>
        <w:numPr>
          <w:ilvl w:val="0"/>
          <w:numId w:val="3"/>
        </w:numPr>
        <w:spacing w:line="480" w:lineRule="exact"/>
        <w:ind w:left="0" w:firstLine="560" w:firstLineChars="200"/>
        <w:rPr>
          <w:rFonts w:hint="eastAsia"/>
          <w:color w:val="auto"/>
          <w:sz w:val="28"/>
        </w:rPr>
      </w:pPr>
      <w:r>
        <w:rPr>
          <w:rFonts w:hint="eastAsia"/>
          <w:color w:val="auto"/>
          <w:sz w:val="28"/>
          <w:lang w:val="en-US" w:eastAsia="zh-CN"/>
        </w:rPr>
        <w:t>灭火器检查情况</w:t>
      </w:r>
    </w:p>
    <w:p w14:paraId="42B3ABFA">
      <w:pPr>
        <w:numPr>
          <w:ilvl w:val="0"/>
          <w:numId w:val="3"/>
        </w:numPr>
        <w:spacing w:line="480" w:lineRule="exact"/>
        <w:ind w:left="0" w:firstLine="560" w:firstLineChars="200"/>
        <w:rPr>
          <w:rFonts w:hint="eastAsia"/>
          <w:color w:val="auto"/>
          <w:sz w:val="28"/>
          <w:szCs w:val="28"/>
        </w:rPr>
      </w:pPr>
      <w:r>
        <w:rPr>
          <w:rFonts w:hint="eastAsia"/>
          <w:color w:val="auto"/>
          <w:sz w:val="28"/>
          <w:lang w:val="en-US" w:eastAsia="zh-CN"/>
        </w:rPr>
        <w:t>投入资金情况</w:t>
      </w:r>
    </w:p>
    <w:p w14:paraId="07F50128">
      <w:pPr>
        <w:numPr>
          <w:ilvl w:val="0"/>
          <w:numId w:val="3"/>
        </w:numPr>
        <w:spacing w:line="480" w:lineRule="exact"/>
        <w:ind w:left="0" w:firstLine="560" w:firstLineChars="200"/>
        <w:rPr>
          <w:rFonts w:hint="eastAsia"/>
          <w:color w:val="auto"/>
          <w:sz w:val="28"/>
          <w:szCs w:val="28"/>
        </w:rPr>
      </w:pPr>
      <w:r>
        <w:rPr>
          <w:rFonts w:hint="eastAsia"/>
          <w:color w:val="auto"/>
          <w:sz w:val="28"/>
          <w:szCs w:val="28"/>
        </w:rPr>
        <w:t>工伤保险缴纳证明</w:t>
      </w:r>
    </w:p>
    <w:p w14:paraId="1528CE98">
      <w:pPr>
        <w:numPr>
          <w:ilvl w:val="0"/>
          <w:numId w:val="3"/>
        </w:numPr>
        <w:spacing w:line="480" w:lineRule="exact"/>
        <w:ind w:left="0" w:firstLine="560" w:firstLineChars="200"/>
        <w:rPr>
          <w:rFonts w:hint="eastAsia"/>
          <w:color w:val="auto"/>
          <w:sz w:val="28"/>
          <w:szCs w:val="28"/>
        </w:rPr>
      </w:pPr>
      <w:r>
        <w:rPr>
          <w:rFonts w:hint="eastAsia"/>
          <w:color w:val="auto"/>
          <w:sz w:val="28"/>
          <w:szCs w:val="28"/>
          <w:lang w:val="en-US" w:eastAsia="zh-CN"/>
        </w:rPr>
        <w:t>压力表合格证</w:t>
      </w:r>
    </w:p>
    <w:p w14:paraId="5E0D934D">
      <w:pPr>
        <w:numPr>
          <w:ilvl w:val="0"/>
          <w:numId w:val="3"/>
        </w:numPr>
        <w:spacing w:line="480" w:lineRule="exact"/>
        <w:ind w:left="0" w:firstLine="560" w:firstLineChars="200"/>
        <w:rPr>
          <w:rFonts w:hint="eastAsia"/>
          <w:color w:val="auto"/>
          <w:sz w:val="28"/>
        </w:rPr>
      </w:pPr>
      <w:r>
        <w:rPr>
          <w:rFonts w:hint="eastAsia"/>
          <w:color w:val="auto"/>
          <w:sz w:val="28"/>
        </w:rPr>
        <w:t>防雷检测报告</w:t>
      </w:r>
    </w:p>
    <w:p w14:paraId="2C1CB348">
      <w:pPr>
        <w:numPr>
          <w:ilvl w:val="0"/>
          <w:numId w:val="3"/>
        </w:numPr>
        <w:spacing w:line="480" w:lineRule="exact"/>
        <w:ind w:left="0" w:firstLine="560" w:firstLineChars="200"/>
        <w:rPr>
          <w:rFonts w:hint="eastAsia"/>
          <w:color w:val="auto"/>
          <w:sz w:val="28"/>
        </w:rPr>
      </w:pPr>
      <w:r>
        <w:rPr>
          <w:rFonts w:hint="eastAsia"/>
          <w:color w:val="auto"/>
          <w:sz w:val="28"/>
        </w:rPr>
        <w:t>总平面布置图</w:t>
      </w:r>
      <w:r>
        <w:rPr>
          <w:rFonts w:hint="eastAsia"/>
          <w:color w:val="auto"/>
          <w:sz w:val="28"/>
          <w:lang w:eastAsia="zh-CN"/>
        </w:rPr>
        <w:t>及各单体建筑平面布置图</w:t>
      </w:r>
      <w:r>
        <w:rPr>
          <w:rFonts w:hint="eastAsia"/>
          <w:color w:val="auto"/>
          <w:sz w:val="28"/>
        </w:rPr>
        <w:t>（竣工图）</w:t>
      </w:r>
    </w:p>
    <w:p w14:paraId="6F405FBA">
      <w:pPr>
        <w:numPr>
          <w:ilvl w:val="0"/>
          <w:numId w:val="0"/>
        </w:numPr>
        <w:spacing w:line="480" w:lineRule="exact"/>
        <w:rPr>
          <w:rFonts w:hint="eastAsia"/>
          <w:b/>
          <w:bCs/>
          <w:color w:val="auto"/>
          <w:sz w:val="36"/>
          <w:szCs w:val="36"/>
          <w:lang w:val="en-US" w:eastAsia="zh-CN"/>
        </w:rPr>
      </w:pPr>
    </w:p>
    <w:p w14:paraId="498F1636">
      <w:pPr>
        <w:numPr>
          <w:ilvl w:val="0"/>
          <w:numId w:val="0"/>
        </w:numPr>
        <w:spacing w:line="480" w:lineRule="exact"/>
        <w:rPr>
          <w:rFonts w:hint="eastAsia"/>
          <w:b/>
          <w:bCs/>
          <w:color w:val="auto"/>
          <w:sz w:val="36"/>
          <w:szCs w:val="36"/>
          <w:lang w:val="en-US" w:eastAsia="zh-CN"/>
        </w:rPr>
      </w:pPr>
    </w:p>
    <w:p w14:paraId="714EFA11">
      <w:pPr>
        <w:numPr>
          <w:ilvl w:val="0"/>
          <w:numId w:val="0"/>
        </w:numPr>
        <w:spacing w:line="480" w:lineRule="exact"/>
        <w:rPr>
          <w:rFonts w:hint="eastAsia"/>
          <w:color w:val="auto"/>
          <w:sz w:val="28"/>
        </w:rPr>
      </w:pPr>
      <w:r>
        <w:rPr>
          <w:rFonts w:hint="eastAsia"/>
          <w:b/>
          <w:bCs/>
          <w:color w:val="auto"/>
          <w:sz w:val="36"/>
          <w:szCs w:val="36"/>
          <w:lang w:val="en-US" w:eastAsia="zh-CN"/>
        </w:rPr>
        <w:t>现场影像</w:t>
      </w:r>
    </w:p>
    <w:p w14:paraId="179E2933">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b/>
          <w:bCs/>
          <w:color w:val="auto"/>
          <w:sz w:val="36"/>
          <w:szCs w:val="36"/>
          <w:lang w:val="en-US" w:eastAsia="zh-CN"/>
        </w:rPr>
      </w:pPr>
      <w:r>
        <w:rPr>
          <w:rFonts w:hint="default"/>
          <w:b/>
          <w:bCs/>
          <w:color w:val="auto"/>
          <w:sz w:val="36"/>
          <w:szCs w:val="36"/>
          <w:lang w:val="en-US" w:eastAsia="zh-CN"/>
        </w:rPr>
        <w:drawing>
          <wp:inline distT="0" distB="0" distL="114300" distR="114300">
            <wp:extent cx="5751830" cy="4313555"/>
            <wp:effectExtent l="0" t="0" r="1270" b="10795"/>
            <wp:docPr id="16" name="图片 16" descr="cc433de9a6acb109b457ccd8dc4e2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c433de9a6acb109b457ccd8dc4e26d"/>
                    <pic:cNvPicPr>
                      <a:picLocks noChangeAspect="1"/>
                    </pic:cNvPicPr>
                  </pic:nvPicPr>
                  <pic:blipFill>
                    <a:blip r:embed="rId14"/>
                    <a:stretch>
                      <a:fillRect/>
                    </a:stretch>
                  </pic:blipFill>
                  <pic:spPr>
                    <a:xfrm>
                      <a:off x="0" y="0"/>
                      <a:ext cx="5751830" cy="4313555"/>
                    </a:xfrm>
                    <a:prstGeom prst="rect">
                      <a:avLst/>
                    </a:prstGeom>
                  </pic:spPr>
                </pic:pic>
              </a:graphicData>
            </a:graphic>
          </wp:inline>
        </w:drawing>
      </w:r>
    </w:p>
    <w:sectPr>
      <w:footerReference r:id="rId8" w:type="default"/>
      <w:pgSz w:w="11906" w:h="16838"/>
      <w:pgMar w:top="1417" w:right="1417" w:bottom="1417" w:left="1417" w:header="850" w:footer="680" w:gutter="0"/>
      <w:pgBorders>
        <w:top w:val="none" w:sz="0" w:space="0"/>
        <w:left w:val="none" w:sz="0" w:space="0"/>
        <w:bottom w:val="none" w:sz="0" w:space="0"/>
        <w:right w:val="none" w:sz="0" w:space="0"/>
      </w:pgBorders>
      <w:pgNumType w:fmt="decimal" w:start="1"/>
      <w:cols w:space="0" w:num="1"/>
      <w:rtlGutter w:val="0"/>
      <w:docGrid w:type="lines" w:linePitch="38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6B0C4">
    <w:pPr>
      <w:pBdr>
        <w:top w:val="single" w:color="auto" w:sz="4" w:space="2"/>
      </w:pBdr>
      <w:tabs>
        <w:tab w:val="center" w:pos="4153"/>
        <w:tab w:val="right" w:pos="8306"/>
      </w:tabs>
      <w:ind w:left="0" w:leftChars="0" w:firstLine="0" w:firstLineChars="0"/>
      <w:jc w:val="both"/>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Fonts w:hint="default" w:ascii="Times New Roman" w:hAnsi="Times New Roman" w:eastAsia="宋体" w:cs="Times New Roman"/>
        <w:kern w:val="2"/>
        <w:sz w:val="18"/>
        <w:szCs w:val="18"/>
        <w:lang w:val="en-US" w:eastAsia="zh-CN" w:bidi="ar-SA"/>
      </w:rPr>
      <w:fldChar w:fldCharType="begin"/>
    </w:r>
    <w:r>
      <w:rPr>
        <w:rFonts w:hint="default" w:ascii="Times New Roman" w:hAnsi="Times New Roman" w:eastAsia="宋体" w:cs="Times New Roman"/>
        <w:kern w:val="2"/>
        <w:sz w:val="18"/>
        <w:szCs w:val="18"/>
        <w:lang w:val="en-US" w:eastAsia="zh-CN" w:bidi="ar-SA"/>
      </w:rPr>
      <w:instrText xml:space="preserve"> PAGE </w:instrText>
    </w:r>
    <w:r>
      <w:rPr>
        <w:rFonts w:hint="default" w:ascii="Times New Roman" w:hAnsi="Times New Roman" w:eastAsia="宋体" w:cs="Times New Roman"/>
        <w:kern w:val="2"/>
        <w:sz w:val="18"/>
        <w:szCs w:val="18"/>
        <w:lang w:val="en-US" w:eastAsia="zh-CN" w:bidi="ar-SA"/>
      </w:rPr>
      <w:fldChar w:fldCharType="separate"/>
    </w:r>
    <w:r>
      <w:rPr>
        <w:rFonts w:hint="default" w:ascii="Times New Roman" w:hAnsi="Times New Roman" w:eastAsia="宋体" w:cs="Times New Roman"/>
        <w:kern w:val="2"/>
        <w:sz w:val="18"/>
        <w:szCs w:val="18"/>
        <w:lang w:val="en-US" w:eastAsia="zh-CN" w:bidi="ar-SA"/>
      </w:rPr>
      <w:t>139</w:t>
    </w:r>
    <w:r>
      <w:rPr>
        <w:rFonts w:hint="default" w:ascii="Times New Roman" w:hAnsi="Times New Roman" w:eastAsia="宋体" w:cs="Times New Roman"/>
        <w:kern w:val="2"/>
        <w:sz w:val="18"/>
        <w:szCs w:val="18"/>
        <w:lang w:val="en-US" w:eastAsia="zh-CN" w:bidi="ar-SA"/>
      </w:rPr>
      <w:fldChar w:fldCharType="end"/>
    </w:r>
    <w:r>
      <w:rPr>
        <w:rFonts w:hint="eastAsia" w:ascii="Times New Roman" w:hAnsi="Times New Roman" w:eastAsia="宋体" w:cs="Times New Roman"/>
        <w:kern w:val="2"/>
        <w:sz w:val="18"/>
        <w:szCs w:val="18"/>
        <w:lang w:val="en-US" w:eastAsia="zh-CN" w:bidi="ar-SA"/>
      </w:rPr>
      <w:t xml:space="preserve">                        </w:t>
    </w:r>
    <w:r>
      <w:rPr>
        <w:rFonts w:hint="eastAsia" w:cs="Times New Roman"/>
        <w:kern w:val="2"/>
        <w:sz w:val="18"/>
        <w:szCs w:val="18"/>
        <w:lang w:val="en-US" w:eastAsia="zh-CN" w:bidi="ar-SA"/>
      </w:rPr>
      <w:t xml:space="preserve"> </w:t>
    </w:r>
    <w:r>
      <w:rPr>
        <w:rFonts w:hint="eastAsia" w:ascii="Times New Roman" w:hAnsi="Times New Roman" w:eastAsia="宋体" w:cs="Times New Roman"/>
        <w:kern w:val="2"/>
        <w:sz w:val="18"/>
        <w:szCs w:val="18"/>
        <w:lang w:val="en-US" w:eastAsia="zh-CN" w:bidi="ar-SA"/>
      </w:rPr>
      <w:t xml:space="preserve">       </w:t>
    </w:r>
    <w:r>
      <w:rPr>
        <w:rFonts w:hint="eastAsia" w:cs="Times New Roman"/>
        <w:kern w:val="2"/>
        <w:sz w:val="18"/>
        <w:szCs w:val="18"/>
        <w:lang w:val="en-US" w:eastAsia="zh-CN" w:bidi="ar-SA"/>
      </w:rPr>
      <w:t xml:space="preserve"> </w:t>
    </w:r>
    <w:r>
      <w:rPr>
        <w:rFonts w:hint="eastAsia" w:ascii="Times New Roman" w:hAnsi="Times New Roman" w:eastAsia="宋体" w:cs="Times New Roman"/>
        <w:kern w:val="2"/>
        <w:sz w:val="18"/>
        <w:szCs w:val="18"/>
        <w:lang w:val="en-US" w:eastAsia="zh-CN" w:bidi="ar-SA"/>
      </w:rPr>
      <w:t xml:space="preserve">  APJ-（赣）-</w:t>
    </w:r>
    <w:r>
      <w:rPr>
        <w:rFonts w:hint="default" w:ascii="Times New Roman" w:hAnsi="Times New Roman" w:eastAsia="宋体" w:cs="Times New Roman"/>
        <w:kern w:val="2"/>
        <w:sz w:val="18"/>
        <w:szCs w:val="18"/>
        <w:lang w:val="en-US" w:eastAsia="zh-CN" w:bidi="ar-SA"/>
      </w:rPr>
      <w:t>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B389B">
    <w:pPr>
      <w:pBdr>
        <w:top w:val="single" w:color="auto" w:sz="4" w:space="2"/>
      </w:pBdr>
      <w:tabs>
        <w:tab w:val="center" w:pos="4153"/>
        <w:tab w:val="right" w:pos="8306"/>
      </w:tabs>
      <w:ind w:left="0" w:leftChars="0" w:firstLine="0" w:firstLineChars="0"/>
      <w:jc w:val="both"/>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Fonts w:hint="default" w:ascii="Times New Roman" w:hAnsi="Times New Roman" w:eastAsia="宋体" w:cs="Times New Roman"/>
        <w:kern w:val="2"/>
        <w:sz w:val="18"/>
        <w:szCs w:val="18"/>
        <w:lang w:val="en-US" w:eastAsia="zh-CN" w:bidi="ar-SA"/>
      </w:rPr>
      <w:fldChar w:fldCharType="begin"/>
    </w:r>
    <w:r>
      <w:rPr>
        <w:rFonts w:hint="default" w:ascii="Times New Roman" w:hAnsi="Times New Roman" w:eastAsia="宋体" w:cs="Times New Roman"/>
        <w:kern w:val="2"/>
        <w:sz w:val="18"/>
        <w:szCs w:val="18"/>
        <w:lang w:val="en-US" w:eastAsia="zh-CN" w:bidi="ar-SA"/>
      </w:rPr>
      <w:instrText xml:space="preserve"> PAGE </w:instrText>
    </w:r>
    <w:r>
      <w:rPr>
        <w:rFonts w:hint="default" w:ascii="Times New Roman" w:hAnsi="Times New Roman" w:eastAsia="宋体" w:cs="Times New Roman"/>
        <w:kern w:val="2"/>
        <w:sz w:val="18"/>
        <w:szCs w:val="18"/>
        <w:lang w:val="en-US" w:eastAsia="zh-CN" w:bidi="ar-SA"/>
      </w:rPr>
      <w:fldChar w:fldCharType="separate"/>
    </w:r>
    <w:r>
      <w:rPr>
        <w:rFonts w:hint="default" w:ascii="Times New Roman" w:hAnsi="Times New Roman" w:eastAsia="宋体" w:cs="Times New Roman"/>
        <w:kern w:val="2"/>
        <w:sz w:val="18"/>
        <w:szCs w:val="18"/>
        <w:lang w:val="en-US" w:eastAsia="zh-CN" w:bidi="ar-SA"/>
      </w:rPr>
      <w:t>139</w:t>
    </w:r>
    <w:r>
      <w:rPr>
        <w:rFonts w:hint="default" w:ascii="Times New Roman" w:hAnsi="Times New Roman" w:eastAsia="宋体" w:cs="Times New Roman"/>
        <w:kern w:val="2"/>
        <w:sz w:val="18"/>
        <w:szCs w:val="18"/>
        <w:lang w:val="en-US" w:eastAsia="zh-CN" w:bidi="ar-SA"/>
      </w:rPr>
      <w:fldChar w:fldCharType="end"/>
    </w:r>
    <w:r>
      <w:rPr>
        <w:rFonts w:hint="eastAsia" w:ascii="Times New Roman" w:hAnsi="Times New Roman" w:eastAsia="宋体" w:cs="Times New Roman"/>
        <w:kern w:val="2"/>
        <w:sz w:val="18"/>
        <w:szCs w:val="18"/>
        <w:lang w:val="en-US" w:eastAsia="zh-CN" w:bidi="ar-SA"/>
      </w:rPr>
      <w:t xml:space="preserve">                                   APJ-（赣）-</w:t>
    </w:r>
    <w:r>
      <w:rPr>
        <w:rFonts w:hint="default" w:ascii="Times New Roman" w:hAnsi="Times New Roman" w:eastAsia="宋体" w:cs="Times New Roman"/>
        <w:kern w:val="2"/>
        <w:sz w:val="18"/>
        <w:szCs w:val="18"/>
        <w:lang w:val="en-US" w:eastAsia="zh-CN" w:bidi="ar-SA"/>
      </w:rPr>
      <w:t>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B8531">
    <w:pPr>
      <w:pBdr>
        <w:bottom w:val="none" w:color="auto" w:sz="0" w:space="1"/>
      </w:pBdr>
      <w:adjustRightInd/>
      <w:snapToGrid/>
      <w:spacing w:line="240" w:lineRule="exact"/>
      <w:ind w:left="7560" w:hanging="7560" w:hangingChars="4200"/>
      <w:rPr>
        <w:rFonts w:hint="default" w:ascii="Times New Roman" w:hAnsi="Times New Roman" w:eastAsia="宋体" w:cs="Times New Roman"/>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3796F">
    <w:pPr>
      <w:pBdr>
        <w:bottom w:val="single" w:color="auto" w:sz="6" w:space="1"/>
      </w:pBdr>
      <w:adjustRightInd/>
      <w:snapToGrid/>
      <w:spacing w:line="240" w:lineRule="exact"/>
      <w:ind w:left="7560" w:hanging="6636" w:hangingChars="4200"/>
      <w:rPr>
        <w:rFonts w:hint="default" w:ascii="Times New Roman" w:hAnsi="Times New Roman" w:eastAsia="宋体" w:cs="Times New Roman"/>
        <w:spacing w:val="-6"/>
        <w:sz w:val="18"/>
        <w:szCs w:val="18"/>
        <w:lang w:val="en-US" w:eastAsia="zh-CN"/>
      </w:rPr>
    </w:pPr>
    <w:r>
      <w:rPr>
        <w:rFonts w:hint="eastAsia" w:ascii="Times New Roman" w:hAnsi="Times New Roman" w:eastAsia="宋体" w:cs="Times New Roman"/>
        <w:spacing w:val="-11"/>
        <w:sz w:val="18"/>
        <w:szCs w:val="18"/>
      </w:rPr>
      <w:t>江西</w:t>
    </w:r>
    <w:r>
      <w:rPr>
        <w:rFonts w:hint="eastAsia" w:ascii="Times New Roman" w:hAnsi="Times New Roman" w:eastAsia="宋体" w:cs="Times New Roman"/>
        <w:spacing w:val="-6"/>
        <w:sz w:val="18"/>
        <w:szCs w:val="18"/>
      </w:rPr>
      <w:t>亚东水泥有限公司</w:t>
    </w:r>
    <w:r>
      <w:rPr>
        <w:rFonts w:hint="default" w:ascii="Times New Roman" w:hAnsi="Times New Roman" w:eastAsia="宋体" w:cs="Times New Roman"/>
        <w:spacing w:val="-6"/>
        <w:sz w:val="18"/>
        <w:szCs w:val="18"/>
      </w:rPr>
      <w:t>瑞昌制造二厂降低二氧化硫排放项目</w:t>
    </w:r>
    <w:r>
      <w:rPr>
        <w:rFonts w:hint="eastAsia" w:ascii="Times New Roman" w:hAnsi="Times New Roman" w:eastAsia="宋体" w:cs="Times New Roman"/>
        <w:spacing w:val="-11"/>
        <w:sz w:val="18"/>
        <w:szCs w:val="18"/>
        <w:lang w:eastAsia="zh-CN"/>
      </w:rPr>
      <w:t>（</w:t>
    </w:r>
    <w:r>
      <w:rPr>
        <w:rFonts w:hint="default" w:ascii="Times New Roman" w:hAnsi="Times New Roman" w:eastAsia="宋体" w:cs="Times New Roman"/>
        <w:spacing w:val="-11"/>
        <w:sz w:val="18"/>
        <w:szCs w:val="18"/>
      </w:rPr>
      <w:t>2*6000t/d</w:t>
    </w:r>
    <w:r>
      <w:rPr>
        <w:rFonts w:hint="eastAsia" w:ascii="Times New Roman" w:hAnsi="Times New Roman" w:eastAsia="宋体" w:cs="Times New Roman"/>
        <w:spacing w:val="-11"/>
        <w:sz w:val="18"/>
        <w:szCs w:val="18"/>
        <w:lang w:eastAsia="zh-CN"/>
      </w:rPr>
      <w:t>）</w:t>
    </w:r>
    <w:r>
      <w:rPr>
        <w:rFonts w:hint="eastAsia" w:ascii="Times New Roman" w:hAnsi="Times New Roman" w:eastAsia="宋体" w:cs="Times New Roman"/>
        <w:spacing w:val="-11"/>
        <w:sz w:val="18"/>
        <w:szCs w:val="18"/>
      </w:rPr>
      <w:t>安全</w:t>
    </w:r>
    <w:r>
      <w:rPr>
        <w:rFonts w:hint="eastAsia" w:cs="Times New Roman"/>
        <w:spacing w:val="-11"/>
        <w:sz w:val="18"/>
        <w:szCs w:val="18"/>
        <w:lang w:val="en-US" w:eastAsia="zh-CN"/>
      </w:rPr>
      <w:t>设施</w:t>
    </w:r>
    <w:r>
      <w:rPr>
        <w:rFonts w:hint="eastAsia" w:ascii="Times New Roman" w:hAnsi="Times New Roman" w:eastAsia="宋体" w:cs="Times New Roman"/>
        <w:spacing w:val="-11"/>
        <w:sz w:val="18"/>
        <w:szCs w:val="18"/>
        <w:lang w:val="en-US" w:eastAsia="zh-CN"/>
      </w:rPr>
      <w:t>验收评价报告</w:t>
    </w:r>
    <w:r>
      <w:rPr>
        <w:rFonts w:hint="eastAsia" w:cs="Times New Roman"/>
        <w:spacing w:val="-11"/>
        <w:sz w:val="18"/>
        <w:szCs w:val="18"/>
        <w:lang w:val="en-US" w:eastAsia="zh-CN"/>
      </w:rPr>
      <w:t xml:space="preserve"> </w:t>
    </w:r>
    <w:r>
      <w:rPr>
        <w:rFonts w:hint="eastAsia" w:cs="Times New Roman"/>
        <w:sz w:val="18"/>
        <w:szCs w:val="18"/>
        <w:lang w:val="en-US" w:eastAsia="zh-CN"/>
      </w:rPr>
      <w:t xml:space="preserve">       </w:t>
    </w:r>
    <w:r>
      <w:rPr>
        <w:rFonts w:hint="eastAsia" w:cs="Times New Roman"/>
        <w:spacing w:val="-6"/>
        <w:sz w:val="18"/>
        <w:szCs w:val="18"/>
        <w:lang w:val="en-US" w:eastAsia="zh-CN"/>
      </w:rPr>
      <w:t xml:space="preserve"> </w:t>
    </w:r>
    <w:r>
      <w:rPr>
        <w:rFonts w:hint="eastAsia"/>
        <w:spacing w:val="-6"/>
        <w:sz w:val="18"/>
        <w:szCs w:val="18"/>
      </w:rPr>
      <w:t>GAAP[202</w:t>
    </w:r>
    <w:r>
      <w:rPr>
        <w:rFonts w:hint="eastAsia"/>
        <w:spacing w:val="-6"/>
        <w:sz w:val="18"/>
        <w:szCs w:val="18"/>
        <w:lang w:val="en-US" w:eastAsia="zh-CN"/>
      </w:rPr>
      <w:t>4</w:t>
    </w:r>
    <w:r>
      <w:rPr>
        <w:rFonts w:hint="eastAsia"/>
        <w:spacing w:val="-6"/>
        <w:sz w:val="18"/>
        <w:szCs w:val="18"/>
        <w:lang w:eastAsia="zh-CN"/>
      </w:rPr>
      <w:t>]</w:t>
    </w:r>
    <w:r>
      <w:rPr>
        <w:rFonts w:hint="eastAsia"/>
        <w:spacing w:val="-6"/>
        <w:sz w:val="18"/>
        <w:szCs w:val="18"/>
        <w:lang w:val="en-US" w:eastAsia="zh-CN"/>
      </w:rPr>
      <w:t>0313</w:t>
    </w:r>
    <w:r>
      <w:rPr>
        <w:rFonts w:hint="eastAsia"/>
        <w:spacing w:val="-6"/>
        <w:sz w:val="18"/>
        <w:szCs w:val="18"/>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C05090"/>
    <w:multiLevelType w:val="multilevel"/>
    <w:tmpl w:val="CEC05090"/>
    <w:lvl w:ilvl="0" w:tentative="0">
      <w:start w:val="1"/>
      <w:numFmt w:val="decimal"/>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B516D9C"/>
    <w:multiLevelType w:val="singleLevel"/>
    <w:tmpl w:val="2B516D9C"/>
    <w:lvl w:ilvl="0" w:tentative="0">
      <w:start w:val="10"/>
      <w:numFmt w:val="decimal"/>
      <w:lvlText w:val="%1."/>
      <w:lvlJc w:val="left"/>
      <w:pPr>
        <w:tabs>
          <w:tab w:val="left" w:pos="312"/>
        </w:tabs>
      </w:pPr>
    </w:lvl>
  </w:abstractNum>
  <w:abstractNum w:abstractNumId="2">
    <w:nsid w:val="7FF81C71"/>
    <w:multiLevelType w:val="multilevel"/>
    <w:tmpl w:val="7FF81C7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80"/>
  <w:drawingGridVerticalSpacing w:val="19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yNWIwOWY1Y2ZhYmZkYWRiM2YzZmM1MzVjY2Q5Y2EifQ=="/>
  </w:docVars>
  <w:rsids>
    <w:rsidRoot w:val="06E81157"/>
    <w:rsid w:val="01E46D89"/>
    <w:rsid w:val="02FA6971"/>
    <w:rsid w:val="03F501DE"/>
    <w:rsid w:val="05FC7CFD"/>
    <w:rsid w:val="067549AE"/>
    <w:rsid w:val="06E81157"/>
    <w:rsid w:val="076A0059"/>
    <w:rsid w:val="0D565128"/>
    <w:rsid w:val="0F2E3586"/>
    <w:rsid w:val="0F6459AD"/>
    <w:rsid w:val="152A7A45"/>
    <w:rsid w:val="16236B8C"/>
    <w:rsid w:val="174D52EF"/>
    <w:rsid w:val="178E31A8"/>
    <w:rsid w:val="1A4E7546"/>
    <w:rsid w:val="1C263774"/>
    <w:rsid w:val="1F1E5467"/>
    <w:rsid w:val="1FB150B7"/>
    <w:rsid w:val="21C36B11"/>
    <w:rsid w:val="21F33502"/>
    <w:rsid w:val="23DB38B9"/>
    <w:rsid w:val="24F36AC3"/>
    <w:rsid w:val="267A740D"/>
    <w:rsid w:val="2B486052"/>
    <w:rsid w:val="2B9A346C"/>
    <w:rsid w:val="2C0A7B41"/>
    <w:rsid w:val="2F8D6BBF"/>
    <w:rsid w:val="30963A53"/>
    <w:rsid w:val="309E718E"/>
    <w:rsid w:val="31AF39BF"/>
    <w:rsid w:val="31EC51C0"/>
    <w:rsid w:val="328F2CFE"/>
    <w:rsid w:val="3496589A"/>
    <w:rsid w:val="3605263A"/>
    <w:rsid w:val="3609198F"/>
    <w:rsid w:val="36542636"/>
    <w:rsid w:val="371A5A91"/>
    <w:rsid w:val="37425CF9"/>
    <w:rsid w:val="37E7050C"/>
    <w:rsid w:val="38DE5A55"/>
    <w:rsid w:val="3A8D35C5"/>
    <w:rsid w:val="3B0A2EE3"/>
    <w:rsid w:val="3CDB4298"/>
    <w:rsid w:val="3E154914"/>
    <w:rsid w:val="3F647E8B"/>
    <w:rsid w:val="401540D0"/>
    <w:rsid w:val="41004C87"/>
    <w:rsid w:val="42984AFA"/>
    <w:rsid w:val="42F11E57"/>
    <w:rsid w:val="44E900FA"/>
    <w:rsid w:val="460E39A2"/>
    <w:rsid w:val="49470F79"/>
    <w:rsid w:val="498579B9"/>
    <w:rsid w:val="49B8279A"/>
    <w:rsid w:val="49EF5EB9"/>
    <w:rsid w:val="4A377126"/>
    <w:rsid w:val="4AFD029E"/>
    <w:rsid w:val="4C51283A"/>
    <w:rsid w:val="4E604FB7"/>
    <w:rsid w:val="4E72511B"/>
    <w:rsid w:val="52B32537"/>
    <w:rsid w:val="52EA12F3"/>
    <w:rsid w:val="54784855"/>
    <w:rsid w:val="55B306A4"/>
    <w:rsid w:val="55D051EC"/>
    <w:rsid w:val="56F665E7"/>
    <w:rsid w:val="5B423BDA"/>
    <w:rsid w:val="5CDA23D8"/>
    <w:rsid w:val="5DDD65A9"/>
    <w:rsid w:val="5DE27796"/>
    <w:rsid w:val="5EE94B54"/>
    <w:rsid w:val="616D622E"/>
    <w:rsid w:val="62546DC1"/>
    <w:rsid w:val="630F2701"/>
    <w:rsid w:val="647E2EA6"/>
    <w:rsid w:val="65302C77"/>
    <w:rsid w:val="65BC2AE5"/>
    <w:rsid w:val="67886B8A"/>
    <w:rsid w:val="684B48DA"/>
    <w:rsid w:val="68D02AFF"/>
    <w:rsid w:val="69671E0F"/>
    <w:rsid w:val="6C3F4C7C"/>
    <w:rsid w:val="6CDA511D"/>
    <w:rsid w:val="6D435113"/>
    <w:rsid w:val="6D9C1734"/>
    <w:rsid w:val="72C3217A"/>
    <w:rsid w:val="74A05CC0"/>
    <w:rsid w:val="74C90E52"/>
    <w:rsid w:val="7596533B"/>
    <w:rsid w:val="7768315F"/>
    <w:rsid w:val="77770452"/>
    <w:rsid w:val="7A272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1041" w:firstLineChars="200"/>
      <w:jc w:val="both"/>
    </w:pPr>
    <w:rPr>
      <w:rFonts w:ascii="Times New Roman" w:hAnsi="Times New Roman" w:eastAsia="宋体" w:cs="Times New Roman"/>
      <w:kern w:val="2"/>
      <w:sz w:val="28"/>
      <w:szCs w:val="28"/>
      <w:lang w:val="en-US" w:eastAsia="zh-CN" w:bidi="ar-SA"/>
    </w:rPr>
  </w:style>
  <w:style w:type="paragraph" w:styleId="2">
    <w:name w:val="heading 1"/>
    <w:basedOn w:val="1"/>
    <w:next w:val="1"/>
    <w:link w:val="19"/>
    <w:qFormat/>
    <w:uiPriority w:val="0"/>
    <w:pPr>
      <w:keepNext/>
      <w:keepLines/>
      <w:spacing w:beforeLines="0" w:beforeAutospacing="0" w:afterLines="0" w:afterAutospacing="0" w:line="360" w:lineRule="auto"/>
      <w:ind w:firstLine="0" w:firstLineChars="0"/>
      <w:jc w:val="center"/>
      <w:outlineLvl w:val="0"/>
    </w:pPr>
    <w:rPr>
      <w:rFonts w:ascii="Times New Roman" w:hAnsi="Times New Roman" w:eastAsia="宋体"/>
      <w:b/>
      <w:kern w:val="44"/>
      <w:sz w:val="32"/>
    </w:rPr>
  </w:style>
  <w:style w:type="paragraph" w:styleId="3">
    <w:name w:val="heading 2"/>
    <w:basedOn w:val="2"/>
    <w:next w:val="1"/>
    <w:qFormat/>
    <w:uiPriority w:val="0"/>
    <w:pPr>
      <w:keepNext/>
      <w:keepLines/>
      <w:widowControl w:val="0"/>
      <w:spacing w:beforeAutospacing="0" w:afterAutospacing="0" w:line="360" w:lineRule="auto"/>
      <w:ind w:left="100" w:leftChars="100" w:firstLine="0" w:firstLineChars="0"/>
      <w:outlineLvl w:val="1"/>
    </w:pPr>
    <w:rPr>
      <w:rFonts w:ascii="Times New Roman" w:hAnsi="Times New Roman"/>
      <w:sz w:val="30"/>
    </w:rPr>
  </w:style>
  <w:style w:type="paragraph" w:styleId="4">
    <w:name w:val="heading 3"/>
    <w:basedOn w:val="1"/>
    <w:next w:val="1"/>
    <w:link w:val="22"/>
    <w:qFormat/>
    <w:uiPriority w:val="0"/>
    <w:pPr>
      <w:keepNext/>
      <w:keepLines/>
      <w:widowControl w:val="0"/>
      <w:spacing w:beforeAutospacing="0" w:afterAutospacing="0" w:line="240" w:lineRule="auto"/>
      <w:ind w:left="200" w:leftChars="200" w:firstLine="0" w:firstLineChars="0"/>
      <w:outlineLvl w:val="2"/>
    </w:pPr>
    <w:rPr>
      <w:rFonts w:ascii="Times New Roman" w:hAnsi="Times New Roman" w:eastAsia="黑体"/>
      <w:b/>
    </w:rPr>
  </w:style>
  <w:style w:type="paragraph" w:styleId="5">
    <w:name w:val="heading 4"/>
    <w:basedOn w:val="1"/>
    <w:next w:val="1"/>
    <w:semiHidden/>
    <w:unhideWhenUsed/>
    <w:qFormat/>
    <w:uiPriority w:val="0"/>
    <w:pPr>
      <w:keepNext/>
      <w:keepLines/>
      <w:spacing w:before="280" w:after="290" w:line="372" w:lineRule="auto"/>
      <w:outlineLvl w:val="3"/>
    </w:pPr>
    <w:rPr>
      <w:rFonts w:ascii="Arial" w:hAnsi="Arial" w:eastAsia="黑体"/>
      <w:b/>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Body Text Indent"/>
    <w:basedOn w:val="1"/>
    <w:next w:val="7"/>
    <w:qFormat/>
    <w:uiPriority w:val="0"/>
    <w:pPr>
      <w:spacing w:after="120" w:afterLines="0"/>
      <w:ind w:left="420" w:leftChars="200"/>
    </w:pPr>
  </w:style>
  <w:style w:type="paragraph" w:styleId="7">
    <w:name w:val="toc 5"/>
    <w:basedOn w:val="1"/>
    <w:next w:val="1"/>
    <w:qFormat/>
    <w:uiPriority w:val="39"/>
    <w:pPr>
      <w:ind w:left="840"/>
      <w:jc w:val="left"/>
    </w:pPr>
    <w:rPr>
      <w:sz w:val="18"/>
      <w:szCs w:val="18"/>
    </w:rPr>
  </w:style>
  <w:style w:type="paragraph" w:styleId="8">
    <w:name w:val="toc 3"/>
    <w:basedOn w:val="1"/>
    <w:next w:val="1"/>
    <w:qFormat/>
    <w:uiPriority w:val="0"/>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 w:type="paragraph" w:styleId="13">
    <w:name w:val="Body Text First Indent 2"/>
    <w:basedOn w:val="6"/>
    <w:next w:val="1"/>
    <w:qFormat/>
    <w:uiPriority w:val="0"/>
    <w:pPr>
      <w:tabs>
        <w:tab w:val="left" w:pos="0"/>
        <w:tab w:val="left" w:pos="870"/>
        <w:tab w:val="left" w:pos="3150"/>
      </w:tabs>
      <w:autoSpaceDE w:val="0"/>
      <w:autoSpaceDN w:val="0"/>
      <w:adjustRightInd w:val="0"/>
      <w:spacing w:after="0" w:afterLines="0" w:line="360" w:lineRule="auto"/>
      <w:ind w:left="0" w:leftChars="0" w:firstLine="527"/>
    </w:pPr>
    <w:rPr>
      <w:rFonts w:ascii="宋体"/>
      <w:sz w:val="24"/>
      <w:szCs w:val="20"/>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table" w:customStyle="1" w:styleId="18">
    <w:name w:val="Table Normal"/>
    <w:autoRedefine/>
    <w:semiHidden/>
    <w:unhideWhenUsed/>
    <w:qFormat/>
    <w:uiPriority w:val="0"/>
    <w:tblPr>
      <w:tblCellMar>
        <w:top w:w="0" w:type="dxa"/>
        <w:left w:w="0" w:type="dxa"/>
        <w:bottom w:w="0" w:type="dxa"/>
        <w:right w:w="0" w:type="dxa"/>
      </w:tblCellMar>
    </w:tblPr>
  </w:style>
  <w:style w:type="character" w:customStyle="1" w:styleId="19">
    <w:name w:val="heading 1 Char"/>
    <w:basedOn w:val="16"/>
    <w:link w:val="2"/>
    <w:qFormat/>
    <w:uiPriority w:val="0"/>
    <w:rPr>
      <w:rFonts w:ascii="Times New Roman" w:hAnsi="Times New Roman" w:eastAsia="宋体"/>
      <w:b/>
      <w:kern w:val="44"/>
      <w:sz w:val="32"/>
    </w:rPr>
  </w:style>
  <w:style w:type="paragraph" w:customStyle="1" w:styleId="20">
    <w:name w:val="表格文字1"/>
    <w:basedOn w:val="1"/>
    <w:autoRedefine/>
    <w:qFormat/>
    <w:uiPriority w:val="0"/>
    <w:pPr>
      <w:adjustRightInd/>
      <w:snapToGrid/>
      <w:spacing w:line="240" w:lineRule="exact"/>
      <w:ind w:firstLine="0" w:firstLineChars="0"/>
      <w:jc w:val="center"/>
    </w:pPr>
    <w:rPr>
      <w:color w:val="auto"/>
      <w:sz w:val="21"/>
      <w:szCs w:val="22"/>
    </w:rPr>
  </w:style>
  <w:style w:type="paragraph" w:customStyle="1" w:styleId="21">
    <w:name w:val="表格文字2"/>
    <w:basedOn w:val="1"/>
    <w:qFormat/>
    <w:uiPriority w:val="0"/>
    <w:pPr>
      <w:ind w:firstLine="0" w:firstLineChars="0"/>
      <w:jc w:val="center"/>
    </w:pPr>
    <w:rPr>
      <w:rFonts w:ascii="Times New Roman" w:hAnsi="Times New Roman"/>
      <w:b/>
      <w:bCs/>
      <w:sz w:val="21"/>
      <w:szCs w:val="21"/>
    </w:rPr>
  </w:style>
  <w:style w:type="character" w:customStyle="1" w:styleId="22">
    <w:name w:val="标题 3 Char"/>
    <w:link w:val="4"/>
    <w:qFormat/>
    <w:uiPriority w:val="0"/>
    <w:rPr>
      <w:rFonts w:ascii="Times New Roman" w:hAnsi="Times New Roman" w:eastAsia="黑体"/>
      <w:b/>
    </w:rPr>
  </w:style>
  <w:style w:type="paragraph" w:customStyle="1" w:styleId="23">
    <w:name w:val="表格中文字居中"/>
    <w:basedOn w:val="1"/>
    <w:autoRedefine/>
    <w:qFormat/>
    <w:uiPriority w:val="0"/>
    <w:pPr>
      <w:snapToGrid w:val="0"/>
      <w:spacing w:line="240" w:lineRule="atLeast"/>
      <w:ind w:left="122" w:hanging="122" w:hangingChars="58"/>
      <w:jc w:val="center"/>
    </w:pPr>
    <w:rPr>
      <w:snapToGrid w:val="0"/>
      <w:kern w:val="0"/>
      <w:szCs w:val="21"/>
    </w:rPr>
  </w:style>
  <w:style w:type="paragraph" w:customStyle="1" w:styleId="24">
    <w:name w:val="Default"/>
    <w:next w:val="1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5">
    <w:name w:val="Table Text"/>
    <w:basedOn w:val="1"/>
    <w:semiHidden/>
    <w:qFormat/>
    <w:uiPriority w:val="0"/>
    <w:rPr>
      <w:rFonts w:ascii="宋体" w:hAnsi="宋体" w:eastAsia="宋体" w:cs="宋体"/>
      <w:sz w:val="23"/>
      <w:szCs w:val="2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jpeg"/><Relationship Id="rId13" Type="http://schemas.openxmlformats.org/officeDocument/2006/relationships/image" Target="media/image3.png"/><Relationship Id="rId12" Type="http://schemas.openxmlformats.org/officeDocument/2006/relationships/image" Target="media/image2.e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封面"/>
    </customSectPr>
    <customSectPr>
      <sectNamePr val="前言及目录"/>
    </customSectPr>
    <customSectPr>
      <sectNamePr val="正文"/>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113</Pages>
  <Words>6074</Words>
  <Characters>7576</Characters>
  <Lines>0</Lines>
  <Paragraphs>0</Paragraphs>
  <TotalTime>40</TotalTime>
  <ScaleCrop>false</ScaleCrop>
  <LinksUpToDate>false</LinksUpToDate>
  <CharactersWithSpaces>8033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2024-07-26T00:56:00Z</dcterms:created>
  <dc:creator>。</dc:creator>
  <cp:lastModifiedBy>。</cp:lastModifiedBy>
  <dcterms:modified xsi:type="dcterms:W3CDTF">2024-12-05T01:38:14Z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D58B59F72A674586BE9050266DD52EFF_13</vt:lpwstr>
  </property>
</Properties>
</file>