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677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2E04F0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57D182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276CD5B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44"/>
          <w:szCs w:val="44"/>
        </w:rPr>
      </w:pPr>
      <w:r>
        <w:rPr>
          <w:rFonts w:hint="eastAsia"/>
          <w:b/>
          <w:color w:val="auto"/>
          <w:sz w:val="44"/>
          <w:szCs w:val="44"/>
        </w:rPr>
        <w:t>江西朝盛矿业有限公司</w:t>
      </w:r>
    </w:p>
    <w:p w14:paraId="588DDF0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44"/>
          <w:szCs w:val="44"/>
        </w:rPr>
      </w:pPr>
      <w:r>
        <w:rPr>
          <w:rFonts w:hint="eastAsia"/>
          <w:b/>
          <w:color w:val="auto"/>
          <w:sz w:val="44"/>
          <w:szCs w:val="44"/>
        </w:rPr>
        <w:t>宁都硫铁矿地下开采改建工程</w:t>
      </w:r>
    </w:p>
    <w:p w14:paraId="3454773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r>
        <w:rPr>
          <w:rFonts w:eastAsia="黑体"/>
          <w:b/>
          <w:color w:val="auto"/>
          <w:sz w:val="52"/>
          <w:szCs w:val="52"/>
        </w:rPr>
        <w:t>安全</w:t>
      </w:r>
      <w:r>
        <w:rPr>
          <w:rFonts w:hint="eastAsia" w:eastAsia="黑体"/>
          <w:b/>
          <w:color w:val="auto"/>
          <w:sz w:val="52"/>
          <w:szCs w:val="52"/>
          <w:lang w:val="en-US" w:eastAsia="zh-CN"/>
        </w:rPr>
        <w:t>预</w:t>
      </w:r>
      <w:r>
        <w:rPr>
          <w:rFonts w:eastAsia="黑体"/>
          <w:b/>
          <w:color w:val="auto"/>
          <w:sz w:val="52"/>
          <w:szCs w:val="52"/>
        </w:rPr>
        <w:t>评价报告</w:t>
      </w:r>
    </w:p>
    <w:p w14:paraId="2DFAE5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44"/>
          <w:szCs w:val="44"/>
          <w:lang w:eastAsia="zh-CN"/>
        </w:rPr>
      </w:pPr>
      <w:r>
        <w:rPr>
          <w:rFonts w:hint="eastAsia" w:eastAsia="黑体"/>
          <w:b/>
          <w:color w:val="auto"/>
          <w:sz w:val="44"/>
          <w:szCs w:val="44"/>
          <w:lang w:eastAsia="zh-CN"/>
        </w:rPr>
        <w:t>（</w:t>
      </w:r>
      <w:r>
        <w:rPr>
          <w:rFonts w:hint="eastAsia" w:eastAsia="黑体"/>
          <w:b/>
          <w:color w:val="auto"/>
          <w:sz w:val="44"/>
          <w:szCs w:val="44"/>
          <w:lang w:val="en-US" w:eastAsia="zh-CN"/>
        </w:rPr>
        <w:t>终稿</w:t>
      </w:r>
      <w:r>
        <w:rPr>
          <w:rFonts w:hint="eastAsia" w:eastAsia="黑体"/>
          <w:b/>
          <w:color w:val="auto"/>
          <w:sz w:val="44"/>
          <w:szCs w:val="44"/>
          <w:lang w:eastAsia="zh-CN"/>
        </w:rPr>
        <w:t>）</w:t>
      </w:r>
    </w:p>
    <w:p w14:paraId="083EB34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4139E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2D72816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3D4745E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50464F9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71D0EDE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5C1D53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 w:val="44"/>
        </w:rPr>
      </w:pPr>
      <w:r>
        <w:rPr>
          <w:b/>
          <w:bCs/>
          <w:color w:val="auto"/>
          <w:sz w:val="44"/>
        </w:rPr>
        <w:t>江西赣安安全生产科学技术咨询服务中心</w:t>
      </w:r>
    </w:p>
    <w:p w14:paraId="3D00495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b/>
          <w:bCs/>
          <w:color w:val="auto"/>
          <w:sz w:val="32"/>
        </w:rPr>
        <w:t>资质证书编号：</w:t>
      </w:r>
      <w:r>
        <w:rPr>
          <w:b/>
          <w:bCs/>
          <w:color w:val="auto"/>
          <w:sz w:val="32"/>
        </w:rPr>
        <w:t>APJ</w:t>
      </w:r>
      <w:r>
        <w:rPr>
          <w:rFonts w:hint="eastAsia"/>
          <w:b/>
          <w:bCs/>
          <w:color w:val="auto"/>
          <w:sz w:val="32"/>
        </w:rPr>
        <w:t>-（赣）-002</w:t>
      </w:r>
    </w:p>
    <w:p w14:paraId="1C4A3DC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hAnsi="宋体"/>
          <w:b/>
          <w:bCs/>
          <w:color w:val="auto"/>
          <w:sz w:val="32"/>
        </w:rPr>
        <w:t>202</w:t>
      </w:r>
      <w:r>
        <w:rPr>
          <w:rFonts w:hint="eastAsia" w:hAnsi="宋体"/>
          <w:b/>
          <w:bCs/>
          <w:color w:val="auto"/>
          <w:sz w:val="32"/>
          <w:lang w:val="en-US" w:eastAsia="zh-CN"/>
        </w:rPr>
        <w:t>5</w:t>
      </w:r>
      <w:r>
        <w:rPr>
          <w:rFonts w:hAnsi="宋体"/>
          <w:b/>
          <w:bCs/>
          <w:color w:val="auto"/>
          <w:sz w:val="32"/>
        </w:rPr>
        <w:t>年</w:t>
      </w:r>
      <w:r>
        <w:rPr>
          <w:rFonts w:hint="eastAsia" w:hAnsi="宋体"/>
          <w:b/>
          <w:bCs/>
          <w:color w:val="auto"/>
          <w:sz w:val="32"/>
          <w:lang w:val="en-US" w:eastAsia="zh-CN"/>
        </w:rPr>
        <w:t>8</w:t>
      </w:r>
      <w:r>
        <w:rPr>
          <w:rFonts w:hAnsi="宋体"/>
          <w:b/>
          <w:bCs/>
          <w:color w:val="auto"/>
          <w:sz w:val="32"/>
        </w:rPr>
        <w:t>月</w:t>
      </w:r>
      <w:r>
        <w:rPr>
          <w:rFonts w:hint="eastAsia" w:hAnsi="宋体"/>
          <w:b/>
          <w:bCs/>
          <w:color w:val="auto"/>
          <w:sz w:val="32"/>
          <w:lang w:val="en-US" w:eastAsia="zh-CN"/>
        </w:rPr>
        <w:t>30</w:t>
      </w:r>
      <w:r>
        <w:rPr>
          <w:rFonts w:hint="eastAsia" w:hAnsi="宋体"/>
          <w:b/>
          <w:bCs/>
          <w:color w:val="auto"/>
          <w:sz w:val="32"/>
        </w:rPr>
        <w:t>日</w:t>
      </w:r>
    </w:p>
    <w:p w14:paraId="0DABB3F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b/>
          <w:color w:val="auto"/>
          <w:sz w:val="32"/>
          <w:szCs w:val="32"/>
        </w:rPr>
        <w:sectPr>
          <w:pgSz w:w="11906" w:h="16839"/>
          <w:pgMar w:top="1417" w:right="1417" w:bottom="1417" w:left="1417" w:header="850" w:footer="964" w:gutter="0"/>
          <w:pgNumType w:fmt="decimal"/>
          <w:cols w:space="425" w:num="1"/>
          <w:rtlGutter w:val="0"/>
          <w:docGrid w:linePitch="312" w:charSpace="0"/>
        </w:sectPr>
      </w:pPr>
    </w:p>
    <w:p w14:paraId="32355C5F">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4F86A587">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0BE6E43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68C59CA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r>
        <w:rPr>
          <w:rFonts w:hint="eastAsia"/>
          <w:b/>
          <w:color w:val="auto"/>
          <w:sz w:val="32"/>
          <w:szCs w:val="32"/>
        </w:rPr>
        <w:t>江西朝盛矿业有限公司</w:t>
      </w:r>
    </w:p>
    <w:p w14:paraId="7263B56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r>
        <w:rPr>
          <w:rFonts w:hint="eastAsia"/>
          <w:b/>
          <w:color w:val="auto"/>
          <w:sz w:val="32"/>
          <w:szCs w:val="32"/>
        </w:rPr>
        <w:t>宁都硫铁矿地下开采改建工程</w:t>
      </w:r>
    </w:p>
    <w:p w14:paraId="3987A5A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Ansi="宋体"/>
          <w:b/>
          <w:color w:val="auto"/>
          <w:sz w:val="44"/>
          <w:szCs w:val="44"/>
        </w:rPr>
      </w:pPr>
      <w:r>
        <w:rPr>
          <w:rFonts w:hAnsi="宋体"/>
          <w:b/>
          <w:color w:val="auto"/>
          <w:sz w:val="44"/>
          <w:szCs w:val="44"/>
        </w:rPr>
        <w:t>安全</w:t>
      </w:r>
      <w:r>
        <w:rPr>
          <w:rFonts w:hint="eastAsia" w:hAnsi="宋体"/>
          <w:b/>
          <w:color w:val="auto"/>
          <w:sz w:val="44"/>
          <w:szCs w:val="44"/>
          <w:lang w:val="en-US" w:eastAsia="zh-CN"/>
        </w:rPr>
        <w:t>预</w:t>
      </w:r>
      <w:r>
        <w:rPr>
          <w:rFonts w:hAnsi="宋体"/>
          <w:b/>
          <w:color w:val="auto"/>
          <w:sz w:val="44"/>
          <w:szCs w:val="44"/>
        </w:rPr>
        <w:t>评价报告</w:t>
      </w:r>
    </w:p>
    <w:p w14:paraId="5725578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Ansi="宋体"/>
          <w:b/>
          <w:color w:val="auto"/>
          <w:sz w:val="44"/>
          <w:szCs w:val="44"/>
        </w:rPr>
      </w:pPr>
      <w:r>
        <w:rPr>
          <w:rFonts w:hint="eastAsia" w:hAnsi="宋体"/>
          <w:b/>
          <w:color w:val="auto"/>
          <w:sz w:val="44"/>
          <w:szCs w:val="44"/>
        </w:rPr>
        <w:t>（终稿）</w:t>
      </w:r>
    </w:p>
    <w:p w14:paraId="6DB7AD0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39C3A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F62C66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1581ECD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F70545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28385BF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法</w:t>
      </w:r>
      <w:r>
        <w:rPr>
          <w:rFonts w:hint="eastAsia"/>
          <w:color w:val="auto"/>
        </w:rPr>
        <w:t xml:space="preserve"> 定 </w:t>
      </w:r>
      <w:r>
        <w:rPr>
          <w:color w:val="auto"/>
        </w:rPr>
        <w:t>代</w:t>
      </w:r>
      <w:r>
        <w:rPr>
          <w:rFonts w:hint="eastAsia"/>
          <w:color w:val="auto"/>
        </w:rPr>
        <w:t xml:space="preserve"> </w:t>
      </w:r>
      <w:r>
        <w:rPr>
          <w:color w:val="auto"/>
        </w:rPr>
        <w:t>表</w:t>
      </w:r>
      <w:r>
        <w:rPr>
          <w:rFonts w:hint="eastAsia"/>
          <w:color w:val="auto"/>
        </w:rPr>
        <w:t xml:space="preserve"> </w:t>
      </w:r>
      <w:r>
        <w:rPr>
          <w:color w:val="auto"/>
        </w:rPr>
        <w:t>人：</w:t>
      </w:r>
      <w:r>
        <w:rPr>
          <w:rFonts w:hint="eastAsia"/>
          <w:color w:val="auto"/>
          <w:lang w:val="en-US" w:eastAsia="zh-CN"/>
        </w:rPr>
        <w:t>应  宏</w:t>
      </w:r>
    </w:p>
    <w:p w14:paraId="44359F0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color w:val="auto"/>
        </w:rPr>
        <w:t>技</w:t>
      </w:r>
      <w:r>
        <w:rPr>
          <w:rFonts w:hint="eastAsia"/>
          <w:color w:val="auto"/>
        </w:rPr>
        <w:t xml:space="preserve"> </w:t>
      </w:r>
      <w:r>
        <w:rPr>
          <w:color w:val="auto"/>
        </w:rPr>
        <w:t>术</w:t>
      </w:r>
      <w:r>
        <w:rPr>
          <w:rFonts w:hint="eastAsia"/>
          <w:color w:val="auto"/>
        </w:rPr>
        <w:t xml:space="preserve"> </w:t>
      </w:r>
      <w:r>
        <w:rPr>
          <w:color w:val="auto"/>
        </w:rPr>
        <w:t>负</w:t>
      </w:r>
      <w:r>
        <w:rPr>
          <w:rFonts w:hint="eastAsia"/>
          <w:color w:val="auto"/>
        </w:rPr>
        <w:t xml:space="preserve"> </w:t>
      </w:r>
      <w:r>
        <w:rPr>
          <w:color w:val="auto"/>
        </w:rPr>
        <w:t>责</w:t>
      </w:r>
      <w:r>
        <w:rPr>
          <w:rFonts w:hint="eastAsia"/>
          <w:color w:val="auto"/>
        </w:rPr>
        <w:t xml:space="preserve"> </w:t>
      </w:r>
      <w:r>
        <w:rPr>
          <w:color w:val="auto"/>
        </w:rPr>
        <w:t>人：</w:t>
      </w:r>
      <w:r>
        <w:rPr>
          <w:rFonts w:hint="eastAsia"/>
          <w:color w:val="auto"/>
        </w:rPr>
        <w:t>管自强</w:t>
      </w:r>
    </w:p>
    <w:p w14:paraId="62A841E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评价项目负责人：</w:t>
      </w:r>
      <w:r>
        <w:rPr>
          <w:rFonts w:hint="eastAsia"/>
          <w:color w:val="auto"/>
          <w:lang w:val="en-US" w:eastAsia="zh-CN"/>
        </w:rPr>
        <w:t>许玉才</w:t>
      </w:r>
    </w:p>
    <w:p w14:paraId="5AA5D43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1E9964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B62350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60C1A1D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b/>
          <w:bCs/>
          <w:color w:val="auto"/>
          <w:sz w:val="24"/>
        </w:rPr>
        <w:t>评价报告完成日期：</w:t>
      </w:r>
      <w:r>
        <w:rPr>
          <w:rFonts w:hint="eastAsia" w:hAnsi="宋体"/>
          <w:b/>
          <w:bCs/>
          <w:color w:val="auto"/>
          <w:spacing w:val="20"/>
          <w:sz w:val="24"/>
        </w:rPr>
        <w:t>202</w:t>
      </w:r>
      <w:r>
        <w:rPr>
          <w:rFonts w:hint="eastAsia" w:hAnsi="宋体"/>
          <w:b/>
          <w:bCs/>
          <w:color w:val="auto"/>
          <w:spacing w:val="20"/>
          <w:sz w:val="24"/>
          <w:lang w:val="en-US" w:eastAsia="zh-CN"/>
        </w:rPr>
        <w:t>5</w:t>
      </w:r>
      <w:r>
        <w:rPr>
          <w:rFonts w:hint="eastAsia" w:hAnsi="宋体"/>
          <w:b/>
          <w:bCs/>
          <w:color w:val="auto"/>
          <w:spacing w:val="20"/>
          <w:sz w:val="24"/>
        </w:rPr>
        <w:t>年</w:t>
      </w:r>
      <w:r>
        <w:rPr>
          <w:rFonts w:hint="eastAsia" w:hAnsi="宋体"/>
          <w:b/>
          <w:bCs/>
          <w:color w:val="auto"/>
          <w:spacing w:val="20"/>
          <w:sz w:val="24"/>
          <w:lang w:val="en-US" w:eastAsia="zh-CN"/>
        </w:rPr>
        <w:t>8</w:t>
      </w:r>
      <w:r>
        <w:rPr>
          <w:rFonts w:hint="eastAsia" w:hAnsi="宋体"/>
          <w:b/>
          <w:bCs/>
          <w:color w:val="auto"/>
          <w:spacing w:val="20"/>
          <w:sz w:val="24"/>
        </w:rPr>
        <w:t>月</w:t>
      </w:r>
      <w:r>
        <w:rPr>
          <w:rFonts w:hint="eastAsia" w:hAnsi="宋体"/>
          <w:b/>
          <w:bCs/>
          <w:color w:val="auto"/>
          <w:spacing w:val="20"/>
          <w:sz w:val="24"/>
          <w:lang w:val="en-US" w:eastAsia="zh-CN"/>
        </w:rPr>
        <w:t>30</w:t>
      </w:r>
      <w:r>
        <w:rPr>
          <w:rFonts w:hint="eastAsia" w:hAnsi="宋体"/>
          <w:b/>
          <w:bCs/>
          <w:color w:val="auto"/>
          <w:spacing w:val="20"/>
          <w:sz w:val="24"/>
        </w:rPr>
        <w:t>日</w:t>
      </w:r>
    </w:p>
    <w:p w14:paraId="6534DE06">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b/>
          <w:color w:val="auto"/>
          <w:sz w:val="32"/>
          <w:szCs w:val="32"/>
        </w:rPr>
      </w:pPr>
      <w:r>
        <w:rPr>
          <w:b/>
          <w:color w:val="auto"/>
          <w:sz w:val="32"/>
          <w:szCs w:val="32"/>
        </w:rPr>
        <w:br w:type="page"/>
      </w:r>
    </w:p>
    <w:p w14:paraId="40DC781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江西朝盛矿业有限公司</w:t>
      </w:r>
    </w:p>
    <w:p w14:paraId="4DA4C9E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宁都硫铁矿地下开采改建工程</w:t>
      </w:r>
    </w:p>
    <w:p w14:paraId="6F0479F4">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ascii="宋体" w:hAnsi="宋体" w:cs="宋体"/>
          <w:color w:val="auto"/>
          <w:kern w:val="0"/>
          <w:sz w:val="36"/>
          <w:szCs w:val="36"/>
        </w:rPr>
      </w:pPr>
      <w:r>
        <w:rPr>
          <w:rFonts w:hint="eastAsia" w:ascii="宋体" w:hAnsi="宋体" w:cs="宋体"/>
          <w:color w:val="auto"/>
          <w:kern w:val="0"/>
          <w:sz w:val="36"/>
          <w:szCs w:val="36"/>
        </w:rPr>
        <w:t>安全</w:t>
      </w:r>
      <w:r>
        <w:rPr>
          <w:rFonts w:hint="eastAsia" w:ascii="宋体" w:hAnsi="宋体" w:cs="宋体"/>
          <w:color w:val="auto"/>
          <w:kern w:val="0"/>
          <w:sz w:val="36"/>
          <w:szCs w:val="36"/>
          <w:lang w:val="en-US" w:eastAsia="zh-CN"/>
        </w:rPr>
        <w:t>预</w:t>
      </w:r>
      <w:r>
        <w:rPr>
          <w:rFonts w:ascii="宋体" w:hAnsi="宋体" w:cs="宋体"/>
          <w:color w:val="auto"/>
          <w:kern w:val="0"/>
          <w:sz w:val="36"/>
          <w:szCs w:val="36"/>
        </w:rPr>
        <w:t>评价</w:t>
      </w:r>
      <w:r>
        <w:rPr>
          <w:rFonts w:hint="eastAsia" w:ascii="宋体" w:hAnsi="宋体" w:cs="宋体"/>
          <w:color w:val="auto"/>
          <w:kern w:val="0"/>
          <w:sz w:val="36"/>
          <w:szCs w:val="36"/>
        </w:rPr>
        <w:t>技术服务</w:t>
      </w:r>
      <w:r>
        <w:rPr>
          <w:rFonts w:ascii="宋体" w:hAnsi="宋体" w:cs="宋体"/>
          <w:color w:val="auto"/>
          <w:kern w:val="0"/>
          <w:sz w:val="36"/>
          <w:szCs w:val="36"/>
        </w:rPr>
        <w:t>承诺书</w:t>
      </w:r>
    </w:p>
    <w:p w14:paraId="1A21F55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s="宋体"/>
          <w:color w:val="auto"/>
          <w:kern w:val="0"/>
          <w:sz w:val="36"/>
          <w:szCs w:val="36"/>
        </w:rPr>
      </w:pPr>
    </w:p>
    <w:p w14:paraId="58E5BB8D">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一、在该项目安全评价活动过程中，我单位严格遵守《安全生产法》及相关法律、法规和标准的要求。</w:t>
      </w:r>
    </w:p>
    <w:p w14:paraId="1A30A565">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二、在该项目安全评价活动过程中，我单位作为第三方，未受到任何组织和个人的干预和影响，依法独立开展工作，保证了技术服务活动的客观公正性。</w:t>
      </w:r>
    </w:p>
    <w:p w14:paraId="32AB4C87">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kern w:val="0"/>
          <w:sz w:val="32"/>
          <w:szCs w:val="32"/>
        </w:rPr>
      </w:pPr>
      <w:r>
        <w:rPr>
          <w:rFonts w:hint="eastAsia" w:ascii="Times New Roman" w:hAnsi="Times New Roman" w:eastAsia="仿宋" w:cs="宋体"/>
          <w:color w:val="auto"/>
          <w:kern w:val="0"/>
          <w:sz w:val="32"/>
          <w:szCs w:val="32"/>
        </w:rPr>
        <w:t>三、我单位按照实事求是的原则，对该项目进行安全评价，确保出具的报告均真实有效，报告所提出的措施具有针对性、有效性和可行性。</w:t>
      </w:r>
    </w:p>
    <w:p w14:paraId="13126D13">
      <w:pPr>
        <w:keepNext w:val="0"/>
        <w:keepLines w:val="0"/>
        <w:pageBreakBefore w:val="0"/>
        <w:widowControl/>
        <w:kinsoku/>
        <w:wordWrap w:val="0"/>
        <w:overflowPunct/>
        <w:topLinePunct w:val="0"/>
        <w:autoSpaceDE/>
        <w:autoSpaceDN/>
        <w:bidi w:val="0"/>
        <w:adjustRightInd/>
        <w:snapToGrid/>
        <w:spacing w:line="480" w:lineRule="auto"/>
        <w:ind w:firstLine="624" w:firstLineChars="200"/>
        <w:jc w:val="left"/>
        <w:textAlignment w:val="auto"/>
        <w:rPr>
          <w:rFonts w:hint="eastAsia" w:ascii="Times New Roman" w:hAnsi="Times New Roman" w:eastAsia="仿宋" w:cs="宋体"/>
          <w:color w:val="auto"/>
          <w:spacing w:val="-4"/>
          <w:kern w:val="0"/>
          <w:sz w:val="32"/>
          <w:szCs w:val="32"/>
        </w:rPr>
      </w:pPr>
      <w:r>
        <w:rPr>
          <w:rFonts w:hint="eastAsia" w:ascii="Times New Roman" w:hAnsi="Times New Roman" w:eastAsia="仿宋" w:cs="宋体"/>
          <w:color w:val="auto"/>
          <w:spacing w:val="-4"/>
          <w:kern w:val="0"/>
          <w:sz w:val="32"/>
          <w:szCs w:val="32"/>
        </w:rPr>
        <w:t>四、我单位对该项目安全评价报告中结论性内容承担法律责任。</w:t>
      </w:r>
    </w:p>
    <w:p w14:paraId="7A59EB88">
      <w:pPr>
        <w:bidi w:val="0"/>
        <w:rPr>
          <w:rFonts w:hint="eastAsia"/>
          <w:color w:val="auto"/>
        </w:rPr>
      </w:pPr>
    </w:p>
    <w:p w14:paraId="5FD20548">
      <w:pPr>
        <w:bidi w:val="0"/>
        <w:rPr>
          <w:rFonts w:hint="eastAsia"/>
          <w:color w:val="auto"/>
        </w:rPr>
      </w:pPr>
    </w:p>
    <w:p w14:paraId="12F5AF2B">
      <w:pPr>
        <w:widowControl/>
        <w:spacing w:before="100" w:beforeAutospacing="1" w:after="100" w:afterAutospacing="1" w:line="425" w:lineRule="auto"/>
        <w:ind w:left="5258" w:leftChars="228" w:hanging="4620" w:hangingChars="1650"/>
        <w:jc w:val="right"/>
        <w:rPr>
          <w:color w:val="auto"/>
          <w:kern w:val="0"/>
          <w:szCs w:val="28"/>
        </w:rPr>
      </w:pPr>
      <w:r>
        <w:rPr>
          <w:color w:val="auto"/>
          <w:szCs w:val="28"/>
        </w:rPr>
        <w:t>江西赣安安全生产科学技术咨询服务中心</w:t>
      </w:r>
    </w:p>
    <w:p w14:paraId="5AAABC8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color w:val="auto"/>
          <w:kern w:val="0"/>
          <w:szCs w:val="28"/>
          <w:lang w:val="en-US" w:eastAsia="zh-CN"/>
        </w:rPr>
        <w:t xml:space="preserve">                              </w:t>
      </w:r>
      <w:r>
        <w:rPr>
          <w:color w:val="auto"/>
          <w:kern w:val="0"/>
          <w:szCs w:val="28"/>
        </w:rPr>
        <w:t>202</w:t>
      </w:r>
      <w:r>
        <w:rPr>
          <w:rFonts w:hint="eastAsia"/>
          <w:color w:val="auto"/>
          <w:kern w:val="0"/>
          <w:szCs w:val="28"/>
          <w:lang w:val="en-US" w:eastAsia="zh-CN"/>
        </w:rPr>
        <w:t>5</w:t>
      </w:r>
      <w:r>
        <w:rPr>
          <w:rFonts w:hAnsi="宋体"/>
          <w:color w:val="auto"/>
          <w:kern w:val="0"/>
          <w:szCs w:val="28"/>
        </w:rPr>
        <w:t>年</w:t>
      </w:r>
      <w:r>
        <w:rPr>
          <w:rFonts w:hint="eastAsia" w:hAnsi="宋体"/>
          <w:color w:val="auto"/>
          <w:kern w:val="0"/>
          <w:szCs w:val="28"/>
          <w:lang w:val="en-US" w:eastAsia="zh-CN"/>
        </w:rPr>
        <w:t>8</w:t>
      </w:r>
      <w:r>
        <w:rPr>
          <w:rFonts w:hAnsi="宋体"/>
          <w:color w:val="auto"/>
          <w:kern w:val="0"/>
          <w:szCs w:val="28"/>
        </w:rPr>
        <w:t>月</w:t>
      </w:r>
      <w:r>
        <w:rPr>
          <w:rFonts w:hint="eastAsia" w:hAnsi="宋体"/>
          <w:color w:val="auto"/>
          <w:kern w:val="0"/>
          <w:szCs w:val="28"/>
          <w:lang w:val="en-US" w:eastAsia="zh-CN"/>
        </w:rPr>
        <w:t>30</w:t>
      </w:r>
      <w:r>
        <w:rPr>
          <w:rFonts w:hAnsi="宋体"/>
          <w:color w:val="auto"/>
          <w:kern w:val="0"/>
          <w:szCs w:val="28"/>
        </w:rPr>
        <w:t>日</w:t>
      </w:r>
      <w:r>
        <w:rPr>
          <w:b/>
          <w:color w:val="auto"/>
          <w:szCs w:val="28"/>
        </w:rPr>
        <w:br w:type="page"/>
      </w: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55CB84D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6DDBBD1D">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7171789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6E05CA2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A6F77A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s="Times New Roman"/>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11FC0BF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62BF672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8929FD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19915D3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65224A90">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396" w:lineRule="auto"/>
        <w:ind w:firstLine="480" w:firstLineChars="200"/>
        <w:textAlignment w:val="auto"/>
        <w:rPr>
          <w:rFonts w:hint="default" w:ascii="Times New Roman" w:hAnsi="Times New Roman" w:cs="Times New Roman"/>
          <w:color w:val="auto"/>
          <w:sz w:val="32"/>
          <w:szCs w:val="32"/>
        </w:rPr>
      </w:pPr>
      <w:r>
        <w:rPr>
          <w:rFonts w:ascii="Times New Roman" w:hAnsi="Times New Roman" w:eastAsia="宋体" w:cs="Times New Roman"/>
          <w:color w:val="auto"/>
          <w:kern w:val="0"/>
          <w:szCs w:val="28"/>
        </w:rPr>
        <w:t>九、禁止安全生产监管部门及其工作人员参与、擅自干预中介机构从业活动，或者有获取不正当利益的行为。</w:t>
      </w:r>
    </w:p>
    <w:p w14:paraId="32DAFFD9">
      <w:pPr>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br w:type="page"/>
      </w:r>
    </w:p>
    <w:p w14:paraId="0ED790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26AF6CB4">
      <w:pPr>
        <w:bidi w:val="0"/>
        <w:rPr>
          <w:color w:val="auto"/>
        </w:rPr>
      </w:pPr>
    </w:p>
    <w:p w14:paraId="4B5FB03A">
      <w:pPr>
        <w:bidi w:val="0"/>
        <w:rPr>
          <w:color w:va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3685B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5A9942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907DA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8A2668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E2F46D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B94420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0A24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18661B8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25FA23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EBA5B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FD0B00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A178A4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3A884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2454012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5C802AB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6047505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AD4615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BD4B74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FB6D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EF1F7D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56328E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6DE5A1E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9BD045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ACC08C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7821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338980D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B59DE1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9356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rPr>
              <w:t>800000000</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rPr>
              <w:t>0</w:t>
            </w:r>
            <w:r>
              <w:rPr>
                <w:rFonts w:hint="default" w:ascii="Times New Roman" w:hAnsi="Times New Roman" w:cs="Times New Roman"/>
                <w:color w:val="auto"/>
                <w:sz w:val="24"/>
                <w:lang w:val="en-US" w:eastAsia="zh-CN"/>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71B47B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088435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C06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59B0704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12C9FC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王纪鹏</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3DB95CC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S01103500011019</w:t>
            </w:r>
            <w:r>
              <w:rPr>
                <w:rFonts w:hint="default" w:ascii="Times New Roman" w:hAnsi="Times New Roman" w:cs="Times New Roman"/>
                <w:color w:val="auto"/>
                <w:sz w:val="24"/>
                <w:lang w:val="en-US" w:eastAsia="zh-CN"/>
              </w:rPr>
              <w:t>2</w:t>
            </w:r>
            <w:r>
              <w:rPr>
                <w:rFonts w:hint="default" w:ascii="Times New Roman" w:hAnsi="Times New Roman" w:eastAsia="宋体" w:cs="Times New Roman"/>
                <w:color w:val="auto"/>
                <w:sz w:val="24"/>
              </w:rPr>
              <w:t>00</w:t>
            </w:r>
            <w:r>
              <w:rPr>
                <w:rFonts w:hint="default" w:ascii="Times New Roman" w:hAnsi="Times New Roman" w:cs="Times New Roman"/>
                <w:color w:val="auto"/>
                <w:sz w:val="24"/>
                <w:lang w:val="en-US" w:eastAsia="zh-CN"/>
              </w:rPr>
              <w:t>155</w:t>
            </w:r>
            <w:r>
              <w:rPr>
                <w:rFonts w:hint="eastAsia" w:cs="Times New Roman"/>
                <w:color w:val="auto"/>
                <w:sz w:val="24"/>
                <w:lang w:val="en-US" w:eastAsia="zh-CN"/>
              </w:rPr>
              <w:t>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8CCD5F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036830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FF1F3C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B036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3D72A87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BA21FB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lang w:val="en-US" w:eastAsia="zh-CN"/>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829D51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507731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4083E0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966F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35B7317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5AABBB9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398FE22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5CABF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4ED18B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1E83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A06C23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4A2A686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李强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8C28A6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0800000000204055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C286A6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007079</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3B5590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7F5C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F48A5C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9A976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110686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3FEC48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396E4A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490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E40E7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F00B3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176FBE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D023C3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640D1A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bl>
    <w:p w14:paraId="24841802">
      <w:pPr>
        <w:bidi w:val="0"/>
        <w:rPr>
          <w:color w:val="auto"/>
        </w:rPr>
      </w:pPr>
    </w:p>
    <w:p w14:paraId="36B0078B">
      <w:pPr>
        <w:bidi w:val="0"/>
        <w:rPr>
          <w:color w:val="auto"/>
        </w:rPr>
      </w:pPr>
    </w:p>
    <w:p w14:paraId="6CF2200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rPr>
      </w:pPr>
      <w:r>
        <w:rPr>
          <w:rFonts w:ascii="宋体" w:hAnsi="宋体"/>
          <w:color w:val="auto"/>
          <w:sz w:val="28"/>
          <w:szCs w:val="28"/>
        </w:rPr>
        <w:br w:type="page"/>
      </w:r>
      <w:r>
        <w:rPr>
          <w:rFonts w:hint="eastAsia" w:ascii="黑体" w:hAnsi="黑体" w:eastAsia="黑体" w:cs="黑体"/>
          <w:b/>
          <w:bCs/>
          <w:color w:val="auto"/>
          <w:sz w:val="32"/>
          <w:szCs w:val="32"/>
        </w:rPr>
        <w:t>前    言</w:t>
      </w:r>
    </w:p>
    <w:p w14:paraId="78AF0B2F">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江西朝盛矿业有限公司宁都硫铁矿位于宁都县城南西方向31km，青塘圩南西5.5km处的青塘镇南堡村，</w:t>
      </w:r>
      <w:r>
        <w:rPr>
          <w:rFonts w:hint="eastAsia"/>
          <w:color w:val="auto"/>
          <w:lang w:val="en-US" w:eastAsia="zh-CN"/>
        </w:rPr>
        <w:t>矿区</w:t>
      </w:r>
      <w:r>
        <w:rPr>
          <w:rFonts w:hint="eastAsia"/>
          <w:color w:val="auto"/>
        </w:rPr>
        <w:t>地理坐标：东经115°48′41″～115°49′19″，北纬26°24′42″～26°25′59″。</w:t>
      </w:r>
    </w:p>
    <w:p w14:paraId="76C26976">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宁都硫铁矿前</w:t>
      </w:r>
      <w:r>
        <w:rPr>
          <w:rFonts w:hint="eastAsia"/>
          <w:color w:val="auto"/>
          <w:lang w:val="en-US" w:eastAsia="zh-CN"/>
        </w:rPr>
        <w:t>身为</w:t>
      </w:r>
      <w:r>
        <w:rPr>
          <w:rFonts w:hint="eastAsia"/>
          <w:color w:val="auto"/>
        </w:rPr>
        <w:t>江西宁都硫磺矿</w:t>
      </w:r>
      <w:r>
        <w:rPr>
          <w:rFonts w:hint="eastAsia"/>
          <w:color w:val="auto"/>
          <w:lang w:eastAsia="zh-CN"/>
        </w:rPr>
        <w:t>，</w:t>
      </w:r>
      <w:r>
        <w:rPr>
          <w:rFonts w:hint="eastAsia"/>
          <w:color w:val="auto"/>
        </w:rPr>
        <w:t>是1958年由宁都县在勘探过程中筹建起来的国营矿山。矿山开始于浅部平窿手掘采矿、土法炼制硫磺，至1995年矿山逐步由手掘采矿过渡到半机械化斜井采矿。1997年由于矿山一直采用落后土法炼硫，产生的“三废”难于处理而停产。至2001年矿区硫铁矿作为水泥用辅助原料恢复开采，年产铁矿7500吨，硫磺粉60吨。随着国民经济的发展，宁都硫磺矿资源开发的良好经济效益引起了各方的关注，江西朝盛矿业有限公司于2007年4月取得了该矿的采矿权，从事该矿山的生产经营管理</w:t>
      </w:r>
      <w:r>
        <w:rPr>
          <w:rFonts w:hint="eastAsia"/>
          <w:color w:val="auto"/>
          <w:lang w:eastAsia="zh-CN"/>
        </w:rPr>
        <w:t>，</w:t>
      </w:r>
      <w:r>
        <w:rPr>
          <w:rFonts w:hint="eastAsia"/>
          <w:color w:val="auto"/>
        </w:rPr>
        <w:t>2010年～2013年对矿山进行了扩建改造，扩建后，矿山年生产规模为30万t。</w:t>
      </w:r>
    </w:p>
    <w:p w14:paraId="6BDECE03">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2014年1月</w:t>
      </w:r>
      <w:r>
        <w:rPr>
          <w:rFonts w:hint="eastAsia"/>
          <w:color w:val="auto"/>
          <w:lang w:val="en-US" w:eastAsia="zh-CN"/>
        </w:rPr>
        <w:t>矿山</w:t>
      </w:r>
      <w:r>
        <w:rPr>
          <w:rFonts w:hint="eastAsia"/>
          <w:color w:val="auto"/>
        </w:rPr>
        <w:t>首次取得扩建后的安全生产许可证，2023年7月进行了安全生产许可证延期，证号：（赣）FM安许证字</w:t>
      </w:r>
      <w:r>
        <w:rPr>
          <w:rFonts w:hint="eastAsia" w:ascii="宋体" w:hAnsi="宋体" w:eastAsia="宋体" w:cs="宋体"/>
          <w:color w:val="auto"/>
        </w:rPr>
        <w:t>[</w:t>
      </w:r>
      <w:r>
        <w:rPr>
          <w:rFonts w:hint="eastAsia"/>
          <w:color w:val="auto"/>
        </w:rPr>
        <w:t>2023</w:t>
      </w:r>
      <w:r>
        <w:rPr>
          <w:rFonts w:hint="eastAsia" w:ascii="宋体" w:hAnsi="宋体" w:eastAsia="宋体" w:cs="宋体"/>
          <w:color w:val="auto"/>
        </w:rPr>
        <w:t>]</w:t>
      </w:r>
      <w:r>
        <w:rPr>
          <w:rFonts w:hint="eastAsia"/>
          <w:color w:val="auto"/>
        </w:rPr>
        <w:t>M1869号，许可范围为硫铁矿30.00万t/a，斜井开拓，+160m、+130m、+100m中段地下开采。</w:t>
      </w:r>
    </w:p>
    <w:p w14:paraId="153BF40C">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eastAsia="宋体"/>
          <w:color w:val="auto"/>
          <w:lang w:val="en-US" w:eastAsia="zh-CN"/>
        </w:rPr>
      </w:pPr>
      <w:r>
        <w:rPr>
          <w:rFonts w:hint="eastAsia"/>
          <w:color w:val="auto"/>
        </w:rPr>
        <w:t>宁都硫铁矿为开采多年的老矿山，由于政策变化原因，原江西省冶金设计院2010年6月编制的《江西朝盛矿业有限公司宁都硫铁矿扩建工程初步设计》及《安全专篇》部分设计内容不符合现有政策；优化开拓开采系统、更新老旧设备等是江西朝盛矿业有限公司可持续发展的需要。</w:t>
      </w:r>
    </w:p>
    <w:p w14:paraId="4C323F02">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eastAsia="宋体"/>
          <w:color w:val="auto"/>
          <w:lang w:val="en-US" w:eastAsia="zh-CN"/>
        </w:rPr>
      </w:pPr>
      <w:r>
        <w:rPr>
          <w:rFonts w:hint="eastAsia"/>
          <w:color w:val="auto"/>
        </w:rPr>
        <w:t>为</w:t>
      </w:r>
      <w:r>
        <w:rPr>
          <w:rFonts w:hint="eastAsia"/>
          <w:color w:val="auto"/>
          <w:lang w:val="en-US" w:eastAsia="zh-CN"/>
        </w:rPr>
        <w:t>了矿山的</w:t>
      </w:r>
      <w:r>
        <w:rPr>
          <w:rFonts w:hint="eastAsia"/>
          <w:color w:val="auto"/>
        </w:rPr>
        <w:t>可持续发展，江西朝盛矿业有限公司</w:t>
      </w:r>
      <w:r>
        <w:rPr>
          <w:rFonts w:hint="eastAsia"/>
          <w:color w:val="auto"/>
          <w:lang w:val="en-US" w:eastAsia="zh-CN"/>
        </w:rPr>
        <w:t>于2025年1月</w:t>
      </w:r>
      <w:r>
        <w:rPr>
          <w:rFonts w:hint="eastAsia"/>
          <w:color w:val="auto"/>
        </w:rPr>
        <w:t>委托江西省中赣投勘察设计有限公司编制完成了《江西朝盛矿业有限公司宁都硫铁矿地下开采改建工程可行性研究报告》（以下简称《可研报告》）</w:t>
      </w:r>
      <w:r>
        <w:rPr>
          <w:rFonts w:hint="eastAsia"/>
          <w:color w:val="auto"/>
          <w:lang w:eastAsia="zh-CN"/>
        </w:rPr>
        <w:t>。</w:t>
      </w:r>
      <w:r>
        <w:rPr>
          <w:rFonts w:hint="eastAsia"/>
          <w:color w:val="auto"/>
        </w:rPr>
        <w:t>《可研报告》对</w:t>
      </w:r>
      <w:r>
        <w:rPr>
          <w:rFonts w:hint="eastAsia"/>
          <w:color w:val="auto"/>
          <w:lang w:val="en-US" w:eastAsia="zh-CN"/>
        </w:rPr>
        <w:t>矿山的</w:t>
      </w:r>
      <w:r>
        <w:rPr>
          <w:rFonts w:hint="eastAsia"/>
          <w:color w:val="auto"/>
        </w:rPr>
        <w:t>运输方式、采矿方法、资源利用等进行综合研究，更新</w:t>
      </w:r>
      <w:r>
        <w:rPr>
          <w:rFonts w:hint="eastAsia"/>
          <w:color w:val="auto"/>
          <w:lang w:val="en-US" w:eastAsia="zh-CN"/>
        </w:rPr>
        <w:t>了</w:t>
      </w:r>
      <w:r>
        <w:rPr>
          <w:rFonts w:hint="eastAsia"/>
          <w:color w:val="auto"/>
        </w:rPr>
        <w:t>部分主要及辅助设备，采用更高效、节能、安全的生产系统。开拓方式采用斜井</w:t>
      </w:r>
      <w:r>
        <w:rPr>
          <w:rFonts w:hint="default"/>
          <w:color w:val="auto"/>
        </w:rPr>
        <w:t>+</w:t>
      </w:r>
      <w:r>
        <w:rPr>
          <w:rFonts w:hint="eastAsia"/>
          <w:color w:val="auto"/>
        </w:rPr>
        <w:t>斜坡道开拓</w:t>
      </w:r>
      <w:r>
        <w:rPr>
          <w:rFonts w:hint="eastAsia"/>
          <w:color w:val="auto"/>
          <w:lang w:eastAsia="zh-CN"/>
        </w:rPr>
        <w:t>；</w:t>
      </w:r>
      <w:r>
        <w:rPr>
          <w:rFonts w:hint="eastAsia"/>
          <w:color w:val="auto"/>
        </w:rPr>
        <w:t>主斜坡道（原3#斜坡道）作为主运输，副斜井（原2#主斜井）作为安全通道</w:t>
      </w:r>
      <w:r>
        <w:rPr>
          <w:rFonts w:hint="eastAsia"/>
          <w:color w:val="auto"/>
          <w:lang w:eastAsia="zh-CN"/>
        </w:rPr>
        <w:t>；</w:t>
      </w:r>
      <w:r>
        <w:rPr>
          <w:rFonts w:hint="eastAsia"/>
          <w:color w:val="auto"/>
          <w:lang w:val="en-US" w:eastAsia="zh-CN"/>
        </w:rPr>
        <w:t>开采</w:t>
      </w:r>
      <w:r>
        <w:rPr>
          <w:rFonts w:hint="eastAsia"/>
          <w:color w:val="auto"/>
        </w:rPr>
        <w:t>3-18号勘探线之间的矿体</w:t>
      </w:r>
      <w:r>
        <w:rPr>
          <w:rFonts w:hint="eastAsia"/>
          <w:color w:val="auto"/>
          <w:lang w:val="en-US" w:eastAsia="zh-CN"/>
        </w:rPr>
        <w:t>时</w:t>
      </w:r>
      <w:r>
        <w:rPr>
          <w:rFonts w:hint="eastAsia"/>
          <w:color w:val="auto"/>
        </w:rPr>
        <w:t>利用现有的南风井（原1#回风井）作为回风井，副斜井（原2#主斜井）、主斜坡道（原3#斜坡道）、北风井（原4#副斜井）作为进风井</w:t>
      </w:r>
      <w:r>
        <w:rPr>
          <w:rFonts w:hint="eastAsia"/>
          <w:color w:val="auto"/>
          <w:lang w:eastAsia="zh-CN"/>
        </w:rPr>
        <w:t>；</w:t>
      </w:r>
      <w:r>
        <w:rPr>
          <w:rFonts w:hint="eastAsia"/>
          <w:color w:val="auto"/>
          <w:lang w:val="en-US" w:eastAsia="zh-CN"/>
        </w:rPr>
        <w:t>开采</w:t>
      </w:r>
      <w:r>
        <w:rPr>
          <w:rFonts w:hint="eastAsia"/>
          <w:color w:val="auto"/>
        </w:rPr>
        <w:t>11-7号勘探线之间的矿体</w:t>
      </w:r>
      <w:r>
        <w:rPr>
          <w:rFonts w:hint="eastAsia"/>
          <w:color w:val="auto"/>
          <w:lang w:val="en-US" w:eastAsia="zh-CN"/>
        </w:rPr>
        <w:t>时</w:t>
      </w:r>
      <w:r>
        <w:rPr>
          <w:rFonts w:hint="eastAsia"/>
          <w:color w:val="auto"/>
        </w:rPr>
        <w:t>利用北风井（原4#副斜井）作为回风井，副斜井（原2#主斜井）、主斜坡道（原3#斜坡道）、南风井（原1#回风井）作为进风井</w:t>
      </w:r>
      <w:r>
        <w:rPr>
          <w:rFonts w:hint="eastAsia"/>
          <w:color w:val="auto"/>
          <w:lang w:val="en-US" w:eastAsia="zh-CN"/>
        </w:rPr>
        <w:t>。中段运输方式选择UQ-12矿用自卸车无轨运输。中厚及近水平的矿体采用全面采矿法（嗣后充填），薄及缓倾斜的矿体采用房柱法（嗣后充填），厚矿体采用阶段矿房采矿法。</w:t>
      </w:r>
    </w:p>
    <w:p w14:paraId="0C92CBC7">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根据《中华人民共和国安全生产法》和《建设项目安全设施“三同时”监督管理办法》的要求，新、改、扩建项目必须进行安全预评价，以确保工程项目的安全设施与主体工程同时设计、同时施工、同时</w:t>
      </w:r>
      <w:r>
        <w:rPr>
          <w:rFonts w:hint="eastAsia"/>
          <w:color w:val="auto"/>
          <w:lang w:val="en-US" w:eastAsia="zh-CN"/>
        </w:rPr>
        <w:t>投入生产和使用</w:t>
      </w:r>
      <w:r>
        <w:rPr>
          <w:rFonts w:hint="eastAsia"/>
          <w:color w:val="auto"/>
        </w:rPr>
        <w:t>，保证项目在安全方面符合国家及行业有关的标准和法规。</w:t>
      </w:r>
    </w:p>
    <w:p w14:paraId="524675D1">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受江西朝盛矿业有限公司的委托，江西赣安安全生产科学技术咨询服务中心承担该</w:t>
      </w:r>
      <w:r>
        <w:rPr>
          <w:rFonts w:hint="eastAsia"/>
          <w:color w:val="auto"/>
          <w:lang w:val="en-US" w:eastAsia="zh-CN"/>
        </w:rPr>
        <w:t>工程</w:t>
      </w:r>
      <w:r>
        <w:rPr>
          <w:rFonts w:hint="eastAsia"/>
          <w:color w:val="auto"/>
        </w:rPr>
        <w:t>安全预评价工作，组成评价项目组。评价人员通过现场考察、收集相关资料，运用系统安全原理和评价方法对该工程可能出现的危险、有害因素进行了辨识分析和定性、定量评价，并预测其危险度；评价该工程总平面布置、开拓、运输、采掘、通风、供配电设施、防排水与防灭火、安全避险“六大系统”、安全管理等单元是否符合相关法律法规、规范标准要求；提出了合理可行的安全对策措施及建议，按照《安全评价通则》及《安全预评价导则》的要求完成报告的初稿。初稿出来后，评价人员及时与企业沟通，并适当的调整后，经评价项目组内部审核、技术负责人审核和过程控制负责人审核，最终编制完成了《江西朝盛矿业有限公司宁都硫铁矿地下开采改建工程安全预评价报告》。</w:t>
      </w:r>
    </w:p>
    <w:p w14:paraId="5C696A8D">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本报告仅限于江西朝盛矿业有限公司宁都硫铁矿地下开采改建工程安全设施设计参考，具体以最</w:t>
      </w:r>
      <w:r>
        <w:rPr>
          <w:rFonts w:hint="eastAsia"/>
          <w:color w:val="auto"/>
          <w:lang w:val="en-US" w:eastAsia="zh-CN"/>
        </w:rPr>
        <w:t>终</w:t>
      </w:r>
      <w:bookmarkStart w:id="460" w:name="_GoBack"/>
      <w:bookmarkEnd w:id="460"/>
      <w:r>
        <w:rPr>
          <w:rFonts w:hint="eastAsia"/>
          <w:color w:val="auto"/>
        </w:rPr>
        <w:t>版本为准。</w:t>
      </w:r>
    </w:p>
    <w:p w14:paraId="39AF8504">
      <w:pPr>
        <w:keepNext w:val="0"/>
        <w:keepLines w:val="0"/>
        <w:pageBreakBefore w:val="0"/>
        <w:widowControl w:val="0"/>
        <w:kinsoku/>
        <w:wordWrap/>
        <w:overflowPunct/>
        <w:topLinePunct w:val="0"/>
        <w:autoSpaceDE/>
        <w:autoSpaceDN/>
        <w:bidi w:val="0"/>
        <w:adjustRightInd/>
        <w:snapToGrid/>
        <w:spacing w:line="336" w:lineRule="auto"/>
        <w:textAlignment w:val="auto"/>
        <w:rPr>
          <w:rFonts w:hint="eastAsia"/>
          <w:color w:val="auto"/>
        </w:rPr>
      </w:pPr>
      <w:r>
        <w:rPr>
          <w:rFonts w:hint="eastAsia"/>
          <w:color w:val="auto"/>
        </w:rPr>
        <w:t>在评价过程中得到江西朝盛矿业有限公司的领导、安全生产管理人员及职工的大力支持，在此表示感谢！</w:t>
      </w:r>
    </w:p>
    <w:p w14:paraId="30DCA77E">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sz w:val="24"/>
        </w:rPr>
      </w:pPr>
      <w:r>
        <w:rPr>
          <w:rFonts w:hint="eastAsia"/>
          <w:color w:val="auto"/>
          <w:sz w:val="24"/>
        </w:rPr>
        <w:br w:type="page"/>
      </w:r>
    </w:p>
    <w:p w14:paraId="43DAF71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b/>
          <w:bCs/>
          <w:strike w:val="0"/>
          <w:dstrike w:val="0"/>
          <w:color w:val="auto"/>
          <w:sz w:val="32"/>
          <w:szCs w:val="32"/>
          <w:lang w:val="en-US" w:eastAsia="zh-CN"/>
        </w:rPr>
      </w:pPr>
      <w:r>
        <w:rPr>
          <w:rFonts w:hint="eastAsia" w:ascii="黑体" w:hAnsi="黑体" w:eastAsia="黑体" w:cs="黑体"/>
          <w:b/>
          <w:bCs/>
          <w:strike w:val="0"/>
          <w:dstrike w:val="0"/>
          <w:color w:val="auto"/>
          <w:sz w:val="32"/>
          <w:szCs w:val="32"/>
          <w:lang w:val="en-US" w:eastAsia="zh-CN"/>
        </w:rPr>
        <w:t>目    录</w:t>
      </w:r>
    </w:p>
    <w:p w14:paraId="093FD8B5">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TOC \o "1-3" \h \u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_Toc32581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 评价对象与依据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_Toc32581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F962ACD">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_Toc25371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评价对象和范围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_Toc25371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32B1ACD">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_Toc4634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1.1.1</w:t>
      </w:r>
      <w:r>
        <w:rPr>
          <w:rFonts w:hint="default" w:ascii="Times New Roman" w:hAnsi="Times New Roman" w:eastAsia="宋体" w:cs="Times New Roman"/>
          <w:color w:val="auto"/>
          <w:lang w:val="en-US" w:eastAsia="zh-CN"/>
        </w:rPr>
        <w:t xml:space="preserve"> 评价对象</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_Toc4634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09ACE77">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_Toc25421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1.1.2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_Toc25421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7453DAE">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_Toc19474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kern w:val="2"/>
          <w:szCs w:val="24"/>
          <w:lang w:val="en-US" w:eastAsia="zh-CN" w:bidi="ar-SA"/>
        </w:rPr>
        <w:t>1.2 评价依据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_Toc19474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A0432AD">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_Toc22490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1.2.1 法律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_Toc22490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99F3A17">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_Toc4263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1.2.2 行政法规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_Toc4263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E836E8B">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_Toc1663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1.2.3 部门规章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_Toc1663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8610076">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_Toc26152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1.2.4 地方性法规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_Toc26152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ADF704E">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_Toc24012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1.2.5 地方政府规章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_Toc24012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E00CCA6">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_Toc25719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1.2.6 规范性文件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_Toc25719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FE3724B">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_Toc13154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kern w:val="2"/>
          <w:szCs w:val="24"/>
          <w:lang w:val="en-US" w:eastAsia="zh-CN" w:bidi="ar-SA"/>
        </w:rPr>
        <w:t>1.2.7 标准、规范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_Toc13154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164C9B6">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_Toc23248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 xml:space="preserve">2.8 </w:t>
      </w:r>
      <w:r>
        <w:rPr>
          <w:rFonts w:hint="default" w:ascii="Times New Roman" w:hAnsi="Times New Roman" w:eastAsia="宋体" w:cs="Times New Roman"/>
          <w:color w:val="auto"/>
        </w:rPr>
        <w:t>建设项目技术资料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_Toc23248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3DFA0A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_Toc12579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lang w:val="en-US" w:eastAsia="zh-CN"/>
        </w:rPr>
        <w:t>9</w:t>
      </w:r>
      <w:r>
        <w:rPr>
          <w:rFonts w:hint="default" w:ascii="Times New Roman" w:hAnsi="Times New Roman" w:eastAsia="宋体" w:cs="Times New Roman"/>
          <w:color w:val="auto"/>
        </w:rPr>
        <w:t xml:space="preserve"> 建设项目合法证明文件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_Toc12579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09B10F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_Toc27840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1.2.</w:t>
      </w:r>
      <w:r>
        <w:rPr>
          <w:rFonts w:hint="default" w:ascii="Times New Roman" w:hAnsi="Times New Roman" w:eastAsia="宋体" w:cs="Times New Roman"/>
          <w:color w:val="auto"/>
          <w:lang w:val="en-US" w:eastAsia="zh-CN"/>
        </w:rPr>
        <w:t xml:space="preserve">10 </w:t>
      </w:r>
      <w:r>
        <w:rPr>
          <w:rFonts w:hint="default" w:ascii="Times New Roman" w:hAnsi="Times New Roman" w:eastAsia="宋体" w:cs="Times New Roman"/>
          <w:color w:val="auto"/>
        </w:rPr>
        <w:t>其他评价依据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_Toc27840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74D7A1E">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_Toc20700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 建设项目概述</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_Toc20700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ABAF76D">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_Toc10147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 建设单位概况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_Toc10147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85CEEFF">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_Toc554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2.1.1 企业简介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1F33FDA">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_Toc23921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2.1.2 历史沿革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_Toc23921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B2D9062">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_Toc13489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2.1.3 建设项目背景</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_Toc13489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9D6F8E1">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_Toc13991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2.1.4 立项情况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_Toc13991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77C570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_Toc4313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2.1.5 地理位置及交通</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_Toc4313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3D91853">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_Toc15478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2.1.6 周边情况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_Toc15478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361246C">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_Toc15281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2.2 自然环境概况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_Toc15281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17D01FF">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_Toc26042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 建设项目地质概况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_Toc26042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496D346">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_Toc9894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2.3.1 区域地质条件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_Toc9894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F55CBF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_Toc17464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2.3.2 矿区水文地质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_Toc17464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13AAA75">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_Toc12847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2.3.3 矿区工程地质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_Toc12847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4794B05">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_Toc7476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2.3.4 矿区环境地质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_Toc7476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AC3761D">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_Toc25245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 《可研报告》拟定工程建设方案概况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_Toc25245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D2C5EC4">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_Toc20324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 矿山开采现状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_Toc20324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FB14025">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_Toc8372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2.4.2 建设规模及工作制度</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_Toc8372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479557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_Toc14792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2.4.3 总图运输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_Toc14792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5DB0484">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_Toc2995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2.4.4 开采范围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_Toc2995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7D2B23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_Toc12782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2.4.5 开拓运输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_Toc12782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5E60891">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_Toc20725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2.4.6 采矿工艺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_Toc20725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DD22F94">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_Toc19883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2.4.7通风系统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_Toc19883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2081C14">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_Toc23896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2.4.8 矿山供配电设施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_Toc23896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A577AF">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_Toc9045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2.4.9 防排水与防灭火系统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_Toc9045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4CB4753">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_Toc7939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2.4.10 废石场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_Toc7939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D7957E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_Toc31992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2.4.11 矿山机修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_Toc31992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A951374">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_Toc587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2.4.12 炸药库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_Toc587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DAEB34E">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_Toc7720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2.4.13 安全避险“六大系统”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_Toc7720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2D8FD86">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_Toc27330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2.4.14 压风及供水系统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_Toc27330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43F44E8">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_Toc31060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2.4.15 主要设备选型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_Toc31060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D8BD240">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_Toc12722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2.4.16 充填系统</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_Toc12722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CA7E537">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_Toc22729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2.4.17 安全出口</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_Toc22729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8C5A7D7">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_Toc15772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2.4.18 安全管理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_Toc15772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B6A60BA">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_Toc24782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2.5 隐蔽致灾因素普查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_Toc24782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ED96356">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_Toc8810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 定性定量评价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_Toc8810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46268CC">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_Toc15217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3.1 评价单元划分及评价方法选择</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_Toc15217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FADDF04">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_Toc30838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 总平面布置单元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_Toc30838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FC78432">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_Toc1032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3.2.1 安全检查表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_Toc1032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843C58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_Toc18588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3.2.2 总平面布置合理性分析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_Toc18588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47C173D">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_Toc30580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3.2.3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_Toc30580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45D6AEB">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_Toc7651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 开拓系统单元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_Toc7651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C73AFDD">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_Toc22428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3.3.1 预先危险性分析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_Toc22428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F174C4A">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_Toc4497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3.3.2 安全检查表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_Toc4497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1482A73">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_Toc9159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3.3.3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_Toc9159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D066CE3">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_Toc3224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 运输系统单元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_Toc3224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0D80AE8">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_Toc5305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3.4.1 预先危险性分析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_Toc5305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95DF1E">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_Toc4551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3.4.2 安全检查表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_Toc4551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BFB9FB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_Toc703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3.4.3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_Toc703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C5E5132">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_Toc15905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 采掘系统单元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_Toc15905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12A91A0">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_Toc19725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3.5.1 预先危险性分析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_Toc19725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EFDDE2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_Toc22852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3.5.2 安全检查表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_Toc22852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BD5C38B">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_Toc21787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3.5.3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_Toc21787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7E27E8B">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_Toc24018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 通风系统单元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_Toc24018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C713E1A">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_Toc30184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3.6.1 预先危险性分析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_Toc30184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62BDA02">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_Toc24133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3.6.2 安全检查表法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_Toc24133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B04608A">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_Toc19455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3.6.3 通风系统能力验算</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_Toc19455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9C7342A">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_Toc11934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3.6.4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_Toc11934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8697210">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_Toc19852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3.7 供配电系统单元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_Toc19852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ABF9830">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_Toc32213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3.7.1 预先危险性分析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_Toc32213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3FEFB8C">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_Toc24944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3.7.2 安全检查表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_Toc24944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AB04E0F">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_Toc17965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3.7.3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_Toc17965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2F2CD92">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_Toc25216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3.8 防排水与防灭火系统单元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_Toc25216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EEE36C1">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_Toc599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3.8.1 防排水单元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BDFD9A0">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_Toc1807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3.8.2 防灭火单元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AF9EBF5">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_Toc17439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3.9 安全避险“六大系统”单元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_Toc17439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49ED918">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_Toc885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3.9.1 安全检查表法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_Toc885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79763C9">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_Toc6478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3.9.2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_Toc6478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27DD22A">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_Toc30180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3.10 安全管理单元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_Toc30180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23AFC5D">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_Toc30898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kern w:val="2"/>
          <w:szCs w:val="24"/>
          <w:lang w:val="en-US" w:eastAsia="zh-CN" w:bidi="ar-SA"/>
        </w:rPr>
        <w:t>3.10.1 安全检查表法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_Toc30898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843BF57">
      <w:pPr>
        <w:pStyle w:val="9"/>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_Toc3527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3.10.2 评价小结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_Toc3527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548F4D9">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kern w:val="2"/>
          <w:szCs w:val="24"/>
          <w:lang w:val="en-US" w:eastAsia="zh-CN" w:bidi="ar-SA"/>
        </w:rPr>
        <w:t>3.11 重大危险源辨识单元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8B2188B">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_Toc13123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kern w:val="2"/>
          <w:szCs w:val="24"/>
          <w:lang w:val="en-US" w:eastAsia="zh-CN" w:bidi="ar-SA"/>
        </w:rPr>
        <w:t>3.12 重大事故隐患判定</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_Toc13123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3B85A11">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_Toc22583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 安全对策措施及建议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_Toc22583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01662A9">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_Toc22417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4.1 总平面布置单元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_Toc22417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D034B2D">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_Toc23636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4.2 开拓单元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_Toc23636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05ECE4F">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_Toc7492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4.3 运输单元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_Toc7492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A3D2628">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_Toc9656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4.4 采掘单元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_Toc9656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2AF10FD">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_Toc16323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4.5 通风单元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_Toc16323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C680584">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_Toc22498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4.6 供配电设施单元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_Toc22498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E7D5437">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_Toc7028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4.7 防排水与防灭火单元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_Toc7028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4C50956">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_Toc12509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4.8 安全避险“六大系统”单元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_Toc12509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92AE1CB">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_Toc1140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4.9 安全管理单元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CABECAF">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_Toc29098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 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_Toc29098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FFACB4F">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_Toc18378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5.1 项目中的主要危险有害因素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_Toc18378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99C3E92">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_Toc11024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5.2 应重视的安全对策措施建议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_Toc11024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C706892">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_Toc21369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5.3 危险有害因素可控程度</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_Toc21369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8C7862C">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_Toc6655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5.4 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_Toc6655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5E191FB">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_Toc9181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5.6 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_Toc9181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5AD798">
      <w:pPr>
        <w:pStyle w:val="14"/>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_Toc22496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6. 附件、附图</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_Toc22496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069F6D5">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_Toc18742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6.1 附件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_Toc18742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88132AA">
      <w:pPr>
        <w:pStyle w:val="15"/>
        <w:keepNext w:val="0"/>
        <w:keepLines w:val="0"/>
        <w:pageBreakBefore w:val="0"/>
        <w:widowControl w:val="0"/>
        <w:tabs>
          <w:tab w:val="right" w:leader="dot" w:pos="9072"/>
        </w:tabs>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_Toc1669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6.2 附图</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_Toc1669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1215844">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fldChar w:fldCharType="end"/>
      </w:r>
    </w:p>
    <w:p w14:paraId="3AC4DDAD">
      <w:pPr>
        <w:keepNext w:val="0"/>
        <w:keepLines w:val="0"/>
        <w:pageBreakBefore w:val="0"/>
        <w:kinsoku/>
        <w:wordWrap/>
        <w:overflowPunct/>
        <w:topLinePunct w:val="0"/>
        <w:autoSpaceDE/>
        <w:autoSpaceDN/>
        <w:bidi w:val="0"/>
        <w:adjustRightInd/>
        <w:snapToGrid/>
        <w:spacing w:line="300" w:lineRule="auto"/>
        <w:textAlignment w:val="auto"/>
        <w:rPr>
          <w:rFonts w:hint="eastAsia"/>
          <w:color w:val="auto"/>
        </w:rPr>
        <w:sectPr>
          <w:headerReference r:id="rId5" w:type="default"/>
          <w:footerReference r:id="rId6" w:type="default"/>
          <w:pgSz w:w="11906" w:h="16839"/>
          <w:pgMar w:top="1417" w:right="1417" w:bottom="1417" w:left="1417" w:header="850" w:footer="992" w:gutter="0"/>
          <w:pgNumType w:fmt="upperRoman" w:start="1"/>
          <w:cols w:space="425" w:num="1"/>
          <w:rtlGutter w:val="0"/>
          <w:docGrid w:linePitch="312" w:charSpace="0"/>
        </w:sectPr>
      </w:pPr>
      <w:r>
        <w:rPr>
          <w:rFonts w:hint="eastAsia"/>
          <w:color w:val="auto"/>
        </w:rPr>
        <w:br w:type="page"/>
      </w:r>
    </w:p>
    <w:p w14:paraId="4BF3EE7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pPr>
      <w:r>
        <w:rPr>
          <w:rFonts w:hint="eastAsia" w:ascii="宋体" w:hAnsi="宋体"/>
          <w:b/>
          <w:bCs/>
          <w:color w:val="auto"/>
          <w:sz w:val="32"/>
          <w:szCs w:val="32"/>
          <w:lang w:eastAsia="zh-CN"/>
        </w:rPr>
        <w:t>江西朝盛矿业有限公司</w:t>
      </w:r>
    </w:p>
    <w:p w14:paraId="51C9538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pPr>
      <w:r>
        <w:rPr>
          <w:rFonts w:hint="eastAsia" w:ascii="宋体" w:hAnsi="宋体"/>
          <w:b/>
          <w:bCs/>
          <w:color w:val="auto"/>
          <w:sz w:val="32"/>
          <w:szCs w:val="32"/>
          <w:lang w:eastAsia="zh-CN"/>
        </w:rPr>
        <w:t>宁都硫铁矿地下开采改建工程</w:t>
      </w:r>
    </w:p>
    <w:p w14:paraId="3D869C9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rPr>
      </w:pPr>
      <w:r>
        <w:rPr>
          <w:rFonts w:ascii="宋体" w:hAnsi="宋体"/>
          <w:b/>
          <w:bCs/>
          <w:color w:val="auto"/>
          <w:sz w:val="32"/>
          <w:szCs w:val="32"/>
        </w:rPr>
        <w:t>安全</w:t>
      </w:r>
      <w:r>
        <w:rPr>
          <w:rFonts w:hint="eastAsia" w:ascii="宋体" w:hAnsi="宋体"/>
          <w:b/>
          <w:bCs/>
          <w:color w:val="auto"/>
          <w:sz w:val="32"/>
          <w:szCs w:val="32"/>
          <w:lang w:val="en-US" w:eastAsia="zh-CN"/>
        </w:rPr>
        <w:t>预</w:t>
      </w:r>
      <w:r>
        <w:rPr>
          <w:rFonts w:ascii="宋体" w:hAnsi="宋体"/>
          <w:b/>
          <w:bCs/>
          <w:color w:val="auto"/>
          <w:sz w:val="32"/>
          <w:szCs w:val="32"/>
        </w:rPr>
        <w:t>评价报告</w:t>
      </w:r>
    </w:p>
    <w:p w14:paraId="125665BC">
      <w:pPr>
        <w:pStyle w:val="2"/>
        <w:bidi w:val="0"/>
        <w:rPr>
          <w:rFonts w:hint="eastAsia"/>
          <w:color w:val="auto"/>
          <w:lang w:val="en-US" w:eastAsia="zh-CN"/>
        </w:rPr>
      </w:pPr>
      <w:bookmarkStart w:id="0" w:name="_Toc31504"/>
      <w:bookmarkStart w:id="1" w:name="_Toc7624"/>
      <w:bookmarkStart w:id="2" w:name="_Toc32581"/>
      <w:bookmarkStart w:id="3" w:name="_Toc6767"/>
      <w:r>
        <w:rPr>
          <w:rFonts w:hint="eastAsia"/>
          <w:color w:val="auto"/>
          <w:lang w:val="en-US" w:eastAsia="zh-CN"/>
        </w:rPr>
        <w:t>评价对象与依据</w:t>
      </w:r>
      <w:bookmarkEnd w:id="0"/>
      <w:bookmarkEnd w:id="1"/>
      <w:bookmarkEnd w:id="2"/>
      <w:bookmarkEnd w:id="3"/>
    </w:p>
    <w:p w14:paraId="31C016DB">
      <w:pPr>
        <w:pStyle w:val="3"/>
        <w:bidi w:val="0"/>
        <w:rPr>
          <w:rFonts w:hint="eastAsia"/>
          <w:color w:val="auto"/>
        </w:rPr>
      </w:pPr>
      <w:bookmarkStart w:id="4" w:name="_Toc27023"/>
      <w:bookmarkStart w:id="5" w:name="_Toc244"/>
      <w:bookmarkStart w:id="6" w:name="_Toc10739"/>
      <w:bookmarkStart w:id="7" w:name="_Toc3303"/>
      <w:bookmarkStart w:id="8" w:name="_Toc21858"/>
      <w:bookmarkStart w:id="9" w:name="_Toc19628"/>
      <w:bookmarkStart w:id="10" w:name="_Toc6670"/>
      <w:bookmarkStart w:id="11" w:name="_Toc25371"/>
      <w:bookmarkStart w:id="12" w:name="_Toc3339"/>
      <w:r>
        <w:rPr>
          <w:rFonts w:hint="eastAsia"/>
          <w:color w:val="auto"/>
        </w:rPr>
        <w:t>1.1</w:t>
      </w:r>
      <w:r>
        <w:rPr>
          <w:rFonts w:hint="eastAsia"/>
          <w:color w:val="auto"/>
          <w:lang w:val="en-US" w:eastAsia="zh-CN"/>
        </w:rPr>
        <w:t xml:space="preserve"> </w:t>
      </w:r>
      <w:bookmarkEnd w:id="4"/>
      <w:bookmarkEnd w:id="5"/>
      <w:bookmarkEnd w:id="6"/>
      <w:bookmarkEnd w:id="7"/>
      <w:bookmarkEnd w:id="8"/>
      <w:r>
        <w:rPr>
          <w:rFonts w:hint="eastAsia"/>
          <w:color w:val="auto"/>
        </w:rPr>
        <w:t>评价对象和范围</w:t>
      </w:r>
      <w:bookmarkEnd w:id="9"/>
      <w:bookmarkEnd w:id="10"/>
      <w:bookmarkEnd w:id="11"/>
      <w:bookmarkEnd w:id="12"/>
    </w:p>
    <w:p w14:paraId="195D0B08">
      <w:pPr>
        <w:pStyle w:val="4"/>
        <w:bidi w:val="0"/>
        <w:rPr>
          <w:rFonts w:hint="default" w:eastAsia="黑体"/>
          <w:color w:val="auto"/>
          <w:lang w:val="en-US" w:eastAsia="zh-CN"/>
        </w:rPr>
      </w:pPr>
      <w:bookmarkStart w:id="13" w:name="_Toc25328"/>
      <w:bookmarkStart w:id="14" w:name="_Toc22388"/>
      <w:bookmarkStart w:id="15" w:name="_Toc6179"/>
      <w:bookmarkStart w:id="16" w:name="_Toc22259"/>
      <w:bookmarkStart w:id="17" w:name="_Toc9539"/>
      <w:bookmarkStart w:id="18" w:name="_Toc13793"/>
      <w:bookmarkStart w:id="19" w:name="_Toc21131"/>
      <w:bookmarkStart w:id="20" w:name="_Toc23482"/>
      <w:bookmarkStart w:id="21" w:name="_Toc4634"/>
      <w:r>
        <w:rPr>
          <w:rFonts w:hint="eastAsia"/>
          <w:color w:val="auto"/>
        </w:rPr>
        <w:t>1.1.1</w:t>
      </w:r>
      <w:r>
        <w:rPr>
          <w:rFonts w:hint="eastAsia"/>
          <w:color w:val="auto"/>
          <w:lang w:val="en-US" w:eastAsia="zh-CN"/>
        </w:rPr>
        <w:t xml:space="preserve"> </w:t>
      </w:r>
      <w:bookmarkEnd w:id="13"/>
      <w:bookmarkEnd w:id="14"/>
      <w:bookmarkEnd w:id="15"/>
      <w:bookmarkEnd w:id="16"/>
      <w:bookmarkEnd w:id="17"/>
      <w:r>
        <w:rPr>
          <w:rFonts w:hint="eastAsia"/>
          <w:color w:val="auto"/>
          <w:lang w:val="en-US" w:eastAsia="zh-CN"/>
        </w:rPr>
        <w:t>评价对象</w:t>
      </w:r>
      <w:bookmarkEnd w:id="18"/>
      <w:bookmarkEnd w:id="19"/>
      <w:bookmarkEnd w:id="20"/>
      <w:bookmarkEnd w:id="21"/>
    </w:p>
    <w:p w14:paraId="5B9ECFA0">
      <w:pPr>
        <w:rPr>
          <w:rFonts w:hint="eastAsia" w:eastAsia="宋体"/>
          <w:color w:val="auto"/>
          <w:lang w:eastAsia="zh-CN"/>
        </w:rPr>
      </w:pPr>
      <w:r>
        <w:rPr>
          <w:rFonts w:hint="eastAsia"/>
          <w:color w:val="auto"/>
        </w:rPr>
        <w:t>江西朝盛矿业有限公司宁都硫铁矿地下开采改建工程</w:t>
      </w:r>
      <w:r>
        <w:rPr>
          <w:rFonts w:hint="eastAsia"/>
          <w:color w:val="auto"/>
          <w:lang w:eastAsia="zh-CN"/>
        </w:rPr>
        <w:t>。</w:t>
      </w:r>
    </w:p>
    <w:p w14:paraId="0393846F">
      <w:pPr>
        <w:pStyle w:val="4"/>
        <w:bidi w:val="0"/>
        <w:rPr>
          <w:rFonts w:hint="eastAsia"/>
          <w:color w:val="auto"/>
        </w:rPr>
      </w:pPr>
      <w:bookmarkStart w:id="22" w:name="_Toc21952"/>
      <w:bookmarkStart w:id="23" w:name="_Toc165"/>
      <w:bookmarkStart w:id="24" w:name="_Toc5465"/>
      <w:bookmarkStart w:id="25" w:name="_Toc23188"/>
      <w:bookmarkStart w:id="26" w:name="_Toc21377"/>
      <w:bookmarkStart w:id="27" w:name="_Toc29325"/>
      <w:bookmarkStart w:id="28" w:name="_Toc14405"/>
      <w:bookmarkStart w:id="29" w:name="_Toc25769"/>
      <w:bookmarkStart w:id="30" w:name="_Toc25421"/>
      <w:r>
        <w:rPr>
          <w:rFonts w:hint="eastAsia"/>
          <w:color w:val="auto"/>
        </w:rPr>
        <w:t>1.1.2</w:t>
      </w:r>
      <w:r>
        <w:rPr>
          <w:rFonts w:hint="eastAsia"/>
          <w:color w:val="auto"/>
          <w:lang w:val="en-US" w:eastAsia="zh-CN"/>
        </w:rPr>
        <w:t xml:space="preserve"> </w:t>
      </w:r>
      <w:bookmarkEnd w:id="22"/>
      <w:bookmarkEnd w:id="23"/>
      <w:bookmarkEnd w:id="24"/>
      <w:bookmarkEnd w:id="25"/>
      <w:bookmarkEnd w:id="26"/>
      <w:r>
        <w:rPr>
          <w:rFonts w:hint="eastAsia"/>
          <w:color w:val="auto"/>
        </w:rPr>
        <w:t>评价范围</w:t>
      </w:r>
      <w:bookmarkEnd w:id="27"/>
      <w:bookmarkEnd w:id="28"/>
      <w:bookmarkEnd w:id="29"/>
      <w:bookmarkEnd w:id="30"/>
    </w:p>
    <w:p w14:paraId="0E330542">
      <w:pPr>
        <w:rPr>
          <w:rFonts w:hint="eastAsia"/>
          <w:color w:val="auto"/>
          <w:lang w:eastAsia="zh-CN"/>
        </w:rPr>
      </w:pPr>
      <w:r>
        <w:rPr>
          <w:rFonts w:hint="eastAsia"/>
          <w:color w:val="auto"/>
          <w:lang w:eastAsia="zh-CN"/>
        </w:rPr>
        <w:t>《江西朝盛矿业有限公司宁都硫铁矿地下开采改建工程可行性研究报告》（</w:t>
      </w:r>
      <w:r>
        <w:rPr>
          <w:rFonts w:hint="eastAsia"/>
          <w:color w:val="auto"/>
          <w:lang w:val="en-US" w:eastAsia="zh-CN"/>
        </w:rPr>
        <w:t>以下简称《可研报告》</w:t>
      </w:r>
      <w:r>
        <w:rPr>
          <w:rFonts w:hint="eastAsia"/>
          <w:color w:val="auto"/>
          <w:lang w:eastAsia="zh-CN"/>
        </w:rPr>
        <w:t>）拟定的开拓方式、开采工艺等生产、辅助系统的安全设备设施以及矿山安全管理。</w:t>
      </w:r>
    </w:p>
    <w:p w14:paraId="679A907F">
      <w:pPr>
        <w:bidi w:val="0"/>
        <w:rPr>
          <w:rFonts w:hint="eastAsia"/>
          <w:color w:val="auto"/>
        </w:rPr>
      </w:pPr>
      <w:r>
        <w:rPr>
          <w:rFonts w:hint="eastAsia"/>
          <w:color w:val="auto"/>
        </w:rPr>
        <w:t>平面范围：采矿许可证拐点坐标圈定的平面范围，3-18号勘探线和11-7号勘探线之间</w:t>
      </w:r>
      <w:r>
        <w:rPr>
          <w:rFonts w:hint="eastAsia"/>
          <w:color w:val="auto"/>
          <w:lang w:eastAsia="zh-CN"/>
        </w:rPr>
        <w:t>，</w:t>
      </w:r>
      <w:r>
        <w:rPr>
          <w:rFonts w:hint="eastAsia"/>
          <w:color w:val="auto"/>
        </w:rPr>
        <w:t>采矿许可证拐点坐标见表</w:t>
      </w:r>
      <w:r>
        <w:rPr>
          <w:rFonts w:hint="eastAsia"/>
          <w:color w:val="auto"/>
          <w:lang w:val="en-US" w:eastAsia="zh-CN"/>
        </w:rPr>
        <w:t>1-1</w:t>
      </w:r>
      <w:r>
        <w:rPr>
          <w:rFonts w:hint="eastAsia"/>
          <w:color w:val="auto"/>
        </w:rPr>
        <w:t>。</w:t>
      </w:r>
    </w:p>
    <w:p w14:paraId="37CBBDB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eastAsia="zh-CN"/>
        </w:rPr>
      </w:pPr>
      <w:r>
        <w:rPr>
          <w:rFonts w:hint="eastAsia"/>
          <w:color w:val="auto"/>
          <w:lang w:eastAsia="zh-CN"/>
        </w:rPr>
        <w:t>表</w:t>
      </w:r>
      <w:r>
        <w:rPr>
          <w:rFonts w:hint="eastAsia"/>
          <w:color w:val="auto"/>
          <w:lang w:val="en-US" w:eastAsia="zh-CN"/>
        </w:rPr>
        <w:t xml:space="preserve">1-1 </w:t>
      </w:r>
      <w:r>
        <w:rPr>
          <w:rFonts w:hint="eastAsia"/>
          <w:color w:val="auto"/>
          <w:lang w:eastAsia="zh-CN"/>
        </w:rPr>
        <w:t>采矿许可证拐点坐标</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8"/>
      </w:tblGrid>
      <w:tr w14:paraId="126C2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43F48D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点号</w:t>
            </w:r>
          </w:p>
        </w:tc>
        <w:tc>
          <w:tcPr>
            <w:tcW w:w="1666" w:type="pct"/>
            <w:vAlign w:val="center"/>
          </w:tcPr>
          <w:p w14:paraId="535D93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X</w:t>
            </w:r>
          </w:p>
        </w:tc>
        <w:tc>
          <w:tcPr>
            <w:tcW w:w="1667" w:type="pct"/>
            <w:vAlign w:val="center"/>
          </w:tcPr>
          <w:p w14:paraId="2C8650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Y</w:t>
            </w:r>
          </w:p>
        </w:tc>
      </w:tr>
      <w:tr w14:paraId="5187D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396ECF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1666" w:type="pct"/>
            <w:vAlign w:val="center"/>
          </w:tcPr>
          <w:p w14:paraId="2D129FF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2925247.05</w:t>
            </w:r>
          </w:p>
        </w:tc>
        <w:tc>
          <w:tcPr>
            <w:tcW w:w="1667" w:type="pct"/>
            <w:vAlign w:val="center"/>
          </w:tcPr>
          <w:p w14:paraId="31845BBD">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39381369.43</w:t>
            </w:r>
          </w:p>
        </w:tc>
      </w:tr>
      <w:tr w14:paraId="02BA8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26C156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666" w:type="pct"/>
            <w:vAlign w:val="center"/>
          </w:tcPr>
          <w:p w14:paraId="429E3159">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2924147.04</w:t>
            </w:r>
          </w:p>
        </w:tc>
        <w:tc>
          <w:tcPr>
            <w:tcW w:w="1667" w:type="pct"/>
            <w:vAlign w:val="center"/>
          </w:tcPr>
          <w:p w14:paraId="20E06451">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39381449.44</w:t>
            </w:r>
          </w:p>
        </w:tc>
      </w:tr>
      <w:tr w14:paraId="3F9FA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1B6548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666" w:type="pct"/>
            <w:vAlign w:val="center"/>
          </w:tcPr>
          <w:p w14:paraId="7068CC9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2923007.03</w:t>
            </w:r>
          </w:p>
        </w:tc>
        <w:tc>
          <w:tcPr>
            <w:tcW w:w="1667" w:type="pct"/>
            <w:vAlign w:val="center"/>
          </w:tcPr>
          <w:p w14:paraId="507281EF">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39381975.45</w:t>
            </w:r>
          </w:p>
        </w:tc>
      </w:tr>
      <w:tr w14:paraId="14CEB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748831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1666" w:type="pct"/>
            <w:vAlign w:val="center"/>
          </w:tcPr>
          <w:p w14:paraId="3F5F0C38">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2923611.04</w:t>
            </w:r>
          </w:p>
        </w:tc>
        <w:tc>
          <w:tcPr>
            <w:tcW w:w="1667" w:type="pct"/>
            <w:vAlign w:val="center"/>
          </w:tcPr>
          <w:p w14:paraId="01C23C4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39383039.46</w:t>
            </w:r>
          </w:p>
        </w:tc>
      </w:tr>
      <w:tr w14:paraId="62CA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40EE11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1666" w:type="pct"/>
            <w:vAlign w:val="center"/>
          </w:tcPr>
          <w:p w14:paraId="5CA47295">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2924707.05</w:t>
            </w:r>
          </w:p>
        </w:tc>
        <w:tc>
          <w:tcPr>
            <w:tcW w:w="1667" w:type="pct"/>
            <w:vAlign w:val="center"/>
          </w:tcPr>
          <w:p w14:paraId="0D2DE38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39382413.45</w:t>
            </w:r>
          </w:p>
        </w:tc>
      </w:tr>
      <w:tr w14:paraId="76612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3EDB0B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1666" w:type="pct"/>
            <w:vAlign w:val="center"/>
          </w:tcPr>
          <w:p w14:paraId="3CE91628">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2925347.06</w:t>
            </w:r>
          </w:p>
        </w:tc>
        <w:tc>
          <w:tcPr>
            <w:tcW w:w="1667" w:type="pct"/>
            <w:vAlign w:val="center"/>
          </w:tcPr>
          <w:p w14:paraId="7793A53A">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color w:val="auto"/>
                <w:sz w:val="21"/>
                <w:szCs w:val="21"/>
                <w:vertAlign w:val="baseline"/>
                <w:lang w:eastAsia="zh-CN"/>
              </w:rPr>
            </w:pPr>
            <w:r>
              <w:rPr>
                <w:rFonts w:hint="eastAsia"/>
                <w:color w:val="auto"/>
                <w:sz w:val="21"/>
                <w:szCs w:val="21"/>
              </w:rPr>
              <w:t>39381549.44</w:t>
            </w:r>
          </w:p>
        </w:tc>
      </w:tr>
      <w:tr w14:paraId="13FF0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6D9816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开采深度</w:t>
            </w:r>
          </w:p>
        </w:tc>
        <w:tc>
          <w:tcPr>
            <w:tcW w:w="3333" w:type="pct"/>
            <w:gridSpan w:val="2"/>
            <w:vAlign w:val="center"/>
          </w:tcPr>
          <w:p w14:paraId="5C9B9E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vertAlign w:val="baseline"/>
                <w:lang w:eastAsia="zh-CN"/>
              </w:rPr>
            </w:pPr>
            <w:r>
              <w:rPr>
                <w:rFonts w:hint="eastAsia"/>
                <w:color w:val="auto"/>
                <w:sz w:val="21"/>
                <w:szCs w:val="21"/>
                <w:vertAlign w:val="baseline"/>
                <w:lang w:eastAsia="zh-CN"/>
              </w:rPr>
              <w:t>从</w:t>
            </w:r>
            <w:r>
              <w:rPr>
                <w:rFonts w:hint="eastAsia"/>
                <w:color w:val="auto"/>
                <w:sz w:val="21"/>
                <w:szCs w:val="21"/>
                <w:vertAlign w:val="baseline"/>
                <w:lang w:val="en-US" w:eastAsia="zh-CN"/>
              </w:rPr>
              <w:t>+</w:t>
            </w:r>
            <w:r>
              <w:rPr>
                <w:rFonts w:hint="eastAsia"/>
                <w:color w:val="auto"/>
                <w:sz w:val="21"/>
                <w:szCs w:val="21"/>
                <w:vertAlign w:val="baseline"/>
                <w:lang w:eastAsia="zh-CN"/>
              </w:rPr>
              <w:t>390m至</w:t>
            </w:r>
            <w:r>
              <w:rPr>
                <w:rFonts w:hint="eastAsia"/>
                <w:color w:val="auto"/>
                <w:sz w:val="21"/>
                <w:szCs w:val="21"/>
                <w:vertAlign w:val="baseline"/>
                <w:lang w:val="en-US" w:eastAsia="zh-CN"/>
              </w:rPr>
              <w:t>+</w:t>
            </w:r>
            <w:r>
              <w:rPr>
                <w:rFonts w:hint="eastAsia"/>
                <w:color w:val="auto"/>
                <w:sz w:val="21"/>
                <w:szCs w:val="21"/>
                <w:vertAlign w:val="baseline"/>
                <w:lang w:eastAsia="zh-CN"/>
              </w:rPr>
              <w:t>100m</w:t>
            </w:r>
          </w:p>
        </w:tc>
      </w:tr>
      <w:tr w14:paraId="5B6AD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14:paraId="5657FA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矿区面积</w:t>
            </w:r>
          </w:p>
        </w:tc>
        <w:tc>
          <w:tcPr>
            <w:tcW w:w="3333" w:type="pct"/>
            <w:gridSpan w:val="2"/>
            <w:vAlign w:val="center"/>
          </w:tcPr>
          <w:p w14:paraId="640401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vertAlign w:val="baseline"/>
                <w:lang w:eastAsia="zh-CN"/>
              </w:rPr>
            </w:pPr>
            <w:r>
              <w:rPr>
                <w:rFonts w:hint="eastAsia"/>
                <w:color w:val="auto"/>
                <w:sz w:val="21"/>
                <w:szCs w:val="21"/>
                <w:vertAlign w:val="baseline"/>
                <w:lang w:eastAsia="zh-CN"/>
              </w:rPr>
              <w:t>2.1224km</w:t>
            </w:r>
            <w:r>
              <w:rPr>
                <w:rFonts w:hint="eastAsia"/>
                <w:color w:val="auto"/>
                <w:sz w:val="21"/>
                <w:szCs w:val="21"/>
                <w:vertAlign w:val="superscript"/>
                <w:lang w:val="en-US" w:eastAsia="zh-CN"/>
              </w:rPr>
              <w:t>2</w:t>
            </w:r>
          </w:p>
        </w:tc>
      </w:tr>
    </w:tbl>
    <w:p w14:paraId="1C57454D">
      <w:pPr>
        <w:bidi w:val="0"/>
        <w:rPr>
          <w:rFonts w:hint="eastAsia"/>
          <w:color w:val="auto"/>
          <w:lang w:val="en-US" w:eastAsia="zh-CN"/>
        </w:rPr>
      </w:pPr>
      <w:bookmarkStart w:id="31" w:name="_Toc6781"/>
      <w:bookmarkStart w:id="32" w:name="_Toc2653"/>
      <w:bookmarkStart w:id="33" w:name="_Toc11672"/>
      <w:bookmarkStart w:id="34" w:name="_Toc17027"/>
      <w:bookmarkStart w:id="35" w:name="_Toc1318"/>
      <w:bookmarkStart w:id="36" w:name="_Toc20816"/>
      <w:bookmarkStart w:id="37" w:name="_Toc25987"/>
      <w:r>
        <w:rPr>
          <w:rFonts w:hint="eastAsia"/>
          <w:color w:val="auto"/>
          <w:lang w:val="en-US" w:eastAsia="zh-CN"/>
        </w:rPr>
        <w:t>高程范围：+390m～+100m。</w:t>
      </w:r>
    </w:p>
    <w:p w14:paraId="5ED33B09">
      <w:pPr>
        <w:bidi w:val="0"/>
        <w:rPr>
          <w:rFonts w:hint="eastAsia"/>
          <w:color w:val="auto"/>
          <w:lang w:val="en-US" w:eastAsia="zh-CN"/>
        </w:rPr>
      </w:pPr>
      <w:r>
        <w:rPr>
          <w:rFonts w:hint="eastAsia"/>
          <w:color w:val="auto"/>
          <w:lang w:val="en-US" w:eastAsia="zh-CN"/>
        </w:rPr>
        <w:t>选矿厂、尾矿库、地面爆破材料库及外部运输均不在本次评价范围内。</w:t>
      </w:r>
    </w:p>
    <w:p w14:paraId="3E2C9B01">
      <w:pPr>
        <w:keepNext/>
        <w:keepLines/>
        <w:widowControl w:val="0"/>
        <w:bidi w:val="0"/>
        <w:spacing w:beforeAutospacing="0" w:afterAutospacing="0" w:line="360" w:lineRule="auto"/>
        <w:ind w:left="280" w:leftChars="100" w:firstLine="0" w:firstLineChars="0"/>
        <w:jc w:val="both"/>
        <w:outlineLvl w:val="1"/>
        <w:rPr>
          <w:rFonts w:hint="eastAsia" w:ascii="Times New Roman" w:hAnsi="Times New Roman" w:eastAsia="黑体" w:cs="Times New Roman"/>
          <w:b/>
          <w:color w:val="auto"/>
          <w:kern w:val="2"/>
          <w:sz w:val="30"/>
          <w:szCs w:val="24"/>
          <w:lang w:val="en-US" w:eastAsia="zh-CN" w:bidi="ar-SA"/>
        </w:rPr>
      </w:pPr>
      <w:bookmarkStart w:id="38" w:name="_Toc32177"/>
      <w:bookmarkStart w:id="39" w:name="_Toc18339"/>
      <w:bookmarkStart w:id="40" w:name="_Toc23697"/>
      <w:bookmarkStart w:id="41" w:name="_Toc19474"/>
      <w:r>
        <w:rPr>
          <w:rFonts w:hint="eastAsia" w:ascii="Times New Roman" w:hAnsi="Times New Roman" w:eastAsia="黑体" w:cs="Times New Roman"/>
          <w:b/>
          <w:color w:val="auto"/>
          <w:kern w:val="2"/>
          <w:sz w:val="30"/>
          <w:szCs w:val="24"/>
          <w:lang w:val="en-US" w:eastAsia="zh-CN" w:bidi="ar-SA"/>
        </w:rPr>
        <w:t>1.2 评价依据</w:t>
      </w:r>
      <w:bookmarkEnd w:id="31"/>
      <w:bookmarkEnd w:id="32"/>
      <w:bookmarkEnd w:id="33"/>
      <w:bookmarkEnd w:id="34"/>
      <w:bookmarkEnd w:id="35"/>
      <w:bookmarkEnd w:id="36"/>
      <w:bookmarkEnd w:id="37"/>
      <w:bookmarkEnd w:id="38"/>
      <w:bookmarkEnd w:id="39"/>
      <w:bookmarkEnd w:id="40"/>
      <w:bookmarkEnd w:id="41"/>
    </w:p>
    <w:p w14:paraId="478916C1">
      <w:pPr>
        <w:pStyle w:val="4"/>
        <w:bidi w:val="0"/>
        <w:rPr>
          <w:rFonts w:hint="eastAsia"/>
          <w:color w:val="auto"/>
          <w:lang w:val="en-US" w:eastAsia="zh-CN"/>
        </w:rPr>
      </w:pPr>
      <w:bookmarkStart w:id="42" w:name="_Toc22490"/>
      <w:bookmarkStart w:id="43" w:name="_Toc25535"/>
      <w:bookmarkStart w:id="44" w:name="_Toc20264"/>
      <w:bookmarkStart w:id="45" w:name="_Toc21027"/>
      <w:bookmarkStart w:id="46" w:name="_Toc7449"/>
      <w:r>
        <w:rPr>
          <w:rFonts w:hint="eastAsia"/>
          <w:color w:val="auto"/>
          <w:lang w:val="en-US" w:eastAsia="zh-CN"/>
        </w:rPr>
        <w:t>1.2.1 法律</w:t>
      </w:r>
      <w:bookmarkEnd w:id="42"/>
      <w:bookmarkEnd w:id="43"/>
      <w:bookmarkEnd w:id="44"/>
      <w:bookmarkEnd w:id="45"/>
      <w:bookmarkEnd w:id="46"/>
    </w:p>
    <w:p w14:paraId="4C38E843">
      <w:pPr>
        <w:ind w:firstLine="200"/>
        <w:rPr>
          <w:rFonts w:hint="eastAsia" w:eastAsia="宋体"/>
          <w:color w:val="auto"/>
          <w:lang w:eastAsia="zh-CN"/>
        </w:rPr>
      </w:pPr>
      <w:r>
        <w:rPr>
          <w:rFonts w:hint="eastAsia" w:eastAsia="宋体"/>
          <w:color w:val="auto"/>
          <w:lang w:eastAsia="zh-CN"/>
        </w:rPr>
        <w:t>《中华人民共和国矿产资源法》（主席令（1986）第36号，自1986年10月1日起施行，1996年8月29日、2009年8月27日修正</w:t>
      </w:r>
      <w:r>
        <w:rPr>
          <w:rFonts w:hint="eastAsia"/>
          <w:color w:val="auto"/>
          <w:lang w:eastAsia="zh-CN"/>
        </w:rPr>
        <w:t>、</w:t>
      </w:r>
      <w:r>
        <w:rPr>
          <w:rFonts w:hint="default" w:ascii="Times New Roman" w:hAnsi="Times New Roman" w:eastAsia="宋体" w:cs="Times New Roman"/>
          <w:color w:val="auto"/>
          <w:kern w:val="2"/>
          <w:sz w:val="28"/>
          <w:szCs w:val="24"/>
          <w:lang w:val="en-US" w:eastAsia="zh-CN" w:bidi="ar-SA"/>
        </w:rPr>
        <w:t>2024年11月8日修订</w:t>
      </w:r>
      <w:r>
        <w:rPr>
          <w:rFonts w:hint="eastAsia" w:eastAsia="宋体"/>
          <w:color w:val="auto"/>
          <w:lang w:eastAsia="zh-CN"/>
        </w:rPr>
        <w:t>）</w:t>
      </w:r>
    </w:p>
    <w:p w14:paraId="4D4B7AF9">
      <w:pPr>
        <w:ind w:firstLine="200"/>
        <w:rPr>
          <w:rFonts w:hint="eastAsia" w:eastAsia="宋体"/>
          <w:color w:val="auto"/>
          <w:lang w:eastAsia="zh-CN"/>
        </w:rPr>
      </w:pPr>
      <w:r>
        <w:rPr>
          <w:rFonts w:hint="eastAsia" w:eastAsia="宋体"/>
          <w:color w:val="auto"/>
          <w:lang w:eastAsia="zh-CN"/>
        </w:rPr>
        <w:t>《中华人民共和国环境保护法》（主席令（1989）第22号，自1989年12月26日起施行，2014年4月24日修订）</w:t>
      </w:r>
    </w:p>
    <w:p w14:paraId="565462E4">
      <w:pPr>
        <w:ind w:firstLine="200"/>
        <w:rPr>
          <w:rFonts w:hint="eastAsia" w:eastAsia="宋体"/>
          <w:color w:val="auto"/>
          <w:lang w:eastAsia="zh-CN"/>
        </w:rPr>
      </w:pPr>
      <w:r>
        <w:rPr>
          <w:rFonts w:hint="eastAsia" w:eastAsia="宋体"/>
          <w:color w:val="auto"/>
          <w:lang w:eastAsia="zh-CN"/>
        </w:rPr>
        <w:t>《中华人民共和国水土保持法》（主席令（1991）第49号，自1991年6月29日起施行，2010年12月25日修订）</w:t>
      </w:r>
    </w:p>
    <w:p w14:paraId="09934CB5">
      <w:pPr>
        <w:ind w:firstLine="200"/>
        <w:rPr>
          <w:rFonts w:hint="eastAsia" w:eastAsia="宋体"/>
          <w:color w:val="auto"/>
          <w:lang w:eastAsia="zh-CN"/>
        </w:rPr>
      </w:pPr>
      <w:r>
        <w:rPr>
          <w:rFonts w:hint="eastAsia" w:eastAsia="宋体"/>
          <w:color w:val="auto"/>
          <w:lang w:eastAsia="zh-CN"/>
        </w:rPr>
        <w:t>《中华人民共和国矿山安全法》（主席令（1992）第65号，自1993年5月1日起施行，2009年8月27日修正）</w:t>
      </w:r>
    </w:p>
    <w:p w14:paraId="64B72372">
      <w:pPr>
        <w:ind w:firstLine="200"/>
        <w:rPr>
          <w:rFonts w:hint="eastAsia" w:eastAsia="宋体"/>
          <w:color w:val="auto"/>
          <w:lang w:eastAsia="zh-CN"/>
        </w:rPr>
      </w:pPr>
      <w:r>
        <w:rPr>
          <w:rFonts w:hint="eastAsia" w:eastAsia="宋体"/>
          <w:color w:val="auto"/>
          <w:lang w:eastAsia="zh-CN"/>
        </w:rPr>
        <w:t>《中华人民共和国劳动法》（主席令（1994）第28号，自1995年1月1日起施行，2009年8月27日、2018年12月29日修正）</w:t>
      </w:r>
    </w:p>
    <w:p w14:paraId="458B7E7D">
      <w:pPr>
        <w:ind w:firstLine="200"/>
        <w:rPr>
          <w:rFonts w:hint="eastAsia" w:eastAsia="宋体"/>
          <w:color w:val="auto"/>
          <w:lang w:eastAsia="zh-CN"/>
        </w:rPr>
      </w:pPr>
      <w:r>
        <w:rPr>
          <w:rFonts w:hint="eastAsia" w:eastAsia="宋体"/>
          <w:color w:val="auto"/>
          <w:lang w:eastAsia="zh-CN"/>
        </w:rPr>
        <w:t>《中华人民共和国固体废物污染环境防治法》（主席令（1995）第58号，自1996年4月1日起施行，2004年12月29日修订</w:t>
      </w:r>
      <w:r>
        <w:rPr>
          <w:rFonts w:hint="eastAsia"/>
          <w:color w:val="auto"/>
          <w:lang w:eastAsia="zh-CN"/>
        </w:rPr>
        <w:t>；</w:t>
      </w:r>
      <w:r>
        <w:rPr>
          <w:rFonts w:hint="eastAsia" w:eastAsia="宋体"/>
          <w:color w:val="auto"/>
          <w:lang w:eastAsia="zh-CN"/>
        </w:rPr>
        <w:t>2013年6月29日、2015年4月24日、2016年11月7日修正</w:t>
      </w:r>
      <w:r>
        <w:rPr>
          <w:rFonts w:hint="eastAsia"/>
          <w:color w:val="auto"/>
          <w:lang w:eastAsia="zh-CN"/>
        </w:rPr>
        <w:t>；</w:t>
      </w:r>
      <w:r>
        <w:rPr>
          <w:rFonts w:hint="eastAsia" w:eastAsia="宋体"/>
          <w:color w:val="auto"/>
          <w:lang w:eastAsia="zh-CN"/>
        </w:rPr>
        <w:t>2020年4月29日修订）</w:t>
      </w:r>
    </w:p>
    <w:p w14:paraId="373C1E8C">
      <w:pPr>
        <w:ind w:firstLine="200"/>
        <w:rPr>
          <w:rFonts w:hint="eastAsia" w:eastAsia="宋体"/>
          <w:color w:val="auto"/>
          <w:lang w:eastAsia="zh-CN"/>
        </w:rPr>
      </w:pPr>
      <w:r>
        <w:rPr>
          <w:rFonts w:hint="eastAsia" w:eastAsia="宋体"/>
          <w:color w:val="auto"/>
          <w:lang w:eastAsia="zh-CN"/>
        </w:rPr>
        <w:t>《中华人民共和国防洪法》（主席令（1997）第88号，自1998年1月1日起施行，2009年8月27日、2015年4月24日、2016年7月2日修正）</w:t>
      </w:r>
    </w:p>
    <w:p w14:paraId="438DF58F">
      <w:pPr>
        <w:ind w:firstLine="200"/>
        <w:rPr>
          <w:rFonts w:hint="eastAsia" w:eastAsia="宋体"/>
          <w:color w:val="auto"/>
          <w:lang w:eastAsia="zh-CN"/>
        </w:rPr>
      </w:pPr>
      <w:r>
        <w:rPr>
          <w:rFonts w:hint="eastAsia" w:eastAsia="宋体"/>
          <w:color w:val="auto"/>
          <w:lang w:eastAsia="zh-CN"/>
        </w:rPr>
        <w:t>《中华人民共和国防震减灾法》（主席令（1997）第94号，自1998年3月1日起施行，2008年12月27日修订）</w:t>
      </w:r>
    </w:p>
    <w:p w14:paraId="05DEFDB3">
      <w:pPr>
        <w:ind w:firstLine="200"/>
        <w:rPr>
          <w:rFonts w:hint="eastAsia" w:eastAsia="宋体"/>
          <w:color w:val="auto"/>
          <w:lang w:eastAsia="zh-CN"/>
        </w:rPr>
      </w:pPr>
      <w:r>
        <w:rPr>
          <w:rFonts w:hint="eastAsia" w:eastAsia="宋体"/>
          <w:color w:val="auto"/>
          <w:lang w:eastAsia="zh-CN"/>
        </w:rPr>
        <w:t>《中华人民共和国消防法》（主席令（1998）第4号，自1998年9月1日起施行，2008年10月28日修订；2019年4月23日、2021年4月29日修正）</w:t>
      </w:r>
    </w:p>
    <w:p w14:paraId="5082BC97">
      <w:pPr>
        <w:ind w:firstLine="200"/>
        <w:rPr>
          <w:rFonts w:hint="eastAsia" w:eastAsia="宋体"/>
          <w:color w:val="auto"/>
          <w:lang w:eastAsia="zh-CN"/>
        </w:rPr>
      </w:pPr>
      <w:r>
        <w:rPr>
          <w:rFonts w:hint="eastAsia" w:eastAsia="宋体"/>
          <w:color w:val="auto"/>
          <w:lang w:eastAsia="zh-CN"/>
        </w:rPr>
        <w:t>《中华人民共和国气象法》（主席令（1999）第23号，自2000年1月1日起施行，2009年8月27日、2014年8月31日、2016年11月7日修正）</w:t>
      </w:r>
    </w:p>
    <w:p w14:paraId="5595B689">
      <w:pPr>
        <w:ind w:firstLine="200"/>
        <w:rPr>
          <w:rFonts w:hint="eastAsia" w:eastAsia="宋体"/>
          <w:color w:val="auto"/>
          <w:lang w:eastAsia="zh-CN"/>
        </w:rPr>
      </w:pPr>
      <w:r>
        <w:rPr>
          <w:rFonts w:hint="eastAsia" w:eastAsia="宋体"/>
          <w:color w:val="auto"/>
          <w:lang w:eastAsia="zh-CN"/>
        </w:rPr>
        <w:t>《中华人民共和国职业病防治法》（主席令（2001）第60号，自2002年5月1日起施行，2011年12月31日、2016年7月2日、2017年11月4日、2018年12月29日修正）</w:t>
      </w:r>
    </w:p>
    <w:p w14:paraId="0373FA72">
      <w:pPr>
        <w:ind w:firstLine="200"/>
        <w:rPr>
          <w:rFonts w:hint="eastAsia" w:eastAsia="宋体"/>
          <w:color w:val="auto"/>
          <w:lang w:eastAsia="zh-CN"/>
        </w:rPr>
      </w:pPr>
      <w:r>
        <w:rPr>
          <w:rFonts w:hint="eastAsia" w:eastAsia="宋体"/>
          <w:color w:val="auto"/>
          <w:lang w:eastAsia="zh-CN"/>
        </w:rPr>
        <w:t>《中华人民共和国安全生产法》（主席令（2002）第70号，自2002年11月1日起实施，2009年8月27日、2014年8月31日、2021年6月10日修正）</w:t>
      </w:r>
    </w:p>
    <w:p w14:paraId="337C9355">
      <w:pPr>
        <w:ind w:firstLine="200"/>
        <w:rPr>
          <w:rFonts w:hint="eastAsia" w:eastAsia="宋体"/>
          <w:color w:val="auto"/>
          <w:lang w:eastAsia="zh-CN"/>
        </w:rPr>
      </w:pPr>
      <w:r>
        <w:rPr>
          <w:rFonts w:hint="eastAsia" w:eastAsia="宋体"/>
          <w:color w:val="auto"/>
          <w:lang w:eastAsia="zh-CN"/>
        </w:rPr>
        <w:t>《中华人民共和国清洁生产促进法》（主席令（2002）第72号，自2003年1月1日起施行，2012年2月29日修正）</w:t>
      </w:r>
    </w:p>
    <w:p w14:paraId="0ED97727">
      <w:pPr>
        <w:ind w:firstLine="200"/>
        <w:rPr>
          <w:rFonts w:hint="eastAsia" w:eastAsia="宋体"/>
          <w:color w:val="auto"/>
          <w:lang w:eastAsia="zh-CN"/>
        </w:rPr>
      </w:pPr>
      <w:r>
        <w:rPr>
          <w:rFonts w:hint="eastAsia" w:eastAsia="宋体"/>
          <w:color w:val="auto"/>
          <w:lang w:eastAsia="zh-CN"/>
        </w:rPr>
        <w:t>《</w:t>
      </w:r>
      <w:r>
        <w:rPr>
          <w:rFonts w:hint="default" w:ascii="Times New Roman" w:hAnsi="Times New Roman" w:eastAsia="宋体" w:cs="Times New Roman"/>
          <w:color w:val="auto"/>
          <w:lang w:val="en-US" w:eastAsia="zh-CN"/>
        </w:rPr>
        <w:t>中华人民共和国突发</w:t>
      </w:r>
      <w:r>
        <w:rPr>
          <w:rFonts w:hint="eastAsia" w:cs="Times New Roman"/>
          <w:color w:val="auto"/>
          <w:lang w:val="en-US" w:eastAsia="zh-CN"/>
        </w:rPr>
        <w:t>事件</w:t>
      </w:r>
      <w:r>
        <w:rPr>
          <w:rFonts w:hint="default" w:ascii="Times New Roman" w:hAnsi="Times New Roman" w:eastAsia="宋体" w:cs="Times New Roman"/>
          <w:color w:val="auto"/>
          <w:lang w:val="en-US" w:eastAsia="zh-CN"/>
        </w:rPr>
        <w:t>应对法</w:t>
      </w:r>
      <w:r>
        <w:rPr>
          <w:rFonts w:hint="eastAsia" w:eastAsia="宋体"/>
          <w:color w:val="auto"/>
          <w:lang w:eastAsia="zh-CN"/>
        </w:rPr>
        <w:t>》（主席令（2007）第69号，自2007年11月1日起施行</w:t>
      </w:r>
      <w:r>
        <w:rPr>
          <w:rFonts w:hint="eastAsia"/>
          <w:color w:val="auto"/>
          <w:lang w:eastAsia="zh-CN"/>
        </w:rPr>
        <w:t>，</w:t>
      </w:r>
      <w:r>
        <w:rPr>
          <w:rFonts w:hint="eastAsia"/>
          <w:color w:val="auto"/>
          <w:lang w:val="en-US" w:eastAsia="zh-CN"/>
        </w:rPr>
        <w:t>2024年6月28日修订</w:t>
      </w:r>
      <w:r>
        <w:rPr>
          <w:rFonts w:hint="eastAsia" w:eastAsia="宋体"/>
          <w:color w:val="auto"/>
          <w:lang w:eastAsia="zh-CN"/>
        </w:rPr>
        <w:t>）</w:t>
      </w:r>
    </w:p>
    <w:p w14:paraId="4BACB305">
      <w:pPr>
        <w:ind w:firstLine="200"/>
        <w:rPr>
          <w:rFonts w:hint="eastAsia" w:eastAsia="宋体"/>
          <w:color w:val="auto"/>
          <w:lang w:eastAsia="zh-CN"/>
        </w:rPr>
      </w:pPr>
      <w:r>
        <w:rPr>
          <w:rFonts w:hint="eastAsia" w:eastAsia="宋体"/>
          <w:color w:val="auto"/>
          <w:lang w:eastAsia="zh-CN"/>
        </w:rPr>
        <w:t>《中华人民共和国特种设备安全法》（主席令（2014）第4号，自2014年1月1日起施行）</w:t>
      </w:r>
    </w:p>
    <w:p w14:paraId="7B584F2C">
      <w:pPr>
        <w:pStyle w:val="4"/>
        <w:bidi w:val="0"/>
        <w:rPr>
          <w:rFonts w:hint="default"/>
          <w:color w:val="auto"/>
          <w:lang w:val="en-US" w:eastAsia="zh-CN"/>
        </w:rPr>
      </w:pPr>
      <w:bookmarkStart w:id="47" w:name="_Toc8171"/>
      <w:bookmarkStart w:id="48" w:name="_Toc19573"/>
      <w:bookmarkStart w:id="49" w:name="_Toc29167"/>
      <w:bookmarkStart w:id="50" w:name="_Toc4263"/>
      <w:bookmarkStart w:id="51" w:name="_Toc12170"/>
      <w:r>
        <w:rPr>
          <w:rFonts w:hint="eastAsia"/>
          <w:color w:val="auto"/>
          <w:lang w:val="en-US" w:eastAsia="zh-CN"/>
        </w:rPr>
        <w:t>1.2.2 行政法规</w:t>
      </w:r>
      <w:bookmarkEnd w:id="47"/>
      <w:bookmarkEnd w:id="48"/>
      <w:bookmarkEnd w:id="49"/>
      <w:bookmarkEnd w:id="50"/>
      <w:bookmarkEnd w:id="51"/>
    </w:p>
    <w:p w14:paraId="5D9536DC">
      <w:pPr>
        <w:ind w:firstLine="200"/>
        <w:rPr>
          <w:rFonts w:hint="eastAsia"/>
          <w:color w:val="auto"/>
        </w:rPr>
      </w:pPr>
      <w:r>
        <w:rPr>
          <w:rFonts w:hint="eastAsia"/>
          <w:color w:val="auto"/>
        </w:rPr>
        <w:t>《中华人民共和国尘肺病防治条例》（国发〔1987〕105号，自1987年12月3日起施行）</w:t>
      </w:r>
    </w:p>
    <w:p w14:paraId="21E837F1">
      <w:pPr>
        <w:ind w:firstLine="200"/>
        <w:rPr>
          <w:rFonts w:hint="eastAsia" w:eastAsia="宋体"/>
          <w:color w:val="auto"/>
          <w:lang w:eastAsia="zh-CN"/>
        </w:rPr>
      </w:pPr>
      <w:r>
        <w:rPr>
          <w:rFonts w:hint="eastAsia"/>
          <w:color w:val="auto"/>
          <w:lang w:eastAsia="zh-CN"/>
        </w:rPr>
        <w:t>《</w:t>
      </w:r>
      <w:r>
        <w:rPr>
          <w:rFonts w:hint="eastAsia"/>
          <w:color w:val="auto"/>
        </w:rPr>
        <w:t>中华人民共和国矿山安全法实施条例</w:t>
      </w:r>
      <w:r>
        <w:rPr>
          <w:rFonts w:hint="eastAsia"/>
          <w:color w:val="auto"/>
          <w:lang w:eastAsia="zh-CN"/>
        </w:rPr>
        <w:t>》</w:t>
      </w:r>
      <w:r>
        <w:rPr>
          <w:rFonts w:hint="eastAsia"/>
          <w:color w:val="auto"/>
        </w:rPr>
        <w:t>（劳动部令第4号发布，自19</w:t>
      </w:r>
      <w:r>
        <w:rPr>
          <w:rFonts w:hint="eastAsia"/>
          <w:color w:val="auto"/>
          <w:lang w:val="en-US" w:eastAsia="zh-CN"/>
        </w:rPr>
        <w:t>96</w:t>
      </w:r>
      <w:r>
        <w:rPr>
          <w:rFonts w:hint="eastAsia"/>
          <w:color w:val="auto"/>
        </w:rPr>
        <w:t>年1</w:t>
      </w:r>
      <w:r>
        <w:rPr>
          <w:rFonts w:hint="eastAsia"/>
          <w:color w:val="auto"/>
          <w:lang w:val="en-US" w:eastAsia="zh-CN"/>
        </w:rPr>
        <w:t>0</w:t>
      </w:r>
      <w:r>
        <w:rPr>
          <w:rFonts w:hint="eastAsia"/>
          <w:color w:val="auto"/>
        </w:rPr>
        <w:t>月3</w:t>
      </w:r>
      <w:r>
        <w:rPr>
          <w:rFonts w:hint="eastAsia"/>
          <w:color w:val="auto"/>
          <w:lang w:val="en-US" w:eastAsia="zh-CN"/>
        </w:rPr>
        <w:t>0</w:t>
      </w:r>
      <w:r>
        <w:rPr>
          <w:rFonts w:hint="eastAsia"/>
          <w:color w:val="auto"/>
        </w:rPr>
        <w:t>日起施行）</w:t>
      </w:r>
    </w:p>
    <w:p w14:paraId="147B7EFE">
      <w:pPr>
        <w:ind w:firstLine="200"/>
        <w:rPr>
          <w:rFonts w:hint="eastAsia"/>
          <w:color w:val="auto"/>
        </w:rPr>
      </w:pPr>
      <w:r>
        <w:rPr>
          <w:rFonts w:hint="eastAsia"/>
          <w:color w:val="auto"/>
        </w:rPr>
        <w:t>《矿产资源开采登记管理办法》（国务院令（1998）第241号，自1998年2月12日起施行，2014年7月29日修订）</w:t>
      </w:r>
    </w:p>
    <w:p w14:paraId="217E890A">
      <w:pPr>
        <w:ind w:firstLine="200"/>
        <w:rPr>
          <w:rFonts w:hint="eastAsia"/>
          <w:color w:val="auto"/>
        </w:rPr>
      </w:pPr>
      <w:r>
        <w:rPr>
          <w:rFonts w:hint="eastAsia"/>
          <w:color w:val="auto"/>
        </w:rPr>
        <w:t>《国务院关于特大安全事故行政责任追究的规定》（国务院令（2001）第302号，自2001年4月21日起施行）</w:t>
      </w:r>
    </w:p>
    <w:p w14:paraId="3F2092FB">
      <w:pPr>
        <w:ind w:firstLine="200"/>
        <w:rPr>
          <w:rFonts w:hint="eastAsia"/>
          <w:color w:val="auto"/>
        </w:rPr>
      </w:pPr>
      <w:r>
        <w:rPr>
          <w:rFonts w:hint="eastAsia"/>
          <w:color w:val="auto"/>
        </w:rPr>
        <w:t>《特种设备监察条例》（国务院令（2003）第373号，自2003年6月1日起施行，2009年1月24日修订）</w:t>
      </w:r>
    </w:p>
    <w:p w14:paraId="571E732D">
      <w:pPr>
        <w:ind w:firstLine="200"/>
        <w:rPr>
          <w:rFonts w:hint="eastAsia"/>
          <w:color w:val="auto"/>
        </w:rPr>
      </w:pPr>
      <w:r>
        <w:rPr>
          <w:rFonts w:hint="eastAsia"/>
          <w:color w:val="auto"/>
        </w:rPr>
        <w:t>《工伤保险条例（2010年修订）》（国务院令（2003）第375号，自2004年1月1日起施行，2010年12月20日修订）</w:t>
      </w:r>
    </w:p>
    <w:p w14:paraId="708B3646">
      <w:pPr>
        <w:ind w:firstLine="200"/>
        <w:rPr>
          <w:rFonts w:hint="eastAsia"/>
          <w:color w:val="auto"/>
        </w:rPr>
      </w:pPr>
      <w:r>
        <w:rPr>
          <w:rFonts w:hint="eastAsia"/>
          <w:color w:val="auto"/>
        </w:rPr>
        <w:t>《建设工程安全生产管理条例》（国务院令（2003）第393号，自2004年2月1日起施行）</w:t>
      </w:r>
    </w:p>
    <w:p w14:paraId="478DB074">
      <w:pPr>
        <w:ind w:firstLine="200"/>
        <w:rPr>
          <w:rFonts w:hint="eastAsia"/>
          <w:color w:val="auto"/>
        </w:rPr>
      </w:pPr>
      <w:r>
        <w:rPr>
          <w:rFonts w:hint="eastAsia"/>
          <w:color w:val="auto"/>
        </w:rPr>
        <w:t>《地质灾害防治条例》（国务院令（2003）第394号，自2004年3月1日起施行）</w:t>
      </w:r>
    </w:p>
    <w:p w14:paraId="4AF2C7DE">
      <w:pPr>
        <w:ind w:firstLine="200"/>
        <w:rPr>
          <w:rFonts w:hint="eastAsia"/>
          <w:color w:val="auto"/>
        </w:rPr>
      </w:pPr>
      <w:r>
        <w:rPr>
          <w:rFonts w:hint="eastAsia"/>
          <w:color w:val="auto"/>
        </w:rPr>
        <w:t>《安全生产许可证条例》（国务院令（2004）第397号，自2004年1月13日起施行，2013年7月18日、2014年7月29日修订）</w:t>
      </w:r>
    </w:p>
    <w:p w14:paraId="6EAD2C31">
      <w:pPr>
        <w:ind w:firstLine="200"/>
        <w:rPr>
          <w:rFonts w:hint="eastAsia"/>
          <w:color w:val="auto"/>
        </w:rPr>
      </w:pPr>
      <w:r>
        <w:rPr>
          <w:rFonts w:hint="eastAsia"/>
          <w:color w:val="auto"/>
        </w:rPr>
        <w:t>《民用爆炸物品安全管理条例（2014年修订）》（国务院令（2006）第466号，自2006年9月1日起施行）</w:t>
      </w:r>
    </w:p>
    <w:p w14:paraId="3A27DD55">
      <w:pPr>
        <w:ind w:firstLine="200"/>
        <w:rPr>
          <w:rFonts w:hint="eastAsia"/>
          <w:color w:val="auto"/>
        </w:rPr>
      </w:pPr>
      <w:r>
        <w:rPr>
          <w:rFonts w:hint="eastAsia"/>
          <w:color w:val="auto"/>
        </w:rPr>
        <w:t>《生产安全事故报告和调查处理条例》（国务院令（2007）第493号，自2007年6月1日起施行）</w:t>
      </w:r>
    </w:p>
    <w:p w14:paraId="7EF04F38">
      <w:pPr>
        <w:ind w:firstLine="200"/>
        <w:rPr>
          <w:rFonts w:hint="eastAsia"/>
          <w:color w:val="auto"/>
        </w:rPr>
      </w:pPr>
      <w:r>
        <w:rPr>
          <w:rFonts w:hint="eastAsia"/>
          <w:color w:val="auto"/>
        </w:rPr>
        <w:t>《气象灾害防御条例》（国务院令（2010）第570号，自2010年4月1日起施行，2017年10月7日修订）</w:t>
      </w:r>
    </w:p>
    <w:p w14:paraId="15A2EFB5">
      <w:pPr>
        <w:ind w:firstLine="200"/>
        <w:rPr>
          <w:rFonts w:hint="eastAsia"/>
          <w:color w:val="auto"/>
        </w:rPr>
      </w:pPr>
      <w:r>
        <w:rPr>
          <w:rFonts w:hint="eastAsia"/>
          <w:color w:val="auto"/>
        </w:rPr>
        <w:t>《生产安全事故应急条例》（国务院令（2019）第708号，自2019年4月1日起施行）</w:t>
      </w:r>
    </w:p>
    <w:p w14:paraId="6B042795">
      <w:pPr>
        <w:pStyle w:val="4"/>
        <w:bidi w:val="0"/>
        <w:rPr>
          <w:rFonts w:hint="default"/>
          <w:color w:val="auto"/>
          <w:lang w:val="en-US" w:eastAsia="zh-CN"/>
        </w:rPr>
      </w:pPr>
      <w:bookmarkStart w:id="52" w:name="_Toc15749"/>
      <w:bookmarkStart w:id="53" w:name="_Toc28101"/>
      <w:bookmarkStart w:id="54" w:name="_Toc1398"/>
      <w:bookmarkStart w:id="55" w:name="_Toc10021"/>
      <w:bookmarkStart w:id="56" w:name="_Toc1663"/>
      <w:r>
        <w:rPr>
          <w:rFonts w:hint="eastAsia"/>
          <w:color w:val="auto"/>
          <w:lang w:val="en-US" w:eastAsia="zh-CN"/>
        </w:rPr>
        <w:t>1.2.3 部门规章</w:t>
      </w:r>
      <w:bookmarkEnd w:id="52"/>
      <w:bookmarkEnd w:id="53"/>
      <w:bookmarkEnd w:id="54"/>
      <w:bookmarkEnd w:id="55"/>
      <w:bookmarkEnd w:id="56"/>
    </w:p>
    <w:p w14:paraId="54FF7083">
      <w:pPr>
        <w:ind w:firstLine="560"/>
        <w:rPr>
          <w:rFonts w:hint="eastAsia"/>
          <w:color w:val="auto"/>
        </w:rPr>
      </w:pPr>
      <w:r>
        <w:rPr>
          <w:rFonts w:hint="eastAsia"/>
          <w:color w:val="auto"/>
        </w:rPr>
        <w:t>《生产经营单位安全培训规定》（总局令（2005）第3号，自2006年3月1日起施行，2013年8月19日、2015年2月26日修正）</w:t>
      </w:r>
    </w:p>
    <w:p w14:paraId="5D057584">
      <w:pPr>
        <w:ind w:firstLine="560"/>
        <w:rPr>
          <w:rFonts w:hint="eastAsia"/>
          <w:color w:val="auto"/>
        </w:rPr>
      </w:pPr>
      <w:r>
        <w:rPr>
          <w:rFonts w:hint="eastAsia"/>
          <w:color w:val="auto"/>
        </w:rPr>
        <w:t>《安全生产事故隐患排查治理暂行规定》（总局令（2007）第16号，自2008年2月1日实施）</w:t>
      </w:r>
    </w:p>
    <w:p w14:paraId="63B614AA">
      <w:pPr>
        <w:ind w:firstLine="560"/>
        <w:rPr>
          <w:rFonts w:hint="eastAsia"/>
          <w:color w:val="auto"/>
        </w:rPr>
      </w:pPr>
      <w:r>
        <w:rPr>
          <w:rFonts w:hint="eastAsia"/>
          <w:color w:val="auto"/>
        </w:rPr>
        <w:t>《非煤矿矿山企业安全生产许可证实施办法》（总局令（2009）第20号，自2009年4月30日实施，2015年3月23日修改）</w:t>
      </w:r>
    </w:p>
    <w:p w14:paraId="1E6CC0CC">
      <w:pPr>
        <w:ind w:firstLine="560"/>
        <w:rPr>
          <w:rFonts w:hint="eastAsia"/>
          <w:color w:val="auto"/>
        </w:rPr>
      </w:pPr>
      <w:r>
        <w:rPr>
          <w:rFonts w:hint="eastAsia"/>
          <w:color w:val="auto"/>
        </w:rPr>
        <w:t>《生产安全事故信息报告和处置办法》（总局令（2009）第21号，自2009年7月1日起施行）</w:t>
      </w:r>
    </w:p>
    <w:p w14:paraId="3FB208B7">
      <w:pPr>
        <w:ind w:firstLine="560"/>
        <w:rPr>
          <w:rFonts w:hint="eastAsia"/>
          <w:color w:val="auto"/>
          <w:lang w:eastAsia="zh-CN"/>
        </w:rPr>
      </w:pPr>
      <w:r>
        <w:rPr>
          <w:rFonts w:hint="eastAsia"/>
          <w:color w:val="auto"/>
          <w:lang w:eastAsia="zh-CN"/>
        </w:rPr>
        <w:t>《特种作业人员安全技术培训考核管理规定》（</w:t>
      </w:r>
      <w:r>
        <w:rPr>
          <w:rFonts w:hint="eastAsia"/>
          <w:color w:val="auto"/>
        </w:rPr>
        <w:t>总局令（20</w:t>
      </w:r>
      <w:r>
        <w:rPr>
          <w:rFonts w:hint="eastAsia"/>
          <w:color w:val="auto"/>
          <w:lang w:val="en-US" w:eastAsia="zh-CN"/>
        </w:rPr>
        <w:t>10</w:t>
      </w:r>
      <w:r>
        <w:rPr>
          <w:rFonts w:hint="eastAsia"/>
          <w:color w:val="auto"/>
        </w:rPr>
        <w:t>）第</w:t>
      </w:r>
      <w:r>
        <w:rPr>
          <w:rFonts w:hint="eastAsia"/>
          <w:color w:val="auto"/>
          <w:lang w:val="en-US" w:eastAsia="zh-CN"/>
        </w:rPr>
        <w:t>30</w:t>
      </w:r>
      <w:r>
        <w:rPr>
          <w:rFonts w:hint="eastAsia"/>
          <w:color w:val="auto"/>
        </w:rPr>
        <w:t>号，自2010年7月1日起施行</w:t>
      </w:r>
      <w:r>
        <w:rPr>
          <w:rFonts w:hint="eastAsia"/>
          <w:color w:val="auto"/>
          <w:lang w:eastAsia="zh-CN"/>
        </w:rPr>
        <w:t>）</w:t>
      </w:r>
    </w:p>
    <w:p w14:paraId="2AEB705B">
      <w:pPr>
        <w:ind w:firstLine="560"/>
        <w:rPr>
          <w:rFonts w:hint="eastAsia"/>
          <w:color w:val="auto"/>
          <w:lang w:eastAsia="zh-CN"/>
        </w:rPr>
      </w:pPr>
      <w:r>
        <w:rPr>
          <w:rFonts w:hint="eastAsia"/>
          <w:color w:val="auto"/>
          <w:lang w:eastAsia="zh-CN"/>
        </w:rPr>
        <w:t>《非煤矿山外包工程安全管理暂行办法》（</w:t>
      </w:r>
      <w:r>
        <w:rPr>
          <w:rFonts w:hint="eastAsia"/>
          <w:color w:val="auto"/>
        </w:rPr>
        <w:t>总局令（20</w:t>
      </w:r>
      <w:r>
        <w:rPr>
          <w:rFonts w:hint="eastAsia"/>
          <w:color w:val="auto"/>
          <w:lang w:val="en-US" w:eastAsia="zh-CN"/>
        </w:rPr>
        <w:t>13</w:t>
      </w:r>
      <w:r>
        <w:rPr>
          <w:rFonts w:hint="eastAsia"/>
          <w:color w:val="auto"/>
        </w:rPr>
        <w:t>）第</w:t>
      </w:r>
      <w:r>
        <w:rPr>
          <w:rFonts w:hint="eastAsia"/>
          <w:color w:val="auto"/>
          <w:lang w:val="en-US" w:eastAsia="zh-CN"/>
        </w:rPr>
        <w:t>62</w:t>
      </w:r>
      <w:r>
        <w:rPr>
          <w:rFonts w:hint="eastAsia"/>
          <w:color w:val="auto"/>
        </w:rPr>
        <w:t>号，自201</w:t>
      </w:r>
      <w:r>
        <w:rPr>
          <w:rFonts w:hint="eastAsia"/>
          <w:color w:val="auto"/>
          <w:lang w:val="en-US" w:eastAsia="zh-CN"/>
        </w:rPr>
        <w:t>3</w:t>
      </w:r>
      <w:r>
        <w:rPr>
          <w:rFonts w:hint="eastAsia"/>
          <w:color w:val="auto"/>
        </w:rPr>
        <w:t>年</w:t>
      </w:r>
      <w:r>
        <w:rPr>
          <w:rFonts w:hint="eastAsia"/>
          <w:color w:val="auto"/>
          <w:lang w:val="en-US" w:eastAsia="zh-CN"/>
        </w:rPr>
        <w:t>10</w:t>
      </w:r>
      <w:r>
        <w:rPr>
          <w:rFonts w:hint="eastAsia"/>
          <w:color w:val="auto"/>
        </w:rPr>
        <w:t>月1日起施行</w:t>
      </w:r>
      <w:r>
        <w:rPr>
          <w:rFonts w:hint="eastAsia"/>
          <w:color w:val="auto"/>
          <w:lang w:eastAsia="zh-CN"/>
        </w:rPr>
        <w:t>）</w:t>
      </w:r>
    </w:p>
    <w:p w14:paraId="3AA03D8D">
      <w:pPr>
        <w:ind w:firstLine="560"/>
        <w:rPr>
          <w:rFonts w:hint="eastAsia"/>
          <w:color w:val="auto"/>
        </w:rPr>
      </w:pPr>
      <w:r>
        <w:rPr>
          <w:rFonts w:hint="eastAsia"/>
          <w:color w:val="auto"/>
        </w:rPr>
        <w:t>《建设项目安全设施“三同时”监督管理办法》（总局令（2010）第36号，自2011年2月1日起施行，2015年4月2日</w:t>
      </w:r>
      <w:r>
        <w:rPr>
          <w:rFonts w:hint="eastAsia"/>
          <w:color w:val="auto"/>
          <w:lang w:val="en-US" w:eastAsia="zh-CN"/>
        </w:rPr>
        <w:t>第77号令</w:t>
      </w:r>
      <w:r>
        <w:rPr>
          <w:rFonts w:hint="eastAsia"/>
          <w:color w:val="auto"/>
        </w:rPr>
        <w:t>修改）</w:t>
      </w:r>
    </w:p>
    <w:p w14:paraId="277ECD25">
      <w:pPr>
        <w:ind w:firstLine="560"/>
        <w:rPr>
          <w:rFonts w:hint="eastAsia"/>
          <w:color w:val="auto"/>
        </w:rPr>
      </w:pPr>
      <w:r>
        <w:rPr>
          <w:rFonts w:hint="eastAsia"/>
          <w:color w:val="auto"/>
        </w:rPr>
        <w:t>《国家安全监管总局关于修改</w:t>
      </w:r>
      <w:r>
        <w:rPr>
          <w:rFonts w:hint="eastAsia" w:ascii="宋体" w:hAnsi="宋体" w:eastAsia="宋体" w:cs="宋体"/>
          <w:color w:val="auto"/>
        </w:rPr>
        <w:t>&lt;&lt;</w:t>
      </w:r>
      <w:r>
        <w:rPr>
          <w:rFonts w:hint="eastAsia"/>
          <w:color w:val="auto"/>
        </w:rPr>
        <w:t>生产安全事故报告和调查处理条例</w:t>
      </w:r>
      <w:r>
        <w:rPr>
          <w:rFonts w:hint="eastAsia" w:ascii="宋体" w:hAnsi="宋体" w:eastAsia="宋体" w:cs="宋体"/>
          <w:color w:val="auto"/>
        </w:rPr>
        <w:t>&gt;</w:t>
      </w:r>
      <w:r>
        <w:rPr>
          <w:rFonts w:hint="eastAsia"/>
          <w:color w:val="auto"/>
        </w:rPr>
        <w:t>罚款处罚暂行规定</w:t>
      </w:r>
      <w:r>
        <w:rPr>
          <w:rFonts w:hint="eastAsia" w:ascii="宋体" w:hAnsi="宋体" w:eastAsia="宋体" w:cs="宋体"/>
          <w:color w:val="auto"/>
        </w:rPr>
        <w:t>&gt;</w:t>
      </w:r>
      <w:r>
        <w:rPr>
          <w:rFonts w:hint="eastAsia"/>
          <w:color w:val="auto"/>
        </w:rPr>
        <w:t>部分条款的决定》（总局令（2011）第42号，自2011年11月1日起施行）</w:t>
      </w:r>
    </w:p>
    <w:p w14:paraId="5D549C2E">
      <w:pPr>
        <w:ind w:firstLine="560"/>
        <w:rPr>
          <w:rFonts w:hint="eastAsia"/>
          <w:color w:val="auto"/>
        </w:rPr>
      </w:pPr>
      <w:r>
        <w:rPr>
          <w:rFonts w:hint="eastAsia"/>
          <w:color w:val="auto"/>
        </w:rPr>
        <w:t>《安全生产培训管理办法》（总局令（2012）第44号，自2012年3月1日起施行，2013年8月29日、2015年5月29日修正）</w:t>
      </w:r>
    </w:p>
    <w:p w14:paraId="02C30F14">
      <w:pPr>
        <w:ind w:firstLine="560"/>
        <w:rPr>
          <w:rFonts w:hint="eastAsia"/>
          <w:color w:val="auto"/>
        </w:rPr>
      </w:pPr>
      <w:r>
        <w:rPr>
          <w:rFonts w:hint="eastAsia"/>
          <w:color w:val="auto"/>
        </w:rPr>
        <w:t>《国家安全监管总局关于修改</w:t>
      </w:r>
      <w:r>
        <w:rPr>
          <w:rFonts w:hint="eastAsia" w:ascii="宋体" w:hAnsi="宋体" w:eastAsia="宋体" w:cs="宋体"/>
          <w:color w:val="auto"/>
        </w:rPr>
        <w:t>&lt;</w:t>
      </w:r>
      <w:r>
        <w:rPr>
          <w:rFonts w:hint="eastAsia"/>
          <w:color w:val="auto"/>
        </w:rPr>
        <w:t>生产经营单位安全培训规定</w:t>
      </w:r>
      <w:r>
        <w:rPr>
          <w:rFonts w:hint="eastAsia" w:ascii="宋体" w:hAnsi="宋体" w:eastAsia="宋体" w:cs="宋体"/>
          <w:color w:val="auto"/>
        </w:rPr>
        <w:t>&gt;</w:t>
      </w:r>
      <w:r>
        <w:rPr>
          <w:rFonts w:hint="eastAsia"/>
          <w:color w:val="auto"/>
        </w:rPr>
        <w:t>等11件规章的决定》（总局令（2013）第63号，自2013年8月29日起施行）</w:t>
      </w:r>
    </w:p>
    <w:p w14:paraId="528DE038">
      <w:pPr>
        <w:ind w:firstLine="560"/>
        <w:rPr>
          <w:rFonts w:hint="eastAsia"/>
          <w:color w:val="auto"/>
        </w:rPr>
      </w:pPr>
      <w:r>
        <w:rPr>
          <w:rFonts w:hint="eastAsia"/>
          <w:color w:val="auto"/>
        </w:rPr>
        <w:t>《国家安全监管总局关于修改</w:t>
      </w:r>
      <w:r>
        <w:rPr>
          <w:rFonts w:hint="eastAsia" w:ascii="宋体" w:hAnsi="宋体" w:eastAsia="宋体" w:cs="宋体"/>
          <w:color w:val="auto"/>
        </w:rPr>
        <w:t>&lt;</w:t>
      </w:r>
      <w:r>
        <w:rPr>
          <w:rFonts w:hint="eastAsia"/>
          <w:color w:val="auto"/>
        </w:rPr>
        <w:t>生产安全事故报告和调查处理条例</w:t>
      </w:r>
      <w:r>
        <w:rPr>
          <w:rFonts w:hint="eastAsia" w:ascii="宋体" w:hAnsi="宋体" w:eastAsia="宋体" w:cs="宋体"/>
          <w:color w:val="auto"/>
        </w:rPr>
        <w:t>&gt;</w:t>
      </w:r>
      <w:r>
        <w:rPr>
          <w:rFonts w:hint="eastAsia"/>
          <w:color w:val="auto"/>
        </w:rPr>
        <w:t>罚款处罚暂行规定等四部规章的决定》（总局令（2015）第77号，自2015年5月1日起施行）</w:t>
      </w:r>
    </w:p>
    <w:p w14:paraId="08A2ECD4">
      <w:pPr>
        <w:ind w:firstLine="560"/>
        <w:rPr>
          <w:rFonts w:hint="eastAsia"/>
          <w:color w:val="auto"/>
        </w:rPr>
      </w:pPr>
      <w:r>
        <w:rPr>
          <w:rFonts w:hint="eastAsia"/>
          <w:color w:val="auto"/>
        </w:rPr>
        <w:t>《金属非金属矿山建设项目安全设施目录（试行）》（总局令（2015）第75号，自2015年7月1日起施行）</w:t>
      </w:r>
    </w:p>
    <w:p w14:paraId="6277C98B">
      <w:pPr>
        <w:ind w:firstLine="560"/>
        <w:rPr>
          <w:rFonts w:hint="eastAsia"/>
          <w:color w:val="auto"/>
        </w:rPr>
      </w:pPr>
      <w:r>
        <w:rPr>
          <w:rFonts w:hint="eastAsia"/>
          <w:color w:val="auto"/>
        </w:rPr>
        <w:t>《国家安全监管总局关于废止和修改非煤矿矿山领域九部规章的决定》（总局令（2015）第78号，自2015年7月1日起施行）</w:t>
      </w:r>
    </w:p>
    <w:p w14:paraId="453861F7">
      <w:pPr>
        <w:ind w:firstLine="560"/>
        <w:rPr>
          <w:rFonts w:hint="eastAsia"/>
          <w:color w:val="auto"/>
        </w:rPr>
      </w:pPr>
      <w:r>
        <w:rPr>
          <w:rFonts w:hint="eastAsia"/>
          <w:color w:val="auto"/>
        </w:rPr>
        <w:t>《国家安全监管总局关于废止和修改劳动防护用品和安全培训等领域十部规章的决定》（总局令（2015）第80号，自2015年7月1日起施行）</w:t>
      </w:r>
    </w:p>
    <w:p w14:paraId="31BC1307">
      <w:pPr>
        <w:ind w:firstLine="560"/>
        <w:rPr>
          <w:rFonts w:hint="eastAsia"/>
          <w:color w:val="auto"/>
        </w:rPr>
      </w:pPr>
      <w:r>
        <w:rPr>
          <w:rFonts w:hint="eastAsia"/>
          <w:color w:val="auto"/>
        </w:rPr>
        <w:t>《国家安全监管总局关于修改和废止部分规章及规范性文件的决定》（总局令（2017）第89号，自2017年3月6日起施行）</w:t>
      </w:r>
    </w:p>
    <w:p w14:paraId="056D3054">
      <w:pPr>
        <w:ind w:firstLine="560"/>
        <w:rPr>
          <w:rFonts w:hint="eastAsia"/>
          <w:color w:val="auto"/>
        </w:rPr>
      </w:pPr>
      <w:r>
        <w:rPr>
          <w:rFonts w:hint="eastAsia"/>
          <w:color w:val="auto"/>
        </w:rPr>
        <w:t>《应急管理部关于修改</w:t>
      </w:r>
      <w:r>
        <w:rPr>
          <w:rFonts w:hint="eastAsia" w:ascii="宋体" w:hAnsi="宋体" w:eastAsia="宋体" w:cs="宋体"/>
          <w:color w:val="auto"/>
        </w:rPr>
        <w:t>&lt;</w:t>
      </w:r>
      <w:r>
        <w:rPr>
          <w:rFonts w:hint="eastAsia"/>
          <w:color w:val="auto"/>
        </w:rPr>
        <w:t>生产安全事故应急预案管理办法</w:t>
      </w:r>
      <w:r>
        <w:rPr>
          <w:rFonts w:hint="eastAsia" w:ascii="宋体" w:hAnsi="宋体" w:eastAsia="宋体" w:cs="宋体"/>
          <w:color w:val="auto"/>
        </w:rPr>
        <w:t>&gt;</w:t>
      </w:r>
      <w:r>
        <w:rPr>
          <w:rFonts w:hint="eastAsia"/>
          <w:color w:val="auto"/>
        </w:rPr>
        <w:t>的决定》（应急部令（2019）第2号，自2019年9月1日起施行）</w:t>
      </w:r>
    </w:p>
    <w:p w14:paraId="254E1116">
      <w:pPr>
        <w:ind w:firstLine="560"/>
        <w:rPr>
          <w:rFonts w:hint="eastAsia"/>
          <w:color w:val="auto"/>
          <w:lang w:eastAsia="zh-CN"/>
        </w:rPr>
      </w:pPr>
      <w:r>
        <w:rPr>
          <w:rFonts w:hint="eastAsia"/>
          <w:color w:val="auto"/>
          <w:lang w:eastAsia="zh-CN"/>
        </w:rPr>
        <w:t>《矿山救援规程》（</w:t>
      </w:r>
      <w:r>
        <w:rPr>
          <w:rFonts w:hint="eastAsia"/>
          <w:color w:val="auto"/>
          <w:lang w:val="en-US" w:eastAsia="zh-CN"/>
        </w:rPr>
        <w:t>应急令</w:t>
      </w:r>
      <w:r>
        <w:rPr>
          <w:rFonts w:hint="eastAsia"/>
          <w:color w:val="auto"/>
        </w:rPr>
        <w:t>（202</w:t>
      </w:r>
      <w:r>
        <w:rPr>
          <w:rFonts w:hint="eastAsia"/>
          <w:color w:val="auto"/>
          <w:lang w:val="en-US" w:eastAsia="zh-CN"/>
        </w:rPr>
        <w:t>4</w:t>
      </w:r>
      <w:r>
        <w:rPr>
          <w:rFonts w:hint="eastAsia"/>
          <w:color w:val="auto"/>
        </w:rPr>
        <w:t>）第</w:t>
      </w:r>
      <w:r>
        <w:rPr>
          <w:rFonts w:hint="eastAsia"/>
          <w:color w:val="auto"/>
          <w:lang w:val="en-US" w:eastAsia="zh-CN"/>
        </w:rPr>
        <w:t>16</w:t>
      </w:r>
      <w:r>
        <w:rPr>
          <w:rFonts w:hint="eastAsia"/>
          <w:color w:val="auto"/>
        </w:rPr>
        <w:t>号，自2024年7月1日起施行</w:t>
      </w:r>
      <w:r>
        <w:rPr>
          <w:rFonts w:hint="eastAsia"/>
          <w:color w:val="auto"/>
          <w:lang w:eastAsia="zh-CN"/>
        </w:rPr>
        <w:t>）</w:t>
      </w:r>
    </w:p>
    <w:p w14:paraId="0C32EBD2">
      <w:pPr>
        <w:pStyle w:val="4"/>
        <w:bidi w:val="0"/>
        <w:rPr>
          <w:rFonts w:hint="default"/>
          <w:color w:val="auto"/>
          <w:lang w:val="en-US" w:eastAsia="zh-CN"/>
        </w:rPr>
      </w:pPr>
      <w:bookmarkStart w:id="57" w:name="_Toc28860"/>
      <w:bookmarkStart w:id="58" w:name="_Toc28061"/>
      <w:bookmarkStart w:id="59" w:name="_Toc26152"/>
      <w:bookmarkStart w:id="60" w:name="_Toc24370"/>
      <w:bookmarkStart w:id="61" w:name="_Toc13555"/>
      <w:r>
        <w:rPr>
          <w:rFonts w:hint="eastAsia"/>
          <w:color w:val="auto"/>
          <w:lang w:val="en-US" w:eastAsia="zh-CN"/>
        </w:rPr>
        <w:t>1.2.4 地方性法规</w:t>
      </w:r>
      <w:bookmarkEnd w:id="57"/>
      <w:bookmarkEnd w:id="58"/>
      <w:bookmarkEnd w:id="59"/>
      <w:bookmarkEnd w:id="60"/>
      <w:bookmarkEnd w:id="61"/>
    </w:p>
    <w:p w14:paraId="750C4A22">
      <w:pPr>
        <w:ind w:firstLine="200"/>
        <w:rPr>
          <w:rFonts w:hint="eastAsia"/>
          <w:color w:val="auto"/>
        </w:rPr>
      </w:pPr>
      <w:r>
        <w:rPr>
          <w:rFonts w:hint="eastAsia"/>
          <w:color w:val="auto"/>
        </w:rPr>
        <w:t>《江西省消防条例》（江西省第八届人民代表大会常务委员会第十九次会议通过，自1995年12月20日起施行，2010年9月17日修订；1997年4月18日、1999年6月30日、2001年8月24日、2011年12月1日、2018年7月27日、2020年11月25日修正）</w:t>
      </w:r>
    </w:p>
    <w:p w14:paraId="35C80E45">
      <w:pPr>
        <w:ind w:firstLine="200"/>
        <w:rPr>
          <w:rFonts w:hint="eastAsia"/>
          <w:color w:val="auto"/>
        </w:rPr>
      </w:pPr>
      <w:r>
        <w:rPr>
          <w:rFonts w:hint="eastAsia"/>
          <w:color w:val="auto"/>
        </w:rPr>
        <w:t>《江西省安全生产条例》（江西省第十届人民代表大会常务委员会第二十八次会议通过，自2007年5月1日起施行，2017年7月26日、2023年7月26日修订；2019年9月28日修正）</w:t>
      </w:r>
    </w:p>
    <w:p w14:paraId="3E4A7338">
      <w:pPr>
        <w:ind w:firstLine="200"/>
        <w:rPr>
          <w:rFonts w:hint="eastAsia"/>
          <w:color w:val="auto"/>
        </w:rPr>
      </w:pPr>
      <w:r>
        <w:rPr>
          <w:rFonts w:hint="eastAsia"/>
          <w:color w:val="auto"/>
        </w:rPr>
        <w:t>《江西省地质灾害防治条例》（江西省第十二届人民代表大会常务委员会第五次会议通过，自2013年10月1日起施行，2020年11月25日修正）</w:t>
      </w:r>
    </w:p>
    <w:p w14:paraId="349E73AF">
      <w:pPr>
        <w:ind w:firstLine="200"/>
        <w:rPr>
          <w:rFonts w:hint="eastAsia"/>
          <w:color w:val="auto"/>
        </w:rPr>
      </w:pPr>
      <w:r>
        <w:rPr>
          <w:rFonts w:hint="eastAsia"/>
          <w:color w:val="auto"/>
        </w:rPr>
        <w:t>《江西省矿产资源管理条例》（第十二届人民代表大会常务委员会第十八次会议通过，自2015年7月1日起施行）</w:t>
      </w:r>
    </w:p>
    <w:p w14:paraId="023AA22B">
      <w:pPr>
        <w:pStyle w:val="4"/>
        <w:bidi w:val="0"/>
        <w:rPr>
          <w:rFonts w:hint="eastAsia"/>
          <w:color w:val="auto"/>
          <w:lang w:val="en-US" w:eastAsia="zh-CN"/>
        </w:rPr>
      </w:pPr>
      <w:bookmarkStart w:id="62" w:name="_Toc2865"/>
      <w:bookmarkStart w:id="63" w:name="_Toc6786"/>
      <w:bookmarkStart w:id="64" w:name="_Toc24012"/>
      <w:bookmarkStart w:id="65" w:name="_Toc19529"/>
      <w:bookmarkStart w:id="66" w:name="_Toc26046"/>
      <w:r>
        <w:rPr>
          <w:rFonts w:hint="eastAsia"/>
          <w:color w:val="auto"/>
          <w:lang w:val="en-US" w:eastAsia="zh-CN"/>
        </w:rPr>
        <w:t>1.2.5 地方政府规章</w:t>
      </w:r>
      <w:bookmarkEnd w:id="62"/>
      <w:bookmarkEnd w:id="63"/>
      <w:bookmarkEnd w:id="64"/>
      <w:bookmarkEnd w:id="65"/>
      <w:bookmarkEnd w:id="66"/>
    </w:p>
    <w:p w14:paraId="21EBAB8C">
      <w:pPr>
        <w:rPr>
          <w:rFonts w:hint="eastAsia"/>
          <w:color w:val="auto"/>
          <w:lang w:val="en-US" w:eastAsia="zh-CN"/>
        </w:rPr>
      </w:pPr>
      <w:r>
        <w:rPr>
          <w:rFonts w:hint="eastAsia"/>
          <w:color w:val="auto"/>
          <w:lang w:val="en-US" w:eastAsia="zh-CN"/>
        </w:rPr>
        <w:t>《江西省实施</w:t>
      </w:r>
      <w:r>
        <w:rPr>
          <w:rFonts w:hint="eastAsia" w:ascii="宋体" w:hAnsi="宋体" w:eastAsia="宋体" w:cs="宋体"/>
          <w:color w:val="auto"/>
        </w:rPr>
        <w:t>&lt;</w:t>
      </w:r>
      <w:r>
        <w:rPr>
          <w:rFonts w:hint="eastAsia"/>
          <w:color w:val="auto"/>
          <w:lang w:val="en-US" w:eastAsia="zh-CN"/>
        </w:rPr>
        <w:t>中华人民共和国矿山安全法</w:t>
      </w:r>
      <w:r>
        <w:rPr>
          <w:rFonts w:hint="eastAsia" w:ascii="宋体" w:hAnsi="宋体" w:eastAsia="宋体" w:cs="宋体"/>
          <w:color w:val="auto"/>
        </w:rPr>
        <w:t>&gt;</w:t>
      </w:r>
      <w:r>
        <w:rPr>
          <w:rFonts w:hint="eastAsia"/>
          <w:color w:val="auto"/>
          <w:lang w:val="en-US" w:eastAsia="zh-CN"/>
        </w:rPr>
        <w:t>办法》（江西省第八届人民代表大会常务委员会第十一次会议通过，自1994年12月1日起施行，1997年4月18日、2010年9月17日修正）</w:t>
      </w:r>
    </w:p>
    <w:p w14:paraId="49D03436">
      <w:pPr>
        <w:rPr>
          <w:rFonts w:hint="default"/>
          <w:color w:val="auto"/>
          <w:lang w:val="en-US" w:eastAsia="zh-CN"/>
        </w:rPr>
      </w:pPr>
      <w:r>
        <w:rPr>
          <w:rFonts w:hint="default"/>
          <w:color w:val="auto"/>
          <w:lang w:val="en-US" w:eastAsia="zh-CN"/>
        </w:rPr>
        <w:t>《江西省非煤矿山企业安全生产许可证实施办法》（江西省人民政府令第189号，自2011年3月1日起施行，2019年9月29日修改）</w:t>
      </w:r>
    </w:p>
    <w:p w14:paraId="1E288E15">
      <w:pPr>
        <w:rPr>
          <w:rFonts w:hint="default"/>
          <w:color w:val="auto"/>
          <w:lang w:val="en-US" w:eastAsia="zh-CN"/>
        </w:rPr>
      </w:pPr>
      <w:r>
        <w:rPr>
          <w:rFonts w:hint="default"/>
          <w:color w:val="auto"/>
          <w:lang w:val="en-US" w:eastAsia="zh-CN"/>
        </w:rPr>
        <w:t>《江西省生产安全事故隐患排查治理办法》（江西省人民政府令第238号，自2018年12月1日起施行，2021年6月9日修正）</w:t>
      </w:r>
    </w:p>
    <w:p w14:paraId="1834C483">
      <w:pPr>
        <w:pStyle w:val="4"/>
        <w:bidi w:val="0"/>
        <w:rPr>
          <w:rFonts w:hint="eastAsia"/>
          <w:color w:val="auto"/>
          <w:lang w:val="en-US" w:eastAsia="zh-CN"/>
        </w:rPr>
      </w:pPr>
      <w:bookmarkStart w:id="67" w:name="_Toc25719"/>
      <w:bookmarkStart w:id="68" w:name="_Toc26957"/>
      <w:bookmarkStart w:id="69" w:name="_Toc31955"/>
      <w:bookmarkStart w:id="70" w:name="_Toc12383"/>
      <w:bookmarkStart w:id="71" w:name="_Toc5308"/>
      <w:bookmarkStart w:id="72" w:name="_Toc13913"/>
      <w:r>
        <w:rPr>
          <w:rFonts w:hint="eastAsia"/>
          <w:color w:val="auto"/>
          <w:lang w:val="en-US" w:eastAsia="zh-CN"/>
        </w:rPr>
        <w:t>1.2.6 规范性文件</w:t>
      </w:r>
      <w:bookmarkEnd w:id="67"/>
      <w:bookmarkEnd w:id="68"/>
      <w:bookmarkEnd w:id="69"/>
      <w:bookmarkEnd w:id="70"/>
      <w:bookmarkEnd w:id="71"/>
      <w:bookmarkEnd w:id="72"/>
    </w:p>
    <w:p w14:paraId="589792E7">
      <w:pPr>
        <w:ind w:firstLine="200"/>
        <w:rPr>
          <w:rFonts w:hint="eastAsia"/>
          <w:color w:val="auto"/>
        </w:rPr>
      </w:pPr>
      <w:r>
        <w:rPr>
          <w:rFonts w:hint="eastAsia"/>
          <w:color w:val="auto"/>
        </w:rPr>
        <w:t>《国务院关于进一步加强企业安全生产工作的通知》（国发〔2010〕23号，2010年7月23日发布）</w:t>
      </w:r>
    </w:p>
    <w:p w14:paraId="0752432A">
      <w:pPr>
        <w:ind w:firstLine="200"/>
        <w:rPr>
          <w:rFonts w:hint="eastAsia"/>
          <w:color w:val="auto"/>
        </w:rPr>
      </w:pPr>
      <w:r>
        <w:rPr>
          <w:rFonts w:hint="eastAsia"/>
          <w:color w:val="auto"/>
        </w:rPr>
        <w:t>《国务院关于关于坚持科学发展安全发展促进安全生产形势持续稳定好转的意见》（国发〔2011〕40号）</w:t>
      </w:r>
    </w:p>
    <w:p w14:paraId="27FCF771">
      <w:pPr>
        <w:ind w:firstLine="200"/>
        <w:rPr>
          <w:rFonts w:hint="eastAsia"/>
          <w:color w:val="auto"/>
        </w:rPr>
      </w:pPr>
      <w:r>
        <w:rPr>
          <w:rFonts w:hint="eastAsia"/>
          <w:color w:val="auto"/>
        </w:rPr>
        <w:t>《国家安全监管总局关于发布金属非金属矿山禁止使用的设备及工艺目录（第一批）的通知》（安监总管一〔2013〕101号，2019年9月6日发布）</w:t>
      </w:r>
    </w:p>
    <w:p w14:paraId="0276A6C3">
      <w:pPr>
        <w:ind w:firstLine="200"/>
        <w:rPr>
          <w:rFonts w:hint="eastAsia"/>
          <w:color w:val="auto"/>
        </w:rPr>
      </w:pPr>
      <w:r>
        <w:rPr>
          <w:rFonts w:hint="eastAsia"/>
          <w:color w:val="auto"/>
        </w:rPr>
        <w:t>《国家安全监管总局关于发布金属非金属矿山禁止使用的设备及工艺目录（第二批）的通知》（安监总管一〔2015〕13号，2015年2月13日发布）</w:t>
      </w:r>
    </w:p>
    <w:p w14:paraId="2C24CAF6">
      <w:pPr>
        <w:ind w:firstLine="200"/>
        <w:rPr>
          <w:rFonts w:hint="eastAsia"/>
          <w:color w:val="auto"/>
        </w:rPr>
      </w:pPr>
      <w:r>
        <w:rPr>
          <w:rFonts w:hint="eastAsia"/>
          <w:color w:val="auto"/>
        </w:rPr>
        <w:t>《国家安全监管总局关于印发金属非金属矿山建设项目安全评价报告写提纲的通知》（安监总管一〔2016〕49号，2016年5月30日发布）</w:t>
      </w:r>
    </w:p>
    <w:p w14:paraId="3A014E7A">
      <w:pPr>
        <w:ind w:firstLine="200"/>
        <w:rPr>
          <w:rFonts w:hint="eastAsia"/>
          <w:color w:val="auto"/>
        </w:rPr>
      </w:pPr>
      <w:r>
        <w:rPr>
          <w:rFonts w:hint="eastAsia"/>
          <w:color w:val="auto"/>
        </w:rPr>
        <w:t>《国家安全监管总局 国家煤矿安监局</w:t>
      </w:r>
      <w:r>
        <w:rPr>
          <w:rFonts w:hint="eastAsia"/>
          <w:color w:val="auto"/>
          <w:lang w:val="en-US" w:eastAsia="zh-CN"/>
        </w:rPr>
        <w:t xml:space="preserve"> </w:t>
      </w:r>
      <w:r>
        <w:rPr>
          <w:rFonts w:hint="eastAsia"/>
          <w:color w:val="auto"/>
        </w:rPr>
        <w:t>国家能源局 国家铁路局关于印发</w:t>
      </w:r>
      <w:r>
        <w:rPr>
          <w:rFonts w:hint="eastAsia" w:ascii="宋体" w:hAnsi="宋体" w:cs="宋体"/>
          <w:color w:val="auto"/>
          <w:lang w:val="en-US" w:eastAsia="zh-CN"/>
        </w:rPr>
        <w:t>&lt;</w:t>
      </w:r>
      <w:r>
        <w:rPr>
          <w:rFonts w:hint="eastAsia"/>
          <w:color w:val="auto"/>
        </w:rPr>
        <w:t>建筑物、水体、铁路及主要井巷煤柱留设与压煤开采规范</w:t>
      </w:r>
      <w:r>
        <w:rPr>
          <w:rFonts w:hint="eastAsia" w:ascii="宋体" w:hAnsi="宋体" w:cs="宋体"/>
          <w:color w:val="auto"/>
          <w:lang w:val="en-US" w:eastAsia="zh-CN"/>
        </w:rPr>
        <w:t>&gt;</w:t>
      </w:r>
      <w:r>
        <w:rPr>
          <w:rFonts w:hint="eastAsia"/>
          <w:color w:val="auto"/>
        </w:rPr>
        <w:t>的通知》（安监总</w:t>
      </w:r>
      <w:r>
        <w:rPr>
          <w:rFonts w:hint="eastAsia"/>
          <w:color w:val="auto"/>
          <w:lang w:val="en-US" w:eastAsia="zh-CN"/>
        </w:rPr>
        <w:t>煤装</w:t>
      </w:r>
      <w:r>
        <w:rPr>
          <w:rFonts w:hint="eastAsia"/>
          <w:color w:val="auto"/>
        </w:rPr>
        <w:t>〔201</w:t>
      </w:r>
      <w:r>
        <w:rPr>
          <w:rFonts w:hint="eastAsia"/>
          <w:color w:val="auto"/>
          <w:lang w:val="en-US" w:eastAsia="zh-CN"/>
        </w:rPr>
        <w:t>7</w:t>
      </w:r>
      <w:r>
        <w:rPr>
          <w:rFonts w:hint="eastAsia"/>
          <w:color w:val="auto"/>
        </w:rPr>
        <w:t>〕</w:t>
      </w:r>
      <w:r>
        <w:rPr>
          <w:rFonts w:hint="eastAsia"/>
          <w:color w:val="auto"/>
          <w:lang w:val="en-US" w:eastAsia="zh-CN"/>
        </w:rPr>
        <w:t>66</w:t>
      </w:r>
      <w:r>
        <w:rPr>
          <w:rFonts w:hint="eastAsia"/>
          <w:color w:val="auto"/>
        </w:rPr>
        <w:t>号，201</w:t>
      </w:r>
      <w:r>
        <w:rPr>
          <w:rFonts w:hint="eastAsia"/>
          <w:color w:val="auto"/>
          <w:lang w:val="en-US" w:eastAsia="zh-CN"/>
        </w:rPr>
        <w:t>7</w:t>
      </w:r>
      <w:r>
        <w:rPr>
          <w:rFonts w:hint="eastAsia"/>
          <w:color w:val="auto"/>
        </w:rPr>
        <w:t>年5月</w:t>
      </w:r>
      <w:r>
        <w:rPr>
          <w:rFonts w:hint="eastAsia"/>
          <w:color w:val="auto"/>
          <w:lang w:val="en-US" w:eastAsia="zh-CN"/>
        </w:rPr>
        <w:t>17</w:t>
      </w:r>
      <w:r>
        <w:rPr>
          <w:rFonts w:hint="eastAsia"/>
          <w:color w:val="auto"/>
        </w:rPr>
        <w:t>日发布）</w:t>
      </w:r>
    </w:p>
    <w:p w14:paraId="505D1991">
      <w:pPr>
        <w:ind w:firstLine="200"/>
        <w:rPr>
          <w:rFonts w:hint="eastAsia"/>
          <w:color w:val="auto"/>
        </w:rPr>
      </w:pPr>
      <w:r>
        <w:rPr>
          <w:rFonts w:hint="eastAsia"/>
          <w:color w:val="auto"/>
        </w:rPr>
        <w:t>《国家安全监管总局办公厅关于修改用人单位劳动防护用品管理规范的通知》（安监总厅安健〔2018〕3号，2018年1月15日发布）</w:t>
      </w:r>
    </w:p>
    <w:p w14:paraId="22B5298D">
      <w:pPr>
        <w:ind w:firstLine="200"/>
        <w:rPr>
          <w:rFonts w:hint="eastAsia" w:eastAsia="宋体"/>
          <w:color w:val="auto"/>
          <w:lang w:eastAsia="zh-CN"/>
        </w:rPr>
      </w:pPr>
      <w:r>
        <w:rPr>
          <w:rFonts w:hint="eastAsia"/>
          <w:color w:val="auto"/>
        </w:rPr>
        <w:t>《国家广播电视总局</w:t>
      </w:r>
      <w:r>
        <w:rPr>
          <w:rFonts w:hint="eastAsia"/>
          <w:color w:val="auto"/>
          <w:lang w:val="en-US" w:eastAsia="zh-CN"/>
        </w:rPr>
        <w:t xml:space="preserve"> </w:t>
      </w:r>
      <w:r>
        <w:rPr>
          <w:rFonts w:hint="eastAsia"/>
          <w:color w:val="auto"/>
        </w:rPr>
        <w:t>应急管理部关于印发</w:t>
      </w:r>
      <w:r>
        <w:rPr>
          <w:rFonts w:hint="eastAsia" w:ascii="宋体" w:hAnsi="宋体" w:eastAsia="宋体" w:cs="宋体"/>
          <w:color w:val="auto"/>
        </w:rPr>
        <w:t>&lt;</w:t>
      </w:r>
      <w:r>
        <w:rPr>
          <w:rFonts w:hint="eastAsia"/>
          <w:color w:val="auto"/>
        </w:rPr>
        <w:t>应急广播管理暂行办法</w:t>
      </w:r>
      <w:r>
        <w:rPr>
          <w:rFonts w:hint="eastAsia" w:ascii="宋体" w:hAnsi="宋体" w:eastAsia="宋体" w:cs="宋体"/>
          <w:color w:val="auto"/>
        </w:rPr>
        <w:t>&gt;</w:t>
      </w:r>
      <w:r>
        <w:rPr>
          <w:rFonts w:hint="eastAsia"/>
          <w:color w:val="auto"/>
        </w:rPr>
        <w:t>的通知》</w:t>
      </w:r>
      <w:r>
        <w:rPr>
          <w:rFonts w:hint="eastAsia"/>
          <w:color w:val="auto"/>
          <w:lang w:eastAsia="zh-CN"/>
        </w:rPr>
        <w:t>（广电发〔2021〕37号，2021年6月7日）</w:t>
      </w:r>
    </w:p>
    <w:p w14:paraId="1F5270F3">
      <w:pPr>
        <w:ind w:firstLine="200"/>
        <w:rPr>
          <w:rFonts w:hint="eastAsia"/>
          <w:color w:val="auto"/>
        </w:rPr>
      </w:pPr>
      <w:r>
        <w:rPr>
          <w:rFonts w:hint="eastAsia"/>
          <w:color w:val="auto"/>
        </w:rPr>
        <w:t>《应急管理部关于印发</w:t>
      </w:r>
      <w:r>
        <w:rPr>
          <w:rFonts w:hint="eastAsia" w:ascii="宋体" w:hAnsi="宋体" w:eastAsia="宋体" w:cs="宋体"/>
          <w:color w:val="auto"/>
        </w:rPr>
        <w:t>&lt;</w:t>
      </w:r>
      <w:r>
        <w:rPr>
          <w:rFonts w:hint="eastAsia"/>
          <w:color w:val="auto"/>
        </w:rPr>
        <w:t>企业安全生产标准化建设定级办法</w:t>
      </w:r>
      <w:r>
        <w:rPr>
          <w:rFonts w:hint="eastAsia" w:ascii="宋体" w:hAnsi="宋体" w:eastAsia="宋体" w:cs="宋体"/>
          <w:color w:val="auto"/>
        </w:rPr>
        <w:t>&gt;</w:t>
      </w:r>
      <w:r>
        <w:rPr>
          <w:rFonts w:hint="eastAsia"/>
          <w:color w:val="auto"/>
        </w:rPr>
        <w:t>的通知》（应急〔2021〕83号</w:t>
      </w:r>
      <w:r>
        <w:rPr>
          <w:rFonts w:hint="eastAsia"/>
          <w:color w:val="auto"/>
          <w:lang w:eastAsia="zh-CN"/>
        </w:rPr>
        <w:t>，2021年11月1日起施行</w:t>
      </w:r>
      <w:r>
        <w:rPr>
          <w:rFonts w:hint="eastAsia"/>
          <w:color w:val="auto"/>
        </w:rPr>
        <w:t>）</w:t>
      </w:r>
    </w:p>
    <w:p w14:paraId="44C77CA4">
      <w:pPr>
        <w:ind w:firstLine="200"/>
        <w:rPr>
          <w:rFonts w:hint="eastAsia"/>
          <w:color w:val="auto"/>
        </w:rPr>
      </w:pPr>
      <w:r>
        <w:rPr>
          <w:rFonts w:hint="eastAsia"/>
          <w:color w:val="auto"/>
        </w:rPr>
        <w:t>《国家矿山安全监察局关于印发</w:t>
      </w:r>
      <w:r>
        <w:rPr>
          <w:rFonts w:hint="eastAsia" w:ascii="宋体" w:hAnsi="宋体" w:eastAsia="宋体" w:cs="宋体"/>
          <w:color w:val="auto"/>
        </w:rPr>
        <w:t>&lt;</w:t>
      </w:r>
      <w:r>
        <w:rPr>
          <w:rFonts w:hint="eastAsia"/>
          <w:color w:val="auto"/>
        </w:rPr>
        <w:t>关于加强非煤矿山安全生产工作的指导意见</w:t>
      </w:r>
      <w:r>
        <w:rPr>
          <w:rFonts w:hint="eastAsia" w:ascii="宋体" w:hAnsi="宋体" w:eastAsia="宋体" w:cs="宋体"/>
          <w:color w:val="auto"/>
        </w:rPr>
        <w:t>&gt;</w:t>
      </w:r>
      <w:r>
        <w:rPr>
          <w:rFonts w:hint="eastAsia"/>
          <w:color w:val="auto"/>
        </w:rPr>
        <w:t>的通知》（矿安〔2022〕4号，2022年2月8日起施行）</w:t>
      </w:r>
    </w:p>
    <w:p w14:paraId="0A715AE5">
      <w:pPr>
        <w:ind w:firstLine="200"/>
        <w:rPr>
          <w:rFonts w:hint="eastAsia"/>
          <w:color w:val="auto"/>
        </w:rPr>
      </w:pPr>
      <w:r>
        <w:rPr>
          <w:rFonts w:hint="eastAsia"/>
          <w:color w:val="auto"/>
        </w:rPr>
        <w:t>《国家矿山安全监察局关于开展非煤地下矿山隐蔽致灾因素普查治理工作的通知》（矿安〔2022〕76号</w:t>
      </w:r>
      <w:r>
        <w:rPr>
          <w:rFonts w:hint="eastAsia"/>
          <w:color w:val="auto"/>
          <w:lang w:eastAsia="zh-CN"/>
        </w:rPr>
        <w:t>，2022年4月22日</w:t>
      </w:r>
      <w:r>
        <w:rPr>
          <w:rFonts w:hint="eastAsia"/>
          <w:color w:val="auto"/>
        </w:rPr>
        <w:t>）</w:t>
      </w:r>
    </w:p>
    <w:p w14:paraId="27B020BA">
      <w:pPr>
        <w:ind w:firstLine="200"/>
        <w:rPr>
          <w:rFonts w:hint="eastAsia"/>
          <w:color w:val="auto"/>
        </w:rPr>
      </w:pPr>
      <w:r>
        <w:rPr>
          <w:rFonts w:hint="eastAsia"/>
          <w:color w:val="auto"/>
        </w:rPr>
        <w:t>《国家矿山安全监察局关于印发</w:t>
      </w:r>
      <w:r>
        <w:rPr>
          <w:rFonts w:hint="eastAsia" w:ascii="宋体" w:hAnsi="宋体" w:eastAsia="宋体" w:cs="宋体"/>
          <w:color w:val="auto"/>
        </w:rPr>
        <w:t>&lt;</w:t>
      </w:r>
      <w:r>
        <w:rPr>
          <w:rFonts w:hint="eastAsia"/>
          <w:color w:val="auto"/>
        </w:rPr>
        <w:t>金属非金属矿山重大事故隐患判定标准</w:t>
      </w:r>
      <w:r>
        <w:rPr>
          <w:rFonts w:hint="eastAsia" w:ascii="宋体" w:hAnsi="宋体" w:eastAsia="宋体" w:cs="宋体"/>
          <w:color w:val="auto"/>
        </w:rPr>
        <w:t>&gt;</w:t>
      </w:r>
      <w:r>
        <w:rPr>
          <w:rFonts w:hint="eastAsia"/>
          <w:color w:val="auto"/>
        </w:rPr>
        <w:t>的通知》（矿安〔2022〕88号，2022年9月1日起施行）</w:t>
      </w:r>
    </w:p>
    <w:p w14:paraId="77DD65C6">
      <w:pPr>
        <w:ind w:firstLine="200"/>
        <w:rPr>
          <w:rFonts w:hint="eastAsia"/>
          <w:color w:val="auto"/>
        </w:rPr>
      </w:pPr>
      <w:r>
        <w:rPr>
          <w:rFonts w:hint="eastAsia"/>
          <w:color w:val="auto"/>
        </w:rPr>
        <w:t>《国家矿山安全监察局关于印发执行安全标志管理的矿用产品目录的通知》（矿安〔2022〕123号</w:t>
      </w:r>
      <w:r>
        <w:rPr>
          <w:rFonts w:hint="eastAsia"/>
          <w:color w:val="auto"/>
          <w:lang w:eastAsia="zh-CN"/>
        </w:rPr>
        <w:t>，2022年9月15日</w:t>
      </w:r>
      <w:r>
        <w:rPr>
          <w:rFonts w:hint="eastAsia"/>
          <w:color w:val="auto"/>
        </w:rPr>
        <w:t>）</w:t>
      </w:r>
    </w:p>
    <w:p w14:paraId="6B262095">
      <w:pPr>
        <w:ind w:firstLine="200"/>
        <w:rPr>
          <w:rFonts w:hint="eastAsia"/>
          <w:color w:val="auto"/>
        </w:rPr>
      </w:pPr>
      <w:r>
        <w:rPr>
          <w:rFonts w:hint="eastAsia"/>
          <w:color w:val="auto"/>
        </w:rPr>
        <w:t>《财政部 应急部关于印发</w:t>
      </w:r>
      <w:r>
        <w:rPr>
          <w:rFonts w:hint="eastAsia" w:ascii="宋体" w:hAnsi="宋体" w:eastAsia="宋体" w:cs="宋体"/>
          <w:color w:val="auto"/>
        </w:rPr>
        <w:t>&lt;</w:t>
      </w:r>
      <w:r>
        <w:rPr>
          <w:rFonts w:hint="eastAsia"/>
          <w:color w:val="auto"/>
        </w:rPr>
        <w:t>企业安全生产费用提取和使用管理办法</w:t>
      </w:r>
      <w:r>
        <w:rPr>
          <w:rFonts w:hint="eastAsia" w:ascii="宋体" w:hAnsi="宋体" w:eastAsia="宋体" w:cs="宋体"/>
          <w:color w:val="auto"/>
        </w:rPr>
        <w:t>&gt;</w:t>
      </w:r>
      <w:r>
        <w:rPr>
          <w:rFonts w:hint="eastAsia"/>
          <w:color w:val="auto"/>
        </w:rPr>
        <w:t>的通知》（财资〔2022〕136号，2022年11月21日起施行）</w:t>
      </w:r>
    </w:p>
    <w:p w14:paraId="6E491FBC">
      <w:pPr>
        <w:ind w:firstLine="200"/>
        <w:rPr>
          <w:rFonts w:hint="eastAsia"/>
          <w:color w:val="auto"/>
        </w:rPr>
      </w:pPr>
      <w:r>
        <w:rPr>
          <w:rFonts w:hint="eastAsia"/>
          <w:color w:val="auto"/>
        </w:rPr>
        <w:t>《国家矿山安全监察局关于印发</w:t>
      </w:r>
      <w:r>
        <w:rPr>
          <w:rFonts w:hint="eastAsia" w:ascii="宋体" w:hAnsi="宋体" w:eastAsia="宋体" w:cs="宋体"/>
          <w:color w:val="auto"/>
        </w:rPr>
        <w:t>&lt;</w:t>
      </w:r>
      <w:r>
        <w:rPr>
          <w:rFonts w:hint="eastAsia"/>
          <w:color w:val="auto"/>
        </w:rPr>
        <w:t>矿山生产安全事故报告和调查处理办法</w:t>
      </w:r>
      <w:r>
        <w:rPr>
          <w:rFonts w:hint="eastAsia" w:ascii="宋体" w:hAnsi="宋体" w:eastAsia="宋体" w:cs="宋体"/>
          <w:color w:val="auto"/>
        </w:rPr>
        <w:t>&gt;</w:t>
      </w:r>
      <w:r>
        <w:rPr>
          <w:rFonts w:hint="eastAsia"/>
          <w:color w:val="auto"/>
        </w:rPr>
        <w:t>的通知》（矿安〔2023〕7号，2023年1月17日发布）</w:t>
      </w:r>
    </w:p>
    <w:p w14:paraId="1BDFA5A8">
      <w:pPr>
        <w:ind w:firstLine="200"/>
        <w:rPr>
          <w:rFonts w:hint="eastAsia"/>
          <w:color w:val="auto"/>
        </w:rPr>
      </w:pPr>
      <w:r>
        <w:rPr>
          <w:rFonts w:hint="eastAsia"/>
          <w:color w:val="auto"/>
        </w:rPr>
        <w:t>《国家矿山安全监察局关于做好非煤矿山灾害情况发生重大变化及时报告和出现事故征兆等紧急情况及时撤人工作的通知》（矿安〔2023〕60号，2023年6月21日发布）</w:t>
      </w:r>
    </w:p>
    <w:p w14:paraId="1EDFDC0B">
      <w:pPr>
        <w:ind w:firstLine="200"/>
        <w:rPr>
          <w:rFonts w:hint="eastAsia"/>
          <w:color w:val="auto"/>
        </w:rPr>
      </w:pPr>
      <w:r>
        <w:rPr>
          <w:rFonts w:hint="eastAsia"/>
          <w:color w:val="auto"/>
        </w:rPr>
        <w:t>《中共中央办公厅国务院办公厅关于进一步加强矿山安全生产工作的意见》（厅字〔2023〕21号，2023年8月25日起施行）</w:t>
      </w:r>
    </w:p>
    <w:p w14:paraId="25BE2F17">
      <w:pPr>
        <w:ind w:firstLine="200"/>
        <w:rPr>
          <w:rFonts w:hint="eastAsia"/>
          <w:color w:val="auto"/>
        </w:rPr>
      </w:pPr>
      <w:r>
        <w:rPr>
          <w:rFonts w:hint="eastAsia"/>
          <w:color w:val="auto"/>
        </w:rPr>
        <w:t>《国家矿山安全监察局关于印发</w:t>
      </w:r>
      <w:r>
        <w:rPr>
          <w:rFonts w:hint="eastAsia" w:ascii="宋体" w:hAnsi="宋体" w:eastAsia="宋体" w:cs="宋体"/>
          <w:color w:val="auto"/>
        </w:rPr>
        <w:t>&lt;</w:t>
      </w:r>
      <w:r>
        <w:rPr>
          <w:rFonts w:hint="eastAsia"/>
          <w:color w:val="auto"/>
        </w:rPr>
        <w:t>防范非煤矿山典型多发事故六十条措施</w:t>
      </w:r>
      <w:r>
        <w:rPr>
          <w:rFonts w:hint="eastAsia" w:ascii="宋体" w:hAnsi="宋体" w:eastAsia="宋体" w:cs="宋体"/>
          <w:color w:val="auto"/>
        </w:rPr>
        <w:t>&gt;</w:t>
      </w:r>
      <w:r>
        <w:rPr>
          <w:rFonts w:hint="eastAsia"/>
          <w:color w:val="auto"/>
        </w:rPr>
        <w:t>的通知》（矿安〔2023〕124号，2023年9月12日发布）</w:t>
      </w:r>
    </w:p>
    <w:p w14:paraId="19FE9FFF">
      <w:pPr>
        <w:ind w:firstLine="200"/>
        <w:rPr>
          <w:rFonts w:hint="eastAsia"/>
          <w:color w:val="auto"/>
        </w:rPr>
      </w:pPr>
      <w:r>
        <w:rPr>
          <w:rFonts w:hint="eastAsia"/>
          <w:color w:val="auto"/>
        </w:rPr>
        <w:t>《国家矿山安全监察局关于深化矿山重大事故隐患专项排查整治 2023行动的通知》（矿安〔2023〕130号，2023年9月28日发布）</w:t>
      </w:r>
    </w:p>
    <w:p w14:paraId="74359326">
      <w:pPr>
        <w:ind w:firstLine="200"/>
        <w:rPr>
          <w:rFonts w:hint="eastAsia" w:eastAsia="宋体"/>
          <w:color w:val="auto"/>
          <w:lang w:eastAsia="zh-CN"/>
        </w:rPr>
      </w:pPr>
      <w:r>
        <w:rPr>
          <w:rFonts w:hint="eastAsia"/>
          <w:color w:val="auto"/>
          <w:lang w:eastAsia="zh-CN"/>
        </w:rPr>
        <w:t>《</w:t>
      </w:r>
      <w:r>
        <w:rPr>
          <w:rFonts w:hint="eastAsia"/>
          <w:color w:val="auto"/>
        </w:rPr>
        <w:t>国务院安全生产委员会印发</w:t>
      </w:r>
      <w:r>
        <w:rPr>
          <w:rFonts w:hint="eastAsia" w:ascii="宋体" w:hAnsi="宋体" w:eastAsia="宋体" w:cs="宋体"/>
          <w:color w:val="auto"/>
          <w:lang w:val="en-US" w:eastAsia="zh-CN"/>
        </w:rPr>
        <w:t>&lt;</w:t>
      </w:r>
      <w:r>
        <w:rPr>
          <w:rFonts w:hint="eastAsia"/>
          <w:color w:val="auto"/>
        </w:rPr>
        <w:t>关于防范遏制矿山领域重特大生产安全事故的硬措施</w:t>
      </w:r>
      <w:r>
        <w:rPr>
          <w:rFonts w:hint="eastAsia" w:ascii="宋体" w:hAnsi="宋体" w:eastAsia="宋体" w:cs="宋体"/>
          <w:color w:val="auto"/>
          <w:lang w:val="en-US" w:eastAsia="zh-CN"/>
        </w:rPr>
        <w:t>&gt;</w:t>
      </w:r>
      <w:r>
        <w:rPr>
          <w:rFonts w:hint="eastAsia"/>
          <w:color w:val="auto"/>
        </w:rPr>
        <w:t>的通知</w:t>
      </w:r>
      <w:r>
        <w:rPr>
          <w:rFonts w:hint="eastAsia"/>
          <w:color w:val="auto"/>
          <w:lang w:eastAsia="zh-CN"/>
        </w:rPr>
        <w:t>》（</w:t>
      </w:r>
      <w:r>
        <w:rPr>
          <w:rFonts w:hint="eastAsia"/>
          <w:color w:val="auto"/>
          <w:lang w:val="en-US" w:eastAsia="zh-CN"/>
        </w:rPr>
        <w:t>安委</w:t>
      </w:r>
      <w:r>
        <w:rPr>
          <w:rFonts w:hint="eastAsia"/>
          <w:color w:val="auto"/>
        </w:rPr>
        <w:t>〔2024〕</w:t>
      </w:r>
      <w:r>
        <w:rPr>
          <w:rFonts w:hint="eastAsia"/>
          <w:color w:val="auto"/>
          <w:lang w:val="en-US" w:eastAsia="zh-CN"/>
        </w:rPr>
        <w:t>1</w:t>
      </w:r>
      <w:r>
        <w:rPr>
          <w:rFonts w:hint="eastAsia"/>
          <w:color w:val="auto"/>
        </w:rPr>
        <w:t>号</w:t>
      </w:r>
      <w:r>
        <w:rPr>
          <w:rFonts w:hint="eastAsia"/>
          <w:color w:val="auto"/>
          <w:lang w:eastAsia="zh-CN"/>
        </w:rPr>
        <w:t>，</w:t>
      </w:r>
      <w:r>
        <w:rPr>
          <w:rFonts w:hint="eastAsia"/>
          <w:color w:val="auto"/>
        </w:rPr>
        <w:t>2024年1月19日起施行</w:t>
      </w:r>
      <w:r>
        <w:rPr>
          <w:rFonts w:hint="eastAsia"/>
          <w:color w:val="auto"/>
          <w:lang w:eastAsia="zh-CN"/>
        </w:rPr>
        <w:t>）</w:t>
      </w:r>
    </w:p>
    <w:p w14:paraId="5A10C35C">
      <w:pPr>
        <w:ind w:firstLine="200"/>
        <w:rPr>
          <w:rFonts w:hint="eastAsia" w:eastAsia="宋体"/>
          <w:color w:val="auto"/>
          <w:lang w:eastAsia="zh-CN"/>
        </w:rPr>
      </w:pPr>
      <w:r>
        <w:rPr>
          <w:rFonts w:hint="eastAsia"/>
          <w:color w:val="auto"/>
        </w:rPr>
        <w:t>《突发事件应急预案管理办法》</w:t>
      </w:r>
      <w:r>
        <w:rPr>
          <w:rFonts w:hint="eastAsia"/>
          <w:color w:val="auto"/>
          <w:lang w:eastAsia="zh-CN"/>
        </w:rPr>
        <w:t>（</w:t>
      </w:r>
      <w:r>
        <w:rPr>
          <w:rFonts w:hint="eastAsia"/>
          <w:color w:val="auto"/>
        </w:rPr>
        <w:t>国办发〔2024〕5号</w:t>
      </w:r>
      <w:r>
        <w:rPr>
          <w:rFonts w:hint="eastAsia"/>
          <w:color w:val="auto"/>
          <w:lang w:eastAsia="zh-CN"/>
        </w:rPr>
        <w:t>，</w:t>
      </w:r>
      <w:r>
        <w:rPr>
          <w:rFonts w:hint="eastAsia"/>
          <w:color w:val="auto"/>
        </w:rPr>
        <w:t>2024年</w:t>
      </w:r>
      <w:r>
        <w:rPr>
          <w:rFonts w:hint="eastAsia"/>
          <w:color w:val="auto"/>
          <w:lang w:val="en-US" w:eastAsia="zh-CN"/>
        </w:rPr>
        <w:t>1</w:t>
      </w:r>
      <w:r>
        <w:rPr>
          <w:rFonts w:hint="eastAsia"/>
          <w:color w:val="auto"/>
        </w:rPr>
        <w:t>月</w:t>
      </w:r>
      <w:r>
        <w:rPr>
          <w:rFonts w:hint="eastAsia"/>
          <w:color w:val="auto"/>
          <w:lang w:val="en-US" w:eastAsia="zh-CN"/>
        </w:rPr>
        <w:t>31</w:t>
      </w:r>
      <w:r>
        <w:rPr>
          <w:rFonts w:hint="eastAsia"/>
          <w:color w:val="auto"/>
        </w:rPr>
        <w:t>日起施行</w:t>
      </w:r>
      <w:r>
        <w:rPr>
          <w:rFonts w:hint="eastAsia"/>
          <w:color w:val="auto"/>
          <w:lang w:eastAsia="zh-CN"/>
        </w:rPr>
        <w:t>）</w:t>
      </w:r>
    </w:p>
    <w:p w14:paraId="78CEAE30">
      <w:pPr>
        <w:ind w:firstLine="200"/>
        <w:rPr>
          <w:rFonts w:hint="eastAsia"/>
          <w:color w:val="auto"/>
        </w:rPr>
      </w:pPr>
      <w:r>
        <w:rPr>
          <w:rFonts w:hint="eastAsia"/>
          <w:color w:val="auto"/>
        </w:rPr>
        <w:t>《国家矿山安全监察局关于印发</w:t>
      </w:r>
      <w:r>
        <w:rPr>
          <w:rFonts w:hint="eastAsia" w:ascii="宋体" w:hAnsi="宋体" w:eastAsia="宋体" w:cs="宋体"/>
          <w:color w:val="auto"/>
        </w:rPr>
        <w:t>&lt;</w:t>
      </w:r>
      <w:r>
        <w:rPr>
          <w:rFonts w:hint="eastAsia"/>
          <w:color w:val="auto"/>
        </w:rPr>
        <w:t>金属非金属矿山重大事故隐患判定标准补充情形</w:t>
      </w:r>
      <w:r>
        <w:rPr>
          <w:rFonts w:hint="eastAsia" w:ascii="宋体" w:hAnsi="宋体" w:eastAsia="宋体" w:cs="宋体"/>
          <w:color w:val="auto"/>
        </w:rPr>
        <w:t>&gt;</w:t>
      </w:r>
      <w:r>
        <w:rPr>
          <w:rFonts w:hint="eastAsia"/>
          <w:color w:val="auto"/>
        </w:rPr>
        <w:t>的通知》（矿安〔2024〕41号，2024年4月23日起施行）</w:t>
      </w:r>
    </w:p>
    <w:p w14:paraId="7073B7AB">
      <w:pPr>
        <w:ind w:firstLine="200"/>
        <w:rPr>
          <w:rFonts w:hint="eastAsia"/>
          <w:color w:val="auto"/>
        </w:rPr>
      </w:pPr>
      <w:r>
        <w:rPr>
          <w:rFonts w:hint="eastAsia"/>
          <w:color w:val="auto"/>
        </w:rPr>
        <w:t>《关于印发2024年矿山安全先进适用技术及装备推广目录与落后工艺及设备淘汰目录的通知》（矿安〔2024〕68号</w:t>
      </w:r>
      <w:r>
        <w:rPr>
          <w:rFonts w:hint="eastAsia"/>
          <w:color w:val="auto"/>
          <w:lang w:eastAsia="zh-CN"/>
        </w:rPr>
        <w:t>，2024年6月17日</w:t>
      </w:r>
      <w:r>
        <w:rPr>
          <w:rFonts w:hint="eastAsia"/>
          <w:color w:val="auto"/>
        </w:rPr>
        <w:t>起施行）</w:t>
      </w:r>
    </w:p>
    <w:p w14:paraId="17462BDE">
      <w:pPr>
        <w:ind w:firstLine="200"/>
        <w:rPr>
          <w:rFonts w:hint="eastAsia"/>
          <w:color w:val="auto"/>
          <w:lang w:eastAsia="zh-CN"/>
        </w:rPr>
      </w:pPr>
      <w:r>
        <w:rPr>
          <w:rFonts w:hint="eastAsia"/>
          <w:color w:val="auto"/>
          <w:lang w:eastAsia="zh-CN"/>
        </w:rPr>
        <w:t>《国家矿山安全监察局关于进一步加强非煤矿山安全生产行政许可工作的通知》（</w:t>
      </w:r>
      <w:r>
        <w:rPr>
          <w:rFonts w:hint="eastAsia"/>
          <w:color w:val="auto"/>
        </w:rPr>
        <w:t>矿安〔2024〕</w:t>
      </w:r>
      <w:r>
        <w:rPr>
          <w:rFonts w:hint="eastAsia"/>
          <w:color w:val="auto"/>
          <w:lang w:val="en-US" w:eastAsia="zh-CN"/>
        </w:rPr>
        <w:t>70</w:t>
      </w:r>
      <w:r>
        <w:rPr>
          <w:rFonts w:hint="eastAsia"/>
          <w:color w:val="auto"/>
        </w:rPr>
        <w:t>号，2024年6月28日起施行</w:t>
      </w:r>
      <w:r>
        <w:rPr>
          <w:rFonts w:hint="eastAsia"/>
          <w:color w:val="auto"/>
          <w:lang w:eastAsia="zh-CN"/>
        </w:rPr>
        <w:t>）</w:t>
      </w:r>
    </w:p>
    <w:p w14:paraId="0799D775">
      <w:pPr>
        <w:ind w:firstLine="880"/>
        <w:rPr>
          <w:rFonts w:hint="default" w:ascii="Times New Roman" w:hAnsi="Times New Roman" w:eastAsia="宋体" w:cs="Times New Roman"/>
          <w:color w:val="auto"/>
          <w:lang w:val="en-US" w:eastAsia="zh-CN"/>
        </w:rPr>
      </w:pPr>
      <w:r>
        <w:rPr>
          <w:rFonts w:hint="eastAsia" w:cs="Times New Roman"/>
          <w:color w:val="auto"/>
          <w:lang w:val="en-US" w:eastAsia="zh-CN"/>
        </w:rPr>
        <w:t>《关于印发</w:t>
      </w:r>
      <w:r>
        <w:rPr>
          <w:rFonts w:hint="eastAsia" w:ascii="宋体" w:hAnsi="宋体" w:eastAsia="宋体" w:cs="宋体"/>
          <w:color w:val="auto"/>
          <w:lang w:val="en-US" w:eastAsia="zh-CN"/>
        </w:rPr>
        <w:t>&lt;</w:t>
      </w:r>
      <w:r>
        <w:rPr>
          <w:rFonts w:hint="eastAsia" w:cs="Times New Roman"/>
          <w:color w:val="auto"/>
          <w:lang w:val="en-US" w:eastAsia="zh-CN"/>
        </w:rPr>
        <w:t>安全生产责任保险实施办法</w:t>
      </w:r>
      <w:r>
        <w:rPr>
          <w:rFonts w:hint="eastAsia" w:ascii="宋体" w:hAnsi="宋体" w:eastAsia="宋体" w:cs="宋体"/>
          <w:color w:val="auto"/>
          <w:lang w:val="en-US" w:eastAsia="zh-CN"/>
        </w:rPr>
        <w:t>&gt;</w:t>
      </w:r>
      <w:r>
        <w:rPr>
          <w:rFonts w:hint="eastAsia" w:cs="Times New Roman"/>
          <w:color w:val="auto"/>
          <w:lang w:val="en-US" w:eastAsia="zh-CN"/>
        </w:rPr>
        <w:t>的通知》（应急</w:t>
      </w:r>
      <w:r>
        <w:rPr>
          <w:rFonts w:hint="eastAsia" w:ascii="Times New Roman" w:hAnsi="Times New Roman" w:eastAsia="宋体" w:cs="Times New Roman"/>
          <w:color w:val="auto"/>
          <w:lang w:val="en-US" w:eastAsia="zh-CN"/>
        </w:rPr>
        <w:t>〔</w:t>
      </w:r>
      <w:r>
        <w:rPr>
          <w:rFonts w:hint="eastAsia" w:cs="Times New Roman"/>
          <w:color w:val="auto"/>
          <w:lang w:val="en-US" w:eastAsia="zh-CN"/>
        </w:rPr>
        <w:t>2025</w:t>
      </w:r>
      <w:r>
        <w:rPr>
          <w:rFonts w:hint="eastAsia" w:ascii="Times New Roman" w:hAnsi="Times New Roman" w:eastAsia="宋体" w:cs="Times New Roman"/>
          <w:color w:val="auto"/>
          <w:lang w:val="en-US" w:eastAsia="zh-CN"/>
        </w:rPr>
        <w:t>〕</w:t>
      </w:r>
      <w:r>
        <w:rPr>
          <w:rFonts w:hint="eastAsia" w:cs="Times New Roman"/>
          <w:color w:val="auto"/>
          <w:lang w:val="en-US" w:eastAsia="zh-CN"/>
        </w:rPr>
        <w:t>27号，2025年3月29日</w:t>
      </w:r>
      <w:r>
        <w:rPr>
          <w:rFonts w:hint="eastAsia" w:ascii="Times New Roman" w:hAnsi="Times New Roman" w:eastAsia="宋体" w:cs="Times New Roman"/>
          <w:color w:val="auto"/>
          <w:lang w:val="en-US" w:eastAsia="zh-CN"/>
        </w:rPr>
        <w:t>起施行</w:t>
      </w:r>
      <w:r>
        <w:rPr>
          <w:rFonts w:hint="eastAsia" w:cs="Times New Roman"/>
          <w:color w:val="auto"/>
          <w:lang w:val="en-US" w:eastAsia="zh-CN"/>
        </w:rPr>
        <w:t>）</w:t>
      </w:r>
    </w:p>
    <w:p w14:paraId="488E56EB">
      <w:pPr>
        <w:ind w:firstLine="200"/>
        <w:rPr>
          <w:rFonts w:hint="eastAsia"/>
          <w:color w:val="auto"/>
        </w:rPr>
      </w:pPr>
      <w:r>
        <w:rPr>
          <w:rFonts w:hint="eastAsia"/>
          <w:color w:val="auto"/>
        </w:rPr>
        <w:t>《江西省人民政府关于进一步加强企业安全生产工作的实施意见》（赣府发〔2010〕32号，2010年11月9日发布）</w:t>
      </w:r>
    </w:p>
    <w:p w14:paraId="2CD30792">
      <w:pPr>
        <w:ind w:firstLine="200"/>
        <w:rPr>
          <w:rFonts w:hint="eastAsia"/>
          <w:color w:val="auto"/>
        </w:rPr>
      </w:pPr>
      <w:r>
        <w:rPr>
          <w:rFonts w:hint="eastAsia"/>
          <w:color w:val="auto"/>
        </w:rPr>
        <w:t>《关于切实加强金属非金属地下矿山安全避险“六大系统”建设的通知》（赣安监管一字〔2011〕301号）</w:t>
      </w:r>
    </w:p>
    <w:p w14:paraId="08690698">
      <w:pPr>
        <w:ind w:firstLine="200"/>
        <w:rPr>
          <w:rFonts w:hint="eastAsia"/>
          <w:color w:val="auto"/>
        </w:rPr>
      </w:pPr>
      <w:r>
        <w:rPr>
          <w:rFonts w:hint="eastAsia"/>
          <w:color w:val="auto"/>
        </w:rPr>
        <w:t>《江西省安监局关于进一步规范我省非煤矿山“六加一系统”建设行为的通知》（赣安监管一字〔2013〕21号）</w:t>
      </w:r>
    </w:p>
    <w:p w14:paraId="3F627513">
      <w:pPr>
        <w:ind w:firstLine="200"/>
        <w:rPr>
          <w:rFonts w:hint="eastAsia"/>
          <w:color w:val="auto"/>
        </w:rPr>
      </w:pPr>
      <w:r>
        <w:rPr>
          <w:rFonts w:hint="eastAsia"/>
          <w:color w:val="auto"/>
        </w:rPr>
        <w:t>《江西省安监局关于规范建设项目安全设施“三同时”若干问题的试行意见》（赣安监管政法字〔2014〕136号）</w:t>
      </w:r>
    </w:p>
    <w:p w14:paraId="310452CE">
      <w:pPr>
        <w:ind w:firstLine="200"/>
        <w:rPr>
          <w:rFonts w:hint="eastAsia"/>
          <w:color w:val="auto"/>
        </w:rPr>
      </w:pPr>
      <w:r>
        <w:rPr>
          <w:rFonts w:hint="eastAsia"/>
          <w:color w:val="auto"/>
        </w:rPr>
        <w:t>《江西省安委会办公室关于印发江西省安全风险分级管控体系建设通用指南的通知》（赣安办字〔2016〕55号）</w:t>
      </w:r>
    </w:p>
    <w:p w14:paraId="2E2B28EA">
      <w:pPr>
        <w:ind w:firstLine="200"/>
        <w:rPr>
          <w:rFonts w:hint="eastAsia"/>
          <w:color w:val="auto"/>
        </w:rPr>
      </w:pPr>
      <w:r>
        <w:rPr>
          <w:rFonts w:hint="eastAsia"/>
          <w:color w:val="auto"/>
        </w:rPr>
        <w:t>《江西省安监局关于印发江西省非煤矿山领域防范遏制重特大事故工作方案的通知》（赣安监管一字〔2016〕70号）</w:t>
      </w:r>
    </w:p>
    <w:p w14:paraId="1F077CE2">
      <w:pPr>
        <w:ind w:firstLine="200"/>
        <w:rPr>
          <w:rFonts w:hint="eastAsia"/>
          <w:color w:val="auto"/>
        </w:rPr>
      </w:pPr>
      <w:r>
        <w:rPr>
          <w:rFonts w:hint="eastAsia"/>
          <w:color w:val="auto"/>
        </w:rPr>
        <w:t>《江西省安全生产委员会关于在全省高危行业领域实施安全生产责任保险制度的指导意见》（赣安〔2017〕22号）</w:t>
      </w:r>
    </w:p>
    <w:p w14:paraId="4E4932A3">
      <w:pPr>
        <w:ind w:firstLine="200"/>
        <w:rPr>
          <w:rFonts w:hint="eastAsia"/>
          <w:color w:val="auto"/>
        </w:rPr>
      </w:pPr>
      <w:r>
        <w:rPr>
          <w:rFonts w:hint="eastAsia"/>
          <w:color w:val="auto"/>
        </w:rPr>
        <w:t>《江西省安全生产委员会关于印发</w:t>
      </w:r>
      <w:r>
        <w:rPr>
          <w:rFonts w:hint="eastAsia" w:ascii="宋体" w:hAnsi="宋体" w:eastAsia="宋体" w:cs="宋体"/>
          <w:color w:val="auto"/>
          <w:lang w:val="en-US" w:eastAsia="zh-CN"/>
        </w:rPr>
        <w:t>&lt;</w:t>
      </w:r>
      <w:r>
        <w:rPr>
          <w:rFonts w:hint="eastAsia"/>
          <w:color w:val="auto"/>
        </w:rPr>
        <w:t>江西省企业安全生产标准化建设指导意见</w:t>
      </w:r>
      <w:r>
        <w:rPr>
          <w:rFonts w:hint="eastAsia" w:ascii="宋体" w:hAnsi="宋体" w:eastAsia="宋体" w:cs="宋体"/>
          <w:color w:val="auto"/>
          <w:lang w:val="en-US" w:eastAsia="zh-CN"/>
        </w:rPr>
        <w:t>&gt;</w:t>
      </w:r>
      <w:r>
        <w:rPr>
          <w:rFonts w:hint="eastAsia"/>
          <w:color w:val="auto"/>
        </w:rPr>
        <w:t>的通知》（赣安〔2018〕14号）</w:t>
      </w:r>
    </w:p>
    <w:p w14:paraId="069994D9">
      <w:pPr>
        <w:ind w:firstLine="200"/>
        <w:rPr>
          <w:rFonts w:hint="eastAsia"/>
          <w:color w:val="auto"/>
        </w:rPr>
      </w:pPr>
      <w:r>
        <w:rPr>
          <w:rFonts w:hint="eastAsia"/>
          <w:color w:val="auto"/>
        </w:rPr>
        <w:t>《关于印发江西省高危行业领域企业安全技能提升行动计划实施方案的通知》（赣应急字〔2020〕54号）</w:t>
      </w:r>
    </w:p>
    <w:p w14:paraId="5F8BF5B6">
      <w:pPr>
        <w:ind w:firstLine="200"/>
        <w:rPr>
          <w:rFonts w:hint="eastAsia" w:eastAsia="宋体"/>
          <w:color w:val="auto"/>
          <w:lang w:eastAsia="zh-CN"/>
        </w:rPr>
      </w:pPr>
      <w:r>
        <w:rPr>
          <w:rFonts w:hint="eastAsia"/>
          <w:color w:val="auto"/>
        </w:rPr>
        <w:t>《江西省应急管理厅关于印发江西省企业安全生产标准化建设定级实施办法的通知》</w:t>
      </w:r>
      <w:r>
        <w:rPr>
          <w:rFonts w:hint="eastAsia"/>
          <w:color w:val="auto"/>
          <w:lang w:eastAsia="zh-CN"/>
        </w:rPr>
        <w:t>（</w:t>
      </w:r>
      <w:r>
        <w:rPr>
          <w:rFonts w:hint="eastAsia"/>
          <w:color w:val="auto"/>
        </w:rPr>
        <w:t>赣应急字〔202</w:t>
      </w:r>
      <w:r>
        <w:rPr>
          <w:rFonts w:hint="eastAsia"/>
          <w:color w:val="auto"/>
          <w:lang w:val="en-US" w:eastAsia="zh-CN"/>
        </w:rPr>
        <w:t>4</w:t>
      </w:r>
      <w:r>
        <w:rPr>
          <w:rFonts w:hint="eastAsia"/>
          <w:color w:val="auto"/>
        </w:rPr>
        <w:t>〕</w:t>
      </w:r>
      <w:r>
        <w:rPr>
          <w:rFonts w:hint="eastAsia"/>
          <w:color w:val="auto"/>
          <w:lang w:val="en-US" w:eastAsia="zh-CN"/>
        </w:rPr>
        <w:t>116</w:t>
      </w:r>
      <w:r>
        <w:rPr>
          <w:rFonts w:hint="eastAsia"/>
          <w:color w:val="auto"/>
        </w:rPr>
        <w:t>号，2024年12月27日发布</w:t>
      </w:r>
      <w:r>
        <w:rPr>
          <w:rFonts w:hint="eastAsia"/>
          <w:color w:val="auto"/>
          <w:lang w:eastAsia="zh-CN"/>
        </w:rPr>
        <w:t>）</w:t>
      </w:r>
    </w:p>
    <w:p w14:paraId="0FD6BB31">
      <w:pPr>
        <w:ind w:firstLine="200"/>
        <w:rPr>
          <w:rFonts w:hint="eastAsia"/>
          <w:color w:val="auto"/>
          <w:lang w:eastAsia="zh-CN"/>
        </w:rPr>
      </w:pPr>
      <w:r>
        <w:rPr>
          <w:rFonts w:hint="eastAsia"/>
          <w:color w:val="auto"/>
        </w:rPr>
        <w:t>《江西省安委会办公室关于推动生产经营单位构建安全风险分级管控和隐患排查治理双重预防机制的指导意见》（赣安办字〔2023〕26号，2023年3月3日发布</w:t>
      </w:r>
      <w:r>
        <w:rPr>
          <w:rFonts w:hint="eastAsia"/>
          <w:color w:val="auto"/>
          <w:lang w:eastAsia="zh-CN"/>
        </w:rPr>
        <w:t>）</w:t>
      </w:r>
    </w:p>
    <w:p w14:paraId="6E89CA00">
      <w:pPr>
        <w:ind w:firstLine="200"/>
        <w:rPr>
          <w:rFonts w:hint="eastAsia"/>
          <w:color w:val="auto"/>
          <w:lang w:eastAsia="zh-CN"/>
        </w:rPr>
      </w:pPr>
      <w:r>
        <w:rPr>
          <w:rFonts w:hint="eastAsia"/>
          <w:color w:val="auto"/>
          <w:lang w:eastAsia="zh-CN"/>
        </w:rPr>
        <w:t>《江西省应急管理厅关于进一步加强非煤矿矿山建设项目安全设施设计审查和基建监督管理的通知》（赣应急字〔2023〕108号，2023年10月27日</w:t>
      </w:r>
      <w:r>
        <w:rPr>
          <w:rFonts w:hint="eastAsia"/>
          <w:color w:val="auto"/>
          <w:lang w:val="en-US" w:eastAsia="zh-CN"/>
        </w:rPr>
        <w:t>发布</w:t>
      </w:r>
      <w:r>
        <w:rPr>
          <w:rFonts w:hint="eastAsia"/>
          <w:color w:val="auto"/>
          <w:lang w:eastAsia="zh-CN"/>
        </w:rPr>
        <w:t>）</w:t>
      </w:r>
    </w:p>
    <w:p w14:paraId="0132D4EC">
      <w:pPr>
        <w:keepNext/>
        <w:keepLines/>
        <w:widowControl w:val="0"/>
        <w:bidi w:val="0"/>
        <w:spacing w:beforeAutospacing="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73" w:name="_Toc25088"/>
      <w:bookmarkStart w:id="74" w:name="_Toc20609"/>
      <w:bookmarkStart w:id="75" w:name="_Toc25281"/>
      <w:bookmarkStart w:id="76" w:name="_Toc4800"/>
      <w:bookmarkStart w:id="77" w:name="_Toc2888"/>
      <w:bookmarkStart w:id="78" w:name="_Toc13154"/>
      <w:bookmarkStart w:id="79" w:name="_Toc23807"/>
      <w:bookmarkStart w:id="80" w:name="_Toc4691"/>
      <w:bookmarkStart w:id="81" w:name="_Toc12503"/>
      <w:bookmarkStart w:id="82" w:name="_Toc1928"/>
      <w:bookmarkStart w:id="83" w:name="_Toc14363"/>
      <w:r>
        <w:rPr>
          <w:rFonts w:hint="eastAsia" w:ascii="Times New Roman" w:hAnsi="Times New Roman" w:eastAsia="黑体" w:cs="Times New Roman"/>
          <w:b/>
          <w:color w:val="auto"/>
          <w:kern w:val="2"/>
          <w:sz w:val="28"/>
          <w:szCs w:val="24"/>
          <w:lang w:val="en-US" w:eastAsia="zh-CN" w:bidi="ar-SA"/>
        </w:rPr>
        <w:t>1.2.</w:t>
      </w:r>
      <w:r>
        <w:rPr>
          <w:rFonts w:hint="eastAsia" w:eastAsia="黑体" w:cs="Times New Roman"/>
          <w:b/>
          <w:color w:val="auto"/>
          <w:kern w:val="2"/>
          <w:sz w:val="28"/>
          <w:szCs w:val="24"/>
          <w:lang w:val="en-US" w:eastAsia="zh-CN" w:bidi="ar-SA"/>
        </w:rPr>
        <w:t>7</w:t>
      </w:r>
      <w:r>
        <w:rPr>
          <w:rFonts w:hint="eastAsia" w:ascii="Times New Roman" w:hAnsi="Times New Roman" w:eastAsia="黑体" w:cs="Times New Roman"/>
          <w:b/>
          <w:color w:val="auto"/>
          <w:kern w:val="2"/>
          <w:sz w:val="28"/>
          <w:szCs w:val="24"/>
          <w:lang w:val="en-US" w:eastAsia="zh-CN" w:bidi="ar-SA"/>
        </w:rPr>
        <w:t xml:space="preserve"> 标准、规范</w:t>
      </w:r>
      <w:bookmarkEnd w:id="73"/>
      <w:bookmarkEnd w:id="74"/>
      <w:bookmarkEnd w:id="75"/>
      <w:bookmarkEnd w:id="76"/>
      <w:bookmarkEnd w:id="77"/>
      <w:bookmarkEnd w:id="78"/>
      <w:bookmarkEnd w:id="79"/>
      <w:bookmarkEnd w:id="80"/>
      <w:bookmarkEnd w:id="81"/>
      <w:bookmarkEnd w:id="82"/>
      <w:bookmarkEnd w:id="83"/>
    </w:p>
    <w:p w14:paraId="5DBE10AE">
      <w:pPr>
        <w:ind w:firstLine="200"/>
        <w:rPr>
          <w:rFonts w:hint="eastAsia"/>
          <w:color w:val="auto"/>
        </w:rPr>
      </w:pPr>
      <w:r>
        <w:rPr>
          <w:rFonts w:hint="eastAsia"/>
          <w:color w:val="auto"/>
        </w:rPr>
        <w:t xml:space="preserve">《企业职工伤亡事故分类》   </w:t>
      </w:r>
      <w:r>
        <w:rPr>
          <w:rFonts w:hint="eastAsia" w:ascii="Times New Roman" w:eastAsia="宋体"/>
          <w:color w:val="auto"/>
          <w:lang w:val="en-US" w:eastAsia="zh-CN"/>
        </w:rPr>
        <w:t xml:space="preserve">           </w:t>
      </w:r>
      <w:r>
        <w:rPr>
          <w:rFonts w:hint="eastAsia"/>
          <w:color w:val="auto"/>
        </w:rPr>
        <w:t xml:space="preserve">            GB6441-1986</w:t>
      </w:r>
    </w:p>
    <w:p w14:paraId="521DA976">
      <w:pPr>
        <w:ind w:firstLine="200"/>
        <w:rPr>
          <w:rFonts w:hint="eastAsia"/>
          <w:color w:val="auto"/>
        </w:rPr>
      </w:pPr>
      <w:r>
        <w:rPr>
          <w:rFonts w:hint="eastAsia"/>
          <w:color w:val="auto"/>
        </w:rPr>
        <w:t>《焊接与切割安全》                                GB9448-1999</w:t>
      </w:r>
    </w:p>
    <w:p w14:paraId="767A5E16">
      <w:pPr>
        <w:ind w:firstLine="200"/>
        <w:rPr>
          <w:rFonts w:hint="eastAsia"/>
          <w:color w:val="auto"/>
        </w:rPr>
      </w:pPr>
      <w:r>
        <w:rPr>
          <w:rFonts w:hint="eastAsia"/>
          <w:color w:val="auto"/>
        </w:rPr>
        <w:t>《建筑灭火器配置设计规范》                       GB50140-2005</w:t>
      </w:r>
    </w:p>
    <w:p w14:paraId="437D554A">
      <w:pPr>
        <w:ind w:firstLine="200"/>
        <w:rPr>
          <w:rFonts w:hint="eastAsia"/>
          <w:color w:val="auto"/>
        </w:rPr>
      </w:pPr>
      <w:r>
        <w:rPr>
          <w:rFonts w:hint="eastAsia"/>
          <w:color w:val="auto"/>
        </w:rPr>
        <w:t>《安全标志及其使用导则》                          GB2894-2008</w:t>
      </w:r>
    </w:p>
    <w:p w14:paraId="4D58BD86">
      <w:pPr>
        <w:ind w:firstLine="200"/>
        <w:rPr>
          <w:rFonts w:hint="eastAsia"/>
          <w:color w:val="auto"/>
        </w:rPr>
      </w:pPr>
      <w:r>
        <w:rPr>
          <w:rFonts w:hint="eastAsia"/>
          <w:color w:val="auto"/>
        </w:rPr>
        <w:t>《工业企业厂界环境噪声排放标准》                 GB12348-2008</w:t>
      </w:r>
    </w:p>
    <w:p w14:paraId="4407830B">
      <w:pPr>
        <w:ind w:firstLine="200"/>
        <w:rPr>
          <w:rFonts w:hint="eastAsia"/>
          <w:color w:val="auto"/>
        </w:rPr>
      </w:pPr>
      <w:r>
        <w:rPr>
          <w:rFonts w:hint="eastAsia"/>
          <w:color w:val="auto"/>
        </w:rPr>
        <w:t xml:space="preserve">《供配电系统设计规范》               </w:t>
      </w:r>
      <w:r>
        <w:rPr>
          <w:rFonts w:hint="eastAsia"/>
          <w:color w:val="auto"/>
          <w:lang w:val="en-US" w:eastAsia="zh-CN"/>
        </w:rPr>
        <w:t xml:space="preserve">     </w:t>
      </w:r>
      <w:r>
        <w:rPr>
          <w:rFonts w:hint="eastAsia"/>
          <w:color w:val="auto"/>
        </w:rPr>
        <w:t xml:space="preserve">       GB50052-2009</w:t>
      </w:r>
    </w:p>
    <w:p w14:paraId="57C27A8E">
      <w:pPr>
        <w:ind w:firstLine="200"/>
        <w:rPr>
          <w:rFonts w:hint="eastAsia"/>
          <w:color w:val="auto"/>
        </w:rPr>
      </w:pPr>
      <w:r>
        <w:rPr>
          <w:rFonts w:hint="eastAsia"/>
          <w:color w:val="auto"/>
        </w:rPr>
        <w:t>《固定式钢梯及平台安全技术条件第1部分：钢直梯》  GB4053.1-2009</w:t>
      </w:r>
    </w:p>
    <w:p w14:paraId="7AA49C05">
      <w:pPr>
        <w:ind w:firstLine="200"/>
        <w:rPr>
          <w:rFonts w:hint="eastAsia"/>
          <w:color w:val="auto"/>
        </w:rPr>
      </w:pPr>
      <w:r>
        <w:rPr>
          <w:rFonts w:hint="eastAsia"/>
          <w:color w:val="auto"/>
        </w:rPr>
        <w:t>《固定式钢梯及平台安全技术条件第2部分：钢斜梯》  GB4053.2-2009</w:t>
      </w:r>
    </w:p>
    <w:p w14:paraId="67362119">
      <w:pPr>
        <w:ind w:firstLine="200"/>
        <w:rPr>
          <w:rFonts w:hint="eastAsia"/>
          <w:color w:val="auto"/>
        </w:rPr>
      </w:pPr>
      <w:r>
        <w:rPr>
          <w:rFonts w:hint="eastAsia"/>
          <w:color w:val="auto"/>
        </w:rPr>
        <w:t>《固定式钢梯及平台安全技术条件第3部分：工业防护栏杆和钢平台》</w:t>
      </w:r>
    </w:p>
    <w:p w14:paraId="5E56D771">
      <w:pPr>
        <w:ind w:firstLine="200"/>
        <w:jc w:val="right"/>
        <w:rPr>
          <w:rFonts w:hint="eastAsia"/>
          <w:color w:val="auto"/>
        </w:rPr>
      </w:pPr>
      <w:r>
        <w:rPr>
          <w:rFonts w:hint="eastAsia"/>
          <w:color w:val="auto"/>
        </w:rPr>
        <w:t>GB4053.3-2009</w:t>
      </w:r>
    </w:p>
    <w:p w14:paraId="37D3695F">
      <w:pPr>
        <w:ind w:firstLine="200"/>
        <w:rPr>
          <w:rFonts w:hint="eastAsia"/>
          <w:color w:val="auto"/>
        </w:rPr>
      </w:pPr>
      <w:r>
        <w:rPr>
          <w:rFonts w:hint="eastAsia"/>
          <w:color w:val="auto"/>
        </w:rPr>
        <w:t>《建筑物防雷设计规范》                           GB50057-2010</w:t>
      </w:r>
    </w:p>
    <w:p w14:paraId="2A07D623">
      <w:pPr>
        <w:ind w:firstLine="200"/>
        <w:rPr>
          <w:rFonts w:hint="eastAsia"/>
          <w:color w:val="auto"/>
        </w:rPr>
      </w:pPr>
      <w:r>
        <w:rPr>
          <w:rFonts w:hint="eastAsia"/>
          <w:color w:val="auto"/>
        </w:rPr>
        <w:t>《低压配电设计规范》                             GB50054-2011</w:t>
      </w:r>
    </w:p>
    <w:p w14:paraId="406E3986">
      <w:pPr>
        <w:ind w:firstLine="200"/>
        <w:rPr>
          <w:rFonts w:hint="eastAsia"/>
          <w:color w:val="auto"/>
        </w:rPr>
      </w:pPr>
      <w:r>
        <w:rPr>
          <w:rFonts w:hint="eastAsia"/>
          <w:color w:val="auto"/>
        </w:rPr>
        <w:t>《工业企业总平面设计规范》                       GB50187-2012</w:t>
      </w:r>
    </w:p>
    <w:p w14:paraId="2814040F">
      <w:pPr>
        <w:ind w:firstLine="200"/>
        <w:rPr>
          <w:rFonts w:hint="default" w:eastAsia="宋体"/>
          <w:color w:val="auto"/>
          <w:lang w:val="en-US" w:eastAsia="zh-CN"/>
        </w:rPr>
      </w:pPr>
      <w:r>
        <w:rPr>
          <w:rFonts w:hint="eastAsia"/>
          <w:color w:val="auto"/>
          <w:lang w:eastAsia="zh-CN"/>
        </w:rPr>
        <w:t>《有色金属采矿设计规范》</w:t>
      </w:r>
      <w:r>
        <w:rPr>
          <w:rFonts w:hint="eastAsia"/>
          <w:color w:val="auto"/>
        </w:rPr>
        <w:t xml:space="preserve">                    </w:t>
      </w:r>
      <w:r>
        <w:rPr>
          <w:rFonts w:hint="eastAsia"/>
          <w:color w:val="auto"/>
          <w:lang w:val="en-US" w:eastAsia="zh-CN"/>
        </w:rPr>
        <w:t xml:space="preserve">     </w:t>
      </w:r>
      <w:r>
        <w:rPr>
          <w:rFonts w:hint="eastAsia"/>
          <w:color w:val="auto"/>
        </w:rPr>
        <w:t>GB50</w:t>
      </w:r>
      <w:r>
        <w:rPr>
          <w:rFonts w:hint="eastAsia"/>
          <w:color w:val="auto"/>
          <w:lang w:val="en-US" w:eastAsia="zh-CN"/>
        </w:rPr>
        <w:t>771</w:t>
      </w:r>
      <w:r>
        <w:rPr>
          <w:rFonts w:hint="eastAsia"/>
          <w:color w:val="auto"/>
        </w:rPr>
        <w:t>-2012</w:t>
      </w:r>
    </w:p>
    <w:p w14:paraId="6CAECBE5">
      <w:pPr>
        <w:ind w:firstLine="200"/>
        <w:rPr>
          <w:rFonts w:hint="eastAsia"/>
          <w:color w:val="auto"/>
        </w:rPr>
      </w:pPr>
      <w:r>
        <w:rPr>
          <w:rFonts w:hint="eastAsia"/>
          <w:color w:val="auto"/>
        </w:rPr>
        <w:t xml:space="preserve">《爆破安全规程》                      </w:t>
      </w:r>
      <w:r>
        <w:rPr>
          <w:rFonts w:hint="eastAsia"/>
          <w:color w:val="auto"/>
          <w:lang w:val="en-US" w:eastAsia="zh-CN"/>
        </w:rPr>
        <w:t xml:space="preserve">     </w:t>
      </w:r>
      <w:r>
        <w:rPr>
          <w:rFonts w:hint="eastAsia"/>
          <w:color w:val="auto"/>
        </w:rPr>
        <w:t xml:space="preserve">       GB6722-2014</w:t>
      </w:r>
    </w:p>
    <w:p w14:paraId="392A2BF1">
      <w:pPr>
        <w:ind w:firstLine="200"/>
        <w:rPr>
          <w:rFonts w:hint="eastAsia"/>
          <w:color w:val="auto"/>
        </w:rPr>
      </w:pPr>
      <w:r>
        <w:rPr>
          <w:rFonts w:hint="eastAsia"/>
          <w:color w:val="auto"/>
        </w:rPr>
        <w:t>《建筑设计防火规范</w:t>
      </w:r>
      <w:r>
        <w:rPr>
          <w:rFonts w:hint="eastAsia" w:eastAsia="宋体"/>
          <w:color w:val="auto"/>
          <w:lang w:eastAsia="zh-CN"/>
        </w:rPr>
        <w:t>（</w:t>
      </w:r>
      <w:r>
        <w:rPr>
          <w:rFonts w:hint="eastAsia"/>
          <w:color w:val="auto"/>
        </w:rPr>
        <w:t>201</w:t>
      </w:r>
      <w:r>
        <w:rPr>
          <w:rFonts w:hint="eastAsia" w:ascii="Times New Roman" w:eastAsia="宋体"/>
          <w:color w:val="auto"/>
          <w:lang w:val="en-US" w:eastAsia="zh-CN"/>
        </w:rPr>
        <w:t>8</w:t>
      </w:r>
      <w:r>
        <w:rPr>
          <w:rFonts w:hint="eastAsia"/>
          <w:color w:val="auto"/>
        </w:rPr>
        <w:t>年版</w:t>
      </w:r>
      <w:r>
        <w:rPr>
          <w:rFonts w:hint="eastAsia" w:eastAsia="宋体"/>
          <w:color w:val="auto"/>
          <w:lang w:eastAsia="zh-CN"/>
        </w:rPr>
        <w:t>）》</w:t>
      </w:r>
      <w:r>
        <w:rPr>
          <w:rFonts w:hint="eastAsia"/>
          <w:color w:val="auto"/>
        </w:rPr>
        <w:t xml:space="preserve">         </w:t>
      </w:r>
      <w:r>
        <w:rPr>
          <w:rFonts w:hint="eastAsia" w:ascii="Times New Roman" w:eastAsia="宋体"/>
          <w:color w:val="auto"/>
          <w:lang w:val="en-US" w:eastAsia="zh-CN"/>
        </w:rPr>
        <w:t xml:space="preserve">   </w:t>
      </w:r>
      <w:r>
        <w:rPr>
          <w:rFonts w:hint="eastAsia"/>
          <w:color w:val="auto"/>
        </w:rPr>
        <w:t xml:space="preserve">     GB50016-2014</w:t>
      </w:r>
    </w:p>
    <w:p w14:paraId="212FF40E">
      <w:pPr>
        <w:ind w:firstLine="200"/>
        <w:rPr>
          <w:rFonts w:hint="eastAsia"/>
          <w:color w:val="auto"/>
        </w:rPr>
      </w:pPr>
      <w:r>
        <w:rPr>
          <w:rFonts w:hint="eastAsia"/>
          <w:color w:val="auto"/>
        </w:rPr>
        <w:t>《中国地震动参数区划图》                         GB18306-2015</w:t>
      </w:r>
    </w:p>
    <w:p w14:paraId="72DA515C">
      <w:pPr>
        <w:ind w:firstLine="200"/>
        <w:rPr>
          <w:rFonts w:eastAsia="宋体"/>
          <w:color w:val="auto"/>
          <w:lang w:val="en-US" w:eastAsia="zh-CN"/>
        </w:rPr>
      </w:pPr>
      <w:r>
        <w:rPr>
          <w:rFonts w:hint="eastAsia"/>
          <w:color w:val="auto"/>
        </w:rPr>
        <w:t xml:space="preserve">《危险化学品重大危险源辨识》          </w:t>
      </w:r>
      <w:r>
        <w:rPr>
          <w:rFonts w:hint="eastAsia" w:ascii="Times New Roman" w:eastAsia="宋体"/>
          <w:color w:val="auto"/>
          <w:lang w:val="en-US" w:eastAsia="zh-CN"/>
        </w:rPr>
        <w:t xml:space="preserve">       </w:t>
      </w:r>
      <w:r>
        <w:rPr>
          <w:rFonts w:hint="eastAsia"/>
          <w:color w:val="auto"/>
        </w:rPr>
        <w:t xml:space="preserve">    GB18218-20</w:t>
      </w:r>
      <w:r>
        <w:rPr>
          <w:rFonts w:hint="eastAsia" w:ascii="Times New Roman" w:eastAsia="宋体"/>
          <w:color w:val="auto"/>
          <w:lang w:val="en-US" w:eastAsia="zh-CN"/>
        </w:rPr>
        <w:t>18</w:t>
      </w:r>
    </w:p>
    <w:p w14:paraId="4ADCDF47">
      <w:pPr>
        <w:ind w:firstLine="200"/>
        <w:rPr>
          <w:rFonts w:hint="eastAsia" w:ascii="Times New Roman" w:eastAsia="宋体"/>
          <w:color w:val="auto"/>
          <w:lang w:val="en-US" w:eastAsia="zh-CN"/>
        </w:rPr>
      </w:pPr>
      <w:r>
        <w:rPr>
          <w:rFonts w:hint="eastAsia" w:ascii="Times New Roman" w:eastAsia="宋体"/>
          <w:color w:val="auto"/>
          <w:lang w:val="en-US" w:eastAsia="zh-CN"/>
        </w:rPr>
        <w:t xml:space="preserve">《金属非金属矿山安全规程》    </w:t>
      </w:r>
      <w:r>
        <w:rPr>
          <w:rFonts w:hint="eastAsia"/>
          <w:color w:val="auto"/>
          <w:lang w:val="en-US" w:eastAsia="zh-CN"/>
        </w:rPr>
        <w:t xml:space="preserve">     </w:t>
      </w:r>
      <w:r>
        <w:rPr>
          <w:rFonts w:hint="eastAsia" w:ascii="Times New Roman" w:eastAsia="宋体"/>
          <w:color w:val="auto"/>
          <w:lang w:val="en-US" w:eastAsia="zh-CN"/>
        </w:rPr>
        <w:t xml:space="preserve">              GB16423-2020</w:t>
      </w:r>
    </w:p>
    <w:p w14:paraId="4D9A5071">
      <w:pPr>
        <w:ind w:firstLine="200"/>
        <w:rPr>
          <w:rFonts w:hint="eastAsia" w:ascii="Times New Roman" w:eastAsia="宋体"/>
          <w:color w:val="auto"/>
          <w:lang w:val="en-US" w:eastAsia="zh-CN"/>
        </w:rPr>
      </w:pPr>
      <w:r>
        <w:rPr>
          <w:rFonts w:hint="eastAsia" w:ascii="Times New Roman" w:eastAsia="宋体"/>
          <w:color w:val="auto"/>
          <w:lang w:val="en-US" w:eastAsia="zh-CN"/>
        </w:rPr>
        <w:t xml:space="preserve">《矿山电力设计标准》                   </w:t>
      </w:r>
      <w:r>
        <w:rPr>
          <w:rFonts w:hint="eastAsia"/>
          <w:color w:val="auto"/>
          <w:lang w:val="en-US" w:eastAsia="zh-CN"/>
        </w:rPr>
        <w:t xml:space="preserve">     </w:t>
      </w:r>
      <w:r>
        <w:rPr>
          <w:rFonts w:hint="eastAsia" w:ascii="Times New Roman" w:eastAsia="宋体"/>
          <w:color w:val="auto"/>
          <w:lang w:val="en-US" w:eastAsia="zh-CN"/>
        </w:rPr>
        <w:t xml:space="preserve">     GB50070-2020</w:t>
      </w:r>
    </w:p>
    <w:p w14:paraId="2B90DC83">
      <w:pPr>
        <w:ind w:firstLine="200"/>
        <w:rPr>
          <w:rFonts w:hint="eastAsia"/>
          <w:color w:val="auto"/>
        </w:rPr>
      </w:pPr>
      <w:r>
        <w:rPr>
          <w:rFonts w:hint="eastAsia"/>
          <w:color w:val="auto"/>
        </w:rPr>
        <w:t xml:space="preserve">《个体防护装备配备规范 第1部分：总则》 </w:t>
      </w:r>
      <w:r>
        <w:rPr>
          <w:rFonts w:hint="eastAsia" w:ascii="Times New Roman" w:hAnsi="Times New Roman" w:eastAsia="宋体"/>
          <w:color w:val="auto"/>
          <w:lang w:val="en-US" w:eastAsia="zh-CN"/>
        </w:rPr>
        <w:t xml:space="preserve">      </w:t>
      </w:r>
      <w:r>
        <w:rPr>
          <w:rFonts w:hint="eastAsia"/>
          <w:color w:val="auto"/>
        </w:rPr>
        <w:t xml:space="preserve"> </w:t>
      </w:r>
      <w:r>
        <w:rPr>
          <w:rFonts w:hint="eastAsia" w:ascii="Times New Roman" w:eastAsia="宋体"/>
          <w:color w:val="auto"/>
          <w:lang w:val="en-US" w:eastAsia="zh-CN"/>
        </w:rPr>
        <w:t xml:space="preserve"> </w:t>
      </w:r>
      <w:r>
        <w:rPr>
          <w:rFonts w:hint="eastAsia"/>
          <w:color w:val="auto"/>
        </w:rPr>
        <w:t xml:space="preserve"> GB39800.1-2020</w:t>
      </w:r>
    </w:p>
    <w:p w14:paraId="3973002C">
      <w:pPr>
        <w:ind w:firstLine="200"/>
        <w:rPr>
          <w:rFonts w:hint="eastAsia"/>
          <w:color w:val="auto"/>
        </w:rPr>
      </w:pPr>
      <w:r>
        <w:rPr>
          <w:rFonts w:hint="eastAsia"/>
          <w:color w:val="auto"/>
        </w:rPr>
        <w:t>《个体防护装备配备规范 第</w:t>
      </w:r>
      <w:r>
        <w:rPr>
          <w:rFonts w:hint="eastAsia" w:ascii="Times New Roman" w:eastAsia="宋体"/>
          <w:color w:val="auto"/>
          <w:lang w:val="en-US" w:eastAsia="zh-CN"/>
        </w:rPr>
        <w:t>4</w:t>
      </w:r>
      <w:r>
        <w:rPr>
          <w:rFonts w:hint="eastAsia"/>
          <w:color w:val="auto"/>
        </w:rPr>
        <w:t>部分：</w:t>
      </w:r>
      <w:r>
        <w:rPr>
          <w:rFonts w:hint="eastAsia" w:ascii="Times New Roman" w:eastAsia="宋体"/>
          <w:color w:val="auto"/>
          <w:lang w:val="en-US" w:eastAsia="zh-CN"/>
        </w:rPr>
        <w:t>非煤矿山</w:t>
      </w:r>
      <w:r>
        <w:rPr>
          <w:rFonts w:hint="eastAsia"/>
          <w:color w:val="auto"/>
        </w:rPr>
        <w:t xml:space="preserve">》   </w:t>
      </w:r>
      <w:r>
        <w:rPr>
          <w:rFonts w:hint="eastAsia" w:ascii="Times New Roman" w:eastAsia="宋体"/>
          <w:color w:val="auto"/>
          <w:lang w:val="en-US" w:eastAsia="zh-CN"/>
        </w:rPr>
        <w:t xml:space="preserve"> </w:t>
      </w:r>
      <w:r>
        <w:rPr>
          <w:rFonts w:hint="eastAsia"/>
          <w:color w:val="auto"/>
        </w:rPr>
        <w:t xml:space="preserve"> GB39800.</w:t>
      </w:r>
      <w:r>
        <w:rPr>
          <w:rFonts w:hint="eastAsia" w:ascii="Times New Roman" w:eastAsia="宋体"/>
          <w:color w:val="auto"/>
          <w:lang w:val="en-US" w:eastAsia="zh-CN"/>
        </w:rPr>
        <w:t>4</w:t>
      </w:r>
      <w:r>
        <w:rPr>
          <w:rFonts w:hint="eastAsia"/>
          <w:color w:val="auto"/>
        </w:rPr>
        <w:t>-2020</w:t>
      </w:r>
    </w:p>
    <w:p w14:paraId="6D50C5DF">
      <w:pPr>
        <w:ind w:firstLine="200"/>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 xml:space="preserve">《重要用途钢丝绳》           </w:t>
      </w:r>
      <w:r>
        <w:rPr>
          <w:rFonts w:hint="eastAsia"/>
          <w:color w:val="auto"/>
          <w:lang w:val="en-US" w:eastAsia="zh-CN"/>
        </w:rPr>
        <w:t xml:space="preserve">     </w:t>
      </w:r>
      <w:r>
        <w:rPr>
          <w:rFonts w:hint="eastAsia" w:ascii="Times New Roman" w:hAnsi="Times New Roman" w:eastAsia="宋体"/>
          <w:color w:val="auto"/>
          <w:lang w:val="en-US" w:eastAsia="zh-CN"/>
        </w:rPr>
        <w:t xml:space="preserve">              GB</w:t>
      </w:r>
      <w:r>
        <w:rPr>
          <w:rFonts w:hint="eastAsia"/>
          <w:color w:val="auto"/>
          <w:lang w:val="en-US" w:eastAsia="zh-CN"/>
        </w:rPr>
        <w:t>/T</w:t>
      </w:r>
      <w:r>
        <w:rPr>
          <w:rFonts w:hint="eastAsia" w:ascii="Times New Roman" w:hAnsi="Times New Roman" w:eastAsia="宋体"/>
          <w:color w:val="auto"/>
          <w:lang w:val="en-US" w:eastAsia="zh-CN"/>
        </w:rPr>
        <w:t>8918-2006</w:t>
      </w:r>
    </w:p>
    <w:p w14:paraId="2E9C1EA4">
      <w:pPr>
        <w:ind w:firstLine="200"/>
        <w:rPr>
          <w:rFonts w:hint="eastAsia"/>
          <w:color w:val="auto"/>
        </w:rPr>
      </w:pPr>
      <w:r>
        <w:rPr>
          <w:rFonts w:hint="eastAsia"/>
          <w:color w:val="auto"/>
        </w:rPr>
        <w:t xml:space="preserve">《矿山安全标志》                     </w:t>
      </w:r>
      <w:r>
        <w:rPr>
          <w:rFonts w:hint="eastAsia" w:ascii="Times New Roman" w:eastAsia="宋体"/>
          <w:color w:val="auto"/>
          <w:lang w:val="en-US" w:eastAsia="zh-CN"/>
        </w:rPr>
        <w:t xml:space="preserve">       </w:t>
      </w:r>
      <w:r>
        <w:rPr>
          <w:rFonts w:hint="eastAsia"/>
          <w:color w:val="auto"/>
        </w:rPr>
        <w:t xml:space="preserve">   GB/T14161-2008</w:t>
      </w:r>
    </w:p>
    <w:p w14:paraId="6DFBAA13">
      <w:pPr>
        <w:ind w:firstLine="200"/>
        <w:rPr>
          <w:rFonts w:hint="eastAsia"/>
          <w:color w:val="auto"/>
        </w:rPr>
      </w:pPr>
      <w:r>
        <w:rPr>
          <w:rFonts w:hint="eastAsia"/>
          <w:color w:val="auto"/>
        </w:rPr>
        <w:t>《高处作业分级》</w:t>
      </w:r>
      <w:r>
        <w:rPr>
          <w:rFonts w:hint="eastAsia" w:ascii="Times New Roman" w:eastAsia="宋体"/>
          <w:color w:val="auto"/>
          <w:lang w:val="en-US" w:eastAsia="zh-CN"/>
        </w:rPr>
        <w:t xml:space="preserve">                                </w:t>
      </w:r>
      <w:r>
        <w:rPr>
          <w:rFonts w:hint="eastAsia"/>
          <w:color w:val="auto"/>
        </w:rPr>
        <w:t>GB/T3608-2008</w:t>
      </w:r>
    </w:p>
    <w:p w14:paraId="44540312">
      <w:pPr>
        <w:ind w:firstLine="200"/>
        <w:rPr>
          <w:rFonts w:hint="eastAsia"/>
          <w:color w:val="auto"/>
        </w:rPr>
      </w:pPr>
      <w:r>
        <w:rPr>
          <w:rFonts w:hint="eastAsia"/>
          <w:color w:val="auto"/>
        </w:rPr>
        <w:t>《生产过程安全卫生要求总则》                   GB/T12801-2008</w:t>
      </w:r>
    </w:p>
    <w:p w14:paraId="4993EBD2">
      <w:pPr>
        <w:ind w:firstLine="200"/>
        <w:rPr>
          <w:rFonts w:hint="eastAsia"/>
          <w:color w:val="auto"/>
        </w:rPr>
      </w:pPr>
      <w:r>
        <w:rPr>
          <w:rFonts w:hint="eastAsia"/>
          <w:color w:val="auto"/>
        </w:rPr>
        <w:t>《矿山安全术语》                               GB/T15259-2008</w:t>
      </w:r>
    </w:p>
    <w:p w14:paraId="50F088FF">
      <w:pPr>
        <w:ind w:firstLine="200"/>
        <w:rPr>
          <w:rFonts w:hint="eastAsia"/>
          <w:color w:val="auto"/>
        </w:rPr>
      </w:pPr>
      <w:r>
        <w:rPr>
          <w:rFonts w:hint="eastAsia"/>
          <w:color w:val="auto"/>
        </w:rPr>
        <w:t xml:space="preserve">《建筑抗震设计标准（2024年版）》 </w:t>
      </w:r>
      <w:r>
        <w:rPr>
          <w:rFonts w:hint="eastAsia"/>
          <w:color w:val="auto"/>
          <w:lang w:val="en-US" w:eastAsia="zh-CN"/>
        </w:rPr>
        <w:t xml:space="preserve">  </w:t>
      </w:r>
      <w:r>
        <w:rPr>
          <w:rFonts w:hint="eastAsia"/>
          <w:color w:val="auto"/>
        </w:rPr>
        <w:t xml:space="preserve">  </w:t>
      </w:r>
      <w:r>
        <w:rPr>
          <w:rFonts w:hint="eastAsia"/>
          <w:color w:val="auto"/>
          <w:lang w:val="en-US" w:eastAsia="zh-CN"/>
        </w:rPr>
        <w:t xml:space="preserve">        </w:t>
      </w:r>
      <w:r>
        <w:rPr>
          <w:rFonts w:hint="eastAsia"/>
          <w:color w:val="auto"/>
        </w:rPr>
        <w:t xml:space="preserve">    GB/T50011-2010</w:t>
      </w:r>
    </w:p>
    <w:p w14:paraId="4A03BE9E">
      <w:pPr>
        <w:ind w:firstLine="200"/>
        <w:rPr>
          <w:rFonts w:hint="eastAsia"/>
          <w:color w:val="auto"/>
        </w:rPr>
      </w:pPr>
      <w:r>
        <w:rPr>
          <w:rFonts w:hint="eastAsia"/>
          <w:color w:val="auto"/>
        </w:rPr>
        <w:t xml:space="preserve">《工业企业噪声控制设计规范》   </w:t>
      </w:r>
      <w:r>
        <w:rPr>
          <w:rFonts w:hint="eastAsia"/>
          <w:color w:val="auto"/>
          <w:lang w:val="en-US" w:eastAsia="zh-CN"/>
        </w:rPr>
        <w:t xml:space="preserve">     </w:t>
      </w:r>
      <w:r>
        <w:rPr>
          <w:rFonts w:hint="eastAsia"/>
          <w:color w:val="auto"/>
        </w:rPr>
        <w:t xml:space="preserve">           GB/T50087-2013</w:t>
      </w:r>
    </w:p>
    <w:p w14:paraId="00AF6891">
      <w:pPr>
        <w:ind w:firstLine="200"/>
        <w:rPr>
          <w:rFonts w:hint="eastAsia"/>
          <w:color w:val="auto"/>
        </w:rPr>
      </w:pPr>
      <w:r>
        <w:rPr>
          <w:rFonts w:hint="eastAsia"/>
          <w:color w:val="auto"/>
        </w:rPr>
        <w:t xml:space="preserve">《企业安全生产标准化基本规范》       </w:t>
      </w:r>
      <w:r>
        <w:rPr>
          <w:rFonts w:hint="eastAsia" w:ascii="Times New Roman" w:eastAsia="宋体"/>
          <w:color w:val="auto"/>
          <w:lang w:val="en-US" w:eastAsia="zh-CN"/>
        </w:rPr>
        <w:t xml:space="preserve">   </w:t>
      </w:r>
      <w:r>
        <w:rPr>
          <w:rFonts w:hint="eastAsia"/>
          <w:color w:val="auto"/>
        </w:rPr>
        <w:t xml:space="preserve">  </w:t>
      </w:r>
      <w:r>
        <w:rPr>
          <w:rFonts w:hint="eastAsia" w:ascii="Times New Roman" w:eastAsia="宋体"/>
          <w:color w:val="auto"/>
          <w:lang w:val="en-US" w:eastAsia="zh-CN"/>
        </w:rPr>
        <w:t xml:space="preserve">   </w:t>
      </w:r>
      <w:r>
        <w:rPr>
          <w:rFonts w:hint="eastAsia"/>
          <w:color w:val="auto"/>
        </w:rPr>
        <w:t xml:space="preserve">  GB/T33000-2016</w:t>
      </w:r>
    </w:p>
    <w:p w14:paraId="7ED82A74">
      <w:pPr>
        <w:ind w:firstLine="200"/>
        <w:rPr>
          <w:rFonts w:hint="default" w:eastAsia="宋体"/>
          <w:color w:val="auto"/>
          <w:lang w:val="en-US" w:eastAsia="zh-CN"/>
        </w:rPr>
      </w:pPr>
      <w:r>
        <w:rPr>
          <w:rFonts w:hint="eastAsia"/>
          <w:color w:val="auto"/>
        </w:rPr>
        <w:t xml:space="preserve">《用电安全导则》                       </w:t>
      </w:r>
      <w:r>
        <w:rPr>
          <w:rFonts w:hint="eastAsia"/>
          <w:color w:val="auto"/>
          <w:lang w:val="en-US" w:eastAsia="zh-CN"/>
        </w:rPr>
        <w:t xml:space="preserve">     </w:t>
      </w:r>
      <w:r>
        <w:rPr>
          <w:rFonts w:hint="eastAsia"/>
          <w:color w:val="auto"/>
        </w:rPr>
        <w:t xml:space="preserve">   GB/T13869-</w:t>
      </w:r>
      <w:r>
        <w:rPr>
          <w:rFonts w:hint="eastAsia"/>
          <w:color w:val="auto"/>
          <w:lang w:val="en-US" w:eastAsia="zh-CN"/>
        </w:rPr>
        <w:t>2017</w:t>
      </w:r>
    </w:p>
    <w:p w14:paraId="4B06D7F6">
      <w:pPr>
        <w:ind w:firstLine="200"/>
        <w:rPr>
          <w:rFonts w:hint="eastAsia"/>
          <w:color w:val="auto"/>
        </w:rPr>
      </w:pPr>
      <w:r>
        <w:rPr>
          <w:rFonts w:hint="eastAsia"/>
          <w:color w:val="auto"/>
        </w:rPr>
        <w:t>《机械安全 防护装置 固定式和活动式防护装置的设计与制造一般要求》</w:t>
      </w:r>
      <w:r>
        <w:rPr>
          <w:rFonts w:hint="eastAsia" w:ascii="Times New Roman" w:eastAsia="宋体"/>
          <w:color w:val="auto"/>
          <w:lang w:val="en-US" w:eastAsia="zh-CN"/>
        </w:rPr>
        <w:t xml:space="preserve">                                                </w:t>
      </w:r>
      <w:r>
        <w:rPr>
          <w:rFonts w:hint="eastAsia"/>
          <w:color w:val="auto"/>
        </w:rPr>
        <w:t>GB/T8196-2018</w:t>
      </w:r>
    </w:p>
    <w:p w14:paraId="1ED1387A">
      <w:pPr>
        <w:ind w:firstLine="200"/>
        <w:rPr>
          <w:rFonts w:hint="eastAsia"/>
          <w:color w:val="auto"/>
        </w:rPr>
      </w:pPr>
      <w:r>
        <w:rPr>
          <w:rFonts w:hint="eastAsia"/>
          <w:color w:val="auto"/>
        </w:rPr>
        <w:t>《生产经营单位生产安全事故应急预案编制导则》</w:t>
      </w:r>
      <w:r>
        <w:rPr>
          <w:rFonts w:hint="eastAsia" w:ascii="Times New Roman" w:hAnsi="Times New Roman" w:eastAsia="宋体"/>
          <w:color w:val="auto"/>
          <w:lang w:val="en-US" w:eastAsia="zh-CN"/>
        </w:rPr>
        <w:t xml:space="preserve">   </w:t>
      </w:r>
      <w:r>
        <w:rPr>
          <w:rFonts w:hint="eastAsia"/>
          <w:color w:val="auto"/>
        </w:rPr>
        <w:t>GB/T 29639-2020</w:t>
      </w:r>
    </w:p>
    <w:p w14:paraId="403609A5">
      <w:pPr>
        <w:ind w:firstLine="200"/>
        <w:rPr>
          <w:rFonts w:hint="eastAsia"/>
          <w:color w:val="auto"/>
        </w:rPr>
      </w:pPr>
      <w:r>
        <w:rPr>
          <w:rFonts w:hint="eastAsia"/>
          <w:color w:val="auto"/>
        </w:rPr>
        <w:t xml:space="preserve">《矿区水文地质工程地质勘查规范》    </w:t>
      </w:r>
      <w:r>
        <w:rPr>
          <w:rFonts w:hint="eastAsia"/>
          <w:color w:val="auto"/>
          <w:lang w:val="en-US" w:eastAsia="zh-CN"/>
        </w:rPr>
        <w:t xml:space="preserve">          </w:t>
      </w:r>
      <w:r>
        <w:rPr>
          <w:rFonts w:hint="eastAsia"/>
          <w:color w:val="auto"/>
        </w:rPr>
        <w:t xml:space="preserve"> GB/T12719-2021</w:t>
      </w:r>
    </w:p>
    <w:p w14:paraId="27F315A2">
      <w:pPr>
        <w:ind w:firstLine="200"/>
        <w:rPr>
          <w:rFonts w:hint="eastAsia"/>
          <w:color w:val="auto"/>
        </w:rPr>
      </w:pPr>
      <w:r>
        <w:rPr>
          <w:rFonts w:hint="eastAsia"/>
          <w:color w:val="auto"/>
        </w:rPr>
        <w:t xml:space="preserve">《生产过程危险和有害因素分类与代码》  </w:t>
      </w:r>
      <w:r>
        <w:rPr>
          <w:rFonts w:hint="eastAsia"/>
          <w:color w:val="auto"/>
          <w:lang w:val="en-US" w:eastAsia="zh-CN"/>
        </w:rPr>
        <w:t xml:space="preserve">     </w:t>
      </w:r>
      <w:r>
        <w:rPr>
          <w:rFonts w:hint="eastAsia"/>
          <w:color w:val="auto"/>
        </w:rPr>
        <w:t xml:space="preserve">    GB/T13861-2022</w:t>
      </w:r>
    </w:p>
    <w:p w14:paraId="3282338C">
      <w:pPr>
        <w:ind w:firstLine="200"/>
        <w:rPr>
          <w:rFonts w:hint="eastAsia" w:eastAsia="宋体"/>
          <w:color w:val="auto"/>
          <w:lang w:eastAsia="zh-CN"/>
        </w:rPr>
      </w:pPr>
      <w:r>
        <w:rPr>
          <w:rFonts w:hint="eastAsia"/>
          <w:color w:val="auto"/>
          <w:lang w:eastAsia="zh-CN"/>
        </w:rPr>
        <w:t>《金属非金属矿山充填工程技术标准》</w:t>
      </w:r>
      <w:r>
        <w:rPr>
          <w:rFonts w:hint="eastAsia"/>
          <w:color w:val="auto"/>
          <w:lang w:val="en-US" w:eastAsia="zh-CN"/>
        </w:rPr>
        <w:t xml:space="preserve">         </w:t>
      </w:r>
      <w:r>
        <w:rPr>
          <w:rFonts w:hint="eastAsia"/>
          <w:color w:val="auto"/>
        </w:rPr>
        <w:t xml:space="preserve">    GB/T</w:t>
      </w:r>
      <w:r>
        <w:rPr>
          <w:rFonts w:hint="eastAsia"/>
          <w:color w:val="auto"/>
          <w:lang w:eastAsia="zh-CN"/>
        </w:rPr>
        <w:t>5</w:t>
      </w:r>
      <w:r>
        <w:rPr>
          <w:rFonts w:hint="eastAsia"/>
          <w:color w:val="auto"/>
          <w:lang w:val="en-US" w:eastAsia="zh-CN"/>
        </w:rPr>
        <w:t>1450</w:t>
      </w:r>
      <w:r>
        <w:rPr>
          <w:rFonts w:hint="eastAsia"/>
          <w:color w:val="auto"/>
        </w:rPr>
        <w:t>-2022</w:t>
      </w:r>
    </w:p>
    <w:p w14:paraId="05FD7F2E">
      <w:pPr>
        <w:ind w:firstLine="200"/>
        <w:rPr>
          <w:rFonts w:hint="eastAsia"/>
          <w:color w:val="auto"/>
        </w:rPr>
      </w:pPr>
      <w:r>
        <w:rPr>
          <w:rFonts w:hint="eastAsia"/>
          <w:color w:val="auto"/>
        </w:rPr>
        <w:t>《工作场所有害因素职业接触限值第2部分：物理因素》</w:t>
      </w:r>
    </w:p>
    <w:p w14:paraId="5119D1B6">
      <w:pPr>
        <w:ind w:firstLine="200"/>
        <w:jc w:val="right"/>
        <w:rPr>
          <w:rFonts w:hint="eastAsia"/>
          <w:color w:val="auto"/>
        </w:rPr>
      </w:pPr>
      <w:r>
        <w:rPr>
          <w:rFonts w:hint="eastAsia" w:ascii="Times New Roman" w:eastAsia="宋体"/>
          <w:color w:val="auto"/>
          <w:lang w:val="en-US" w:eastAsia="zh-CN"/>
        </w:rPr>
        <w:t xml:space="preserve"> </w:t>
      </w:r>
      <w:r>
        <w:rPr>
          <w:rFonts w:hint="eastAsia"/>
          <w:color w:val="auto"/>
        </w:rPr>
        <w:t>GBZ2.2-2007</w:t>
      </w:r>
    </w:p>
    <w:p w14:paraId="4A5A4F54">
      <w:pPr>
        <w:ind w:firstLine="200"/>
        <w:rPr>
          <w:rFonts w:hint="eastAsia"/>
          <w:color w:val="auto"/>
        </w:rPr>
      </w:pPr>
      <w:r>
        <w:rPr>
          <w:rFonts w:hint="eastAsia"/>
          <w:color w:val="auto"/>
        </w:rPr>
        <w:t xml:space="preserve">《工业企业设计卫生标准》         </w:t>
      </w:r>
      <w:r>
        <w:rPr>
          <w:rFonts w:hint="eastAsia" w:ascii="Times New Roman" w:eastAsia="宋体"/>
          <w:color w:val="auto"/>
          <w:lang w:val="en-US" w:eastAsia="zh-CN"/>
        </w:rPr>
        <w:t xml:space="preserve">          </w:t>
      </w:r>
      <w:r>
        <w:rPr>
          <w:rFonts w:hint="eastAsia"/>
          <w:color w:val="auto"/>
        </w:rPr>
        <w:t xml:space="preserve">         GBZ1-2010</w:t>
      </w:r>
    </w:p>
    <w:p w14:paraId="05DBA807">
      <w:pPr>
        <w:ind w:firstLine="200"/>
        <w:rPr>
          <w:rFonts w:hint="eastAsia"/>
          <w:color w:val="auto"/>
        </w:rPr>
      </w:pPr>
      <w:r>
        <w:rPr>
          <w:rFonts w:hint="eastAsia"/>
          <w:color w:val="auto"/>
        </w:rPr>
        <w:t>《工作场所有害因素职业接触限值 第1部分：化学有害因素》行业标准第2号修改单</w:t>
      </w:r>
      <w:r>
        <w:rPr>
          <w:rFonts w:hint="eastAsia"/>
          <w:color w:val="auto"/>
          <w:lang w:val="en-US" w:eastAsia="zh-CN"/>
        </w:rPr>
        <w:t xml:space="preserve">                              </w:t>
      </w:r>
      <w:r>
        <w:rPr>
          <w:rFonts w:hint="eastAsia"/>
          <w:color w:val="auto"/>
        </w:rPr>
        <w:t>GBZ 2.1-2019/XG2-2024</w:t>
      </w:r>
    </w:p>
    <w:p w14:paraId="15B97B9C">
      <w:pPr>
        <w:ind w:firstLine="200"/>
        <w:rPr>
          <w:rFonts w:hint="eastAsia"/>
          <w:color w:val="auto"/>
        </w:rPr>
      </w:pPr>
      <w:r>
        <w:rPr>
          <w:rFonts w:hint="eastAsia"/>
          <w:color w:val="auto"/>
        </w:rPr>
        <w:t xml:space="preserve">《安全评价通则》                  </w:t>
      </w:r>
      <w:r>
        <w:rPr>
          <w:rFonts w:hint="eastAsia" w:ascii="Times New Roman" w:eastAsia="宋体"/>
          <w:color w:val="auto"/>
          <w:lang w:val="en-US" w:eastAsia="zh-CN"/>
        </w:rPr>
        <w:t xml:space="preserve">       </w:t>
      </w:r>
      <w:r>
        <w:rPr>
          <w:rFonts w:hint="eastAsia"/>
          <w:color w:val="auto"/>
        </w:rPr>
        <w:t xml:space="preserve">         AQ8001-2007</w:t>
      </w:r>
    </w:p>
    <w:p w14:paraId="1CEDCD31">
      <w:pPr>
        <w:ind w:firstLine="200"/>
        <w:rPr>
          <w:rFonts w:hint="eastAsia"/>
          <w:color w:val="auto"/>
        </w:rPr>
      </w:pPr>
      <w:r>
        <w:rPr>
          <w:rFonts w:hint="eastAsia"/>
          <w:color w:val="auto"/>
        </w:rPr>
        <w:t xml:space="preserve">《安全预评价导则》       </w:t>
      </w:r>
      <w:r>
        <w:rPr>
          <w:rFonts w:hint="eastAsia" w:ascii="Times New Roman" w:eastAsia="宋体"/>
          <w:color w:val="auto"/>
          <w:lang w:val="en-US" w:eastAsia="zh-CN"/>
        </w:rPr>
        <w:t xml:space="preserve">       </w:t>
      </w:r>
      <w:r>
        <w:rPr>
          <w:rFonts w:hint="eastAsia"/>
          <w:color w:val="auto"/>
        </w:rPr>
        <w:t xml:space="preserve">                  AQ8002-2007</w:t>
      </w:r>
    </w:p>
    <w:p w14:paraId="616917D3">
      <w:pPr>
        <w:ind w:firstLine="200"/>
        <w:rPr>
          <w:rFonts w:hint="eastAsia"/>
          <w:color w:val="auto"/>
        </w:rPr>
      </w:pPr>
      <w:r>
        <w:rPr>
          <w:rFonts w:hint="eastAsia"/>
          <w:color w:val="auto"/>
        </w:rPr>
        <w:t xml:space="preserve">《金属非金属矿山排土场安全生产规则》     </w:t>
      </w:r>
      <w:r>
        <w:rPr>
          <w:rFonts w:hint="eastAsia"/>
          <w:color w:val="auto"/>
          <w:lang w:val="en-US" w:eastAsia="zh-CN"/>
        </w:rPr>
        <w:t xml:space="preserve">      </w:t>
      </w:r>
      <w:r>
        <w:rPr>
          <w:rFonts w:hint="eastAsia"/>
          <w:color w:val="auto"/>
        </w:rPr>
        <w:t xml:space="preserve">   AQ2005-2005</w:t>
      </w:r>
    </w:p>
    <w:p w14:paraId="3CC8A1E9">
      <w:pPr>
        <w:ind w:firstLine="200"/>
        <w:rPr>
          <w:rFonts w:hint="eastAsia"/>
          <w:color w:val="auto"/>
        </w:rPr>
      </w:pPr>
      <w:r>
        <w:rPr>
          <w:rFonts w:hint="eastAsia"/>
          <w:color w:val="auto"/>
        </w:rPr>
        <w:t xml:space="preserve">《金属非金属地下矿山通风安全技术规范》    </w:t>
      </w:r>
      <w:r>
        <w:rPr>
          <w:rFonts w:hint="eastAsia"/>
          <w:color w:val="auto"/>
          <w:lang w:val="en-US" w:eastAsia="zh-CN"/>
        </w:rPr>
        <w:t xml:space="preserve">      </w:t>
      </w:r>
      <w:r>
        <w:rPr>
          <w:rFonts w:hint="eastAsia"/>
          <w:color w:val="auto"/>
        </w:rPr>
        <w:t xml:space="preserve">  AQ2013-2008</w:t>
      </w:r>
    </w:p>
    <w:p w14:paraId="10E752BC">
      <w:pPr>
        <w:ind w:firstLine="200"/>
        <w:rPr>
          <w:rFonts w:hint="eastAsia"/>
          <w:color w:val="auto"/>
        </w:rPr>
      </w:pPr>
      <w:r>
        <w:rPr>
          <w:rFonts w:hint="eastAsia"/>
          <w:color w:val="auto"/>
        </w:rPr>
        <w:t xml:space="preserve">《金属非金属地下矿山监测监控系统建设规范》 </w:t>
      </w:r>
      <w:r>
        <w:rPr>
          <w:rFonts w:hint="eastAsia"/>
          <w:color w:val="auto"/>
          <w:lang w:val="en-US" w:eastAsia="zh-CN"/>
        </w:rPr>
        <w:t xml:space="preserve">      </w:t>
      </w:r>
      <w:r>
        <w:rPr>
          <w:rFonts w:hint="eastAsia"/>
          <w:color w:val="auto"/>
        </w:rPr>
        <w:t xml:space="preserve"> AQ2031-2011</w:t>
      </w:r>
    </w:p>
    <w:p w14:paraId="0DEF82AC">
      <w:pPr>
        <w:ind w:firstLine="200"/>
        <w:rPr>
          <w:rFonts w:hint="eastAsia"/>
          <w:color w:val="auto"/>
        </w:rPr>
      </w:pPr>
      <w:r>
        <w:rPr>
          <w:rFonts w:hint="eastAsia"/>
          <w:color w:val="auto"/>
        </w:rPr>
        <w:t xml:space="preserve">《金属非金属地下矿山人员定位系统建设规范》 </w:t>
      </w:r>
      <w:r>
        <w:rPr>
          <w:rFonts w:hint="eastAsia"/>
          <w:color w:val="auto"/>
          <w:lang w:val="en-US" w:eastAsia="zh-CN"/>
        </w:rPr>
        <w:t xml:space="preserve">      </w:t>
      </w:r>
      <w:r>
        <w:rPr>
          <w:rFonts w:hint="eastAsia"/>
          <w:color w:val="auto"/>
        </w:rPr>
        <w:t xml:space="preserve"> AQ2032-2011</w:t>
      </w:r>
    </w:p>
    <w:p w14:paraId="3A69D517">
      <w:pPr>
        <w:ind w:firstLine="200"/>
        <w:rPr>
          <w:rFonts w:hint="eastAsia"/>
          <w:color w:val="auto"/>
        </w:rPr>
      </w:pPr>
      <w:r>
        <w:rPr>
          <w:rFonts w:hint="eastAsia"/>
          <w:color w:val="auto"/>
        </w:rPr>
        <w:t>《金属非金属地下矿山通信联络系统建设规范》        AQ2036-2011</w:t>
      </w:r>
    </w:p>
    <w:p w14:paraId="630493B6">
      <w:pPr>
        <w:ind w:firstLine="200"/>
        <w:rPr>
          <w:rFonts w:hint="eastAsia"/>
          <w:color w:val="auto"/>
        </w:rPr>
      </w:pPr>
      <w:r>
        <w:rPr>
          <w:rFonts w:hint="eastAsia"/>
          <w:color w:val="auto"/>
        </w:rPr>
        <w:t>《金属非金属地下矿山人员定位系统通用技术要求</w:t>
      </w:r>
      <w:r>
        <w:rPr>
          <w:rFonts w:hint="eastAsia"/>
          <w:color w:val="auto"/>
          <w:lang w:eastAsia="zh-CN"/>
        </w:rPr>
        <w:t>》</w:t>
      </w:r>
      <w:r>
        <w:rPr>
          <w:rFonts w:hint="eastAsia"/>
          <w:color w:val="auto"/>
          <w:lang w:val="en-US" w:eastAsia="zh-CN"/>
        </w:rPr>
        <w:t xml:space="preserve">  </w:t>
      </w:r>
      <w:r>
        <w:rPr>
          <w:rFonts w:hint="eastAsia"/>
          <w:color w:val="auto"/>
        </w:rPr>
        <w:t>KA/T2051-2016</w:t>
      </w:r>
    </w:p>
    <w:p w14:paraId="31798B19">
      <w:pPr>
        <w:ind w:firstLine="200"/>
        <w:rPr>
          <w:rFonts w:hint="eastAsia"/>
          <w:color w:val="auto"/>
        </w:rPr>
      </w:pPr>
      <w:r>
        <w:rPr>
          <w:rFonts w:hint="eastAsia"/>
          <w:color w:val="auto"/>
        </w:rPr>
        <w:t>《金属非金属地下矿山通信联络系统通用技术要求</w:t>
      </w:r>
      <w:r>
        <w:rPr>
          <w:rFonts w:hint="eastAsia"/>
          <w:color w:val="auto"/>
          <w:lang w:eastAsia="zh-CN"/>
        </w:rPr>
        <w:t>》</w:t>
      </w:r>
      <w:r>
        <w:rPr>
          <w:rFonts w:hint="eastAsia"/>
          <w:color w:val="auto"/>
          <w:lang w:val="en-US" w:eastAsia="zh-CN"/>
        </w:rPr>
        <w:t xml:space="preserve"> </w:t>
      </w:r>
      <w:r>
        <w:rPr>
          <w:rFonts w:hint="eastAsia"/>
          <w:color w:val="auto"/>
        </w:rPr>
        <w:t>KA/T2052-2016</w:t>
      </w:r>
    </w:p>
    <w:p w14:paraId="5C8B87B9">
      <w:pPr>
        <w:ind w:firstLine="200"/>
        <w:rPr>
          <w:rFonts w:hint="eastAsia"/>
          <w:color w:val="auto"/>
        </w:rPr>
      </w:pPr>
      <w:r>
        <w:rPr>
          <w:rFonts w:hint="eastAsia"/>
          <w:color w:val="auto"/>
        </w:rPr>
        <w:t>《金属非金属地下矿山监测监控系统通用技术要求</w:t>
      </w:r>
      <w:r>
        <w:rPr>
          <w:rFonts w:hint="eastAsia"/>
          <w:color w:val="auto"/>
          <w:lang w:eastAsia="zh-CN"/>
        </w:rPr>
        <w:t>》</w:t>
      </w:r>
      <w:r>
        <w:rPr>
          <w:rFonts w:hint="eastAsia"/>
          <w:color w:val="auto"/>
          <w:lang w:val="en-US" w:eastAsia="zh-CN"/>
        </w:rPr>
        <w:t xml:space="preserve"> </w:t>
      </w:r>
      <w:r>
        <w:rPr>
          <w:rFonts w:hint="eastAsia"/>
          <w:color w:val="auto"/>
        </w:rPr>
        <w:t>KA/T2053-2016</w:t>
      </w:r>
    </w:p>
    <w:p w14:paraId="12940FF1">
      <w:pPr>
        <w:ind w:firstLine="200"/>
        <w:rPr>
          <w:rFonts w:hint="eastAsia"/>
          <w:color w:val="auto"/>
        </w:rPr>
      </w:pPr>
      <w:r>
        <w:rPr>
          <w:rFonts w:hint="eastAsia"/>
          <w:color w:val="auto"/>
        </w:rPr>
        <w:t>《金属非金属地下矿山无轨运人车辆安全技术要求》    AQ2070-2019</w:t>
      </w:r>
    </w:p>
    <w:p w14:paraId="0ADCAE8C">
      <w:pPr>
        <w:ind w:firstLine="200"/>
        <w:jc w:val="left"/>
        <w:rPr>
          <w:rFonts w:hint="eastAsia"/>
          <w:color w:val="auto"/>
          <w:lang w:val="en-US" w:eastAsia="zh-CN"/>
        </w:rPr>
      </w:pPr>
      <w:r>
        <w:rPr>
          <w:rFonts w:hint="eastAsia"/>
          <w:color w:val="auto"/>
          <w:lang w:val="en-US" w:eastAsia="zh-CN"/>
        </w:rPr>
        <w:t>《金属非金属矿山在用高压开关设备电气安全检测检验规范》</w:t>
      </w:r>
    </w:p>
    <w:p w14:paraId="66A81E55">
      <w:pPr>
        <w:ind w:firstLine="200"/>
        <w:jc w:val="right"/>
        <w:rPr>
          <w:rFonts w:hint="eastAsia"/>
          <w:color w:val="auto"/>
        </w:rPr>
      </w:pPr>
      <w:r>
        <w:rPr>
          <w:rFonts w:hint="eastAsia"/>
          <w:color w:val="auto"/>
          <w:lang w:val="en-US" w:eastAsia="zh-CN"/>
        </w:rPr>
        <w:t>KA/T</w:t>
      </w:r>
      <w:r>
        <w:rPr>
          <w:rFonts w:hint="eastAsia"/>
          <w:color w:val="auto"/>
        </w:rPr>
        <w:t>20</w:t>
      </w:r>
      <w:r>
        <w:rPr>
          <w:rFonts w:hint="eastAsia"/>
          <w:color w:val="auto"/>
          <w:lang w:val="en-US" w:eastAsia="zh-CN"/>
        </w:rPr>
        <w:t>73</w:t>
      </w:r>
      <w:r>
        <w:rPr>
          <w:rFonts w:hint="eastAsia"/>
          <w:color w:val="auto"/>
        </w:rPr>
        <w:t>-20</w:t>
      </w:r>
      <w:r>
        <w:rPr>
          <w:rFonts w:hint="eastAsia"/>
          <w:color w:val="auto"/>
          <w:lang w:val="en-US" w:eastAsia="zh-CN"/>
        </w:rPr>
        <w:t>19</w:t>
      </w:r>
    </w:p>
    <w:p w14:paraId="4C652239">
      <w:pPr>
        <w:ind w:firstLine="200"/>
        <w:rPr>
          <w:rFonts w:hint="default" w:eastAsia="宋体"/>
          <w:color w:val="auto"/>
          <w:lang w:val="en-US" w:eastAsia="zh-CN"/>
        </w:rPr>
      </w:pPr>
      <w:r>
        <w:rPr>
          <w:rFonts w:hint="eastAsia"/>
          <w:color w:val="auto"/>
        </w:rPr>
        <w:t>《金属非金属地下矿山紧急避险系统建设规范》</w:t>
      </w:r>
      <w:r>
        <w:rPr>
          <w:rFonts w:hint="eastAsia"/>
          <w:color w:val="auto"/>
          <w:lang w:val="en-US" w:eastAsia="zh-CN"/>
        </w:rPr>
        <w:t xml:space="preserve">      KA/T</w:t>
      </w:r>
      <w:r>
        <w:rPr>
          <w:rFonts w:hint="eastAsia"/>
          <w:color w:val="auto"/>
        </w:rPr>
        <w:t>2033-20</w:t>
      </w:r>
      <w:r>
        <w:rPr>
          <w:rFonts w:hint="eastAsia"/>
          <w:color w:val="auto"/>
          <w:lang w:val="en-US" w:eastAsia="zh-CN"/>
        </w:rPr>
        <w:t>23</w:t>
      </w:r>
    </w:p>
    <w:p w14:paraId="2544F5F1">
      <w:pPr>
        <w:ind w:firstLine="200"/>
        <w:rPr>
          <w:rFonts w:hint="eastAsia"/>
          <w:color w:val="auto"/>
        </w:rPr>
      </w:pPr>
      <w:r>
        <w:rPr>
          <w:rFonts w:hint="eastAsia"/>
          <w:color w:val="auto"/>
        </w:rPr>
        <w:t xml:space="preserve">《金属非金属地下矿山压风自救系统建设规范》 </w:t>
      </w:r>
      <w:r>
        <w:rPr>
          <w:rFonts w:hint="eastAsia"/>
          <w:color w:val="auto"/>
          <w:lang w:val="en-US" w:eastAsia="zh-CN"/>
        </w:rPr>
        <w:t xml:space="preserve">     KA/T</w:t>
      </w:r>
      <w:r>
        <w:rPr>
          <w:rFonts w:hint="eastAsia"/>
          <w:color w:val="auto"/>
        </w:rPr>
        <w:t>203</w:t>
      </w:r>
      <w:r>
        <w:rPr>
          <w:rFonts w:hint="eastAsia"/>
          <w:color w:val="auto"/>
          <w:lang w:val="en-US" w:eastAsia="zh-CN"/>
        </w:rPr>
        <w:t>4</w:t>
      </w:r>
      <w:r>
        <w:rPr>
          <w:rFonts w:hint="eastAsia"/>
          <w:color w:val="auto"/>
        </w:rPr>
        <w:t>-20</w:t>
      </w:r>
      <w:r>
        <w:rPr>
          <w:rFonts w:hint="eastAsia"/>
          <w:color w:val="auto"/>
          <w:lang w:val="en-US" w:eastAsia="zh-CN"/>
        </w:rPr>
        <w:t>23</w:t>
      </w:r>
    </w:p>
    <w:p w14:paraId="461134C6">
      <w:pPr>
        <w:ind w:firstLine="200"/>
        <w:rPr>
          <w:rFonts w:hint="eastAsia"/>
          <w:color w:val="auto"/>
          <w:lang w:val="en-US" w:eastAsia="zh-CN"/>
        </w:rPr>
      </w:pPr>
      <w:r>
        <w:rPr>
          <w:rFonts w:hint="eastAsia"/>
          <w:color w:val="auto"/>
        </w:rPr>
        <w:t xml:space="preserve">《金属非金属地下矿山供水施救系统建设规范》 </w:t>
      </w:r>
      <w:r>
        <w:rPr>
          <w:rFonts w:hint="eastAsia"/>
          <w:color w:val="auto"/>
          <w:lang w:val="en-US" w:eastAsia="zh-CN"/>
        </w:rPr>
        <w:t xml:space="preserve">     KA/T</w:t>
      </w:r>
      <w:r>
        <w:rPr>
          <w:rFonts w:hint="eastAsia"/>
          <w:color w:val="auto"/>
        </w:rPr>
        <w:t>203</w:t>
      </w:r>
      <w:r>
        <w:rPr>
          <w:rFonts w:hint="eastAsia"/>
          <w:color w:val="auto"/>
          <w:lang w:val="en-US" w:eastAsia="zh-CN"/>
        </w:rPr>
        <w:t>5</w:t>
      </w:r>
      <w:r>
        <w:rPr>
          <w:rFonts w:hint="eastAsia"/>
          <w:color w:val="auto"/>
        </w:rPr>
        <w:t>-20</w:t>
      </w:r>
      <w:r>
        <w:rPr>
          <w:rFonts w:hint="eastAsia"/>
          <w:color w:val="auto"/>
          <w:lang w:val="en-US" w:eastAsia="zh-CN"/>
        </w:rPr>
        <w:t>23</w:t>
      </w:r>
    </w:p>
    <w:p w14:paraId="275BD571">
      <w:pPr>
        <w:ind w:firstLine="200"/>
        <w:jc w:val="left"/>
        <w:rPr>
          <w:rFonts w:hint="eastAsia"/>
          <w:color w:val="auto"/>
          <w:lang w:val="en-US" w:eastAsia="zh-CN"/>
        </w:rPr>
      </w:pPr>
      <w:r>
        <w:rPr>
          <w:rFonts w:hint="eastAsia"/>
          <w:color w:val="auto"/>
          <w:lang w:val="en-US" w:eastAsia="zh-CN"/>
        </w:rPr>
        <w:t>《金属非金属地下矿山在用人员定位系统安全检测检验规范》</w:t>
      </w:r>
    </w:p>
    <w:p w14:paraId="6B1B6B34">
      <w:pPr>
        <w:ind w:firstLine="200"/>
        <w:jc w:val="right"/>
        <w:rPr>
          <w:rFonts w:hint="eastAsia"/>
          <w:color w:val="auto"/>
          <w:lang w:val="en-US" w:eastAsia="zh-CN"/>
        </w:rPr>
      </w:pPr>
      <w:r>
        <w:rPr>
          <w:rFonts w:hint="eastAsia"/>
          <w:color w:val="auto"/>
          <w:lang w:val="en-US" w:eastAsia="zh-CN"/>
        </w:rPr>
        <w:t>KA/T</w:t>
      </w:r>
      <w:r>
        <w:rPr>
          <w:rFonts w:hint="eastAsia"/>
          <w:color w:val="auto"/>
        </w:rPr>
        <w:t>20</w:t>
      </w:r>
      <w:r>
        <w:rPr>
          <w:rFonts w:hint="eastAsia"/>
          <w:color w:val="auto"/>
          <w:lang w:val="en-US" w:eastAsia="zh-CN"/>
        </w:rPr>
        <w:t>80</w:t>
      </w:r>
      <w:r>
        <w:rPr>
          <w:rFonts w:hint="eastAsia"/>
          <w:color w:val="auto"/>
        </w:rPr>
        <w:t>-20</w:t>
      </w:r>
      <w:r>
        <w:rPr>
          <w:rFonts w:hint="eastAsia"/>
          <w:color w:val="auto"/>
          <w:lang w:val="en-US" w:eastAsia="zh-CN"/>
        </w:rPr>
        <w:t>23</w:t>
      </w:r>
    </w:p>
    <w:p w14:paraId="7CDC110B">
      <w:pPr>
        <w:bidi w:val="0"/>
        <w:rPr>
          <w:rFonts w:hint="default"/>
          <w:color w:val="auto"/>
          <w:lang w:val="en-US" w:eastAsia="zh-CN"/>
        </w:rPr>
      </w:pPr>
      <w:r>
        <w:rPr>
          <w:rFonts w:hint="eastAsia"/>
          <w:color w:val="auto"/>
          <w:lang w:val="en-US" w:eastAsia="zh-CN"/>
        </w:rPr>
        <w:t xml:space="preserve">《矿山隐蔽致灾因素普查规范 第1部分：总则》       </w:t>
      </w:r>
      <w:r>
        <w:rPr>
          <w:rFonts w:hint="default"/>
          <w:color w:val="auto"/>
          <w:lang w:val="en-US" w:eastAsia="zh-CN"/>
        </w:rPr>
        <w:t>KA/T22.3-2024</w:t>
      </w:r>
    </w:p>
    <w:p w14:paraId="70609A58">
      <w:pPr>
        <w:bidi w:val="0"/>
        <w:rPr>
          <w:rFonts w:hint="eastAsia"/>
          <w:color w:val="auto"/>
          <w:lang w:val="en-US" w:eastAsia="zh-CN"/>
        </w:rPr>
      </w:pPr>
      <w:r>
        <w:rPr>
          <w:rFonts w:hint="eastAsia"/>
          <w:color w:val="auto"/>
          <w:lang w:val="en-US" w:eastAsia="zh-CN"/>
        </w:rPr>
        <w:t>《矿山隐蔽致灾因素普查规范 第3部分：金属非金属矿山及尾矿库》</w:t>
      </w:r>
    </w:p>
    <w:p w14:paraId="68024C13">
      <w:pPr>
        <w:bidi w:val="0"/>
        <w:jc w:val="right"/>
        <w:rPr>
          <w:rFonts w:hint="default"/>
          <w:color w:val="auto"/>
          <w:lang w:val="en-US" w:eastAsia="zh-CN"/>
        </w:rPr>
      </w:pPr>
      <w:r>
        <w:rPr>
          <w:rFonts w:hint="default"/>
          <w:color w:val="auto"/>
          <w:lang w:val="en-US" w:eastAsia="zh-CN"/>
        </w:rPr>
        <w:t>KA/T22.3-2024</w:t>
      </w:r>
    </w:p>
    <w:p w14:paraId="5EFC93B9">
      <w:pPr>
        <w:pStyle w:val="4"/>
        <w:bidi w:val="0"/>
        <w:rPr>
          <w:rFonts w:hint="eastAsia"/>
          <w:color w:val="auto"/>
        </w:rPr>
      </w:pPr>
      <w:bookmarkStart w:id="84" w:name="_Toc22184"/>
      <w:bookmarkStart w:id="85" w:name="_Toc22086"/>
      <w:bookmarkStart w:id="86" w:name="_Toc15454"/>
      <w:bookmarkStart w:id="87" w:name="_Toc1395"/>
      <w:bookmarkStart w:id="88" w:name="_Toc25829"/>
      <w:bookmarkStart w:id="89" w:name="_Toc31656"/>
      <w:bookmarkStart w:id="90" w:name="_Toc23248"/>
      <w:bookmarkStart w:id="91" w:name="_Toc24114"/>
      <w:bookmarkStart w:id="92" w:name="_Toc22079"/>
      <w:r>
        <w:rPr>
          <w:rFonts w:hint="eastAsia"/>
          <w:color w:val="auto"/>
        </w:rPr>
        <w:t>1.</w:t>
      </w:r>
      <w:r>
        <w:rPr>
          <w:rFonts w:hint="eastAsia"/>
          <w:color w:val="auto"/>
          <w:lang w:val="en-US" w:eastAsia="zh-CN"/>
        </w:rPr>
        <w:t xml:space="preserve">2.8 </w:t>
      </w:r>
      <w:bookmarkEnd w:id="84"/>
      <w:bookmarkEnd w:id="85"/>
      <w:bookmarkEnd w:id="86"/>
      <w:bookmarkEnd w:id="87"/>
      <w:bookmarkEnd w:id="88"/>
      <w:r>
        <w:rPr>
          <w:rFonts w:hint="eastAsia"/>
          <w:color w:val="auto"/>
        </w:rPr>
        <w:t>建设项目技术资料</w:t>
      </w:r>
      <w:bookmarkEnd w:id="89"/>
      <w:bookmarkEnd w:id="90"/>
      <w:bookmarkEnd w:id="91"/>
      <w:bookmarkEnd w:id="92"/>
    </w:p>
    <w:p w14:paraId="040E8B3E">
      <w:pPr>
        <w:rPr>
          <w:rFonts w:hint="eastAsia"/>
          <w:strike w:val="0"/>
          <w:dstrike w:val="0"/>
          <w:color w:val="auto"/>
          <w:lang w:eastAsia="zh-CN"/>
        </w:rPr>
      </w:pPr>
      <w:r>
        <w:rPr>
          <w:rFonts w:hint="eastAsia"/>
          <w:strike w:val="0"/>
          <w:dstrike w:val="0"/>
          <w:color w:val="auto"/>
        </w:rPr>
        <w:t>《江西省宁都县青塘含铜磁黄铁矿床地质勘探总结报告》</w:t>
      </w:r>
      <w:r>
        <w:rPr>
          <w:rFonts w:hint="eastAsia"/>
          <w:strike w:val="0"/>
          <w:dstrike w:val="0"/>
          <w:color w:val="auto"/>
          <w:lang w:eastAsia="zh-CN"/>
        </w:rPr>
        <w:t>（原赣南行署地质勘探大队，1960年8月）</w:t>
      </w:r>
    </w:p>
    <w:p w14:paraId="1C869581">
      <w:pPr>
        <w:rPr>
          <w:rFonts w:hint="eastAsia"/>
          <w:strike w:val="0"/>
          <w:dstrike w:val="0"/>
          <w:color w:val="auto"/>
          <w:lang w:eastAsia="zh-CN"/>
        </w:rPr>
      </w:pPr>
      <w:r>
        <w:rPr>
          <w:rFonts w:hint="eastAsia"/>
          <w:strike w:val="0"/>
          <w:dstrike w:val="0"/>
          <w:color w:val="auto"/>
        </w:rPr>
        <w:t>《江西宁都硫磺矿储量地质报告》</w:t>
      </w:r>
      <w:r>
        <w:rPr>
          <w:rFonts w:hint="eastAsia"/>
          <w:strike w:val="0"/>
          <w:dstrike w:val="0"/>
          <w:color w:val="auto"/>
          <w:lang w:eastAsia="zh-CN"/>
        </w:rPr>
        <w:t>（</w:t>
      </w:r>
      <w:r>
        <w:rPr>
          <w:rFonts w:hint="eastAsia"/>
          <w:strike w:val="0"/>
          <w:dstrike w:val="0"/>
          <w:color w:val="auto"/>
        </w:rPr>
        <w:t>江西省地质矿产勘察开发局赣南地质调查大队</w:t>
      </w:r>
      <w:r>
        <w:rPr>
          <w:rFonts w:hint="eastAsia"/>
          <w:strike w:val="0"/>
          <w:dstrike w:val="0"/>
          <w:color w:val="auto"/>
          <w:lang w:eastAsia="zh-CN"/>
        </w:rPr>
        <w:t>，2004年4月）</w:t>
      </w:r>
    </w:p>
    <w:p w14:paraId="2B5FB3E9">
      <w:pPr>
        <w:rPr>
          <w:rFonts w:hint="eastAsia"/>
          <w:strike w:val="0"/>
          <w:dstrike w:val="0"/>
          <w:color w:val="auto"/>
        </w:rPr>
      </w:pPr>
      <w:r>
        <w:rPr>
          <w:rFonts w:hint="eastAsia"/>
          <w:strike w:val="0"/>
          <w:dstrike w:val="0"/>
          <w:color w:val="auto"/>
        </w:rPr>
        <w:t>《江西朝盛矿业有限公司宁都硫铁矿扩建工程初步设计》及《安全专篇》（江西省冶金设计院</w:t>
      </w:r>
      <w:r>
        <w:rPr>
          <w:rFonts w:hint="eastAsia"/>
          <w:strike w:val="0"/>
          <w:dstrike w:val="0"/>
          <w:color w:val="auto"/>
          <w:lang w:eastAsia="zh-CN"/>
        </w:rPr>
        <w:t>，</w:t>
      </w:r>
      <w:r>
        <w:rPr>
          <w:rFonts w:hint="eastAsia"/>
          <w:strike w:val="0"/>
          <w:dstrike w:val="0"/>
          <w:color w:val="auto"/>
        </w:rPr>
        <w:t>2010年6月）</w:t>
      </w:r>
    </w:p>
    <w:p w14:paraId="7E8C59EA">
      <w:pPr>
        <w:rPr>
          <w:rFonts w:hint="eastAsia"/>
          <w:strike w:val="0"/>
          <w:dstrike w:val="0"/>
          <w:color w:val="auto"/>
          <w:lang w:eastAsia="zh-CN"/>
        </w:rPr>
      </w:pPr>
      <w:r>
        <w:rPr>
          <w:rFonts w:hint="eastAsia"/>
          <w:strike w:val="0"/>
          <w:dstrike w:val="0"/>
          <w:color w:val="auto"/>
          <w:lang w:eastAsia="zh-CN"/>
        </w:rPr>
        <w:t>《江西省宁都县青塘矿区硫铁矿资源储量核实报告》（江西省地质矿产勘查开发局赣南地质调查大队，</w:t>
      </w:r>
      <w:r>
        <w:rPr>
          <w:rFonts w:hint="eastAsia"/>
          <w:strike w:val="0"/>
          <w:dstrike w:val="0"/>
          <w:color w:val="auto"/>
          <w:lang w:val="en-US" w:eastAsia="zh-CN"/>
        </w:rPr>
        <w:t>2012年1月</w:t>
      </w:r>
      <w:r>
        <w:rPr>
          <w:rFonts w:hint="eastAsia"/>
          <w:strike w:val="0"/>
          <w:dstrike w:val="0"/>
          <w:color w:val="auto"/>
          <w:lang w:eastAsia="zh-CN"/>
        </w:rPr>
        <w:t>）</w:t>
      </w:r>
    </w:p>
    <w:p w14:paraId="0CD75384">
      <w:pPr>
        <w:rPr>
          <w:rFonts w:hint="eastAsia"/>
          <w:strike w:val="0"/>
          <w:dstrike w:val="0"/>
          <w:color w:val="auto"/>
        </w:rPr>
      </w:pPr>
      <w:r>
        <w:rPr>
          <w:rFonts w:hint="eastAsia"/>
          <w:strike w:val="0"/>
          <w:dstrike w:val="0"/>
          <w:color w:val="auto"/>
        </w:rPr>
        <w:t>《</w:t>
      </w:r>
      <w:r>
        <w:rPr>
          <w:rFonts w:hint="eastAsia" w:ascii="宋体" w:hAnsi="宋体" w:eastAsia="宋体" w:cs="宋体"/>
          <w:strike w:val="0"/>
          <w:dstrike w:val="0"/>
          <w:color w:val="auto"/>
        </w:rPr>
        <w:t>&lt;</w:t>
      </w:r>
      <w:r>
        <w:rPr>
          <w:rFonts w:hint="eastAsia"/>
          <w:strike w:val="0"/>
          <w:dstrike w:val="0"/>
          <w:color w:val="auto"/>
        </w:rPr>
        <w:t>江西朝盛矿业有限公司宁都硫铁矿扩建工程初步设计</w:t>
      </w:r>
      <w:r>
        <w:rPr>
          <w:rFonts w:hint="eastAsia" w:ascii="宋体" w:hAnsi="宋体" w:eastAsia="宋体" w:cs="宋体"/>
          <w:strike w:val="0"/>
          <w:dstrike w:val="0"/>
          <w:color w:val="auto"/>
        </w:rPr>
        <w:t>&gt;</w:t>
      </w:r>
      <w:r>
        <w:rPr>
          <w:rFonts w:hint="eastAsia"/>
          <w:strike w:val="0"/>
          <w:dstrike w:val="0"/>
          <w:color w:val="auto"/>
        </w:rPr>
        <w:t>通风安全系统的设计变更》（河北宏达绿洲工程设计有限公司</w:t>
      </w:r>
      <w:r>
        <w:rPr>
          <w:rFonts w:hint="eastAsia"/>
          <w:strike w:val="0"/>
          <w:dstrike w:val="0"/>
          <w:color w:val="auto"/>
          <w:lang w:eastAsia="zh-CN"/>
        </w:rPr>
        <w:t>，</w:t>
      </w:r>
      <w:r>
        <w:rPr>
          <w:rFonts w:hint="eastAsia"/>
          <w:strike w:val="0"/>
          <w:dstrike w:val="0"/>
          <w:color w:val="auto"/>
        </w:rPr>
        <w:t>2012年6月）</w:t>
      </w:r>
    </w:p>
    <w:p w14:paraId="349942EE">
      <w:pPr>
        <w:rPr>
          <w:rFonts w:hint="eastAsia" w:eastAsia="宋体"/>
          <w:strike w:val="0"/>
          <w:dstrike w:val="0"/>
          <w:color w:val="auto"/>
          <w:lang w:eastAsia="zh-CN"/>
        </w:rPr>
      </w:pPr>
      <w:r>
        <w:rPr>
          <w:rFonts w:hint="eastAsia"/>
          <w:strike w:val="0"/>
          <w:dstrike w:val="0"/>
          <w:color w:val="auto"/>
        </w:rPr>
        <w:t>《江西省宁都县青塘矿区硫铁矿水文地质条件报告》</w:t>
      </w:r>
      <w:r>
        <w:rPr>
          <w:rFonts w:hint="eastAsia"/>
          <w:strike w:val="0"/>
          <w:dstrike w:val="0"/>
          <w:color w:val="auto"/>
          <w:lang w:eastAsia="zh-CN"/>
        </w:rPr>
        <w:t>（</w:t>
      </w:r>
      <w:r>
        <w:rPr>
          <w:rFonts w:hint="eastAsia"/>
          <w:strike w:val="0"/>
          <w:dstrike w:val="0"/>
          <w:color w:val="auto"/>
        </w:rPr>
        <w:t>赣南地质调查大队</w:t>
      </w:r>
      <w:r>
        <w:rPr>
          <w:rFonts w:hint="eastAsia"/>
          <w:strike w:val="0"/>
          <w:dstrike w:val="0"/>
          <w:color w:val="auto"/>
          <w:lang w:eastAsia="zh-CN"/>
        </w:rPr>
        <w:t>，</w:t>
      </w:r>
      <w:r>
        <w:rPr>
          <w:rFonts w:hint="eastAsia"/>
          <w:strike w:val="0"/>
          <w:dstrike w:val="0"/>
          <w:color w:val="auto"/>
        </w:rPr>
        <w:t>2012年12月</w:t>
      </w:r>
      <w:r>
        <w:rPr>
          <w:rFonts w:hint="eastAsia"/>
          <w:strike w:val="0"/>
          <w:dstrike w:val="0"/>
          <w:color w:val="auto"/>
          <w:lang w:eastAsia="zh-CN"/>
        </w:rPr>
        <w:t>）</w:t>
      </w:r>
    </w:p>
    <w:p w14:paraId="62297F31">
      <w:pPr>
        <w:rPr>
          <w:rFonts w:hint="eastAsia"/>
          <w:strike w:val="0"/>
          <w:dstrike w:val="0"/>
          <w:color w:val="auto"/>
        </w:rPr>
      </w:pPr>
      <w:r>
        <w:rPr>
          <w:rFonts w:hint="eastAsia"/>
          <w:strike w:val="0"/>
          <w:dstrike w:val="0"/>
          <w:color w:val="auto"/>
        </w:rPr>
        <w:t>《关于对江西朝盛矿业有限公司宁都硫铁矿地下开采扩建工程初步设计排水设施部分变更》（河北宏达绿洲工程设计有限公司</w:t>
      </w:r>
      <w:r>
        <w:rPr>
          <w:rFonts w:hint="eastAsia"/>
          <w:strike w:val="0"/>
          <w:dstrike w:val="0"/>
          <w:color w:val="auto"/>
          <w:lang w:eastAsia="zh-CN"/>
        </w:rPr>
        <w:t>，</w:t>
      </w:r>
      <w:r>
        <w:rPr>
          <w:rFonts w:hint="eastAsia"/>
          <w:strike w:val="0"/>
          <w:dstrike w:val="0"/>
          <w:color w:val="auto"/>
        </w:rPr>
        <w:t>2013年3月）</w:t>
      </w:r>
    </w:p>
    <w:p w14:paraId="7AEC90AF">
      <w:pPr>
        <w:rPr>
          <w:rFonts w:hint="eastAsia"/>
          <w:strike w:val="0"/>
          <w:dstrike w:val="0"/>
          <w:color w:val="auto"/>
        </w:rPr>
      </w:pPr>
      <w:r>
        <w:rPr>
          <w:rFonts w:hint="eastAsia"/>
          <w:strike w:val="0"/>
          <w:dstrike w:val="0"/>
          <w:color w:val="auto"/>
        </w:rPr>
        <w:t>《江西朝盛矿业有限公司地压调查研究（中期报告）》（江西理工大学</w:t>
      </w:r>
      <w:r>
        <w:rPr>
          <w:rFonts w:hint="eastAsia"/>
          <w:strike w:val="0"/>
          <w:dstrike w:val="0"/>
          <w:color w:val="auto"/>
          <w:lang w:eastAsia="zh-CN"/>
        </w:rPr>
        <w:t>，</w:t>
      </w:r>
      <w:r>
        <w:rPr>
          <w:rFonts w:hint="eastAsia"/>
          <w:strike w:val="0"/>
          <w:dstrike w:val="0"/>
          <w:color w:val="auto"/>
        </w:rPr>
        <w:t>2013年10月）</w:t>
      </w:r>
    </w:p>
    <w:p w14:paraId="13A1B7CA">
      <w:pPr>
        <w:rPr>
          <w:rFonts w:hint="eastAsia" w:eastAsia="宋体"/>
          <w:strike w:val="0"/>
          <w:dstrike w:val="0"/>
          <w:color w:val="auto"/>
          <w:lang w:eastAsia="zh-CN"/>
        </w:rPr>
      </w:pPr>
      <w:r>
        <w:rPr>
          <w:rFonts w:hint="eastAsia"/>
          <w:strike w:val="0"/>
          <w:dstrike w:val="0"/>
          <w:color w:val="auto"/>
          <w:lang w:eastAsia="zh-CN"/>
        </w:rPr>
        <w:t>《江西朝盛矿业有限公司宁都青塘硫铁矿矿山地质环境恢复治理与土地复垦方案》（江西应职院科技产业有限公司，</w:t>
      </w:r>
      <w:r>
        <w:rPr>
          <w:rFonts w:hint="eastAsia"/>
          <w:strike w:val="0"/>
          <w:dstrike w:val="0"/>
          <w:color w:val="auto"/>
        </w:rPr>
        <w:t>202</w:t>
      </w:r>
      <w:r>
        <w:rPr>
          <w:rFonts w:hint="eastAsia"/>
          <w:strike w:val="0"/>
          <w:dstrike w:val="0"/>
          <w:color w:val="auto"/>
          <w:lang w:val="en-US" w:eastAsia="zh-CN"/>
        </w:rPr>
        <w:t>3</w:t>
      </w:r>
      <w:r>
        <w:rPr>
          <w:rFonts w:hint="eastAsia"/>
          <w:strike w:val="0"/>
          <w:dstrike w:val="0"/>
          <w:color w:val="auto"/>
        </w:rPr>
        <w:t>年</w:t>
      </w:r>
      <w:r>
        <w:rPr>
          <w:rFonts w:hint="eastAsia"/>
          <w:strike w:val="0"/>
          <w:dstrike w:val="0"/>
          <w:color w:val="auto"/>
          <w:lang w:val="en-US" w:eastAsia="zh-CN"/>
        </w:rPr>
        <w:t>1</w:t>
      </w:r>
      <w:r>
        <w:rPr>
          <w:rFonts w:hint="eastAsia"/>
          <w:strike w:val="0"/>
          <w:dstrike w:val="0"/>
          <w:color w:val="auto"/>
        </w:rPr>
        <w:t>月</w:t>
      </w:r>
      <w:r>
        <w:rPr>
          <w:rFonts w:hint="eastAsia"/>
          <w:strike w:val="0"/>
          <w:dstrike w:val="0"/>
          <w:color w:val="auto"/>
          <w:lang w:eastAsia="zh-CN"/>
        </w:rPr>
        <w:t>）</w:t>
      </w:r>
    </w:p>
    <w:p w14:paraId="5D3C70EB">
      <w:pPr>
        <w:rPr>
          <w:rFonts w:hint="eastAsia"/>
          <w:strike w:val="0"/>
          <w:dstrike w:val="0"/>
          <w:color w:val="auto"/>
          <w:lang w:eastAsia="zh-CN"/>
        </w:rPr>
      </w:pPr>
      <w:r>
        <w:rPr>
          <w:rFonts w:hint="eastAsia"/>
          <w:strike w:val="0"/>
          <w:dstrike w:val="0"/>
          <w:color w:val="auto"/>
          <w:lang w:eastAsia="zh-CN"/>
        </w:rPr>
        <w:t>《</w:t>
      </w:r>
      <w:r>
        <w:rPr>
          <w:rFonts w:hint="eastAsia"/>
          <w:strike w:val="0"/>
          <w:dstrike w:val="0"/>
          <w:color w:val="auto"/>
        </w:rPr>
        <w:t>江西朝盛矿业有限公司</w:t>
      </w:r>
      <w:r>
        <w:rPr>
          <w:rFonts w:hint="eastAsia"/>
          <w:strike w:val="0"/>
          <w:dstrike w:val="0"/>
          <w:color w:val="auto"/>
          <w:lang w:eastAsia="zh-CN"/>
        </w:rPr>
        <w:t>金属非金属地下矿山无轨运人车辆安全检测检验报告》（中检集团公信安全科技有限公司，</w:t>
      </w:r>
      <w:r>
        <w:rPr>
          <w:rFonts w:hint="eastAsia"/>
          <w:strike w:val="0"/>
          <w:dstrike w:val="0"/>
          <w:color w:val="auto"/>
          <w:lang w:val="en-US" w:eastAsia="zh-CN"/>
        </w:rPr>
        <w:t>2023年11月</w:t>
      </w:r>
      <w:r>
        <w:rPr>
          <w:rFonts w:hint="eastAsia"/>
          <w:strike w:val="0"/>
          <w:dstrike w:val="0"/>
          <w:color w:val="auto"/>
          <w:lang w:eastAsia="zh-CN"/>
        </w:rPr>
        <w:t>）</w:t>
      </w:r>
    </w:p>
    <w:p w14:paraId="1EE797CA">
      <w:pPr>
        <w:rPr>
          <w:rFonts w:hint="eastAsia"/>
          <w:strike w:val="0"/>
          <w:dstrike w:val="0"/>
          <w:color w:val="auto"/>
          <w:lang w:eastAsia="zh-CN"/>
        </w:rPr>
      </w:pPr>
      <w:r>
        <w:rPr>
          <w:rFonts w:hint="eastAsia"/>
          <w:strike w:val="0"/>
          <w:dstrike w:val="0"/>
          <w:color w:val="auto"/>
          <w:lang w:eastAsia="zh-CN"/>
        </w:rPr>
        <w:t>《江西朝盛矿业有限公司宁都硫铁矿安全检测检验报告》（</w:t>
      </w:r>
      <w:r>
        <w:rPr>
          <w:rFonts w:hint="eastAsia"/>
          <w:strike w:val="0"/>
          <w:dstrike w:val="0"/>
          <w:color w:val="auto"/>
        </w:rPr>
        <w:t>江西华安检测技术有限公司</w:t>
      </w:r>
      <w:r>
        <w:rPr>
          <w:rFonts w:hint="eastAsia"/>
          <w:strike w:val="0"/>
          <w:dstrike w:val="0"/>
          <w:color w:val="auto"/>
          <w:lang w:eastAsia="zh-CN"/>
        </w:rPr>
        <w:t>，</w:t>
      </w:r>
      <w:r>
        <w:rPr>
          <w:rFonts w:hint="eastAsia"/>
          <w:strike w:val="0"/>
          <w:dstrike w:val="0"/>
          <w:color w:val="auto"/>
          <w:lang w:val="en-US" w:eastAsia="zh-CN"/>
        </w:rPr>
        <w:t>2024年1月</w:t>
      </w:r>
      <w:r>
        <w:rPr>
          <w:rFonts w:hint="eastAsia"/>
          <w:strike w:val="0"/>
          <w:dstrike w:val="0"/>
          <w:color w:val="auto"/>
          <w:lang w:eastAsia="zh-CN"/>
        </w:rPr>
        <w:t>）</w:t>
      </w:r>
    </w:p>
    <w:p w14:paraId="15EC46AE">
      <w:pPr>
        <w:rPr>
          <w:rFonts w:hint="eastAsia"/>
          <w:strike w:val="0"/>
          <w:dstrike w:val="0"/>
          <w:color w:val="auto"/>
          <w:lang w:eastAsia="zh-CN"/>
        </w:rPr>
      </w:pPr>
      <w:r>
        <w:rPr>
          <w:rFonts w:hint="eastAsia"/>
          <w:strike w:val="0"/>
          <w:dstrike w:val="0"/>
          <w:color w:val="auto"/>
          <w:lang w:eastAsia="zh-CN"/>
        </w:rPr>
        <w:t>《金属非金属矿山提升钢丝绳安全检测检验报告》（</w:t>
      </w:r>
      <w:r>
        <w:rPr>
          <w:rFonts w:hint="eastAsia"/>
          <w:strike w:val="0"/>
          <w:dstrike w:val="0"/>
          <w:color w:val="auto"/>
        </w:rPr>
        <w:t>江西华安检测技术有限公司</w:t>
      </w:r>
      <w:r>
        <w:rPr>
          <w:rFonts w:hint="eastAsia"/>
          <w:strike w:val="0"/>
          <w:dstrike w:val="0"/>
          <w:color w:val="auto"/>
          <w:lang w:eastAsia="zh-CN"/>
        </w:rPr>
        <w:t>，</w:t>
      </w:r>
      <w:r>
        <w:rPr>
          <w:rFonts w:hint="eastAsia"/>
          <w:strike w:val="0"/>
          <w:dstrike w:val="0"/>
          <w:color w:val="auto"/>
          <w:lang w:val="en-US" w:eastAsia="zh-CN"/>
        </w:rPr>
        <w:t>2024年1月</w:t>
      </w:r>
      <w:r>
        <w:rPr>
          <w:rFonts w:hint="eastAsia"/>
          <w:strike w:val="0"/>
          <w:dstrike w:val="0"/>
          <w:color w:val="auto"/>
          <w:lang w:eastAsia="zh-CN"/>
        </w:rPr>
        <w:t>）</w:t>
      </w:r>
    </w:p>
    <w:p w14:paraId="12218F4B">
      <w:pPr>
        <w:rPr>
          <w:rFonts w:hint="eastAsia"/>
          <w:strike w:val="0"/>
          <w:dstrike w:val="0"/>
          <w:color w:val="auto"/>
          <w:lang w:eastAsia="zh-CN"/>
        </w:rPr>
      </w:pPr>
      <w:r>
        <w:rPr>
          <w:rFonts w:hint="eastAsia"/>
          <w:strike w:val="0"/>
          <w:dstrike w:val="0"/>
          <w:color w:val="auto"/>
          <w:lang w:eastAsia="zh-CN"/>
        </w:rPr>
        <w:t>《江西朝盛矿业有限公司宁都硫铁矿地下矿山隐蔽致灾因素普查治理报告》（南昌工程学院江西水利土木特种加固与安全监控工程研究中心，</w:t>
      </w:r>
      <w:r>
        <w:rPr>
          <w:rFonts w:hint="eastAsia"/>
          <w:strike w:val="0"/>
          <w:dstrike w:val="0"/>
          <w:color w:val="auto"/>
          <w:lang w:val="en-US" w:eastAsia="zh-CN"/>
        </w:rPr>
        <w:t>2024年1月</w:t>
      </w:r>
      <w:r>
        <w:rPr>
          <w:rFonts w:hint="eastAsia"/>
          <w:strike w:val="0"/>
          <w:dstrike w:val="0"/>
          <w:color w:val="auto"/>
          <w:lang w:eastAsia="zh-CN"/>
        </w:rPr>
        <w:t>）</w:t>
      </w:r>
    </w:p>
    <w:p w14:paraId="54D8D759">
      <w:pPr>
        <w:rPr>
          <w:rFonts w:hint="eastAsia"/>
          <w:strike w:val="0"/>
          <w:dstrike w:val="0"/>
          <w:color w:val="auto"/>
          <w:lang w:eastAsia="zh-CN"/>
        </w:rPr>
      </w:pPr>
      <w:r>
        <w:rPr>
          <w:rFonts w:hint="eastAsia"/>
          <w:strike w:val="0"/>
          <w:dstrike w:val="0"/>
          <w:color w:val="auto"/>
          <w:lang w:eastAsia="zh-CN"/>
        </w:rPr>
        <w:t>《江西省宁都县青塘矿区硫铁矿2023年度矿山储量年度报告》（江西省地质局第七地质大队，2024年1月）</w:t>
      </w:r>
    </w:p>
    <w:p w14:paraId="626C7102">
      <w:pPr>
        <w:rPr>
          <w:rFonts w:hint="eastAsia"/>
          <w:strike w:val="0"/>
          <w:dstrike w:val="0"/>
          <w:color w:val="auto"/>
        </w:rPr>
      </w:pPr>
      <w:r>
        <w:rPr>
          <w:rFonts w:hint="eastAsia"/>
          <w:strike w:val="0"/>
          <w:dstrike w:val="0"/>
          <w:color w:val="auto"/>
        </w:rPr>
        <w:t>《江西朝盛矿业有限公司宁都硫铁矿地下开采改建工程可行性研究报告》（江西省中赣投勘察设计有限公司</w:t>
      </w:r>
      <w:r>
        <w:rPr>
          <w:rFonts w:hint="eastAsia"/>
          <w:strike w:val="0"/>
          <w:dstrike w:val="0"/>
          <w:color w:val="auto"/>
          <w:lang w:eastAsia="zh-CN"/>
        </w:rPr>
        <w:t>，</w:t>
      </w:r>
      <w:r>
        <w:rPr>
          <w:rFonts w:hint="eastAsia"/>
          <w:strike w:val="0"/>
          <w:dstrike w:val="0"/>
          <w:color w:val="auto"/>
          <w:lang w:val="en-US" w:eastAsia="zh-CN"/>
        </w:rPr>
        <w:t>2025年1月</w:t>
      </w:r>
      <w:r>
        <w:rPr>
          <w:rFonts w:hint="eastAsia"/>
          <w:strike w:val="0"/>
          <w:dstrike w:val="0"/>
          <w:color w:val="auto"/>
        </w:rPr>
        <w:t>）</w:t>
      </w:r>
    </w:p>
    <w:p w14:paraId="5B0E03E3">
      <w:pPr>
        <w:ind w:firstLine="560"/>
        <w:rPr>
          <w:rFonts w:hint="eastAsia"/>
          <w:strike w:val="0"/>
          <w:dstrike w:val="0"/>
          <w:color w:val="auto"/>
          <w:lang w:eastAsia="zh-CN"/>
        </w:rPr>
      </w:pPr>
      <w:r>
        <w:rPr>
          <w:rFonts w:hint="eastAsia"/>
          <w:strike w:val="0"/>
          <w:dstrike w:val="0"/>
          <w:color w:val="auto"/>
          <w:lang w:eastAsia="zh-CN"/>
        </w:rPr>
        <w:t>《江西省朝盛矿业有限公司江西省宁都县青塘矿区硫铁矿改扩建项目水工环地质专项勘查报告》（江西核工业工程地质勘察院有限公司，</w:t>
      </w:r>
      <w:r>
        <w:rPr>
          <w:rFonts w:hint="eastAsia"/>
          <w:strike w:val="0"/>
          <w:dstrike w:val="0"/>
          <w:color w:val="auto"/>
          <w:lang w:val="en-US" w:eastAsia="zh-CN"/>
        </w:rPr>
        <w:t>2025年4月</w:t>
      </w:r>
      <w:r>
        <w:rPr>
          <w:rFonts w:hint="eastAsia"/>
          <w:strike w:val="0"/>
          <w:dstrike w:val="0"/>
          <w:color w:val="auto"/>
          <w:lang w:eastAsia="zh-CN"/>
        </w:rPr>
        <w:t>）</w:t>
      </w:r>
    </w:p>
    <w:p w14:paraId="6FD22841">
      <w:pPr>
        <w:ind w:firstLine="560"/>
        <w:rPr>
          <w:rFonts w:hint="eastAsia"/>
          <w:strike w:val="0"/>
          <w:dstrike w:val="0"/>
          <w:color w:val="auto"/>
        </w:rPr>
      </w:pPr>
      <w:r>
        <w:rPr>
          <w:rFonts w:hint="eastAsia"/>
          <w:strike w:val="0"/>
          <w:dstrike w:val="0"/>
          <w:color w:val="auto"/>
          <w:lang w:eastAsia="zh-CN"/>
        </w:rPr>
        <w:t>《江西朝盛矿业有限公司宁都硫铁矿地下矿山开采对地表建</w:t>
      </w:r>
      <w:r>
        <w:rPr>
          <w:rFonts w:hint="eastAsia"/>
          <w:strike w:val="0"/>
          <w:dstrike w:val="0"/>
          <w:color w:val="auto"/>
        </w:rPr>
        <w:t>（</w:t>
      </w:r>
      <w:r>
        <w:rPr>
          <w:rFonts w:hint="eastAsia"/>
          <w:strike w:val="0"/>
          <w:dstrike w:val="0"/>
          <w:color w:val="auto"/>
          <w:lang w:eastAsia="zh-CN"/>
        </w:rPr>
        <w:t>构</w:t>
      </w:r>
      <w:r>
        <w:rPr>
          <w:rFonts w:hint="eastAsia"/>
          <w:strike w:val="0"/>
          <w:dstrike w:val="0"/>
          <w:color w:val="auto"/>
        </w:rPr>
        <w:t>）</w:t>
      </w:r>
      <w:r>
        <w:rPr>
          <w:rFonts w:hint="eastAsia"/>
          <w:strike w:val="0"/>
          <w:dstrike w:val="0"/>
          <w:color w:val="auto"/>
          <w:lang w:eastAsia="zh-CN"/>
        </w:rPr>
        <w:t>筑物、S451公路影响论证报告》</w:t>
      </w:r>
      <w:r>
        <w:rPr>
          <w:rFonts w:hint="eastAsia"/>
          <w:strike w:val="0"/>
          <w:dstrike w:val="0"/>
          <w:color w:val="auto"/>
        </w:rPr>
        <w:t>（江西省中赣投勘察设计有限公司</w:t>
      </w:r>
      <w:r>
        <w:rPr>
          <w:rFonts w:hint="eastAsia"/>
          <w:strike w:val="0"/>
          <w:dstrike w:val="0"/>
          <w:color w:val="auto"/>
          <w:lang w:eastAsia="zh-CN"/>
        </w:rPr>
        <w:t>，</w:t>
      </w:r>
      <w:r>
        <w:rPr>
          <w:rFonts w:hint="eastAsia"/>
          <w:strike w:val="0"/>
          <w:dstrike w:val="0"/>
          <w:color w:val="auto"/>
          <w:lang w:val="en-US" w:eastAsia="zh-CN"/>
        </w:rPr>
        <w:t>2025年7月</w:t>
      </w:r>
      <w:r>
        <w:rPr>
          <w:rFonts w:hint="eastAsia"/>
          <w:strike w:val="0"/>
          <w:dstrike w:val="0"/>
          <w:color w:val="auto"/>
        </w:rPr>
        <w:t>）</w:t>
      </w:r>
    </w:p>
    <w:p w14:paraId="5A1F3136">
      <w:pPr>
        <w:pStyle w:val="4"/>
        <w:bidi w:val="0"/>
        <w:rPr>
          <w:rFonts w:hint="eastAsia"/>
          <w:color w:val="auto"/>
        </w:rPr>
      </w:pPr>
      <w:bookmarkStart w:id="93" w:name="_Toc19740"/>
      <w:bookmarkStart w:id="94" w:name="_Toc12579"/>
      <w:bookmarkStart w:id="95" w:name="_Toc25729"/>
      <w:bookmarkStart w:id="96" w:name="_Toc9577"/>
      <w:r>
        <w:rPr>
          <w:rFonts w:hint="eastAsia"/>
          <w:color w:val="auto"/>
        </w:rPr>
        <w:t>1.2.</w:t>
      </w:r>
      <w:r>
        <w:rPr>
          <w:rFonts w:hint="eastAsia"/>
          <w:color w:val="auto"/>
          <w:lang w:val="en-US" w:eastAsia="zh-CN"/>
        </w:rPr>
        <w:t>9</w:t>
      </w:r>
      <w:r>
        <w:rPr>
          <w:rFonts w:hint="eastAsia"/>
          <w:color w:val="auto"/>
        </w:rPr>
        <w:t xml:space="preserve"> 建设项目合法证明文件</w:t>
      </w:r>
      <w:bookmarkEnd w:id="93"/>
      <w:bookmarkEnd w:id="94"/>
      <w:bookmarkEnd w:id="95"/>
      <w:bookmarkEnd w:id="96"/>
    </w:p>
    <w:p w14:paraId="4A445A6E">
      <w:pPr>
        <w:rPr>
          <w:rFonts w:hint="eastAsia"/>
          <w:color w:val="auto"/>
        </w:rPr>
      </w:pPr>
      <w:r>
        <w:rPr>
          <w:rFonts w:hint="eastAsia"/>
          <w:strike w:val="0"/>
          <w:dstrike w:val="0"/>
          <w:color w:val="auto"/>
          <w:lang w:eastAsia="zh-CN"/>
        </w:rPr>
        <w:t>《</w:t>
      </w:r>
      <w:r>
        <w:rPr>
          <w:rFonts w:hint="eastAsia"/>
          <w:strike w:val="0"/>
          <w:dstrike w:val="0"/>
          <w:color w:val="auto"/>
        </w:rPr>
        <w:t>江西省工业和信息化厅关于江西朝盛矿业有限公司宁都硫铁矿斜坡道技改项目予以核准的批复</w:t>
      </w:r>
      <w:r>
        <w:rPr>
          <w:rFonts w:hint="eastAsia"/>
          <w:strike w:val="0"/>
          <w:dstrike w:val="0"/>
          <w:color w:val="auto"/>
          <w:lang w:eastAsia="zh-CN"/>
        </w:rPr>
        <w:t>》</w:t>
      </w:r>
      <w:r>
        <w:rPr>
          <w:rFonts w:hint="eastAsia"/>
          <w:strike w:val="0"/>
          <w:dstrike w:val="0"/>
          <w:color w:val="auto"/>
        </w:rPr>
        <w:t>（赣工信冶金〔2024〕19号）</w:t>
      </w:r>
    </w:p>
    <w:p w14:paraId="060759CD">
      <w:pPr>
        <w:pStyle w:val="4"/>
        <w:bidi w:val="0"/>
        <w:rPr>
          <w:rFonts w:hint="eastAsia"/>
          <w:color w:val="auto"/>
        </w:rPr>
      </w:pPr>
      <w:bookmarkStart w:id="97" w:name="_Toc28921"/>
      <w:bookmarkStart w:id="98" w:name="_Toc4175"/>
      <w:bookmarkStart w:id="99" w:name="_Toc1070"/>
      <w:bookmarkStart w:id="100" w:name="_Toc27840"/>
      <w:r>
        <w:rPr>
          <w:rFonts w:hint="eastAsia"/>
          <w:color w:val="auto"/>
        </w:rPr>
        <w:t>1.2.</w:t>
      </w:r>
      <w:r>
        <w:rPr>
          <w:rFonts w:hint="eastAsia"/>
          <w:color w:val="auto"/>
          <w:lang w:val="en-US" w:eastAsia="zh-CN"/>
        </w:rPr>
        <w:t xml:space="preserve">10 </w:t>
      </w:r>
      <w:r>
        <w:rPr>
          <w:rFonts w:hint="eastAsia"/>
          <w:color w:val="auto"/>
        </w:rPr>
        <w:t>其他评价依据</w:t>
      </w:r>
      <w:bookmarkEnd w:id="97"/>
      <w:bookmarkEnd w:id="98"/>
      <w:bookmarkEnd w:id="99"/>
      <w:bookmarkEnd w:id="100"/>
    </w:p>
    <w:p w14:paraId="7195D705">
      <w:pPr>
        <w:rPr>
          <w:rFonts w:hint="eastAsia"/>
          <w:color w:val="auto"/>
        </w:rPr>
      </w:pPr>
      <w:r>
        <w:rPr>
          <w:rFonts w:hint="eastAsia"/>
          <w:color w:val="auto"/>
        </w:rPr>
        <w:t>《企业营业执照》（统一社会信用代码：913607306647655754）</w:t>
      </w:r>
    </w:p>
    <w:p w14:paraId="75D2F58F">
      <w:pPr>
        <w:rPr>
          <w:rFonts w:hint="eastAsia"/>
          <w:color w:val="auto"/>
        </w:rPr>
      </w:pPr>
      <w:r>
        <w:rPr>
          <w:rFonts w:hint="eastAsia"/>
          <w:color w:val="auto"/>
        </w:rPr>
        <w:t>《采矿许可证》（证号C3600002009086130031531）</w:t>
      </w:r>
    </w:p>
    <w:p w14:paraId="66337158">
      <w:pPr>
        <w:rPr>
          <w:rFonts w:hint="eastAsia"/>
          <w:color w:val="auto"/>
        </w:rPr>
      </w:pPr>
      <w:r>
        <w:rPr>
          <w:rFonts w:hint="eastAsia"/>
          <w:color w:val="auto"/>
        </w:rPr>
        <w:t>《安全生产许可证》（编号（赣）FM安许证字</w:t>
      </w:r>
      <w:r>
        <w:rPr>
          <w:rFonts w:hint="eastAsia" w:ascii="宋体" w:hAnsi="宋体" w:eastAsia="宋体" w:cs="宋体"/>
          <w:color w:val="auto"/>
        </w:rPr>
        <w:t>[</w:t>
      </w:r>
      <w:r>
        <w:rPr>
          <w:rFonts w:hint="eastAsia"/>
          <w:color w:val="auto"/>
        </w:rPr>
        <w:t>2023</w:t>
      </w:r>
      <w:r>
        <w:rPr>
          <w:rFonts w:hint="eastAsia" w:ascii="宋体" w:hAnsi="宋体" w:eastAsia="宋体" w:cs="宋体"/>
          <w:color w:val="auto"/>
        </w:rPr>
        <w:t>]</w:t>
      </w:r>
      <w:r>
        <w:rPr>
          <w:rFonts w:hint="eastAsia"/>
          <w:color w:val="auto"/>
        </w:rPr>
        <w:t>M1869号）</w:t>
      </w:r>
    </w:p>
    <w:p w14:paraId="5CED0518">
      <w:pPr>
        <w:rPr>
          <w:rFonts w:hint="eastAsia"/>
          <w:color w:val="auto"/>
        </w:rPr>
      </w:pPr>
      <w:r>
        <w:rPr>
          <w:rFonts w:hint="eastAsia"/>
          <w:color w:val="auto"/>
        </w:rPr>
        <w:t>《爆破作业单位许可证（非营业性）》（赣州市公安局，证号：3607001300007）</w:t>
      </w:r>
    </w:p>
    <w:p w14:paraId="7C1BB138">
      <w:pPr>
        <w:rPr>
          <w:rFonts w:hint="eastAsia"/>
          <w:strike w:val="0"/>
          <w:dstrike w:val="0"/>
          <w:color w:val="auto"/>
        </w:rPr>
      </w:pPr>
      <w:r>
        <w:rPr>
          <w:rFonts w:hint="eastAsia"/>
          <w:strike w:val="0"/>
          <w:dstrike w:val="0"/>
          <w:color w:val="auto"/>
        </w:rPr>
        <w:t>《江西朝盛矿业有限公司宁都硫铁矿地下开采改建工程安全预评价合同书》</w:t>
      </w:r>
    </w:p>
    <w:p w14:paraId="75BF5284">
      <w:pPr>
        <w:rPr>
          <w:rFonts w:hint="eastAsia"/>
          <w:strike w:val="0"/>
          <w:dstrike w:val="0"/>
          <w:color w:val="auto"/>
        </w:rPr>
      </w:pPr>
      <w:r>
        <w:rPr>
          <w:rFonts w:hint="eastAsia"/>
          <w:strike w:val="0"/>
          <w:dstrike w:val="0"/>
          <w:color w:val="auto"/>
        </w:rPr>
        <w:t>企业主要负责人、安管人员资质证、特种作业人员操作证</w:t>
      </w:r>
    </w:p>
    <w:p w14:paraId="430B6739">
      <w:pPr>
        <w:rPr>
          <w:rFonts w:hint="eastAsia"/>
          <w:strike w:val="0"/>
          <w:dstrike w:val="0"/>
          <w:color w:val="auto"/>
        </w:rPr>
      </w:pPr>
      <w:r>
        <w:rPr>
          <w:rFonts w:hint="eastAsia"/>
          <w:strike w:val="0"/>
          <w:dstrike w:val="0"/>
          <w:color w:val="auto"/>
        </w:rPr>
        <w:t>安全管理责任制度、操作规程、应急预案</w:t>
      </w:r>
    </w:p>
    <w:p w14:paraId="0808D70E">
      <w:pPr>
        <w:rPr>
          <w:rFonts w:hint="eastAsia"/>
          <w:strike w:val="0"/>
          <w:dstrike w:val="0"/>
          <w:color w:val="auto"/>
        </w:rPr>
      </w:pPr>
      <w:r>
        <w:rPr>
          <w:rFonts w:hint="eastAsia"/>
          <w:strike w:val="0"/>
          <w:dstrike w:val="0"/>
          <w:color w:val="auto"/>
        </w:rPr>
        <w:t>企业提供的其它相关资料</w:t>
      </w:r>
    </w:p>
    <w:p w14:paraId="55379FDE">
      <w:pPr>
        <w:rPr>
          <w:rFonts w:hint="eastAsia"/>
          <w:strike w:val="0"/>
          <w:dstrike w:val="0"/>
          <w:color w:val="auto"/>
        </w:rPr>
      </w:pPr>
    </w:p>
    <w:p w14:paraId="60E9B357">
      <w:pPr>
        <w:rPr>
          <w:rFonts w:hint="eastAsia"/>
          <w:color w:val="auto"/>
          <w:sz w:val="28"/>
        </w:rPr>
      </w:pPr>
      <w:r>
        <w:rPr>
          <w:rFonts w:hint="eastAsia"/>
          <w:color w:val="auto"/>
          <w:sz w:val="28"/>
        </w:rPr>
        <w:br w:type="page"/>
      </w:r>
    </w:p>
    <w:p w14:paraId="3B6CD15B">
      <w:pPr>
        <w:pStyle w:val="2"/>
        <w:bidi w:val="0"/>
        <w:ind w:left="0" w:leftChars="0" w:firstLine="0" w:firstLineChars="0"/>
        <w:rPr>
          <w:rFonts w:hint="default"/>
          <w:color w:val="auto"/>
          <w:lang w:val="en-US" w:eastAsia="zh-CN"/>
        </w:rPr>
      </w:pPr>
      <w:bookmarkStart w:id="101" w:name="_Toc29427"/>
      <w:bookmarkStart w:id="102" w:name="_Toc20700"/>
      <w:bookmarkStart w:id="103" w:name="_Toc29228"/>
      <w:bookmarkStart w:id="104" w:name="_Toc23661"/>
      <w:r>
        <w:rPr>
          <w:rFonts w:hint="default"/>
          <w:color w:val="auto"/>
          <w:lang w:val="en-US" w:eastAsia="zh-CN"/>
        </w:rPr>
        <w:t>建设项目概述</w:t>
      </w:r>
      <w:bookmarkEnd w:id="101"/>
      <w:bookmarkEnd w:id="102"/>
      <w:bookmarkEnd w:id="103"/>
      <w:bookmarkEnd w:id="104"/>
    </w:p>
    <w:p w14:paraId="3267DD38">
      <w:pPr>
        <w:pStyle w:val="3"/>
        <w:bidi w:val="0"/>
        <w:rPr>
          <w:rFonts w:hint="default"/>
          <w:color w:val="auto"/>
          <w:lang w:val="en-US" w:eastAsia="zh-CN"/>
        </w:rPr>
      </w:pPr>
      <w:bookmarkStart w:id="105" w:name="_Toc7180"/>
      <w:bookmarkStart w:id="106" w:name="_Toc30811"/>
      <w:bookmarkStart w:id="107" w:name="_Toc10147"/>
      <w:bookmarkStart w:id="108" w:name="_Toc20355"/>
      <w:r>
        <w:rPr>
          <w:rFonts w:hint="default"/>
          <w:color w:val="auto"/>
          <w:lang w:val="en-US" w:eastAsia="zh-CN"/>
        </w:rPr>
        <w:t>2.1</w:t>
      </w:r>
      <w:r>
        <w:rPr>
          <w:rFonts w:hint="eastAsia"/>
          <w:color w:val="auto"/>
          <w:lang w:val="en-US" w:eastAsia="zh-CN"/>
        </w:rPr>
        <w:t xml:space="preserve"> </w:t>
      </w:r>
      <w:r>
        <w:rPr>
          <w:rFonts w:hint="default"/>
          <w:color w:val="auto"/>
          <w:lang w:val="en-US" w:eastAsia="zh-CN"/>
        </w:rPr>
        <w:t>建设单位概况</w:t>
      </w:r>
      <w:bookmarkEnd w:id="105"/>
      <w:bookmarkEnd w:id="106"/>
      <w:bookmarkEnd w:id="107"/>
      <w:bookmarkEnd w:id="108"/>
    </w:p>
    <w:p w14:paraId="7D28C30C">
      <w:pPr>
        <w:pStyle w:val="4"/>
        <w:bidi w:val="0"/>
        <w:rPr>
          <w:rFonts w:hint="eastAsia"/>
          <w:color w:val="auto"/>
          <w:lang w:val="en-US" w:eastAsia="zh-CN"/>
        </w:rPr>
      </w:pPr>
      <w:bookmarkStart w:id="109" w:name="_Toc26669"/>
      <w:bookmarkStart w:id="110" w:name="_Toc31108"/>
      <w:bookmarkStart w:id="111" w:name="_Toc554"/>
      <w:bookmarkStart w:id="112" w:name="_Toc20683"/>
      <w:r>
        <w:rPr>
          <w:rFonts w:hint="eastAsia"/>
          <w:color w:val="auto"/>
          <w:lang w:val="en-US" w:eastAsia="zh-CN"/>
        </w:rPr>
        <w:t>2.1.1 企业简介</w:t>
      </w:r>
      <w:bookmarkEnd w:id="109"/>
      <w:bookmarkEnd w:id="110"/>
      <w:bookmarkEnd w:id="111"/>
      <w:bookmarkEnd w:id="112"/>
    </w:p>
    <w:p w14:paraId="72A5C7B4">
      <w:pPr>
        <w:rPr>
          <w:rFonts w:hint="default"/>
          <w:color w:val="auto"/>
          <w:lang w:val="en-US" w:eastAsia="zh-CN"/>
        </w:rPr>
      </w:pPr>
      <w:r>
        <w:rPr>
          <w:rFonts w:hint="default"/>
          <w:color w:val="auto"/>
          <w:lang w:val="en-US" w:eastAsia="zh-CN"/>
        </w:rPr>
        <w:t>江西朝盛矿业有限公司成立于2007年08月06日</w:t>
      </w:r>
      <w:r>
        <w:rPr>
          <w:rFonts w:hint="eastAsia"/>
          <w:color w:val="auto"/>
          <w:lang w:val="en-US" w:eastAsia="zh-CN"/>
        </w:rPr>
        <w:t>，</w:t>
      </w:r>
      <w:r>
        <w:rPr>
          <w:rFonts w:hint="default"/>
          <w:color w:val="auto"/>
          <w:lang w:val="en-US" w:eastAsia="zh-CN"/>
        </w:rPr>
        <w:t>详细地址为</w:t>
      </w:r>
      <w:r>
        <w:rPr>
          <w:rFonts w:hint="eastAsia"/>
          <w:color w:val="auto"/>
          <w:lang w:val="en-US" w:eastAsia="zh-CN"/>
        </w:rPr>
        <w:t>：</w:t>
      </w:r>
      <w:r>
        <w:rPr>
          <w:rFonts w:hint="default"/>
          <w:color w:val="auto"/>
          <w:lang w:val="en-US" w:eastAsia="zh-CN"/>
        </w:rPr>
        <w:t>江西省</w:t>
      </w:r>
      <w:r>
        <w:rPr>
          <w:rFonts w:hint="eastAsia"/>
          <w:color w:val="auto"/>
          <w:lang w:val="en-US" w:eastAsia="zh-CN"/>
        </w:rPr>
        <w:t>赣</w:t>
      </w:r>
      <w:r>
        <w:rPr>
          <w:rFonts w:hint="default"/>
          <w:color w:val="auto"/>
          <w:lang w:val="en-US" w:eastAsia="zh-CN"/>
        </w:rPr>
        <w:t>州市宁都县青塘镇南堡村</w:t>
      </w:r>
      <w:r>
        <w:rPr>
          <w:rFonts w:hint="eastAsia"/>
          <w:color w:val="auto"/>
          <w:lang w:val="en-US" w:eastAsia="zh-CN"/>
        </w:rPr>
        <w:t>；</w:t>
      </w:r>
      <w:r>
        <w:rPr>
          <w:rFonts w:hint="default"/>
          <w:color w:val="auto"/>
          <w:lang w:val="en-US" w:eastAsia="zh-CN"/>
        </w:rPr>
        <w:t>法人</w:t>
      </w:r>
      <w:r>
        <w:rPr>
          <w:rFonts w:hint="eastAsia"/>
          <w:color w:val="auto"/>
          <w:lang w:val="en-US" w:eastAsia="zh-CN"/>
        </w:rPr>
        <w:t>为</w:t>
      </w:r>
      <w:r>
        <w:rPr>
          <w:rFonts w:hint="default"/>
          <w:color w:val="auto"/>
          <w:lang w:val="en-US" w:eastAsia="zh-CN"/>
        </w:rPr>
        <w:t>许炳然</w:t>
      </w:r>
      <w:r>
        <w:rPr>
          <w:rFonts w:hint="eastAsia"/>
          <w:color w:val="auto"/>
          <w:lang w:val="en-US" w:eastAsia="zh-CN"/>
        </w:rPr>
        <w:t>；</w:t>
      </w:r>
      <w:r>
        <w:rPr>
          <w:rFonts w:hint="default"/>
          <w:color w:val="auto"/>
          <w:lang w:val="en-US" w:eastAsia="zh-CN"/>
        </w:rPr>
        <w:t>企业注册资本5000万元</w:t>
      </w:r>
      <w:r>
        <w:rPr>
          <w:rFonts w:hint="eastAsia"/>
          <w:color w:val="auto"/>
          <w:lang w:val="en-US" w:eastAsia="zh-CN"/>
        </w:rPr>
        <w:t>；</w:t>
      </w:r>
      <w:r>
        <w:rPr>
          <w:rFonts w:hint="default"/>
          <w:color w:val="auto"/>
          <w:lang w:val="en-US" w:eastAsia="zh-CN"/>
        </w:rPr>
        <w:t>公司类型为有限责任公司</w:t>
      </w:r>
      <w:r>
        <w:rPr>
          <w:rFonts w:hint="eastAsia"/>
          <w:color w:val="auto"/>
          <w:lang w:val="en-US" w:eastAsia="zh-CN"/>
        </w:rPr>
        <w:t>（</w:t>
      </w:r>
      <w:r>
        <w:rPr>
          <w:rFonts w:hint="default"/>
          <w:color w:val="auto"/>
          <w:lang w:val="en-US" w:eastAsia="zh-CN"/>
        </w:rPr>
        <w:t>自然人投资或控股</w:t>
      </w:r>
      <w:r>
        <w:rPr>
          <w:rFonts w:hint="eastAsia"/>
          <w:color w:val="auto"/>
          <w:lang w:val="en-US" w:eastAsia="zh-CN"/>
        </w:rPr>
        <w:t>）</w:t>
      </w:r>
      <w:r>
        <w:rPr>
          <w:rFonts w:hint="default"/>
          <w:color w:val="auto"/>
          <w:lang w:val="en-US" w:eastAsia="zh-CN"/>
        </w:rPr>
        <w:t>。经营范围</w:t>
      </w:r>
      <w:r>
        <w:rPr>
          <w:rFonts w:hint="eastAsia"/>
          <w:color w:val="auto"/>
          <w:lang w:val="en-US" w:eastAsia="zh-CN"/>
        </w:rPr>
        <w:t>：</w:t>
      </w:r>
      <w:r>
        <w:rPr>
          <w:rFonts w:hint="default"/>
          <w:color w:val="auto"/>
          <w:lang w:val="en-US" w:eastAsia="zh-CN"/>
        </w:rPr>
        <w:t>许可项目为非煤矿山矿产资源开采，发电业务、输电业务、供</w:t>
      </w:r>
      <w:r>
        <w:rPr>
          <w:rFonts w:hint="eastAsia"/>
          <w:color w:val="auto"/>
          <w:lang w:val="en-US" w:eastAsia="zh-CN"/>
        </w:rPr>
        <w:t>（</w:t>
      </w:r>
      <w:r>
        <w:rPr>
          <w:rFonts w:hint="default"/>
          <w:color w:val="auto"/>
          <w:lang w:val="en-US" w:eastAsia="zh-CN"/>
        </w:rPr>
        <w:t>配</w:t>
      </w:r>
      <w:r>
        <w:rPr>
          <w:rFonts w:hint="eastAsia"/>
          <w:color w:val="auto"/>
          <w:lang w:val="en-US" w:eastAsia="zh-CN"/>
        </w:rPr>
        <w:t>）</w:t>
      </w:r>
      <w:r>
        <w:rPr>
          <w:rFonts w:hint="default"/>
          <w:color w:val="auto"/>
          <w:lang w:val="en-US" w:eastAsia="zh-CN"/>
        </w:rPr>
        <w:t>电业务。一般项目为第三类非药品类易制毒化学品生产，第三类非药品类易制毒化学品经营，选矿金属矿石销售。</w:t>
      </w:r>
    </w:p>
    <w:p w14:paraId="1C78BA4B">
      <w:pPr>
        <w:rPr>
          <w:rFonts w:hint="default"/>
          <w:color w:val="auto"/>
          <w:lang w:val="en-US" w:eastAsia="zh-CN"/>
        </w:rPr>
      </w:pPr>
      <w:r>
        <w:rPr>
          <w:rFonts w:hint="default"/>
          <w:color w:val="auto"/>
          <w:lang w:val="en-US" w:eastAsia="zh-CN"/>
        </w:rPr>
        <w:t>宁都硫铁矿为江西朝盛矿业有限公司下属矿山，主要产品为硫铁矿原矿，矿石出窿后送至朝</w:t>
      </w:r>
      <w:r>
        <w:rPr>
          <w:rFonts w:hint="eastAsia"/>
          <w:color w:val="auto"/>
          <w:lang w:val="en-US" w:eastAsia="zh-CN"/>
        </w:rPr>
        <w:t>该</w:t>
      </w:r>
      <w:r>
        <w:rPr>
          <w:rFonts w:hint="default"/>
          <w:color w:val="auto"/>
          <w:lang w:val="en-US" w:eastAsia="zh-CN"/>
        </w:rPr>
        <w:t>公司选矿厂进一步深加工成铁精粉、硫酸等产品。</w:t>
      </w:r>
    </w:p>
    <w:p w14:paraId="5425B7F0">
      <w:pPr>
        <w:pStyle w:val="4"/>
        <w:bidi w:val="0"/>
        <w:rPr>
          <w:rFonts w:hint="default"/>
          <w:color w:val="auto"/>
          <w:lang w:val="en-US" w:eastAsia="zh-CN"/>
        </w:rPr>
      </w:pPr>
      <w:bookmarkStart w:id="113" w:name="_Toc16520"/>
      <w:bookmarkStart w:id="114" w:name="_Toc3257"/>
      <w:bookmarkStart w:id="115" w:name="_Toc23921"/>
      <w:r>
        <w:rPr>
          <w:rFonts w:hint="eastAsia"/>
          <w:color w:val="auto"/>
          <w:lang w:val="en-US" w:eastAsia="zh-CN"/>
        </w:rPr>
        <w:t>2.1.2 历史沿革</w:t>
      </w:r>
      <w:bookmarkEnd w:id="113"/>
      <w:bookmarkEnd w:id="114"/>
      <w:bookmarkEnd w:id="115"/>
    </w:p>
    <w:p w14:paraId="639FA6CF">
      <w:pPr>
        <w:rPr>
          <w:rFonts w:hint="eastAsia"/>
          <w:color w:val="auto"/>
          <w:lang w:val="en-US" w:eastAsia="zh-CN"/>
        </w:rPr>
      </w:pPr>
      <w:r>
        <w:rPr>
          <w:rFonts w:hint="eastAsia"/>
          <w:color w:val="auto"/>
        </w:rPr>
        <w:t>宁都硫铁矿前</w:t>
      </w:r>
      <w:r>
        <w:rPr>
          <w:rFonts w:hint="eastAsia"/>
          <w:color w:val="auto"/>
          <w:lang w:val="en-US" w:eastAsia="zh-CN"/>
        </w:rPr>
        <w:t>身为</w:t>
      </w:r>
      <w:r>
        <w:rPr>
          <w:rFonts w:hint="eastAsia"/>
          <w:color w:val="auto"/>
        </w:rPr>
        <w:t>江西宁都硫磺矿</w:t>
      </w:r>
      <w:r>
        <w:rPr>
          <w:rFonts w:hint="eastAsia"/>
          <w:color w:val="auto"/>
          <w:lang w:eastAsia="zh-CN"/>
        </w:rPr>
        <w:t>，</w:t>
      </w:r>
      <w:r>
        <w:rPr>
          <w:rFonts w:hint="eastAsia"/>
          <w:color w:val="auto"/>
          <w:lang w:val="en-US" w:eastAsia="zh-CN"/>
        </w:rPr>
        <w:t>是1958年由宁都县在勘探过程中筹建起来的国营矿山。矿山开始于浅部平窿手掘采矿、土法炼制硫磺，至1995年矿山逐步由手掘采矿过渡到半机械化斜井采矿。矿石产量由6000吨/年上升到30000吨/年，硫磺产量由300吨/年上升到1500吨/年。1997年由于矿山一直采用落后土法炼硫，产生的“三废”难于处理而停产。至2001年矿区硫铁矿作为水泥用辅助原料恢复开采，年产铁矿7500吨，硫磺粉60吨。</w:t>
      </w:r>
    </w:p>
    <w:p w14:paraId="2D9A9696">
      <w:pPr>
        <w:rPr>
          <w:rFonts w:hint="eastAsia"/>
          <w:color w:val="auto"/>
          <w:lang w:val="en-US" w:eastAsia="zh-CN"/>
        </w:rPr>
      </w:pPr>
      <w:r>
        <w:rPr>
          <w:rFonts w:hint="eastAsia"/>
          <w:color w:val="auto"/>
          <w:lang w:val="en-US" w:eastAsia="zh-CN"/>
        </w:rPr>
        <w:t>2004年宁都硫磺矿委托江西省地质矿产勘察开发局赣南地质调查大队地勘院在《江西省宁都县青塘含铜磁黄铁矿床地质勘探总结报告》资料基础上，结合矿山开采资料，编制采矿权范围内的矿山储量地质报告。江西省国土资源厅已完成了该矿的矿产资源储量评审备案。最新资料表明，宁都硫磺矿采矿权范围内尚有122b+334级别的储量916.27万t。</w:t>
      </w:r>
    </w:p>
    <w:p w14:paraId="0BA2782B">
      <w:pPr>
        <w:rPr>
          <w:rFonts w:hint="eastAsia"/>
          <w:color w:val="auto"/>
          <w:lang w:val="en-US" w:eastAsia="zh-CN"/>
        </w:rPr>
      </w:pPr>
      <w:r>
        <w:rPr>
          <w:rFonts w:hint="eastAsia"/>
          <w:color w:val="auto"/>
          <w:lang w:val="en-US" w:eastAsia="zh-CN"/>
        </w:rPr>
        <w:t>随着国民经济的发展，宁都硫磺矿资源开发的良好经济效益引起了各方的关注。江西朝盛矿业有限公司于2007年4月取得了该矿的采矿权，从事该矿山的生产经营管理，2010年</w:t>
      </w:r>
      <w:r>
        <w:rPr>
          <w:rFonts w:hint="eastAsia" w:ascii="宋体" w:hAnsi="宋体" w:eastAsia="宋体" w:cs="Times New Roman"/>
          <w:bCs/>
          <w:color w:val="auto"/>
          <w:sz w:val="28"/>
          <w:szCs w:val="28"/>
        </w:rPr>
        <w:t>～</w:t>
      </w:r>
      <w:r>
        <w:rPr>
          <w:rFonts w:hint="eastAsia"/>
          <w:color w:val="auto"/>
          <w:lang w:val="en-US" w:eastAsia="zh-CN"/>
        </w:rPr>
        <w:t>2013年对矿山进行了扩建改造，扩建后，矿山年生产规模为30万t，设计开采标高为+190m</w:t>
      </w:r>
      <w:r>
        <w:rPr>
          <w:rFonts w:hint="eastAsia" w:ascii="宋体" w:hAnsi="宋体" w:eastAsia="宋体" w:cs="Times New Roman"/>
          <w:bCs/>
          <w:color w:val="auto"/>
          <w:sz w:val="28"/>
          <w:szCs w:val="28"/>
        </w:rPr>
        <w:t>～</w:t>
      </w:r>
      <w:r>
        <w:rPr>
          <w:rFonts w:hint="eastAsia"/>
          <w:color w:val="auto"/>
          <w:lang w:val="en-US" w:eastAsia="zh-CN"/>
        </w:rPr>
        <w:t>+100m，采用斜井开拓方式，房柱法采矿，中央抽出式通风，设计了+190m（回风中段）、+160m、+130m、+100m四个中段。</w:t>
      </w:r>
    </w:p>
    <w:p w14:paraId="744E9B49">
      <w:pPr>
        <w:rPr>
          <w:rFonts w:hint="eastAsia"/>
          <w:color w:val="auto"/>
          <w:lang w:val="en-US" w:eastAsia="zh-CN"/>
        </w:rPr>
      </w:pPr>
      <w:r>
        <w:rPr>
          <w:rFonts w:hint="eastAsia"/>
          <w:color w:val="auto"/>
          <w:lang w:val="en-US" w:eastAsia="zh-CN"/>
        </w:rPr>
        <w:t>2014年1月矿山首次取得扩建后的安全生产许可证，2023年7月进行了安全生产许可证延期，证号：（赣）FM安许证字</w:t>
      </w:r>
      <w:r>
        <w:rPr>
          <w:rFonts w:hint="eastAsia" w:ascii="宋体" w:hAnsi="宋体" w:eastAsia="宋体" w:cs="宋体"/>
          <w:color w:val="auto"/>
          <w:lang w:val="en-US" w:eastAsia="zh-CN"/>
        </w:rPr>
        <w:t>[</w:t>
      </w:r>
      <w:r>
        <w:rPr>
          <w:rFonts w:hint="eastAsia"/>
          <w:color w:val="auto"/>
          <w:lang w:val="en-US" w:eastAsia="zh-CN"/>
        </w:rPr>
        <w:t>2023</w:t>
      </w:r>
      <w:r>
        <w:rPr>
          <w:rFonts w:hint="eastAsia" w:ascii="宋体" w:hAnsi="宋体" w:eastAsia="宋体" w:cs="宋体"/>
          <w:color w:val="auto"/>
          <w:lang w:val="en-US" w:eastAsia="zh-CN"/>
        </w:rPr>
        <w:t>]</w:t>
      </w:r>
      <w:r>
        <w:rPr>
          <w:rFonts w:hint="eastAsia"/>
          <w:color w:val="auto"/>
          <w:lang w:val="en-US" w:eastAsia="zh-CN"/>
        </w:rPr>
        <w:t>M1869号，许可范围为硫铁矿30.00万t/a，斜井开拓，+160m、+130m、+100m中段地下开采。</w:t>
      </w:r>
    </w:p>
    <w:p w14:paraId="20B1B206">
      <w:pPr>
        <w:pStyle w:val="4"/>
        <w:bidi w:val="0"/>
        <w:rPr>
          <w:rFonts w:hint="eastAsia"/>
          <w:color w:val="auto"/>
          <w:lang w:val="en-US" w:eastAsia="zh-CN"/>
        </w:rPr>
      </w:pPr>
      <w:bookmarkStart w:id="116" w:name="_Toc29487"/>
      <w:bookmarkStart w:id="117" w:name="_Toc13489"/>
      <w:bookmarkStart w:id="118" w:name="_Toc19348"/>
      <w:r>
        <w:rPr>
          <w:rFonts w:hint="eastAsia"/>
          <w:color w:val="auto"/>
          <w:lang w:val="en-US" w:eastAsia="zh-CN"/>
        </w:rPr>
        <w:t>2.1.3 建设项目背景</w:t>
      </w:r>
      <w:bookmarkEnd w:id="116"/>
      <w:bookmarkEnd w:id="117"/>
      <w:bookmarkEnd w:id="118"/>
    </w:p>
    <w:p w14:paraId="7E5C02CB">
      <w:pPr>
        <w:rPr>
          <w:rFonts w:hint="default"/>
          <w:color w:val="auto"/>
          <w:lang w:val="en-US" w:eastAsia="zh-CN"/>
        </w:rPr>
      </w:pPr>
      <w:r>
        <w:rPr>
          <w:rFonts w:hint="eastAsia"/>
          <w:color w:val="auto"/>
          <w:lang w:val="en-US" w:eastAsia="zh-CN"/>
        </w:rPr>
        <w:t>宁都硫铁矿为开采多年的老矿山，由于政策变化原因，原江西省冶金设计院2010年6月编制的《江西朝盛矿业有限公司宁都硫铁矿扩建工程初步设计》及《安全专篇》部分设计内容不符合现有政策；优化开拓开采系统、更新老旧设备等是江西朝盛矿业有限公司可持续发展的需要。为此，2025年1月，江西朝盛矿业有限公司委托江西省中赣投勘察设计有限公司编制完成了《江西朝盛矿业有限公司宁都硫铁矿地下开采改建工程可行性研究报告》。</w:t>
      </w:r>
    </w:p>
    <w:p w14:paraId="3228D009">
      <w:pPr>
        <w:pStyle w:val="4"/>
        <w:bidi w:val="0"/>
        <w:rPr>
          <w:rFonts w:hint="eastAsia"/>
          <w:color w:val="auto"/>
          <w:lang w:val="en-US" w:eastAsia="zh-CN"/>
        </w:rPr>
      </w:pPr>
      <w:bookmarkStart w:id="119" w:name="_Toc5569"/>
      <w:bookmarkStart w:id="120" w:name="_Toc20100"/>
      <w:bookmarkStart w:id="121" w:name="_Toc13991"/>
      <w:bookmarkStart w:id="122" w:name="_Toc24900"/>
      <w:r>
        <w:rPr>
          <w:rFonts w:hint="eastAsia"/>
          <w:color w:val="auto"/>
          <w:lang w:val="en-US" w:eastAsia="zh-CN"/>
        </w:rPr>
        <w:t>2.1.4 立项情况</w:t>
      </w:r>
      <w:bookmarkEnd w:id="119"/>
      <w:bookmarkEnd w:id="120"/>
      <w:bookmarkEnd w:id="121"/>
      <w:bookmarkEnd w:id="122"/>
    </w:p>
    <w:p w14:paraId="111F121E">
      <w:pPr>
        <w:rPr>
          <w:rFonts w:hint="default"/>
          <w:color w:val="auto"/>
          <w:lang w:val="en-US" w:eastAsia="zh-CN"/>
        </w:rPr>
      </w:pPr>
      <w:r>
        <w:rPr>
          <w:rFonts w:hint="eastAsia"/>
          <w:color w:val="auto"/>
          <w:lang w:val="en-US" w:eastAsia="zh-CN"/>
        </w:rPr>
        <w:t>2024年1月，江西朝盛矿业有限公司委托江西五昌工程管理有限公司编制了《江西朝盛矿业有限公司宁都硫铁矿斜坡道技改项目申请报告》，并上报赣州市工业和信息化局。赣州市工业和信息化局将《江西朝盛矿业有限公司宁都硫铁矿斜坡道技改项目申请报告》上报江西省工业和信息化厅。江西省工业和信息化厅于2024年5月24日下达了《关于江西朝盛矿业有限公司宁都硫铁矿斜坡道技改项目予以核准的批复》（赣工信冶金</w:t>
      </w:r>
      <w:r>
        <w:rPr>
          <w:rFonts w:hint="eastAsia" w:ascii="宋体" w:hAnsi="宋体" w:eastAsia="宋体" w:cs="宋体"/>
          <w:color w:val="auto"/>
          <w:lang w:val="en-US" w:eastAsia="zh-CN"/>
        </w:rPr>
        <w:t>〔</w:t>
      </w:r>
      <w:r>
        <w:rPr>
          <w:rFonts w:hint="eastAsia"/>
          <w:color w:val="auto"/>
          <w:lang w:val="en-US" w:eastAsia="zh-CN"/>
        </w:rPr>
        <w:t>2024</w:t>
      </w:r>
      <w:r>
        <w:rPr>
          <w:rFonts w:hint="eastAsia" w:ascii="宋体" w:hAnsi="宋体" w:eastAsia="宋体" w:cs="宋体"/>
          <w:color w:val="auto"/>
          <w:lang w:val="en-US" w:eastAsia="zh-CN"/>
        </w:rPr>
        <w:t>〕</w:t>
      </w:r>
      <w:r>
        <w:rPr>
          <w:rFonts w:hint="eastAsia"/>
          <w:color w:val="auto"/>
          <w:lang w:val="en-US" w:eastAsia="zh-CN"/>
        </w:rPr>
        <w:t>19号）。</w:t>
      </w:r>
    </w:p>
    <w:p w14:paraId="7683DC84">
      <w:pPr>
        <w:pStyle w:val="4"/>
        <w:bidi w:val="0"/>
        <w:rPr>
          <w:rFonts w:hint="eastAsia"/>
          <w:color w:val="auto"/>
          <w:lang w:val="en-US" w:eastAsia="zh-CN"/>
        </w:rPr>
      </w:pPr>
      <w:bookmarkStart w:id="123" w:name="_Toc4313"/>
      <w:bookmarkStart w:id="124" w:name="_Toc29342"/>
      <w:bookmarkStart w:id="125" w:name="_Toc12116"/>
      <w:bookmarkStart w:id="126" w:name="_Toc27358"/>
      <w:r>
        <w:rPr>
          <w:rFonts w:hint="eastAsia"/>
          <w:color w:val="auto"/>
          <w:lang w:val="en-US" w:eastAsia="zh-CN"/>
        </w:rPr>
        <w:t>2.1.5 地理位置及交通</w:t>
      </w:r>
      <w:bookmarkEnd w:id="123"/>
      <w:bookmarkEnd w:id="124"/>
      <w:bookmarkEnd w:id="125"/>
      <w:bookmarkEnd w:id="126"/>
    </w:p>
    <w:p w14:paraId="6F2C7C5E">
      <w:pPr>
        <w:rPr>
          <w:rFonts w:hint="eastAsia"/>
          <w:color w:val="auto"/>
          <w:lang w:val="en-US" w:eastAsia="zh-CN"/>
        </w:rPr>
      </w:pPr>
      <w:r>
        <w:rPr>
          <w:rFonts w:hint="eastAsia"/>
          <w:color w:val="auto"/>
          <w:lang w:val="en-US" w:eastAsia="zh-CN"/>
        </w:rPr>
        <w:t>江西朝盛矿业有限公司位于江西省赣州市宁都县青塘镇，行政区划所在地属宁都县青塘镇管辖，宁都硫铁矿位于宁都县赤水村，矿区地处青塘盆地西南边缘，地理坐标：东经115°48′41″～115°49′19″，北纬26°24′42″～26°25′59″。矿区属低山丘陵地貌，最高标高+387.60m（狮吼山），最低标高+225m（矿区东部），相对高差162m。主要矿化区海拔标高+100m～+350m。地势相对平缓。矿区对外交通以公路为主，宁都至兴国S451公路从矿区穿过。矿区距宁都县城31km，距宁都火车站30km，交通便利。</w:t>
      </w:r>
    </w:p>
    <w:p w14:paraId="73607560">
      <w:pPr>
        <w:ind w:left="0" w:leftChars="0" w:firstLine="0" w:firstLineChars="0"/>
        <w:jc w:val="center"/>
        <w:rPr>
          <w:rFonts w:ascii="宋体" w:hAnsi="宋体" w:eastAsia="宋体" w:cs="Times New Roman"/>
          <w:color w:val="auto"/>
          <w:szCs w:val="24"/>
        </w:rPr>
      </w:pPr>
      <w:r>
        <w:rPr>
          <w:rFonts w:ascii="宋体" w:hAnsi="宋体" w:eastAsia="宋体" w:cs="Times New Roman"/>
          <w:color w:val="auto"/>
          <w:szCs w:val="24"/>
        </w:rPr>
        <w:drawing>
          <wp:inline distT="0" distB="0" distL="0" distR="0">
            <wp:extent cx="5257800" cy="3838575"/>
            <wp:effectExtent l="0" t="0" r="0" b="9525"/>
            <wp:docPr id="3" name="图片 3" descr="硫磺矿交通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硫磺矿交通位置图"/>
                    <pic:cNvPicPr>
                      <a:picLocks noChangeAspect="1" noChangeArrowheads="1"/>
                    </pic:cNvPicPr>
                  </pic:nvPicPr>
                  <pic:blipFill>
                    <a:blip r:embed="rId10">
                      <a:extLst>
                        <a:ext uri="{28A0092B-C50C-407E-A947-70E740481C1C}">
                          <a14:useLocalDpi xmlns:a14="http://schemas.microsoft.com/office/drawing/2010/main" val="0"/>
                        </a:ext>
                      </a:extLst>
                    </a:blip>
                    <a:srcRect l="1953" t="1967" r="4669" b="11716"/>
                    <a:stretch>
                      <a:fillRect/>
                    </a:stretch>
                  </pic:blipFill>
                  <pic:spPr>
                    <a:xfrm>
                      <a:off x="0" y="0"/>
                      <a:ext cx="5257800" cy="3838575"/>
                    </a:xfrm>
                    <a:prstGeom prst="rect">
                      <a:avLst/>
                    </a:prstGeom>
                    <a:noFill/>
                    <a:ln>
                      <a:noFill/>
                    </a:ln>
                  </pic:spPr>
                </pic:pic>
              </a:graphicData>
            </a:graphic>
          </wp:inline>
        </w:drawing>
      </w:r>
    </w:p>
    <w:p w14:paraId="7DC48E05">
      <w:pPr>
        <w:ind w:left="0" w:leftChars="0" w:firstLine="0" w:firstLineChars="0"/>
        <w:jc w:val="center"/>
        <w:rPr>
          <w:rFonts w:hint="eastAsia"/>
          <w:color w:val="auto"/>
          <w:lang w:val="en-US" w:eastAsia="zh-CN"/>
        </w:rPr>
      </w:pPr>
      <w:r>
        <w:rPr>
          <w:rFonts w:hint="eastAsia"/>
          <w:color w:val="auto"/>
          <w:lang w:val="en-US" w:eastAsia="zh-CN"/>
        </w:rPr>
        <w:t>图2.1-1 矿区交通位置图</w:t>
      </w:r>
    </w:p>
    <w:p w14:paraId="4FC1A6F0">
      <w:pPr>
        <w:pStyle w:val="4"/>
        <w:bidi w:val="0"/>
        <w:rPr>
          <w:rFonts w:hint="default"/>
          <w:color w:val="auto"/>
          <w:lang w:val="en-US" w:eastAsia="zh-CN"/>
        </w:rPr>
      </w:pPr>
      <w:bookmarkStart w:id="127" w:name="_Toc27071"/>
      <w:bookmarkStart w:id="128" w:name="_Toc29801"/>
      <w:bookmarkStart w:id="129" w:name="_Toc3690"/>
      <w:bookmarkStart w:id="130" w:name="_Toc15478"/>
      <w:r>
        <w:rPr>
          <w:rFonts w:hint="eastAsia"/>
          <w:color w:val="auto"/>
          <w:lang w:val="en-US" w:eastAsia="zh-CN"/>
        </w:rPr>
        <w:t>2.1.6 周边情况</w:t>
      </w:r>
      <w:bookmarkEnd w:id="127"/>
      <w:bookmarkEnd w:id="128"/>
      <w:bookmarkEnd w:id="129"/>
      <w:bookmarkEnd w:id="130"/>
    </w:p>
    <w:p w14:paraId="249F0564">
      <w:pPr>
        <w:rPr>
          <w:rFonts w:hint="default"/>
          <w:color w:val="auto"/>
          <w:lang w:val="en-US" w:eastAsia="zh-CN"/>
        </w:rPr>
      </w:pPr>
      <w:r>
        <w:rPr>
          <w:rFonts w:hint="default"/>
          <w:color w:val="auto"/>
          <w:lang w:val="en-US" w:eastAsia="zh-CN"/>
        </w:rPr>
        <w:t>矿区地表坡度小，不存在滑坡、泥石流等危及矿山安全的因素，也无其他危及矿山安全的潜在环境因素。矿区范围内无各类（旅游风景、自然、历史文物古迹等）保护区，无航空港</w:t>
      </w:r>
      <w:r>
        <w:rPr>
          <w:rFonts w:hint="eastAsia"/>
          <w:color w:val="auto"/>
          <w:lang w:val="en-US" w:eastAsia="zh-CN"/>
        </w:rPr>
        <w:t>口</w:t>
      </w:r>
      <w:r>
        <w:rPr>
          <w:rFonts w:hint="default"/>
          <w:color w:val="auto"/>
          <w:lang w:val="en-US" w:eastAsia="zh-CN"/>
        </w:rPr>
        <w:t>和重要通讯设施，远离湖泊等，境界内有少量山林。</w:t>
      </w:r>
    </w:p>
    <w:p w14:paraId="754EAB2E">
      <w:pPr>
        <w:ind w:firstLine="560"/>
        <w:rPr>
          <w:rFonts w:hint="default"/>
          <w:color w:val="auto"/>
          <w:lang w:val="en-US" w:eastAsia="zh-CN"/>
        </w:rPr>
      </w:pPr>
      <w:r>
        <w:rPr>
          <w:rFonts w:hint="eastAsia"/>
          <w:color w:val="auto"/>
          <w:lang w:val="en-US" w:eastAsia="zh-CN"/>
        </w:rPr>
        <w:t>矿山属“三下”矿，</w:t>
      </w:r>
      <w:r>
        <w:rPr>
          <w:rFonts w:hint="default"/>
          <w:color w:val="auto"/>
          <w:lang w:val="en-US" w:eastAsia="zh-CN"/>
        </w:rPr>
        <w:t>矿区范围内有宁都～兴国</w:t>
      </w:r>
      <w:r>
        <w:rPr>
          <w:rFonts w:hint="eastAsia"/>
          <w:color w:val="auto"/>
          <w:lang w:val="en-US" w:eastAsia="zh-CN"/>
        </w:rPr>
        <w:t>S451</w:t>
      </w:r>
      <w:r>
        <w:rPr>
          <w:rFonts w:hint="default"/>
          <w:color w:val="auto"/>
          <w:lang w:val="en-US" w:eastAsia="zh-CN"/>
        </w:rPr>
        <w:t>公路由北向南穿过，公路、地表部分工业设施、寺庙及少量民房均在岩移范围内</w:t>
      </w:r>
      <w:r>
        <w:rPr>
          <w:rFonts w:hint="eastAsia"/>
          <w:color w:val="auto"/>
          <w:lang w:val="en-US" w:eastAsia="zh-CN"/>
        </w:rPr>
        <w:t>。2025年7月，江西朝盛矿业有限公司委托了南昌工程学院江西水利土木特种加固与安全监控工程研究中心编制了《江西朝盛矿业有限公司宁都硫铁矿地下矿山开采对地表建（构）筑物、S451公路影响论证报告》，得出结论：（1）依据爆破振动安全控制要求，当普通民用建筑安全允许振速标准设定为2.0cm/s时，+100m中段爆破作业无须设置爆心水平安全距离（即爆源至保护对象的水平直线距离）：+130m、+160m及+190m中段则需分别控制最小爆心水平安全距离&gt;37m、&gt;56m和&gt;96m。对于S451公路，按新浇混凝土安全标准70cm/s（对应龄期7～28天），除+190m中段需设置最小爆心水平安全距离＞12m外，+100m、+130m、+160m中段均可将爆心置于公路正下方，无需额外水平避让距离。此外以振中（爆心正上方地表）为控制点时，基于振动速度峰值与总药量正比关系（本研究采用线性时程分析法），各中段最大允许总药量分别为：+100m中段62kg、+130m中段43kg、+160m中段32kg、+190m中段1kg。（2）经计算，当对+190m中段及以上矿体开采时，对地表建（构）物影响较大，不建议对190m中段及以上进行开采，以免影响地表建（构）物安全。当对+160m～+190m中段矿体的开采作业，沉降值将呈增大趋势；需高度重视地表变形问题，并在必要时采取切实可行的措施对采空区进行有效处置。当对+160m中段及以下矿体开采时，沉降值相对较小，矿区地表整体保持稳定状态。</w:t>
      </w:r>
    </w:p>
    <w:p w14:paraId="08D38E0C">
      <w:pPr>
        <w:rPr>
          <w:rFonts w:hint="default"/>
          <w:color w:val="auto"/>
          <w:lang w:val="en-US" w:eastAsia="zh-CN"/>
        </w:rPr>
      </w:pPr>
      <w:r>
        <w:rPr>
          <w:rFonts w:hint="eastAsia"/>
          <w:color w:val="auto"/>
          <w:lang w:val="en-US" w:eastAsia="zh-CN"/>
        </w:rPr>
        <w:t>原1#斜井</w:t>
      </w:r>
      <w:r>
        <w:rPr>
          <w:rFonts w:hint="default"/>
          <w:color w:val="auto"/>
          <w:lang w:val="en-US" w:eastAsia="zh-CN"/>
        </w:rPr>
        <w:t>西侧约100m处有一小型水库</w:t>
      </w:r>
      <w:r>
        <w:rPr>
          <w:rFonts w:hint="eastAsia"/>
          <w:color w:val="auto"/>
          <w:lang w:val="en-US" w:eastAsia="zh-CN"/>
        </w:rPr>
        <w:t>，为牛七坑水库，根据2024年1月南昌工程学院江西水利土木特种加固与安全监控工程研究中心编制的</w:t>
      </w:r>
      <w:r>
        <w:rPr>
          <w:rFonts w:hint="default"/>
          <w:color w:val="auto"/>
          <w:lang w:val="en-US" w:eastAsia="zh-CN"/>
        </w:rPr>
        <w:t>《江西朝盛矿业有限公司宁都硫铁矿地下矿山隐蔽致灾因素普查治理报告》</w:t>
      </w:r>
      <w:r>
        <w:rPr>
          <w:rFonts w:hint="eastAsia"/>
          <w:color w:val="auto"/>
          <w:lang w:val="en-US" w:eastAsia="zh-CN"/>
        </w:rPr>
        <w:t>的成果，</w:t>
      </w:r>
      <w:r>
        <w:rPr>
          <w:rFonts w:hint="default"/>
          <w:color w:val="auto"/>
          <w:lang w:val="en-US" w:eastAsia="zh-CN"/>
        </w:rPr>
        <w:t>牛七坑水库库区为花岗岩，矿体连续，现有开采系统留设有防水矿柱，其通过坝址区东侧，未见异常。在正常情况下，库水成为矿坑充水的水源可能性小。</w:t>
      </w:r>
    </w:p>
    <w:p w14:paraId="25BD8D35">
      <w:pPr>
        <w:rPr>
          <w:rFonts w:hint="default"/>
          <w:color w:val="auto"/>
          <w:lang w:val="en-US" w:eastAsia="zh-CN"/>
        </w:rPr>
      </w:pPr>
      <w:r>
        <w:rPr>
          <w:rFonts w:hint="default"/>
          <w:color w:val="auto"/>
          <w:lang w:val="en-US" w:eastAsia="zh-CN"/>
        </w:rPr>
        <w:t>矿山已开采多年，采场内设有矿柱，而且采空区所有矿柱不考虑回收，利用已有的矿柱支撑顶板岩石，以较长时间维护了采空区的存在。同时，为了安全生产，封闭部分老采空区，以减少一旦围岩冒落产生对生产区的冲击力。新建地面设施均远离地表岩石移动线之外，对于难于搬迁的建筑及难于改道的公路下面和附近的采空区进行了废石充填。</w:t>
      </w:r>
    </w:p>
    <w:p w14:paraId="34777B2D">
      <w:pPr>
        <w:pStyle w:val="3"/>
        <w:bidi w:val="0"/>
        <w:rPr>
          <w:rFonts w:hint="default"/>
          <w:color w:val="auto"/>
          <w:lang w:val="en-US" w:eastAsia="zh-CN"/>
        </w:rPr>
      </w:pPr>
      <w:bookmarkStart w:id="131" w:name="_Toc27794"/>
      <w:bookmarkStart w:id="132" w:name="_Toc26368"/>
      <w:bookmarkStart w:id="133" w:name="_Toc7876"/>
      <w:bookmarkStart w:id="134" w:name="_Toc15281"/>
      <w:r>
        <w:rPr>
          <w:rFonts w:hint="default"/>
          <w:color w:val="auto"/>
          <w:lang w:val="en-US" w:eastAsia="zh-CN"/>
        </w:rPr>
        <w:t>2.2</w:t>
      </w:r>
      <w:r>
        <w:rPr>
          <w:rFonts w:hint="eastAsia"/>
          <w:color w:val="auto"/>
          <w:lang w:val="en-US" w:eastAsia="zh-CN"/>
        </w:rPr>
        <w:t xml:space="preserve"> </w:t>
      </w:r>
      <w:r>
        <w:rPr>
          <w:rFonts w:hint="default"/>
          <w:color w:val="auto"/>
          <w:lang w:val="en-US" w:eastAsia="zh-CN"/>
        </w:rPr>
        <w:t>自然环境概况</w:t>
      </w:r>
      <w:bookmarkEnd w:id="131"/>
      <w:bookmarkEnd w:id="132"/>
      <w:bookmarkEnd w:id="133"/>
      <w:bookmarkEnd w:id="134"/>
    </w:p>
    <w:p w14:paraId="44A850A0">
      <w:pPr>
        <w:rPr>
          <w:rFonts w:hint="default"/>
          <w:color w:val="auto"/>
          <w:lang w:val="en-US" w:eastAsia="zh-CN"/>
        </w:rPr>
      </w:pPr>
      <w:r>
        <w:rPr>
          <w:rFonts w:hint="default"/>
          <w:color w:val="auto"/>
          <w:lang w:val="en-US" w:eastAsia="zh-CN"/>
        </w:rPr>
        <w:t>矿区属亚热带东南季风气候，温暖潮湿，雨量充沛，日照充足，四季分明。每年2月至5月为雨季，历年最大日降雨量达218.8mm。多年平均降雨量为1680.1mm，蒸发量1529.0mm，历年最大降雨量2458.9mm，最小降雨量1125.1mm。常年主导风向为东北风，历年最高气温39.3℃，最低气温</w:t>
      </w:r>
      <w:r>
        <w:rPr>
          <w:rFonts w:hint="eastAsia" w:ascii="宋体" w:hAnsi="宋体" w:eastAsia="宋体" w:cs="宋体"/>
          <w:color w:val="auto"/>
          <w:lang w:val="en-US" w:eastAsia="zh-CN"/>
        </w:rPr>
        <w:t>-</w:t>
      </w:r>
      <w:r>
        <w:rPr>
          <w:rFonts w:hint="default"/>
          <w:color w:val="auto"/>
          <w:lang w:val="en-US" w:eastAsia="zh-CN"/>
        </w:rPr>
        <w:t>7.3℃。区内经济以农业为主，农作物以水稻为主。劳力充足。水电资源较丰富。</w:t>
      </w:r>
    </w:p>
    <w:p w14:paraId="187BC60D">
      <w:pPr>
        <w:rPr>
          <w:rFonts w:hint="default"/>
          <w:color w:val="auto"/>
          <w:lang w:val="en-US" w:eastAsia="zh-CN"/>
        </w:rPr>
      </w:pPr>
      <w:r>
        <w:rPr>
          <w:rFonts w:hint="default"/>
          <w:color w:val="auto"/>
          <w:lang w:val="en-US" w:eastAsia="zh-CN"/>
        </w:rPr>
        <w:t>根据《中国地震动参数区划图》（GB18306-2015），该矿区处于地震动参数0.05g地区，属抗震设防烈度6度区。</w:t>
      </w:r>
    </w:p>
    <w:p w14:paraId="4F914BD3">
      <w:pPr>
        <w:pStyle w:val="3"/>
        <w:bidi w:val="0"/>
        <w:rPr>
          <w:rFonts w:hint="default"/>
          <w:color w:val="auto"/>
          <w:lang w:val="en-US" w:eastAsia="zh-CN"/>
        </w:rPr>
      </w:pPr>
      <w:bookmarkStart w:id="135" w:name="_Toc3669"/>
      <w:bookmarkStart w:id="136" w:name="_Toc26042"/>
      <w:bookmarkStart w:id="137" w:name="_Toc30568"/>
      <w:bookmarkStart w:id="138" w:name="_Toc23232"/>
      <w:r>
        <w:rPr>
          <w:rFonts w:hint="default"/>
          <w:color w:val="auto"/>
          <w:lang w:val="en-US" w:eastAsia="zh-CN"/>
        </w:rPr>
        <w:t>2.3</w:t>
      </w:r>
      <w:r>
        <w:rPr>
          <w:rFonts w:hint="eastAsia"/>
          <w:color w:val="auto"/>
          <w:lang w:val="en-US" w:eastAsia="zh-CN"/>
        </w:rPr>
        <w:t xml:space="preserve"> </w:t>
      </w:r>
      <w:r>
        <w:rPr>
          <w:rFonts w:hint="default"/>
          <w:color w:val="auto"/>
          <w:lang w:val="en-US" w:eastAsia="zh-CN"/>
        </w:rPr>
        <w:t>建设项目地质概况</w:t>
      </w:r>
      <w:bookmarkEnd w:id="135"/>
      <w:bookmarkEnd w:id="136"/>
      <w:bookmarkEnd w:id="137"/>
      <w:bookmarkEnd w:id="138"/>
    </w:p>
    <w:p w14:paraId="7B96936B">
      <w:pPr>
        <w:rPr>
          <w:rFonts w:hint="default"/>
          <w:color w:val="auto"/>
          <w:lang w:val="en-US" w:eastAsia="zh-CN"/>
        </w:rPr>
      </w:pPr>
      <w:r>
        <w:rPr>
          <w:rFonts w:hint="eastAsia"/>
          <w:color w:val="auto"/>
          <w:lang w:val="en-US" w:eastAsia="zh-CN"/>
        </w:rPr>
        <w:t>本章节引用</w:t>
      </w:r>
      <w:r>
        <w:rPr>
          <w:rFonts w:hint="default"/>
          <w:color w:val="auto"/>
          <w:lang w:val="en-US" w:eastAsia="zh-CN"/>
        </w:rPr>
        <w:t>江西核工业工程地质勘察院有限公司20</w:t>
      </w:r>
      <w:r>
        <w:rPr>
          <w:rFonts w:hint="eastAsia"/>
          <w:color w:val="auto"/>
          <w:lang w:val="en-US" w:eastAsia="zh-CN"/>
        </w:rPr>
        <w:t>25</w:t>
      </w:r>
      <w:r>
        <w:rPr>
          <w:rFonts w:hint="default"/>
          <w:color w:val="auto"/>
          <w:lang w:val="en-US" w:eastAsia="zh-CN"/>
        </w:rPr>
        <w:t>年</w:t>
      </w:r>
      <w:r>
        <w:rPr>
          <w:rFonts w:hint="eastAsia"/>
          <w:color w:val="auto"/>
          <w:lang w:val="en-US" w:eastAsia="zh-CN"/>
        </w:rPr>
        <w:t>4</w:t>
      </w:r>
      <w:r>
        <w:rPr>
          <w:rFonts w:hint="default"/>
          <w:color w:val="auto"/>
          <w:lang w:val="en-US" w:eastAsia="zh-CN"/>
        </w:rPr>
        <w:t>月编制</w:t>
      </w:r>
      <w:r>
        <w:rPr>
          <w:rFonts w:hint="eastAsia"/>
          <w:color w:val="auto"/>
          <w:lang w:val="en-US" w:eastAsia="zh-CN"/>
        </w:rPr>
        <w:t>的</w:t>
      </w:r>
      <w:r>
        <w:rPr>
          <w:rFonts w:hint="default"/>
          <w:color w:val="auto"/>
          <w:lang w:val="en-US" w:eastAsia="zh-CN"/>
        </w:rPr>
        <w:t>《江西省朝盛矿业有限公司江西省宁都县青塘矿区硫铁矿改扩建项目水工环地质专项勘查报告》中工程地质资料。</w:t>
      </w:r>
    </w:p>
    <w:p w14:paraId="4B7C6A6C">
      <w:pPr>
        <w:pStyle w:val="4"/>
        <w:bidi w:val="0"/>
        <w:rPr>
          <w:rFonts w:hint="eastAsia"/>
          <w:color w:val="auto"/>
          <w:lang w:val="en-US" w:eastAsia="zh-CN"/>
        </w:rPr>
      </w:pPr>
      <w:bookmarkStart w:id="139" w:name="_Toc8570"/>
      <w:bookmarkStart w:id="140" w:name="_Toc29034"/>
      <w:bookmarkStart w:id="141" w:name="_Toc31011"/>
      <w:bookmarkStart w:id="142" w:name="_Toc9894"/>
      <w:r>
        <w:rPr>
          <w:rFonts w:hint="default"/>
          <w:color w:val="auto"/>
          <w:lang w:val="en-US" w:eastAsia="zh-CN"/>
        </w:rPr>
        <w:t>2.3.1</w:t>
      </w:r>
      <w:r>
        <w:rPr>
          <w:rFonts w:hint="eastAsia"/>
          <w:color w:val="auto"/>
          <w:lang w:val="en-US" w:eastAsia="zh-CN"/>
        </w:rPr>
        <w:t xml:space="preserve"> </w:t>
      </w:r>
      <w:bookmarkEnd w:id="139"/>
      <w:bookmarkEnd w:id="140"/>
      <w:bookmarkEnd w:id="141"/>
      <w:r>
        <w:rPr>
          <w:rFonts w:hint="eastAsia"/>
          <w:color w:val="auto"/>
          <w:lang w:val="en-US" w:eastAsia="zh-CN"/>
        </w:rPr>
        <w:t>区域地质条件</w:t>
      </w:r>
      <w:bookmarkEnd w:id="142"/>
    </w:p>
    <w:p w14:paraId="67005F57">
      <w:pPr>
        <w:rPr>
          <w:rFonts w:hint="default"/>
          <w:color w:val="auto"/>
          <w:lang w:val="en-US" w:eastAsia="zh-CN"/>
        </w:rPr>
      </w:pPr>
      <w:r>
        <w:rPr>
          <w:rFonts w:hint="default"/>
          <w:color w:val="auto"/>
          <w:lang w:val="en-US" w:eastAsia="zh-CN"/>
        </w:rPr>
        <w:t>矿区大地构造位置位处武夷隆起西缘，宁都～南城拗陷断束南端和信丰～于都拗陷褶束交接部位的青塘～银坑凹陷带中</w:t>
      </w:r>
      <w:r>
        <w:rPr>
          <w:rFonts w:hint="eastAsia"/>
          <w:color w:val="auto"/>
          <w:lang w:val="en-US" w:eastAsia="zh-CN"/>
        </w:rPr>
        <w:t>，</w:t>
      </w:r>
      <w:r>
        <w:rPr>
          <w:rFonts w:hint="default"/>
          <w:color w:val="auto"/>
          <w:lang w:val="en-US" w:eastAsia="zh-CN"/>
        </w:rPr>
        <w:t>矿区正位于该凹陷带北东缘之青塘狮吼山地段。区内以古生代地层为主，前泥盆纪之变质岩系，出露于该盆地之外侧，为组成本区之基底岩层</w:t>
      </w:r>
      <w:r>
        <w:rPr>
          <w:rFonts w:hint="eastAsia"/>
          <w:color w:val="auto"/>
          <w:lang w:val="en-US" w:eastAsia="zh-CN"/>
        </w:rPr>
        <w:t>；</w:t>
      </w:r>
      <w:r>
        <w:rPr>
          <w:rFonts w:hint="default"/>
          <w:color w:val="auto"/>
          <w:lang w:val="en-US" w:eastAsia="zh-CN"/>
        </w:rPr>
        <w:t>而后为上泥盆统峡山砂岩，则出露于盆地四周高山之顶峰</w:t>
      </w:r>
      <w:r>
        <w:rPr>
          <w:rFonts w:hint="eastAsia"/>
          <w:color w:val="auto"/>
          <w:lang w:val="en-US" w:eastAsia="zh-CN"/>
        </w:rPr>
        <w:t>；</w:t>
      </w:r>
      <w:r>
        <w:rPr>
          <w:rFonts w:hint="default"/>
          <w:color w:val="auto"/>
          <w:lang w:val="en-US" w:eastAsia="zh-CN"/>
        </w:rPr>
        <w:t>下石炭统梓山组出露于盆地内侧山腰和山麓地带</w:t>
      </w:r>
      <w:r>
        <w:rPr>
          <w:rFonts w:hint="eastAsia"/>
          <w:color w:val="auto"/>
          <w:lang w:val="en-US" w:eastAsia="zh-CN"/>
        </w:rPr>
        <w:t>；</w:t>
      </w:r>
      <w:r>
        <w:rPr>
          <w:rFonts w:hint="default"/>
          <w:color w:val="auto"/>
          <w:lang w:val="en-US" w:eastAsia="zh-CN"/>
        </w:rPr>
        <w:t>中上石炭统黄龙组灰岩，位居盆地核心</w:t>
      </w:r>
      <w:r>
        <w:rPr>
          <w:rFonts w:hint="eastAsia"/>
          <w:color w:val="auto"/>
          <w:lang w:val="en-US" w:eastAsia="zh-CN"/>
        </w:rPr>
        <w:t>；</w:t>
      </w:r>
      <w:r>
        <w:rPr>
          <w:rFonts w:hint="default"/>
          <w:color w:val="auto"/>
          <w:lang w:val="en-US" w:eastAsia="zh-CN"/>
        </w:rPr>
        <w:t>第三系红色砂砾岩，出露于盆地东南缘或其外侧</w:t>
      </w:r>
      <w:r>
        <w:rPr>
          <w:rFonts w:hint="eastAsia"/>
          <w:color w:val="auto"/>
          <w:lang w:val="en-US" w:eastAsia="zh-CN"/>
        </w:rPr>
        <w:t>；</w:t>
      </w:r>
      <w:r>
        <w:rPr>
          <w:rFonts w:hint="default"/>
          <w:color w:val="auto"/>
          <w:lang w:val="en-US" w:eastAsia="zh-CN"/>
        </w:rPr>
        <w:t>第四系红土砾石层和现代堆积层，则占据本区平坦地带。</w:t>
      </w:r>
    </w:p>
    <w:p w14:paraId="57F762CE">
      <w:pPr>
        <w:ind w:firstLine="0" w:firstLineChars="0"/>
        <w:jc w:val="center"/>
        <w:rPr>
          <w:color w:val="auto"/>
        </w:rPr>
      </w:pPr>
      <w:r>
        <w:rPr>
          <w:color w:val="auto"/>
        </w:rPr>
        <w:drawing>
          <wp:inline distT="0" distB="0" distL="114300" distR="114300">
            <wp:extent cx="4319905" cy="3325495"/>
            <wp:effectExtent l="0" t="0" r="4445" b="825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1"/>
                    <a:stretch>
                      <a:fillRect/>
                    </a:stretch>
                  </pic:blipFill>
                  <pic:spPr>
                    <a:xfrm>
                      <a:off x="0" y="0"/>
                      <a:ext cx="4319905" cy="3325495"/>
                    </a:xfrm>
                    <a:prstGeom prst="rect">
                      <a:avLst/>
                    </a:prstGeom>
                    <a:noFill/>
                    <a:ln>
                      <a:noFill/>
                    </a:ln>
                  </pic:spPr>
                </pic:pic>
              </a:graphicData>
            </a:graphic>
          </wp:inline>
        </w:drawing>
      </w:r>
    </w:p>
    <w:p w14:paraId="6B145C14">
      <w:pPr>
        <w:ind w:firstLine="0" w:firstLineChars="0"/>
        <w:jc w:val="center"/>
        <w:rPr>
          <w:rFonts w:hint="default"/>
          <w:color w:val="auto"/>
          <w:lang w:val="en-US" w:eastAsia="zh-CN"/>
        </w:rPr>
      </w:pPr>
      <w:r>
        <w:rPr>
          <w:rFonts w:hint="eastAsia"/>
          <w:color w:val="auto"/>
          <w:lang w:val="en-US" w:eastAsia="zh-CN"/>
        </w:rPr>
        <w:t xml:space="preserve">图2.3-1 </w:t>
      </w:r>
      <w:r>
        <w:rPr>
          <w:rFonts w:hint="default"/>
          <w:color w:val="auto"/>
          <w:lang w:val="en-US" w:eastAsia="zh-CN"/>
        </w:rPr>
        <w:t>区域地质略图</w:t>
      </w:r>
    </w:p>
    <w:p w14:paraId="42DEF0D4">
      <w:pPr>
        <w:rPr>
          <w:rFonts w:hint="eastAsia"/>
          <w:color w:val="auto"/>
          <w:lang w:val="en-US" w:eastAsia="zh-CN"/>
        </w:rPr>
      </w:pPr>
      <w:r>
        <w:rPr>
          <w:rFonts w:hint="default"/>
          <w:color w:val="auto"/>
          <w:lang w:val="en-US" w:eastAsia="zh-CN"/>
        </w:rPr>
        <w:t>该区褶皱较为发育，而尤以断裂为多，构造复杂，岩浆活动频繁</w:t>
      </w:r>
      <w:r>
        <w:rPr>
          <w:rFonts w:hint="eastAsia"/>
          <w:color w:val="auto"/>
          <w:lang w:val="en-US" w:eastAsia="zh-CN"/>
        </w:rPr>
        <w:t>。</w:t>
      </w:r>
    </w:p>
    <w:p w14:paraId="154C2E5B">
      <w:pPr>
        <w:pStyle w:val="4"/>
        <w:bidi w:val="0"/>
        <w:rPr>
          <w:rFonts w:hint="default"/>
          <w:color w:val="auto"/>
          <w:lang w:val="en-US" w:eastAsia="zh-CN"/>
        </w:rPr>
      </w:pPr>
      <w:bookmarkStart w:id="143" w:name="_Toc14194"/>
      <w:bookmarkStart w:id="144" w:name="_Toc31329"/>
      <w:bookmarkStart w:id="145" w:name="_Toc22702"/>
      <w:bookmarkStart w:id="146" w:name="_Toc17464"/>
      <w:r>
        <w:rPr>
          <w:rFonts w:hint="default"/>
          <w:color w:val="auto"/>
          <w:lang w:val="en-US" w:eastAsia="zh-CN"/>
        </w:rPr>
        <w:t>2.3.2</w:t>
      </w:r>
      <w:r>
        <w:rPr>
          <w:rFonts w:hint="eastAsia"/>
          <w:color w:val="auto"/>
          <w:lang w:val="en-US" w:eastAsia="zh-CN"/>
        </w:rPr>
        <w:t xml:space="preserve"> </w:t>
      </w:r>
      <w:bookmarkEnd w:id="143"/>
      <w:bookmarkEnd w:id="144"/>
      <w:bookmarkEnd w:id="145"/>
      <w:r>
        <w:rPr>
          <w:rFonts w:hint="eastAsia"/>
          <w:color w:val="auto"/>
          <w:lang w:val="en-US" w:eastAsia="zh-CN"/>
        </w:rPr>
        <w:t>矿区水文地质</w:t>
      </w:r>
      <w:bookmarkEnd w:id="146"/>
    </w:p>
    <w:p w14:paraId="122480D3">
      <w:pPr>
        <w:rPr>
          <w:rFonts w:hint="default"/>
          <w:color w:val="auto"/>
          <w:lang w:val="en-US" w:eastAsia="zh-CN"/>
        </w:rPr>
      </w:pPr>
      <w:r>
        <w:rPr>
          <w:rFonts w:hint="eastAsia"/>
          <w:color w:val="auto"/>
          <w:lang w:val="en-US" w:eastAsia="zh-CN"/>
        </w:rPr>
        <w:t>1. 地形地貌</w:t>
      </w:r>
    </w:p>
    <w:p w14:paraId="56A3E129">
      <w:pPr>
        <w:rPr>
          <w:rFonts w:hint="default"/>
          <w:color w:val="auto"/>
          <w:lang w:val="en-US" w:eastAsia="zh-CN"/>
        </w:rPr>
      </w:pPr>
      <w:r>
        <w:rPr>
          <w:rFonts w:hint="default"/>
          <w:color w:val="auto"/>
          <w:lang w:val="en-US" w:eastAsia="zh-CN"/>
        </w:rPr>
        <w:t>矿区处于青塘向斜盆地南西边缘，地形西高东低，坡度很缓。区内原始山坡坡度在20～40</w:t>
      </w:r>
      <w:r>
        <w:rPr>
          <w:rFonts w:hint="eastAsia" w:ascii="宋体" w:hAnsi="宋体" w:cs="宋体"/>
          <w:color w:val="auto"/>
          <w:lang w:val="en-US" w:eastAsia="zh-CN"/>
        </w:rPr>
        <w:t>°</w:t>
      </w:r>
      <w:r>
        <w:rPr>
          <w:rFonts w:hint="default"/>
          <w:color w:val="auto"/>
          <w:lang w:val="en-US" w:eastAsia="zh-CN"/>
        </w:rPr>
        <w:t>间，山体最高点为狮吼山山顶</w:t>
      </w:r>
      <w:r>
        <w:rPr>
          <w:rFonts w:hint="eastAsia"/>
          <w:color w:val="auto"/>
          <w:lang w:val="en-US" w:eastAsia="zh-CN"/>
        </w:rPr>
        <w:t>，</w:t>
      </w:r>
      <w:r>
        <w:rPr>
          <w:rFonts w:hint="default"/>
          <w:color w:val="auto"/>
          <w:lang w:val="en-US" w:eastAsia="zh-CN"/>
        </w:rPr>
        <w:t>海拔</w:t>
      </w:r>
      <w:r>
        <w:rPr>
          <w:rFonts w:hint="eastAsia"/>
          <w:color w:val="auto"/>
          <w:lang w:val="en-US" w:eastAsia="zh-CN"/>
        </w:rPr>
        <w:t>+</w:t>
      </w:r>
      <w:r>
        <w:rPr>
          <w:rFonts w:hint="default"/>
          <w:color w:val="auto"/>
          <w:lang w:val="en-US" w:eastAsia="zh-CN"/>
        </w:rPr>
        <w:t>387.6</w:t>
      </w:r>
      <w:r>
        <w:rPr>
          <w:rFonts w:hint="eastAsia"/>
          <w:color w:val="auto"/>
          <w:lang w:val="en-US" w:eastAsia="zh-CN"/>
        </w:rPr>
        <w:t>m；</w:t>
      </w:r>
      <w:r>
        <w:rPr>
          <w:rFonts w:hint="default"/>
          <w:color w:val="auto"/>
          <w:lang w:val="en-US" w:eastAsia="zh-CN"/>
        </w:rPr>
        <w:t>最低处为矿区中北部赤水河河床</w:t>
      </w:r>
      <w:r>
        <w:rPr>
          <w:rFonts w:hint="eastAsia"/>
          <w:color w:val="auto"/>
          <w:lang w:val="en-US" w:eastAsia="zh-CN"/>
        </w:rPr>
        <w:t>，</w:t>
      </w:r>
      <w:r>
        <w:rPr>
          <w:rFonts w:hint="default"/>
          <w:color w:val="auto"/>
          <w:lang w:val="en-US" w:eastAsia="zh-CN"/>
        </w:rPr>
        <w:t>标高约为</w:t>
      </w:r>
      <w:r>
        <w:rPr>
          <w:rFonts w:hint="eastAsia"/>
          <w:color w:val="auto"/>
          <w:lang w:val="en-US" w:eastAsia="zh-CN"/>
        </w:rPr>
        <w:t>+</w:t>
      </w:r>
      <w:r>
        <w:rPr>
          <w:rFonts w:hint="default"/>
          <w:color w:val="auto"/>
          <w:lang w:val="en-US" w:eastAsia="zh-CN"/>
        </w:rPr>
        <w:t>225.4</w:t>
      </w:r>
      <w:r>
        <w:rPr>
          <w:rFonts w:hint="eastAsia"/>
          <w:color w:val="auto"/>
          <w:lang w:val="en-US" w:eastAsia="zh-CN"/>
        </w:rPr>
        <w:t>m</w:t>
      </w:r>
      <w:r>
        <w:rPr>
          <w:rFonts w:hint="default"/>
          <w:color w:val="auto"/>
          <w:lang w:val="en-US" w:eastAsia="zh-CN"/>
        </w:rPr>
        <w:t>为矿区侵蚀基准面。区内植被较发育，地形西高东低，大气降水及地表水体较容易汇集及排泄。</w:t>
      </w:r>
    </w:p>
    <w:p w14:paraId="7DAA0A8B">
      <w:pPr>
        <w:rPr>
          <w:rFonts w:hint="default"/>
          <w:color w:val="auto"/>
          <w:lang w:val="en-US" w:eastAsia="zh-CN"/>
        </w:rPr>
      </w:pPr>
      <w:r>
        <w:rPr>
          <w:rFonts w:hint="eastAsia"/>
          <w:color w:val="auto"/>
          <w:lang w:val="en-US" w:eastAsia="zh-CN"/>
        </w:rPr>
        <w:t xml:space="preserve">2. </w:t>
      </w:r>
      <w:r>
        <w:rPr>
          <w:rFonts w:hint="default"/>
          <w:color w:val="auto"/>
          <w:lang w:val="en-US" w:eastAsia="zh-CN"/>
        </w:rPr>
        <w:t>地表水系及水文地质单元边界概况</w:t>
      </w:r>
    </w:p>
    <w:p w14:paraId="330ACD0A">
      <w:pPr>
        <w:rPr>
          <w:rFonts w:hint="default"/>
          <w:color w:val="auto"/>
          <w:lang w:val="en-US" w:eastAsia="zh-CN"/>
        </w:rPr>
      </w:pPr>
      <w:r>
        <w:rPr>
          <w:rFonts w:hint="default"/>
          <w:color w:val="auto"/>
          <w:lang w:val="en-US" w:eastAsia="zh-CN"/>
        </w:rPr>
        <w:t>区内水系发育，有长年溪沟5条，其中以赤水河为主，由杜弯背、狮吼山流入矿区，矿区抽排水出口处流量272～460L/s，流入污水处理厂处理后再循环利用。赤水河主要受降雨控制</w:t>
      </w:r>
      <w:r>
        <w:rPr>
          <w:rFonts w:hint="eastAsia"/>
          <w:color w:val="auto"/>
          <w:lang w:val="en-US" w:eastAsia="zh-CN"/>
        </w:rPr>
        <w:t>，</w:t>
      </w:r>
      <w:r>
        <w:rPr>
          <w:rFonts w:hint="default"/>
          <w:color w:val="auto"/>
          <w:lang w:val="en-US" w:eastAsia="zh-CN"/>
        </w:rPr>
        <w:t>雨季洪水急湍</w:t>
      </w:r>
      <w:r>
        <w:rPr>
          <w:rFonts w:hint="eastAsia"/>
          <w:color w:val="auto"/>
          <w:lang w:val="en-US" w:eastAsia="zh-CN"/>
        </w:rPr>
        <w:t>，</w:t>
      </w:r>
      <w:r>
        <w:rPr>
          <w:rFonts w:hint="default"/>
          <w:color w:val="auto"/>
          <w:lang w:val="en-US" w:eastAsia="zh-CN"/>
        </w:rPr>
        <w:t>水量大</w:t>
      </w:r>
      <w:r>
        <w:rPr>
          <w:rFonts w:hint="eastAsia"/>
          <w:color w:val="auto"/>
          <w:lang w:val="en-US" w:eastAsia="zh-CN"/>
        </w:rPr>
        <w:t>；</w:t>
      </w:r>
      <w:r>
        <w:rPr>
          <w:rFonts w:hint="default"/>
          <w:color w:val="auto"/>
          <w:lang w:val="en-US" w:eastAsia="zh-CN"/>
        </w:rPr>
        <w:t>早季则水浅见底流量剧减</w:t>
      </w:r>
      <w:r>
        <w:rPr>
          <w:rFonts w:hint="eastAsia"/>
          <w:color w:val="auto"/>
          <w:lang w:val="en-US" w:eastAsia="zh-CN"/>
        </w:rPr>
        <w:t>，</w:t>
      </w:r>
      <w:r>
        <w:rPr>
          <w:rFonts w:hint="default"/>
          <w:color w:val="auto"/>
          <w:lang w:val="en-US" w:eastAsia="zh-CN"/>
        </w:rPr>
        <w:t>支流水则分别在不同部位汇入主溪。</w:t>
      </w:r>
    </w:p>
    <w:p w14:paraId="0829EE36">
      <w:pPr>
        <w:rPr>
          <w:rFonts w:hint="default"/>
          <w:color w:val="auto"/>
          <w:lang w:val="en-US" w:eastAsia="zh-CN"/>
        </w:rPr>
      </w:pPr>
      <w:r>
        <w:rPr>
          <w:rFonts w:hint="default"/>
          <w:color w:val="auto"/>
          <w:lang w:val="en-US" w:eastAsia="zh-CN"/>
        </w:rPr>
        <w:t>矿区地形西高东低，四周又相对较高，其北、北西、南部以山脊为地表分水岭，北东部以最低处赤水河河床为边界，构成相对完整的水文地质单元。</w:t>
      </w:r>
    </w:p>
    <w:p w14:paraId="4553EF02">
      <w:pPr>
        <w:rPr>
          <w:rFonts w:hint="default"/>
          <w:color w:val="auto"/>
          <w:lang w:val="en-US" w:eastAsia="zh-CN"/>
        </w:rPr>
      </w:pPr>
      <w:r>
        <w:rPr>
          <w:rFonts w:hint="eastAsia"/>
          <w:color w:val="auto"/>
          <w:lang w:val="en-US" w:eastAsia="zh-CN"/>
        </w:rPr>
        <w:t>3. 含（隔）水层岩性结构、分布规律及富水性</w:t>
      </w:r>
    </w:p>
    <w:p w14:paraId="168DDD89">
      <w:pPr>
        <w:rPr>
          <w:rFonts w:hint="default"/>
          <w:color w:val="auto"/>
          <w:lang w:val="en-US" w:eastAsia="zh-CN"/>
        </w:rPr>
      </w:pPr>
      <w:r>
        <w:rPr>
          <w:rFonts w:hint="default"/>
          <w:color w:val="auto"/>
          <w:lang w:val="en-US" w:eastAsia="zh-CN"/>
        </w:rPr>
        <w:t>矿区出露地层由老到新主要有泥盆系峡山组</w:t>
      </w:r>
      <w:r>
        <w:rPr>
          <w:rFonts w:hint="eastAsia"/>
          <w:color w:val="auto"/>
          <w:lang w:val="en-US" w:eastAsia="zh-CN"/>
        </w:rPr>
        <w:t>；</w:t>
      </w:r>
      <w:r>
        <w:rPr>
          <w:rFonts w:hint="default"/>
          <w:color w:val="auto"/>
          <w:lang w:val="en-US" w:eastAsia="zh-CN"/>
        </w:rPr>
        <w:t>石炭系山组、黄龙组及第四系地层，此外矿区西部还出露有燕山期花岗岩。根据含水介质、地下水赋存条件和富水性的不同，可划分为松散岩类孔隙含水层、基岩裂隙含水层、碳酸盐岩岩溶水含水层。</w:t>
      </w:r>
    </w:p>
    <w:p w14:paraId="7F762C34">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断裂构造水文地质特征</w:t>
      </w:r>
    </w:p>
    <w:p w14:paraId="7E680FDB">
      <w:pPr>
        <w:rPr>
          <w:rFonts w:hint="default"/>
          <w:color w:val="auto"/>
          <w:lang w:val="en-US" w:eastAsia="zh-CN"/>
        </w:rPr>
      </w:pPr>
      <w:r>
        <w:rPr>
          <w:rFonts w:hint="default"/>
          <w:color w:val="auto"/>
          <w:lang w:val="en-US" w:eastAsia="zh-CN"/>
        </w:rPr>
        <w:t>受狮吼山燕山期中侏罗花岗岩岩株上侵影响</w:t>
      </w:r>
      <w:r>
        <w:rPr>
          <w:rFonts w:hint="eastAsia"/>
          <w:color w:val="auto"/>
          <w:lang w:val="en-US" w:eastAsia="zh-CN"/>
        </w:rPr>
        <w:t>，</w:t>
      </w:r>
      <w:r>
        <w:rPr>
          <w:rFonts w:hint="default"/>
          <w:color w:val="auto"/>
          <w:lang w:val="en-US" w:eastAsia="zh-CN"/>
        </w:rPr>
        <w:t>在区内形成了似向斜转折端构造。区内断裂构造的存在和发育错综复杂，成为了矿区地下水活动通路和存储之所。区内现已查明的构造共有5条，分为成矿前断裂、成矿期断裂和成矿后断裂三种，其中成矿前期及成矿期断裂的富水性均较弱，成矿后期断裂则具有一定的导水性。</w:t>
      </w:r>
    </w:p>
    <w:p w14:paraId="320B3084">
      <w:pPr>
        <w:rPr>
          <w:rFonts w:hint="default"/>
          <w:color w:val="auto"/>
          <w:lang w:val="en-US" w:eastAsia="zh-CN"/>
        </w:rPr>
      </w:pPr>
      <w:r>
        <w:rPr>
          <w:rFonts w:hint="default"/>
          <w:color w:val="auto"/>
          <w:lang w:val="en-US" w:eastAsia="zh-CN"/>
        </w:rPr>
        <w:t>矿区喀斯特溶洞发育，在一定程度以构造为前提，构造断裂给地下水活动带来了有利的条件。</w:t>
      </w:r>
    </w:p>
    <w:p w14:paraId="63FD520A">
      <w:pPr>
        <w:rPr>
          <w:rFonts w:hint="default"/>
          <w:color w:val="auto"/>
          <w:lang w:val="en-US" w:eastAsia="zh-CN"/>
        </w:rPr>
      </w:pPr>
      <w:r>
        <w:rPr>
          <w:rFonts w:hint="default"/>
          <w:color w:val="auto"/>
          <w:lang w:val="en-US" w:eastAsia="zh-CN"/>
        </w:rPr>
        <w:t>本区的成矿后期断裂无疑是地下水活动的通道和贮藏场所</w:t>
      </w:r>
      <w:r>
        <w:rPr>
          <w:rFonts w:hint="eastAsia"/>
          <w:color w:val="auto"/>
          <w:lang w:val="en-US" w:eastAsia="zh-CN"/>
        </w:rPr>
        <w:t>，</w:t>
      </w:r>
      <w:r>
        <w:rPr>
          <w:rFonts w:hint="default"/>
          <w:color w:val="auto"/>
          <w:lang w:val="en-US" w:eastAsia="zh-CN"/>
        </w:rPr>
        <w:t>本区岩溶发育也是受此影响，根据</w:t>
      </w:r>
      <w:r>
        <w:rPr>
          <w:rFonts w:hint="eastAsia" w:ascii="宋体" w:hAnsi="宋体" w:cs="宋体"/>
          <w:color w:val="auto"/>
          <w:lang w:val="en-US" w:eastAsia="zh-CN"/>
        </w:rPr>
        <w:t>CKV</w:t>
      </w:r>
      <w:r>
        <w:rPr>
          <w:rFonts w:hint="eastAsia" w:ascii="宋体" w:hAnsi="宋体" w:eastAsia="宋体" w:cs="宋体"/>
          <w:color w:val="auto"/>
          <w:lang w:val="en-US" w:eastAsia="zh-CN"/>
        </w:rPr>
        <w:t>Ⅲ</w:t>
      </w:r>
      <w:r>
        <w:rPr>
          <w:rFonts w:hint="eastAsia" w:ascii="宋体" w:hAnsi="宋体" w:cs="宋体"/>
          <w:color w:val="auto"/>
          <w:lang w:val="en-US" w:eastAsia="zh-CN"/>
        </w:rPr>
        <w:t>-</w:t>
      </w:r>
      <w:r>
        <w:rPr>
          <w:rFonts w:hint="default"/>
          <w:color w:val="auto"/>
          <w:lang w:val="en-US" w:eastAsia="zh-CN"/>
        </w:rPr>
        <w:t>4号孔资料及近期物探成果</w:t>
      </w:r>
      <w:r>
        <w:rPr>
          <w:rFonts w:hint="eastAsia"/>
          <w:color w:val="auto"/>
          <w:lang w:val="en-US" w:eastAsia="zh-CN"/>
        </w:rPr>
        <w:t>：</w:t>
      </w:r>
      <w:r>
        <w:rPr>
          <w:rFonts w:hint="default"/>
          <w:color w:val="auto"/>
          <w:lang w:val="en-US" w:eastAsia="zh-CN"/>
        </w:rPr>
        <w:t>上部灰岩溶洞未完全充填，但其下部接近断层破碎带之溶洞完全被泥质充填并与断层无明显分界线，由此可看出，二者关系是非常紧密的。在</w:t>
      </w:r>
      <w:r>
        <w:rPr>
          <w:rFonts w:hint="eastAsia" w:ascii="宋体" w:hAnsi="宋体" w:cs="宋体"/>
          <w:color w:val="auto"/>
          <w:lang w:val="en-US" w:eastAsia="zh-CN"/>
        </w:rPr>
        <w:t>CK</w:t>
      </w:r>
      <w:r>
        <w:rPr>
          <w:rFonts w:hint="eastAsia" w:ascii="宋体" w:hAnsi="宋体" w:eastAsia="宋体" w:cs="宋体"/>
          <w:color w:val="auto"/>
          <w:lang w:val="en-US" w:eastAsia="zh-CN"/>
        </w:rPr>
        <w:t>Ⅳ</w:t>
      </w:r>
      <w:r>
        <w:rPr>
          <w:rFonts w:hint="eastAsia" w:ascii="宋体" w:hAnsi="宋体" w:cs="宋体"/>
          <w:color w:val="auto"/>
          <w:lang w:val="en-US" w:eastAsia="zh-CN"/>
        </w:rPr>
        <w:t>-</w:t>
      </w:r>
      <w:r>
        <w:rPr>
          <w:rFonts w:hint="default"/>
          <w:color w:val="auto"/>
          <w:lang w:val="en-US" w:eastAsia="zh-CN"/>
        </w:rPr>
        <w:t>4号孔利用水文物探进行电测涌水量，获得断层上盘溶洞水量仅0.62L/S。</w:t>
      </w:r>
    </w:p>
    <w:p w14:paraId="70674137">
      <w:pPr>
        <w:rPr>
          <w:rFonts w:hint="default"/>
          <w:color w:val="auto"/>
          <w:lang w:val="en-US" w:eastAsia="zh-CN"/>
        </w:rPr>
      </w:pPr>
      <w:r>
        <w:rPr>
          <w:rFonts w:hint="eastAsia"/>
          <w:color w:val="auto"/>
          <w:lang w:val="en-US" w:eastAsia="zh-CN"/>
        </w:rPr>
        <w:t>5. 坑道水文地质特征</w:t>
      </w:r>
    </w:p>
    <w:p w14:paraId="486B4AE6">
      <w:pPr>
        <w:rPr>
          <w:rFonts w:hint="default"/>
          <w:color w:val="auto"/>
          <w:lang w:val="en-US" w:eastAsia="zh-CN"/>
        </w:rPr>
      </w:pPr>
      <w:r>
        <w:rPr>
          <w:rFonts w:hint="default"/>
          <w:color w:val="auto"/>
          <w:lang w:val="en-US" w:eastAsia="zh-CN"/>
        </w:rPr>
        <w:t>目前矿区已开拓+220m、+190m、+160m、+130m以及+100m多个水平中段</w:t>
      </w:r>
      <w:r>
        <w:rPr>
          <w:rFonts w:hint="eastAsia"/>
          <w:color w:val="auto"/>
          <w:lang w:val="en-US" w:eastAsia="zh-CN"/>
        </w:rPr>
        <w:t>，</w:t>
      </w:r>
      <w:r>
        <w:rPr>
          <w:rFonts w:hint="default"/>
          <w:color w:val="auto"/>
          <w:lang w:val="en-US" w:eastAsia="zh-CN"/>
        </w:rPr>
        <w:t>主、副斜井互相联通，+160m中段以上均已封闭，+160m中段停止开采，无作业面，+100m中段未开采，无作业面，故+130m中段为本次工作中段。</w:t>
      </w:r>
    </w:p>
    <w:p w14:paraId="7D0500E4">
      <w:pPr>
        <w:rPr>
          <w:rFonts w:hint="default"/>
          <w:color w:val="auto"/>
          <w:lang w:val="en-US" w:eastAsia="zh-CN"/>
        </w:rPr>
      </w:pPr>
      <w:r>
        <w:rPr>
          <w:rFonts w:hint="default"/>
          <w:color w:val="auto"/>
          <w:lang w:val="en-US" w:eastAsia="zh-CN"/>
        </w:rPr>
        <w:t>本次坑道水文地质、工程地质调查及编录工作坑道为</w:t>
      </w:r>
      <w:r>
        <w:rPr>
          <w:rFonts w:hint="eastAsia"/>
          <w:color w:val="auto"/>
          <w:lang w:val="en-US" w:eastAsia="zh-CN"/>
        </w:rPr>
        <w:t>：</w:t>
      </w:r>
      <w:r>
        <w:rPr>
          <w:rFonts w:hint="default"/>
          <w:color w:val="auto"/>
          <w:lang w:val="en-US" w:eastAsia="zh-CN"/>
        </w:rPr>
        <w:t>+130m中段，调查长度1130m，其中干燥区长约1046m，潮湿区长约52m，间歇滴水区长约32m，揭露地层主要为石炭系下统梓山组地层和燕山期花岗岩侵入体。坑道内岩石主要有砂岩、花岗岩，见有零星灰岩</w:t>
      </w:r>
      <w:r>
        <w:rPr>
          <w:rFonts w:hint="eastAsia"/>
          <w:color w:val="auto"/>
          <w:lang w:val="en-US" w:eastAsia="zh-CN"/>
        </w:rPr>
        <w:t>。</w:t>
      </w:r>
    </w:p>
    <w:p w14:paraId="1CBC0173">
      <w:pPr>
        <w:rPr>
          <w:rFonts w:hint="default"/>
          <w:color w:val="auto"/>
          <w:lang w:val="en-US" w:eastAsia="zh-CN"/>
        </w:rPr>
      </w:pPr>
      <w:r>
        <w:rPr>
          <w:rFonts w:hint="default"/>
          <w:color w:val="auto"/>
          <w:lang w:val="en-US" w:eastAsia="zh-CN"/>
        </w:rPr>
        <w:t>坑道地下水类型为基岩裂隙水，井上100m以上中段地下水均同过泄水井流向+100m中段水舱。+130m中段坑道调查长度再由4台DF155-30x7水泵排至地表污水处理厂。据矿区近5年排水记录资料，100m中段水舱最大排水量为3088m/d</w:t>
      </w:r>
      <w:r>
        <w:rPr>
          <w:rFonts w:hint="eastAsia"/>
          <w:color w:val="auto"/>
          <w:lang w:val="en-US" w:eastAsia="zh-CN"/>
        </w:rPr>
        <w:t>（</w:t>
      </w:r>
      <w:r>
        <w:rPr>
          <w:rFonts w:hint="default"/>
          <w:color w:val="auto"/>
          <w:lang w:val="en-US" w:eastAsia="zh-CN"/>
        </w:rPr>
        <w:t>雨季</w:t>
      </w:r>
      <w:r>
        <w:rPr>
          <w:rFonts w:hint="eastAsia"/>
          <w:color w:val="auto"/>
          <w:lang w:val="en-US" w:eastAsia="zh-CN"/>
        </w:rPr>
        <w:t>）</w:t>
      </w:r>
      <w:r>
        <w:rPr>
          <w:rFonts w:hint="default"/>
          <w:color w:val="auto"/>
          <w:lang w:val="en-US" w:eastAsia="zh-CN"/>
        </w:rPr>
        <w:t>，最小排水水量为1368m/d，日常出水量为1860～2170m/d。</w:t>
      </w:r>
    </w:p>
    <w:p w14:paraId="0A6EDC50">
      <w:pPr>
        <w:rPr>
          <w:rFonts w:hint="default"/>
          <w:color w:val="auto"/>
          <w:lang w:val="en-US" w:eastAsia="zh-CN"/>
        </w:rPr>
      </w:pPr>
      <w:r>
        <w:rPr>
          <w:rFonts w:hint="eastAsia"/>
          <w:color w:val="auto"/>
          <w:lang w:val="en-US" w:eastAsia="zh-CN"/>
        </w:rPr>
        <w:t xml:space="preserve">6. </w:t>
      </w:r>
      <w:r>
        <w:rPr>
          <w:rFonts w:hint="default"/>
          <w:color w:val="auto"/>
          <w:lang w:val="en-US" w:eastAsia="zh-CN"/>
        </w:rPr>
        <w:t>地下水动态特征及其补给、径流、排泄</w:t>
      </w:r>
    </w:p>
    <w:p w14:paraId="4324A63F">
      <w:pPr>
        <w:rPr>
          <w:rFonts w:hint="default"/>
          <w:color w:val="auto"/>
          <w:lang w:val="en-US" w:eastAsia="zh-CN"/>
        </w:rPr>
      </w:pPr>
      <w:r>
        <w:rPr>
          <w:rFonts w:hint="default"/>
          <w:color w:val="auto"/>
          <w:lang w:val="en-US" w:eastAsia="zh-CN"/>
        </w:rPr>
        <w:t>区内地下水动态特征季节性变化较大，根据矿区老资料，区内地下水最高水位滞后降雨一个月左右。</w:t>
      </w:r>
    </w:p>
    <w:p w14:paraId="4240CABD">
      <w:pPr>
        <w:rPr>
          <w:rFonts w:hint="default"/>
          <w:color w:val="auto"/>
          <w:lang w:val="en-US" w:eastAsia="zh-CN"/>
        </w:rPr>
      </w:pPr>
      <w:r>
        <w:rPr>
          <w:rFonts w:hint="default"/>
          <w:color w:val="auto"/>
          <w:lang w:val="en-US" w:eastAsia="zh-CN"/>
        </w:rPr>
        <w:t>矿区地下水由于受地质构造、地形地貌及水文地质条件等因素的控制，构成一北西南三面隔水，北东开放的相对独立的水文地质单元。区内地下水类型除散布于区内盆地、沟谷及山麓的第四系孔隙潜水外主要为矿层上部灰岩岩层的承压岩溶水含水层和矿层基岩裂隙水充水为主的裂隙承压水含水层。根据矿区地表水、地下水点动态观测资料，矿区内以大气降水垂向渗入补给为主，兼相邻含水层的侧向补给。</w:t>
      </w:r>
    </w:p>
    <w:p w14:paraId="0FA5430C">
      <w:pPr>
        <w:rPr>
          <w:rFonts w:hint="default"/>
          <w:color w:val="auto"/>
          <w:lang w:val="en-US" w:eastAsia="zh-CN"/>
        </w:rPr>
      </w:pPr>
      <w:r>
        <w:rPr>
          <w:rFonts w:hint="default"/>
          <w:color w:val="auto"/>
          <w:lang w:val="en-US" w:eastAsia="zh-CN"/>
        </w:rPr>
        <w:t>矿区的补给、径流、排泄特征为为典型的岩溶地区补径排特征。雨季时，雨水下渗第四系松散层形成松散岩类孔隙水,受地形地貌控制通过浅表径流于低凹河谷处，以下降泉的形式排泄补给溪沟;部分溪水经过裂隙或断裂发育带时水量又会减少甚至完全消失，流经基岩裂隙及灰岩溶洞向碳酸盐岩含水层、基岩裂隙水含水层</w:t>
      </w:r>
      <w:r>
        <w:rPr>
          <w:rFonts w:hint="eastAsia"/>
          <w:color w:val="auto"/>
          <w:lang w:val="en-US" w:eastAsia="zh-CN"/>
        </w:rPr>
        <w:t>（</w:t>
      </w:r>
      <w:r>
        <w:rPr>
          <w:rFonts w:hint="default"/>
          <w:color w:val="auto"/>
          <w:lang w:val="en-US" w:eastAsia="zh-CN"/>
        </w:rPr>
        <w:t>矿床充水含水层</w:t>
      </w:r>
      <w:r>
        <w:rPr>
          <w:rFonts w:hint="eastAsia"/>
          <w:color w:val="auto"/>
          <w:lang w:val="en-US" w:eastAsia="zh-CN"/>
        </w:rPr>
        <w:t>）</w:t>
      </w:r>
      <w:r>
        <w:rPr>
          <w:rFonts w:hint="default"/>
          <w:color w:val="auto"/>
          <w:lang w:val="en-US" w:eastAsia="zh-CN"/>
        </w:rPr>
        <w:t>汇入，灰岩岩溶水也可通过基岩裂隙、构造断裂带向下下渗，补给基岩裂隙含水层。在向斜翼部，盆地边缘，岩石风化裂隙，断裂裂隙发育，大气降水通过基岩裂隙直接入渗补给地下水，地下水沿盆地翼部、轴部径流补给岩溶水、基岩裂隙水，之后又在适宜的条件下形成泉的形式排泄，并通过蒸发消耗一部分地下水。在平坦之沟谷或冲沟处，灰岩溶洞水又补给松散岩类孔隙水。而在干旱季节时，部分溪水会渗入地下而干枯，地表水直接反补岩溶水。</w:t>
      </w:r>
    </w:p>
    <w:p w14:paraId="080C3980">
      <w:pPr>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地表水体与地下水体的关系</w:t>
      </w:r>
    </w:p>
    <w:p w14:paraId="211CD16C">
      <w:pPr>
        <w:rPr>
          <w:rFonts w:hint="default"/>
          <w:color w:val="auto"/>
          <w:lang w:val="en-US" w:eastAsia="zh-CN"/>
        </w:rPr>
      </w:pPr>
      <w:r>
        <w:rPr>
          <w:rFonts w:hint="default"/>
          <w:color w:val="auto"/>
          <w:lang w:val="en-US" w:eastAsia="zh-CN"/>
        </w:rPr>
        <w:t>区内地表水体较发育，与地下水及区内各含水层之间均有水力联系，并相互补给。区内大部分地区为第四纪地下水补给河流，而地下水的来源主要是降雨入渗，其次局部地区为溪流水下渗及相邻含水层侧向补给。地表水沿第四系、岩石孔隙裂隙及溶洞渗入补给地下水，地下水动态特征受到气候、岩性、构造等多种因素所控制。裂隙发育地段</w:t>
      </w:r>
      <w:r>
        <w:rPr>
          <w:rFonts w:hint="eastAsia"/>
          <w:color w:val="auto"/>
          <w:lang w:val="en-US" w:eastAsia="zh-CN"/>
        </w:rPr>
        <w:t>，</w:t>
      </w:r>
      <w:r>
        <w:rPr>
          <w:rFonts w:hint="default"/>
          <w:color w:val="auto"/>
          <w:lang w:val="en-US" w:eastAsia="zh-CN"/>
        </w:rPr>
        <w:t>其降雨渗透就快</w:t>
      </w:r>
      <w:r>
        <w:rPr>
          <w:rFonts w:hint="eastAsia"/>
          <w:color w:val="auto"/>
          <w:lang w:val="en-US" w:eastAsia="zh-CN"/>
        </w:rPr>
        <w:t>，</w:t>
      </w:r>
      <w:r>
        <w:rPr>
          <w:rFonts w:hint="default"/>
          <w:color w:val="auto"/>
          <w:lang w:val="en-US" w:eastAsia="zh-CN"/>
        </w:rPr>
        <w:t>在雨季时</w:t>
      </w:r>
      <w:r>
        <w:rPr>
          <w:rFonts w:hint="eastAsia"/>
          <w:color w:val="auto"/>
          <w:lang w:val="en-US" w:eastAsia="zh-CN"/>
        </w:rPr>
        <w:t>，</w:t>
      </w:r>
      <w:r>
        <w:rPr>
          <w:rFonts w:hint="default"/>
          <w:color w:val="auto"/>
          <w:lang w:val="en-US" w:eastAsia="zh-CN"/>
        </w:rPr>
        <w:t>地下水位增幅也较快。</w:t>
      </w:r>
    </w:p>
    <w:p w14:paraId="6CC46911">
      <w:pPr>
        <w:rPr>
          <w:rFonts w:hint="default"/>
          <w:color w:val="auto"/>
          <w:lang w:val="en-US" w:eastAsia="zh-CN"/>
        </w:rPr>
      </w:pPr>
      <w:r>
        <w:rPr>
          <w:rFonts w:hint="default"/>
          <w:color w:val="auto"/>
          <w:lang w:val="en-US" w:eastAsia="zh-CN"/>
        </w:rPr>
        <w:t>各含水层的赋存介质有所差别，其与地表水的关系也存在差异。第四系直接接受降雨补给，雨水渗透很快，接受补给和排泄也快</w:t>
      </w:r>
      <w:r>
        <w:rPr>
          <w:rFonts w:hint="eastAsia"/>
          <w:color w:val="auto"/>
          <w:lang w:val="en-US" w:eastAsia="zh-CN"/>
        </w:rPr>
        <w:t>；</w:t>
      </w:r>
      <w:r>
        <w:rPr>
          <w:rFonts w:hint="default"/>
          <w:color w:val="auto"/>
          <w:lang w:val="en-US" w:eastAsia="zh-CN"/>
        </w:rPr>
        <w:t>灰岩上的第一个含水层就是第四系地层，本区灰岩溶洞发育，不但易渗透而且导水、贮水能力也很强，此层主要靠第四纪含水层补给，当钻探在第四纪地层中钻进时，地下水面很高，但钻孔穿过第四纪之后，遇有溶洞时，水位均显著下降，该层地下水在岩溶管道径流、排泄速度最快</w:t>
      </w:r>
      <w:r>
        <w:rPr>
          <w:rFonts w:hint="eastAsia"/>
          <w:color w:val="auto"/>
          <w:lang w:val="en-US" w:eastAsia="zh-CN"/>
        </w:rPr>
        <w:t>，</w:t>
      </w:r>
      <w:r>
        <w:rPr>
          <w:rFonts w:hint="default"/>
          <w:color w:val="auto"/>
          <w:lang w:val="en-US" w:eastAsia="zh-CN"/>
        </w:rPr>
        <w:t>在垂向上可能受粘土或紧密闭合裂隙的影响而透水性能降低</w:t>
      </w:r>
      <w:r>
        <w:rPr>
          <w:rFonts w:hint="eastAsia"/>
          <w:color w:val="auto"/>
          <w:lang w:val="en-US" w:eastAsia="zh-CN"/>
        </w:rPr>
        <w:t>；</w:t>
      </w:r>
      <w:r>
        <w:rPr>
          <w:rFonts w:hint="default"/>
          <w:color w:val="auto"/>
          <w:lang w:val="en-US" w:eastAsia="zh-CN"/>
        </w:rPr>
        <w:t>而基岩裂隙水则主要是通过裂隙接受相邻地层地下水补给，补给、径流、排泄相对滞后。</w:t>
      </w:r>
    </w:p>
    <w:p w14:paraId="57E30B71">
      <w:pPr>
        <w:rPr>
          <w:rFonts w:hint="default"/>
          <w:color w:val="auto"/>
          <w:lang w:val="en-US" w:eastAsia="zh-CN"/>
        </w:rPr>
      </w:pPr>
      <w:r>
        <w:rPr>
          <w:rFonts w:hint="default"/>
          <w:color w:val="auto"/>
          <w:lang w:val="en-US" w:eastAsia="zh-CN"/>
        </w:rPr>
        <w:t>矿区构造裂隙带附近溶洞相对较发育，断裂与溶洞有一定通联性。断裂的存在起到了沟通含水层的作用，对矿床开采有一定的影响。灰岩与梓山组地层整合接触，灰岩溶洞下部一般有30～80m的厚度灰岩，此段岩层溶洞裂隙较不发育基本能起到隔水作用。但矿区局部地段溶洞距矿体很近并没有隔水层，这些地段灰岩溶洞水将成为矿床的主要充水因素，对矿床开采将有较大的影响，如33号勘探线附近。</w:t>
      </w:r>
    </w:p>
    <w:p w14:paraId="33EA09BD">
      <w:pPr>
        <w:rPr>
          <w:rFonts w:hint="default"/>
          <w:color w:val="auto"/>
          <w:lang w:val="en-US" w:eastAsia="zh-CN"/>
        </w:rPr>
      </w:pPr>
      <w:r>
        <w:rPr>
          <w:rFonts w:hint="default"/>
          <w:color w:val="auto"/>
          <w:lang w:val="en-US" w:eastAsia="zh-CN"/>
        </w:rPr>
        <w:t>8</w:t>
      </w:r>
      <w:r>
        <w:rPr>
          <w:rFonts w:hint="eastAsia"/>
          <w:color w:val="auto"/>
          <w:lang w:val="en-US" w:eastAsia="zh-CN"/>
        </w:rPr>
        <w:t xml:space="preserve">. </w:t>
      </w:r>
      <w:r>
        <w:rPr>
          <w:rFonts w:hint="default"/>
          <w:color w:val="auto"/>
          <w:lang w:val="en-US" w:eastAsia="zh-CN"/>
        </w:rPr>
        <w:t>矿床充水因素分析</w:t>
      </w:r>
    </w:p>
    <w:p w14:paraId="5F151EA5">
      <w:pPr>
        <w:rPr>
          <w:rFonts w:hint="default"/>
          <w:color w:val="auto"/>
          <w:lang w:val="en-US" w:eastAsia="zh-CN"/>
        </w:rPr>
      </w:pPr>
      <w:r>
        <w:rPr>
          <w:rFonts w:hint="default"/>
          <w:color w:val="auto"/>
          <w:lang w:val="en-US" w:eastAsia="zh-CN"/>
        </w:rPr>
        <w:t>矿床绝大部分位于当地侵蚀基准面以下，地形不利于自然排水。矿层主要为石炭系下统梓山组砂岩，该地层主要位于石炭系上统黄龙组灰岩之下，再加上该矿区断裂构造比较发育，地下水可通过破碎带、导水裂缝带进入矿井。按矿体与主要充水含水层接触关系、相对位置和充水方式，本区矿床可分为以构造断裂和岩溶水为主的顶板间接充水矿床。</w:t>
      </w:r>
    </w:p>
    <w:p w14:paraId="0531CD6A">
      <w:pPr>
        <w:rPr>
          <w:rFonts w:hint="default"/>
          <w:color w:val="auto"/>
          <w:lang w:val="en-US" w:eastAsia="zh-CN"/>
        </w:rPr>
      </w:pPr>
      <w:r>
        <w:rPr>
          <w:rFonts w:hint="default"/>
          <w:color w:val="auto"/>
          <w:lang w:val="en-US" w:eastAsia="zh-CN"/>
        </w:rPr>
        <w:t>由于断裂构造、岩溶在矿区全区均有一定程度的发育，矿区工程控制范围内的断裂多为有一定导水能力的断裂构造，沟通了矿区各个含水层。而矿层地层梓山组砂岩富水性水性弱，随深度增加裂隙越不发育，在一定深度下可视为相对隔水层，现有坑道主要涌水大部分来自于构造断裂。</w:t>
      </w:r>
    </w:p>
    <w:p w14:paraId="71D7AD36">
      <w:pPr>
        <w:rPr>
          <w:rFonts w:hint="default"/>
          <w:color w:val="auto"/>
          <w:lang w:val="en-US" w:eastAsia="zh-CN"/>
        </w:rPr>
      </w:pPr>
      <w:r>
        <w:rPr>
          <w:rFonts w:hint="default"/>
          <w:color w:val="auto"/>
          <w:lang w:val="en-US" w:eastAsia="zh-CN"/>
        </w:rPr>
        <w:t>9</w:t>
      </w:r>
      <w:r>
        <w:rPr>
          <w:rFonts w:hint="eastAsia"/>
          <w:color w:val="auto"/>
          <w:lang w:val="en-US" w:eastAsia="zh-CN"/>
        </w:rPr>
        <w:t xml:space="preserve">. </w:t>
      </w:r>
      <w:r>
        <w:rPr>
          <w:rFonts w:hint="default"/>
          <w:color w:val="auto"/>
          <w:lang w:val="en-US" w:eastAsia="zh-CN"/>
        </w:rPr>
        <w:t>主要水文地质问题</w:t>
      </w:r>
    </w:p>
    <w:p w14:paraId="31318176">
      <w:pPr>
        <w:rPr>
          <w:rFonts w:hint="default"/>
          <w:color w:val="auto"/>
          <w:lang w:val="en-US" w:eastAsia="zh-CN"/>
        </w:rPr>
      </w:pPr>
      <w:r>
        <w:rPr>
          <w:rFonts w:hint="default"/>
          <w:color w:val="auto"/>
          <w:lang w:val="en-US" w:eastAsia="zh-CN"/>
        </w:rPr>
        <w:t>目前矿床充水以溶洞裂隙水充水为主，矿层含水层富水性弱且由浅到深岩层由含水趋于相对隔水，构造破碎带多以压扭性质为主，有一定导水能力，补给以大气降水为主，矿层整体水文地质条件较简单，但由于存在四通八达的采矿坑道、可能封孔不良的钻孔以及局部发育的导水断裂带</w:t>
      </w:r>
      <w:r>
        <w:rPr>
          <w:rFonts w:hint="eastAsia"/>
          <w:color w:val="auto"/>
          <w:lang w:val="en-US" w:eastAsia="zh-CN"/>
        </w:rPr>
        <w:t>，</w:t>
      </w:r>
      <w:r>
        <w:rPr>
          <w:rFonts w:hint="default"/>
          <w:color w:val="auto"/>
          <w:lang w:val="en-US" w:eastAsia="zh-CN"/>
        </w:rPr>
        <w:t>存在矿坑涌水量突然增大的可能</w:t>
      </w:r>
      <w:r>
        <w:rPr>
          <w:rFonts w:hint="eastAsia"/>
          <w:color w:val="auto"/>
          <w:lang w:val="en-US" w:eastAsia="zh-CN"/>
        </w:rPr>
        <w:t>，</w:t>
      </w:r>
      <w:r>
        <w:rPr>
          <w:rFonts w:hint="default"/>
          <w:color w:val="auto"/>
          <w:lang w:val="en-US" w:eastAsia="zh-CN"/>
        </w:rPr>
        <w:t>应引起重视。同时，在25～33号勘探线区域，矿层与上覆黄龙组灰岩距离较近，存在顶板穿造成突涌水的风险。</w:t>
      </w:r>
    </w:p>
    <w:p w14:paraId="4D80C5B3">
      <w:pPr>
        <w:rPr>
          <w:rFonts w:hint="default"/>
          <w:color w:val="auto"/>
          <w:lang w:val="en-US" w:eastAsia="zh-CN"/>
        </w:rPr>
      </w:pPr>
      <w:r>
        <w:rPr>
          <w:rFonts w:hint="default"/>
          <w:color w:val="auto"/>
          <w:lang w:val="en-US" w:eastAsia="zh-CN"/>
        </w:rPr>
        <w:t>10</w:t>
      </w:r>
      <w:r>
        <w:rPr>
          <w:rFonts w:hint="eastAsia"/>
          <w:color w:val="auto"/>
          <w:lang w:val="en-US" w:eastAsia="zh-CN"/>
        </w:rPr>
        <w:t xml:space="preserve">. </w:t>
      </w:r>
      <w:r>
        <w:rPr>
          <w:rFonts w:hint="default"/>
          <w:color w:val="auto"/>
          <w:lang w:val="en-US" w:eastAsia="zh-CN"/>
        </w:rPr>
        <w:t>水文地质勘查类型</w:t>
      </w:r>
    </w:p>
    <w:p w14:paraId="360A4D1A">
      <w:pPr>
        <w:rPr>
          <w:rFonts w:hint="default"/>
          <w:color w:val="auto"/>
          <w:lang w:val="en-US" w:eastAsia="zh-CN"/>
        </w:rPr>
      </w:pPr>
      <w:r>
        <w:rPr>
          <w:rFonts w:hint="default"/>
          <w:color w:val="auto"/>
          <w:lang w:val="en-US" w:eastAsia="zh-CN"/>
        </w:rPr>
        <w:t>本区附近地表水体与矿床含水层相隔2个含水层，虽有一定的水力联系，但不构成矿床的主要充水因素矿层充水含水层的补给条件受断裂构造和节理裂隙控制</w:t>
      </w:r>
      <w:r>
        <w:rPr>
          <w:rFonts w:hint="eastAsia"/>
          <w:color w:val="auto"/>
          <w:lang w:val="en-US" w:eastAsia="zh-CN"/>
        </w:rPr>
        <w:t>，</w:t>
      </w:r>
      <w:r>
        <w:rPr>
          <w:rFonts w:hint="default"/>
          <w:color w:val="auto"/>
          <w:lang w:val="en-US" w:eastAsia="zh-CN"/>
        </w:rPr>
        <w:t>补给能力仅在局部地段较大，补给条件一般。见有第四系覆盖，其水文地质边界条件较简单，矿床充水含水层富水性弱，顶板间接充水含水层富水性中等。矿区存在一定导水能力的断裂带，存在少量老空水，积水较浅，积水量较小。</w:t>
      </w:r>
    </w:p>
    <w:p w14:paraId="4391D376">
      <w:pPr>
        <w:rPr>
          <w:rFonts w:hint="default"/>
          <w:color w:val="auto"/>
          <w:lang w:val="en-US" w:eastAsia="zh-CN"/>
        </w:rPr>
      </w:pPr>
      <w:r>
        <w:rPr>
          <w:rFonts w:hint="default"/>
          <w:color w:val="auto"/>
          <w:lang w:val="en-US" w:eastAsia="zh-CN"/>
        </w:rPr>
        <w:t>综合判定，矿床水文地质勘查类型是以裂隙含水层直接充水、碳酸盐岩溶洞裂隙水含水层顶板间接充水的矿床，水文地质条件复杂程度为中等。</w:t>
      </w:r>
    </w:p>
    <w:p w14:paraId="27C057F0">
      <w:pPr>
        <w:pStyle w:val="4"/>
        <w:bidi w:val="0"/>
        <w:rPr>
          <w:rFonts w:hint="default"/>
          <w:color w:val="auto"/>
          <w:lang w:val="en-US" w:eastAsia="zh-CN"/>
        </w:rPr>
      </w:pPr>
      <w:bookmarkStart w:id="147" w:name="_Toc27017"/>
      <w:bookmarkStart w:id="148" w:name="_Toc26757"/>
      <w:bookmarkStart w:id="149" w:name="_Toc20619"/>
      <w:bookmarkStart w:id="150" w:name="_Toc12847"/>
      <w:r>
        <w:rPr>
          <w:rFonts w:hint="default"/>
          <w:color w:val="auto"/>
          <w:lang w:val="en-US" w:eastAsia="zh-CN"/>
        </w:rPr>
        <w:t>2.3.3</w:t>
      </w:r>
      <w:r>
        <w:rPr>
          <w:rFonts w:hint="eastAsia"/>
          <w:color w:val="auto"/>
          <w:lang w:val="en-US" w:eastAsia="zh-CN"/>
        </w:rPr>
        <w:t xml:space="preserve"> </w:t>
      </w:r>
      <w:bookmarkEnd w:id="147"/>
      <w:bookmarkEnd w:id="148"/>
      <w:bookmarkEnd w:id="149"/>
      <w:r>
        <w:rPr>
          <w:rFonts w:hint="eastAsia"/>
          <w:color w:val="auto"/>
          <w:lang w:val="en-US" w:eastAsia="zh-CN"/>
        </w:rPr>
        <w:t>矿区工程地质</w:t>
      </w:r>
      <w:bookmarkEnd w:id="150"/>
    </w:p>
    <w:p w14:paraId="579946A7">
      <w:pPr>
        <w:rPr>
          <w:rFonts w:hint="default"/>
          <w:color w:val="auto"/>
          <w:lang w:val="en-US" w:eastAsia="zh-CN"/>
        </w:rPr>
      </w:pPr>
      <w:r>
        <w:rPr>
          <w:rFonts w:hint="eastAsia"/>
          <w:color w:val="auto"/>
          <w:lang w:val="en-US" w:eastAsia="zh-CN"/>
        </w:rPr>
        <w:t>1. 工程地质特征</w:t>
      </w:r>
    </w:p>
    <w:p w14:paraId="31C14E76">
      <w:pPr>
        <w:rPr>
          <w:rFonts w:hint="eastAsia"/>
          <w:color w:val="auto"/>
          <w:lang w:val="en-US" w:eastAsia="zh-CN"/>
        </w:rPr>
      </w:pPr>
      <w:r>
        <w:rPr>
          <w:rFonts w:hint="eastAsia"/>
          <w:color w:val="auto"/>
          <w:lang w:val="en-US" w:eastAsia="zh-CN"/>
        </w:rPr>
        <w:t>（1）工程地质岩组</w:t>
      </w:r>
    </w:p>
    <w:p w14:paraId="76BC3CAD">
      <w:pPr>
        <w:ind w:firstLine="560"/>
        <w:rPr>
          <w:rFonts w:hint="eastAsia"/>
          <w:color w:val="auto"/>
          <w:lang w:val="en-US" w:eastAsia="zh-CN"/>
        </w:rPr>
      </w:pPr>
      <w:r>
        <w:rPr>
          <w:rFonts w:hint="eastAsia"/>
          <w:color w:val="auto"/>
          <w:lang w:val="en-US" w:eastAsia="zh-CN"/>
        </w:rPr>
        <w:t>矿区地层由新到老主要有第四系、石炭系上统黄龙组、石炭系下统山组。此外还见有燕山期花岗岩侵入体。</w:t>
      </w:r>
    </w:p>
    <w:p w14:paraId="276983ED">
      <w:pPr>
        <w:rPr>
          <w:rFonts w:hint="eastAsia"/>
          <w:color w:val="auto"/>
          <w:lang w:val="en-US" w:eastAsia="zh-CN"/>
        </w:rPr>
      </w:pPr>
      <w:r>
        <w:rPr>
          <w:rFonts w:hint="eastAsia"/>
          <w:color w:val="auto"/>
          <w:lang w:val="en-US" w:eastAsia="zh-CN"/>
        </w:rPr>
        <w:t>1）岩组划分依据</w:t>
      </w:r>
    </w:p>
    <w:p w14:paraId="6B29C399">
      <w:pPr>
        <w:rPr>
          <w:rFonts w:hint="eastAsia"/>
          <w:color w:val="auto"/>
          <w:lang w:val="en-US" w:eastAsia="zh-CN"/>
        </w:rPr>
      </w:pPr>
      <w:r>
        <w:rPr>
          <w:rFonts w:hint="eastAsia"/>
          <w:color w:val="auto"/>
          <w:lang w:val="en-US" w:eastAsia="zh-CN"/>
        </w:rPr>
        <w:t>以矿区岩块（岩石）单轴饱和抗压强度作为工程地质岩组划分的指标依据，其标准是：岩块饱和抗压强度RC＞60MPa为坚硬岩；60＞RC＞30MPa为较硬岩；30＞RC＞15MPa为较软岩；15＞RC＞5MPa为软弱岩，RC＜5MPa为极软岩。</w:t>
      </w:r>
    </w:p>
    <w:p w14:paraId="05E402D6">
      <w:pPr>
        <w:rPr>
          <w:rFonts w:hint="eastAsia"/>
          <w:color w:val="auto"/>
          <w:lang w:val="en-US" w:eastAsia="zh-CN"/>
        </w:rPr>
      </w:pPr>
      <w:r>
        <w:rPr>
          <w:rFonts w:hint="eastAsia"/>
          <w:color w:val="auto"/>
          <w:lang w:val="en-US" w:eastAsia="zh-CN"/>
        </w:rPr>
        <w:t>2）岩组特征描述</w:t>
      </w:r>
    </w:p>
    <w:p w14:paraId="7AF7FB3A">
      <w:pPr>
        <w:rPr>
          <w:rFonts w:hint="eastAsia" w:ascii="方正大标宋_GBK" w:hAnsi="方正大标宋_GBK" w:eastAsia="方正大标宋_GBK" w:cs="方正大标宋_GBK"/>
          <w:color w:val="auto"/>
          <w:lang w:val="en-US" w:eastAsia="zh-CN"/>
        </w:rPr>
      </w:pPr>
      <w:r>
        <w:rPr>
          <w:rFonts w:hint="eastAsia"/>
          <w:color w:val="auto"/>
          <w:lang w:val="en-US" w:eastAsia="zh-CN"/>
        </w:rPr>
        <w:t>根据岩性、风化程度、溶蚀和裂隙发育程度及主要岩石物理力学性质等因素为判定依据，根据现场勘查和区内岩石力学样检测结果，将岩石划分为两个工程地质岩组。</w:t>
      </w:r>
    </w:p>
    <w:p w14:paraId="42CB1DE4">
      <w:pPr>
        <w:rPr>
          <w:rFonts w:hint="default"/>
          <w:color w:val="auto"/>
          <w:lang w:val="en-US" w:eastAsia="zh-CN"/>
        </w:rPr>
      </w:pPr>
      <w:r>
        <w:rPr>
          <w:rFonts w:hint="default"/>
          <w:color w:val="auto"/>
          <w:lang w:val="en-US" w:eastAsia="zh-CN"/>
        </w:rPr>
        <w:t>①松散岩组</w:t>
      </w:r>
    </w:p>
    <w:p w14:paraId="7F1B5647">
      <w:pPr>
        <w:rPr>
          <w:rFonts w:hint="default"/>
          <w:color w:val="auto"/>
          <w:lang w:val="en-US" w:eastAsia="zh-CN"/>
        </w:rPr>
      </w:pPr>
      <w:r>
        <w:rPr>
          <w:rFonts w:hint="default"/>
          <w:color w:val="auto"/>
          <w:lang w:val="en-US" w:eastAsia="zh-CN"/>
        </w:rPr>
        <w:t>主要在斜坡平缓地段、沟谷、冲沟底部碎石、砂土以及盆地大面积分布，所属地层主要为第四系以及梓山组、黄龙组浅表风化裂隙带。厚度不均，赋存孔隙潜水。该岩组整体结构松散，孔隙发育，连通性强，稳定性差，但矿山开采为地下坑采，对地表几乎无扰动，对矿山生产活动几乎无影响。</w:t>
      </w:r>
    </w:p>
    <w:p w14:paraId="15C9DF85">
      <w:pPr>
        <w:rPr>
          <w:rFonts w:hint="default"/>
          <w:color w:val="auto"/>
          <w:lang w:val="en-US" w:eastAsia="zh-CN"/>
        </w:rPr>
      </w:pPr>
      <w:r>
        <w:rPr>
          <w:rFonts w:hint="default" w:ascii="Times New Roman" w:hAnsi="Times New Roman" w:cs="Times New Roman"/>
          <w:color w:val="auto"/>
          <w:lang w:val="en-US" w:eastAsia="zh-CN"/>
        </w:rPr>
        <w:t>②</w:t>
      </w:r>
      <w:r>
        <w:rPr>
          <w:rFonts w:hint="default"/>
          <w:color w:val="auto"/>
          <w:lang w:val="en-US" w:eastAsia="zh-CN"/>
        </w:rPr>
        <w:t>较硬岩组</w:t>
      </w:r>
    </w:p>
    <w:p w14:paraId="14E3F669">
      <w:pPr>
        <w:rPr>
          <w:rFonts w:hint="default"/>
          <w:color w:val="auto"/>
          <w:lang w:val="en-US" w:eastAsia="zh-CN"/>
        </w:rPr>
      </w:pPr>
      <w:r>
        <w:rPr>
          <w:rFonts w:hint="default"/>
          <w:color w:val="auto"/>
          <w:lang w:val="en-US" w:eastAsia="zh-CN"/>
        </w:rPr>
        <w:t>岩性主要有砂岩、灰岩以及花岗岩。岩石力学样检测结果见下表。</w:t>
      </w:r>
    </w:p>
    <w:p w14:paraId="0E75F7C9">
      <w:pPr>
        <w:ind w:firstLine="0" w:firstLineChars="0"/>
        <w:jc w:val="center"/>
        <w:rPr>
          <w:rFonts w:hint="eastAsia"/>
          <w:color w:val="auto"/>
          <w:lang w:val="en-US" w:eastAsia="zh-CN"/>
        </w:rPr>
      </w:pPr>
      <w:r>
        <w:rPr>
          <w:rFonts w:hint="eastAsia"/>
          <w:color w:val="auto"/>
          <w:lang w:val="en-US" w:eastAsia="zh-CN"/>
        </w:rPr>
        <w:t>表2.3-1 矿区岩石力学样检测结果一览表</w:t>
      </w:r>
    </w:p>
    <w:tbl>
      <w:tblPr>
        <w:tblStyle w:val="18"/>
        <w:tblW w:w="37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979"/>
        <w:gridCol w:w="1218"/>
        <w:gridCol w:w="1113"/>
        <w:gridCol w:w="1626"/>
      </w:tblGrid>
      <w:tr w14:paraId="43039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82" w:type="pct"/>
            <w:vMerge w:val="restart"/>
            <w:vAlign w:val="center"/>
          </w:tcPr>
          <w:p w14:paraId="2621E4F2">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岩性</w:t>
            </w:r>
          </w:p>
        </w:tc>
        <w:tc>
          <w:tcPr>
            <w:tcW w:w="1406" w:type="pct"/>
            <w:vAlign w:val="center"/>
          </w:tcPr>
          <w:p w14:paraId="3A459C46">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平均饱和抗压强度</w:t>
            </w:r>
          </w:p>
        </w:tc>
        <w:tc>
          <w:tcPr>
            <w:tcW w:w="1656" w:type="pct"/>
            <w:gridSpan w:val="2"/>
            <w:vAlign w:val="center"/>
          </w:tcPr>
          <w:p w14:paraId="2C598131">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平均抗剪强度（MPa）</w:t>
            </w:r>
          </w:p>
        </w:tc>
        <w:tc>
          <w:tcPr>
            <w:tcW w:w="1155" w:type="pct"/>
            <w:vAlign w:val="center"/>
          </w:tcPr>
          <w:p w14:paraId="76C085ED">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饱和抗拉强度</w:t>
            </w:r>
          </w:p>
        </w:tc>
      </w:tr>
      <w:tr w14:paraId="5ED2A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2" w:type="pct"/>
            <w:vMerge w:val="continue"/>
            <w:vAlign w:val="center"/>
          </w:tcPr>
          <w:p w14:paraId="2CF48E3A">
            <w:pPr>
              <w:spacing w:line="240" w:lineRule="auto"/>
              <w:ind w:firstLine="0" w:firstLineChars="0"/>
              <w:jc w:val="center"/>
              <w:rPr>
                <w:rFonts w:hint="default"/>
                <w:color w:val="auto"/>
                <w:sz w:val="21"/>
                <w:szCs w:val="21"/>
                <w:vertAlign w:val="baseline"/>
                <w:lang w:val="en-US" w:eastAsia="zh-CN"/>
              </w:rPr>
            </w:pPr>
          </w:p>
        </w:tc>
        <w:tc>
          <w:tcPr>
            <w:tcW w:w="1406" w:type="pct"/>
            <w:vAlign w:val="center"/>
          </w:tcPr>
          <w:p w14:paraId="17BEF4C1">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（MPa）</w:t>
            </w:r>
          </w:p>
        </w:tc>
        <w:tc>
          <w:tcPr>
            <w:tcW w:w="865" w:type="pct"/>
            <w:vAlign w:val="center"/>
          </w:tcPr>
          <w:p w14:paraId="1B6153E4">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凝聚力</w:t>
            </w:r>
          </w:p>
        </w:tc>
        <w:tc>
          <w:tcPr>
            <w:tcW w:w="790" w:type="pct"/>
            <w:vAlign w:val="center"/>
          </w:tcPr>
          <w:p w14:paraId="69AC8BD9">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内摩擦角</w:t>
            </w:r>
          </w:p>
        </w:tc>
        <w:tc>
          <w:tcPr>
            <w:tcW w:w="1155" w:type="pct"/>
            <w:vAlign w:val="center"/>
          </w:tcPr>
          <w:p w14:paraId="2117D34D">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（MPa）</w:t>
            </w:r>
          </w:p>
        </w:tc>
      </w:tr>
      <w:tr w14:paraId="517EC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82" w:type="pct"/>
            <w:vAlign w:val="center"/>
          </w:tcPr>
          <w:p w14:paraId="74649744">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灰岩</w:t>
            </w:r>
          </w:p>
        </w:tc>
        <w:tc>
          <w:tcPr>
            <w:tcW w:w="1406" w:type="pct"/>
            <w:vAlign w:val="center"/>
          </w:tcPr>
          <w:p w14:paraId="65C90A61">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38.25</w:t>
            </w:r>
          </w:p>
        </w:tc>
        <w:tc>
          <w:tcPr>
            <w:tcW w:w="865" w:type="pct"/>
            <w:vAlign w:val="center"/>
          </w:tcPr>
          <w:p w14:paraId="2F4359EC">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6.95</w:t>
            </w:r>
          </w:p>
        </w:tc>
        <w:tc>
          <w:tcPr>
            <w:tcW w:w="790" w:type="pct"/>
            <w:vAlign w:val="center"/>
          </w:tcPr>
          <w:p w14:paraId="19B3CB43">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42.62</w:t>
            </w:r>
          </w:p>
        </w:tc>
        <w:tc>
          <w:tcPr>
            <w:tcW w:w="1155" w:type="pct"/>
            <w:vAlign w:val="center"/>
          </w:tcPr>
          <w:p w14:paraId="671790F6">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4.00</w:t>
            </w:r>
          </w:p>
        </w:tc>
      </w:tr>
      <w:tr w14:paraId="12AE3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82" w:type="pct"/>
            <w:vAlign w:val="center"/>
          </w:tcPr>
          <w:p w14:paraId="40CAA395">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砂岩</w:t>
            </w:r>
          </w:p>
        </w:tc>
        <w:tc>
          <w:tcPr>
            <w:tcW w:w="1406" w:type="pct"/>
            <w:vAlign w:val="center"/>
          </w:tcPr>
          <w:p w14:paraId="72B5188F">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41.05</w:t>
            </w:r>
          </w:p>
        </w:tc>
        <w:tc>
          <w:tcPr>
            <w:tcW w:w="865" w:type="pct"/>
            <w:vAlign w:val="center"/>
          </w:tcPr>
          <w:p w14:paraId="48C92F7E">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7.62</w:t>
            </w:r>
          </w:p>
        </w:tc>
        <w:tc>
          <w:tcPr>
            <w:tcW w:w="790" w:type="pct"/>
            <w:vAlign w:val="center"/>
          </w:tcPr>
          <w:p w14:paraId="504CB01C">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42.52</w:t>
            </w:r>
          </w:p>
        </w:tc>
        <w:tc>
          <w:tcPr>
            <w:tcW w:w="1155" w:type="pct"/>
            <w:vAlign w:val="center"/>
          </w:tcPr>
          <w:p w14:paraId="0F4B2D93">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4.05</w:t>
            </w:r>
          </w:p>
        </w:tc>
      </w:tr>
      <w:tr w14:paraId="6E390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82" w:type="pct"/>
            <w:vAlign w:val="center"/>
          </w:tcPr>
          <w:p w14:paraId="5CA52BA9">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花岗岩</w:t>
            </w:r>
          </w:p>
        </w:tc>
        <w:tc>
          <w:tcPr>
            <w:tcW w:w="1406" w:type="pct"/>
            <w:vAlign w:val="center"/>
          </w:tcPr>
          <w:p w14:paraId="304B47F9">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47.50</w:t>
            </w:r>
          </w:p>
        </w:tc>
        <w:tc>
          <w:tcPr>
            <w:tcW w:w="865" w:type="pct"/>
            <w:vAlign w:val="center"/>
          </w:tcPr>
          <w:p w14:paraId="2309D6BB">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5.18</w:t>
            </w:r>
          </w:p>
        </w:tc>
        <w:tc>
          <w:tcPr>
            <w:tcW w:w="790" w:type="pct"/>
            <w:vAlign w:val="center"/>
          </w:tcPr>
          <w:p w14:paraId="501A0F33">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43.97</w:t>
            </w:r>
          </w:p>
        </w:tc>
        <w:tc>
          <w:tcPr>
            <w:tcW w:w="1155" w:type="pct"/>
            <w:vAlign w:val="center"/>
          </w:tcPr>
          <w:p w14:paraId="081D0A8A">
            <w:pPr>
              <w:spacing w:line="240" w:lineRule="auto"/>
              <w:ind w:firstLine="0" w:firstLineChars="0"/>
              <w:jc w:val="center"/>
              <w:rPr>
                <w:rFonts w:hint="default"/>
                <w:color w:val="auto"/>
                <w:sz w:val="21"/>
                <w:szCs w:val="21"/>
                <w:vertAlign w:val="baseline"/>
                <w:lang w:val="en-US" w:eastAsia="zh-CN"/>
              </w:rPr>
            </w:pPr>
            <w:r>
              <w:rPr>
                <w:rFonts w:hint="eastAsia"/>
                <w:color w:val="auto"/>
                <w:sz w:val="21"/>
                <w:szCs w:val="21"/>
                <w:vertAlign w:val="baseline"/>
                <w:lang w:val="en-US" w:eastAsia="zh-CN"/>
              </w:rPr>
              <w:t>4.91</w:t>
            </w:r>
          </w:p>
        </w:tc>
      </w:tr>
    </w:tbl>
    <w:p w14:paraId="4CF31ED6">
      <w:pPr>
        <w:rPr>
          <w:rFonts w:hint="default"/>
          <w:color w:val="auto"/>
          <w:lang w:val="en-US" w:eastAsia="zh-CN"/>
        </w:rPr>
      </w:pPr>
      <w:r>
        <w:rPr>
          <w:rFonts w:hint="default"/>
          <w:color w:val="auto"/>
          <w:lang w:val="en-US" w:eastAsia="zh-CN"/>
        </w:rPr>
        <w:t>灰岩分布于矿区黄龙组地层</w:t>
      </w:r>
      <w:r>
        <w:rPr>
          <w:rFonts w:hint="eastAsia"/>
          <w:color w:val="auto"/>
          <w:lang w:val="en-US" w:eastAsia="zh-CN"/>
        </w:rPr>
        <w:t>（</w:t>
      </w:r>
      <w:r>
        <w:rPr>
          <w:rFonts w:hint="default"/>
          <w:color w:val="auto"/>
          <w:lang w:val="en-US" w:eastAsia="zh-CN"/>
        </w:rPr>
        <w:t>Ch</w:t>
      </w:r>
      <w:r>
        <w:rPr>
          <w:rFonts w:hint="eastAsia"/>
          <w:color w:val="auto"/>
          <w:lang w:val="en-US" w:eastAsia="zh-CN"/>
        </w:rPr>
        <w:t>），</w:t>
      </w:r>
      <w:r>
        <w:rPr>
          <w:rFonts w:hint="default"/>
          <w:color w:val="auto"/>
          <w:lang w:val="en-US" w:eastAsia="zh-CN"/>
        </w:rPr>
        <w:t>在矿区主要下伏于第四系地层，仅在37～45勘探线之间见有裸露，巨厚层状溶洞、溶隙较发育，岩溶通道连通性好，在垂向上受溶隙、导水断裂控制，据前人钻探成果研究，在非断裂发育区域，溶隙发育一般或偏弱，岩心完整性较好，巷道调查在经过灰岩段时，发现其仅有个别滴水，多不渗水，未见支护，饱和抗压强度平均值38.25MPa，属较硬岩。</w:t>
      </w:r>
    </w:p>
    <w:p w14:paraId="3C2CC7A8">
      <w:pPr>
        <w:rPr>
          <w:rFonts w:hint="default"/>
          <w:color w:val="auto"/>
          <w:lang w:val="en-US" w:eastAsia="zh-CN"/>
        </w:rPr>
      </w:pPr>
      <w:r>
        <w:rPr>
          <w:rFonts w:hint="default"/>
          <w:color w:val="auto"/>
          <w:lang w:val="en-US" w:eastAsia="zh-CN"/>
        </w:rPr>
        <w:t>砂岩所在岩组为矿区梓山组</w:t>
      </w:r>
      <w:r>
        <w:rPr>
          <w:rFonts w:hint="eastAsia"/>
          <w:color w:val="auto"/>
          <w:lang w:val="en-US" w:eastAsia="zh-CN"/>
        </w:rPr>
        <w:t>（</w:t>
      </w:r>
      <w:r>
        <w:rPr>
          <w:rFonts w:hint="default"/>
          <w:color w:val="auto"/>
          <w:lang w:val="en-US" w:eastAsia="zh-CN"/>
        </w:rPr>
        <w:t>Cz</w:t>
      </w:r>
      <w:r>
        <w:rPr>
          <w:rFonts w:hint="eastAsia"/>
          <w:color w:val="auto"/>
          <w:lang w:val="en-US" w:eastAsia="zh-CN"/>
        </w:rPr>
        <w:t>）</w:t>
      </w:r>
      <w:r>
        <w:rPr>
          <w:rFonts w:hint="default"/>
          <w:color w:val="auto"/>
          <w:lang w:val="en-US" w:eastAsia="zh-CN"/>
        </w:rPr>
        <w:t>，主要分布与矿区中部，与黄龙组灰岩整合接触，与第四系呈不整合接触，中～厚层状构造，见有钙质胶结，裂隙一般不发育，水力连通性较差，巷道调查时多以滴水为主，且大多滴速缓慢，需支护地段短，稳定性好，岩体饱和抗压强度平均值41.05MPa，属较硬岩。</w:t>
      </w:r>
    </w:p>
    <w:p w14:paraId="0FC088B3">
      <w:pPr>
        <w:rPr>
          <w:rFonts w:hint="default"/>
          <w:color w:val="auto"/>
          <w:lang w:val="en-US" w:eastAsia="zh-CN"/>
        </w:rPr>
      </w:pPr>
      <w:r>
        <w:rPr>
          <w:rFonts w:hint="default"/>
          <w:color w:val="auto"/>
          <w:lang w:val="en-US" w:eastAsia="zh-CN"/>
        </w:rPr>
        <w:t>花岗岩属于矿区燕山期岩浆岩侵入体</w:t>
      </w:r>
      <w:r>
        <w:rPr>
          <w:rFonts w:hint="eastAsia"/>
          <w:color w:val="auto"/>
          <w:lang w:val="en-US" w:eastAsia="zh-CN"/>
        </w:rPr>
        <w:t>（</w:t>
      </w:r>
      <w:r>
        <w:rPr>
          <w:rFonts w:hint="default"/>
          <w:color w:val="auto"/>
          <w:lang w:val="en-US" w:eastAsia="zh-CN"/>
        </w:rPr>
        <w:t>Jy</w:t>
      </w:r>
      <w:r>
        <w:rPr>
          <w:rFonts w:hint="eastAsia"/>
          <w:color w:val="auto"/>
          <w:lang w:val="en-US" w:eastAsia="zh-CN"/>
        </w:rPr>
        <w:t>）</w:t>
      </w:r>
      <w:r>
        <w:rPr>
          <w:rFonts w:hint="default"/>
          <w:color w:val="auto"/>
          <w:lang w:val="en-US" w:eastAsia="zh-CN"/>
        </w:rPr>
        <w:t>，块状构造，构造裂隙不发育，巷道调查时未见滴水，饱和抗压强度平均值47.5Mpa，属较硬岩。</w:t>
      </w:r>
    </w:p>
    <w:p w14:paraId="5703A44C">
      <w:pPr>
        <w:rPr>
          <w:rFonts w:hint="default"/>
          <w:color w:val="auto"/>
          <w:lang w:val="en-US" w:eastAsia="zh-CN"/>
        </w:rPr>
      </w:pPr>
      <w:r>
        <w:rPr>
          <w:rFonts w:hint="eastAsia"/>
          <w:color w:val="auto"/>
          <w:lang w:val="en-US" w:eastAsia="zh-CN"/>
        </w:rPr>
        <w:t>（2）</w:t>
      </w:r>
      <w:r>
        <w:rPr>
          <w:rFonts w:hint="default"/>
          <w:color w:val="auto"/>
          <w:lang w:val="en-US" w:eastAsia="zh-CN"/>
        </w:rPr>
        <w:t>岩体结构面</w:t>
      </w:r>
    </w:p>
    <w:p w14:paraId="6CE55382">
      <w:pPr>
        <w:rPr>
          <w:rFonts w:hint="default"/>
          <w:color w:val="auto"/>
          <w:lang w:val="en-US" w:eastAsia="zh-CN"/>
        </w:rPr>
      </w:pPr>
      <w:r>
        <w:rPr>
          <w:rFonts w:hint="default"/>
          <w:color w:val="auto"/>
          <w:lang w:val="en-US" w:eastAsia="zh-CN"/>
        </w:rPr>
        <w:t>矿区构造属于青塘～狮吼山向斜～地堑式构造的一个组成部分</w:t>
      </w:r>
      <w:r>
        <w:rPr>
          <w:rFonts w:hint="eastAsia"/>
          <w:color w:val="auto"/>
          <w:lang w:val="en-US" w:eastAsia="zh-CN"/>
        </w:rPr>
        <w:t>，</w:t>
      </w:r>
      <w:r>
        <w:rPr>
          <w:rFonts w:hint="default"/>
          <w:color w:val="auto"/>
          <w:lang w:val="en-US" w:eastAsia="zh-CN"/>
        </w:rPr>
        <w:t>区内构造特点之一仍是以断裂占显著优势</w:t>
      </w:r>
      <w:r>
        <w:rPr>
          <w:rFonts w:hint="eastAsia"/>
          <w:color w:val="auto"/>
          <w:lang w:val="en-US" w:eastAsia="zh-CN"/>
        </w:rPr>
        <w:t>，</w:t>
      </w:r>
      <w:r>
        <w:rPr>
          <w:rFonts w:hint="default"/>
          <w:color w:val="auto"/>
          <w:lang w:val="en-US" w:eastAsia="zh-CN"/>
        </w:rPr>
        <w:t>小型的褶曲构造不甚发育。断层对设计范围的开拓和采矿基本无影响。</w:t>
      </w:r>
    </w:p>
    <w:p w14:paraId="058D2B47">
      <w:pPr>
        <w:rPr>
          <w:rFonts w:hint="default"/>
          <w:color w:val="auto"/>
          <w:lang w:val="en-US" w:eastAsia="zh-CN"/>
        </w:rPr>
      </w:pPr>
      <w:r>
        <w:rPr>
          <w:rFonts w:hint="eastAsia"/>
          <w:color w:val="auto"/>
          <w:lang w:val="en-US" w:eastAsia="zh-CN"/>
        </w:rPr>
        <w:t>2. 岩体质量评价</w:t>
      </w:r>
    </w:p>
    <w:p w14:paraId="11219A8F">
      <w:pPr>
        <w:rPr>
          <w:rFonts w:hint="default"/>
          <w:color w:val="auto"/>
          <w:lang w:val="en-US" w:eastAsia="zh-CN"/>
        </w:rPr>
      </w:pPr>
      <w:r>
        <w:rPr>
          <w:rFonts w:hint="eastAsia"/>
          <w:color w:val="auto"/>
          <w:lang w:val="en-US" w:eastAsia="zh-CN"/>
        </w:rPr>
        <w:t>根据</w:t>
      </w:r>
      <w:r>
        <w:rPr>
          <w:rFonts w:hint="default"/>
          <w:color w:val="auto"/>
          <w:lang w:val="en-US" w:eastAsia="zh-CN"/>
        </w:rPr>
        <w:t>计算结果表明</w:t>
      </w:r>
      <w:r>
        <w:rPr>
          <w:rFonts w:hint="eastAsia"/>
          <w:color w:val="auto"/>
          <w:lang w:val="en-US" w:eastAsia="zh-CN"/>
        </w:rPr>
        <w:t>，</w:t>
      </w:r>
      <w:r>
        <w:rPr>
          <w:rFonts w:hint="default"/>
          <w:color w:val="auto"/>
          <w:lang w:val="en-US" w:eastAsia="zh-CN"/>
        </w:rPr>
        <w:t>3类岩组的计算结果均位于规矩规范附表G.2岩体Z值范围及其优劣等级表，其岩体质量等级均属于一般等级0.3～2.5这一范畴，故矿区岩体质量等级为一般</w:t>
      </w:r>
      <w:r>
        <w:rPr>
          <w:rFonts w:hint="eastAsia"/>
          <w:color w:val="auto"/>
          <w:lang w:val="en-US" w:eastAsia="zh-CN"/>
        </w:rPr>
        <w:t>（</w:t>
      </w:r>
      <w:r>
        <w:rPr>
          <w:rFonts w:hint="default"/>
          <w:color w:val="auto"/>
          <w:lang w:val="en-US" w:eastAsia="zh-CN"/>
        </w:rPr>
        <w:t>中等</w:t>
      </w:r>
      <w:r>
        <w:rPr>
          <w:rFonts w:hint="eastAsia"/>
          <w:color w:val="auto"/>
          <w:lang w:val="en-US" w:eastAsia="zh-CN"/>
        </w:rPr>
        <w:t>）</w:t>
      </w:r>
      <w:r>
        <w:rPr>
          <w:rFonts w:hint="default"/>
          <w:color w:val="auto"/>
          <w:lang w:val="en-US" w:eastAsia="zh-CN"/>
        </w:rPr>
        <w:t>。</w:t>
      </w:r>
    </w:p>
    <w:p w14:paraId="1A42A059">
      <w:pPr>
        <w:rPr>
          <w:rFonts w:hint="default"/>
          <w:color w:val="auto"/>
          <w:lang w:val="en-US" w:eastAsia="zh-CN"/>
        </w:rPr>
      </w:pPr>
      <w:r>
        <w:rPr>
          <w:rFonts w:hint="eastAsia"/>
          <w:color w:val="auto"/>
          <w:lang w:val="en-US" w:eastAsia="zh-CN"/>
        </w:rPr>
        <w:t>3. 采空区稳定性评价</w:t>
      </w:r>
    </w:p>
    <w:p w14:paraId="3486B614">
      <w:pPr>
        <w:rPr>
          <w:rFonts w:hint="default"/>
          <w:color w:val="auto"/>
          <w:lang w:val="en-US" w:eastAsia="zh-CN"/>
        </w:rPr>
      </w:pPr>
      <w:r>
        <w:rPr>
          <w:rFonts w:hint="eastAsia"/>
          <w:color w:val="auto"/>
          <w:lang w:val="en-US" w:eastAsia="zh-CN"/>
        </w:rPr>
        <w:t>（1）</w:t>
      </w:r>
      <w:r>
        <w:rPr>
          <w:rFonts w:hint="default"/>
          <w:color w:val="auto"/>
          <w:lang w:val="en-US" w:eastAsia="zh-CN"/>
        </w:rPr>
        <w:t>矿区采空区概况</w:t>
      </w:r>
    </w:p>
    <w:p w14:paraId="08F34D31">
      <w:pPr>
        <w:rPr>
          <w:rFonts w:hint="default"/>
          <w:color w:val="auto"/>
          <w:lang w:val="en-US" w:eastAsia="zh-CN"/>
        </w:rPr>
      </w:pPr>
      <w:r>
        <w:rPr>
          <w:rFonts w:hint="default"/>
          <w:color w:val="auto"/>
          <w:lang w:val="en-US" w:eastAsia="zh-CN"/>
        </w:rPr>
        <w:t>采用现场调查及访问方法</w:t>
      </w:r>
      <w:r>
        <w:rPr>
          <w:rFonts w:hint="eastAsia"/>
          <w:color w:val="auto"/>
          <w:lang w:val="en-US" w:eastAsia="zh-CN"/>
        </w:rPr>
        <w:t>，</w:t>
      </w:r>
      <w:r>
        <w:rPr>
          <w:rFonts w:hint="default"/>
          <w:color w:val="auto"/>
          <w:lang w:val="en-US" w:eastAsia="zh-CN"/>
        </w:rPr>
        <w:t>查阅历史台账资料、采场测量平面图、储量年报，依据井下所有采空区登记台账，回采率均按70%计算。矿区现有130m中段、160m中段、190m中段和220m中段，共四个中段，100m中段还未进行生产只有一个排水泵房。目前井下废碴均不出窿，地表不设排土场，全部废渣用于回填到现有采空区内。</w:t>
      </w:r>
    </w:p>
    <w:p w14:paraId="660AA203">
      <w:pPr>
        <w:rPr>
          <w:rFonts w:hint="default"/>
          <w:color w:val="auto"/>
          <w:lang w:val="en-US" w:eastAsia="zh-CN"/>
        </w:rPr>
      </w:pPr>
      <w:r>
        <w:rPr>
          <w:rFonts w:hint="default"/>
          <w:color w:val="auto"/>
          <w:lang w:val="en-US" w:eastAsia="zh-CN"/>
        </w:rPr>
        <w:t>220m中段在80年代由宁都硫磺矿完成采矿，早已对巷道进行封闭，现人员无法进入。据资料统计有8个采空区，已全部封闭。采空区体积共52070m</w:t>
      </w:r>
      <w:r>
        <w:rPr>
          <w:rFonts w:hint="eastAsia"/>
          <w:color w:val="auto"/>
          <w:vertAlign w:val="superscript"/>
          <w:lang w:val="en-US" w:eastAsia="zh-CN"/>
        </w:rPr>
        <w:t>3</w:t>
      </w:r>
      <w:r>
        <w:rPr>
          <w:rFonts w:hint="default"/>
          <w:color w:val="auto"/>
          <w:lang w:val="en-US" w:eastAsia="zh-CN"/>
        </w:rPr>
        <w:t>，其中已回填约17000m</w:t>
      </w:r>
      <w:r>
        <w:rPr>
          <w:rFonts w:hint="eastAsia"/>
          <w:color w:val="auto"/>
          <w:vertAlign w:val="superscript"/>
          <w:lang w:val="en-US" w:eastAsia="zh-CN"/>
        </w:rPr>
        <w:t>3</w:t>
      </w:r>
      <w:r>
        <w:rPr>
          <w:rFonts w:hint="default"/>
          <w:color w:val="auto"/>
          <w:lang w:val="en-US" w:eastAsia="zh-CN"/>
        </w:rPr>
        <w:t>，回填率达32.6%。</w:t>
      </w:r>
    </w:p>
    <w:p w14:paraId="28BF21A3">
      <w:pPr>
        <w:rPr>
          <w:rFonts w:hint="default"/>
          <w:color w:val="auto"/>
          <w:lang w:val="en-US" w:eastAsia="zh-CN"/>
        </w:rPr>
      </w:pPr>
      <w:r>
        <w:rPr>
          <w:rFonts w:hint="default"/>
          <w:color w:val="auto"/>
          <w:lang w:val="en-US" w:eastAsia="zh-CN"/>
        </w:rPr>
        <w:t>190m中段在90年代由宁都硫磺矿进行了采矿，据统计有7个采空区，已全部封闭。采空区体积共25120m</w:t>
      </w:r>
      <w:r>
        <w:rPr>
          <w:rFonts w:hint="eastAsia"/>
          <w:color w:val="auto"/>
          <w:vertAlign w:val="superscript"/>
          <w:lang w:val="en-US" w:eastAsia="zh-CN"/>
        </w:rPr>
        <w:t>3</w:t>
      </w:r>
      <w:r>
        <w:rPr>
          <w:rFonts w:hint="default"/>
          <w:color w:val="auto"/>
          <w:lang w:val="en-US" w:eastAsia="zh-CN"/>
        </w:rPr>
        <w:t>，已回填约10800m，回填率达43%。</w:t>
      </w:r>
    </w:p>
    <w:p w14:paraId="70689A09">
      <w:pPr>
        <w:rPr>
          <w:rFonts w:hint="default"/>
          <w:color w:val="auto"/>
          <w:lang w:val="en-US" w:eastAsia="zh-CN"/>
        </w:rPr>
      </w:pPr>
      <w:r>
        <w:rPr>
          <w:rFonts w:hint="default"/>
          <w:color w:val="auto"/>
          <w:lang w:val="en-US" w:eastAsia="zh-CN"/>
        </w:rPr>
        <w:t>160m中段在2015年前由朝盛矿业进行了采矿，目前无作业面作业，据统计有20个采空区，采空区均无积水，采空区共为38810m</w:t>
      </w:r>
      <w:r>
        <w:rPr>
          <w:rFonts w:hint="eastAsia"/>
          <w:color w:val="auto"/>
          <w:vertAlign w:val="superscript"/>
          <w:lang w:val="en-US" w:eastAsia="zh-CN"/>
        </w:rPr>
        <w:t>3</w:t>
      </w:r>
      <w:r>
        <w:rPr>
          <w:rFonts w:hint="default"/>
          <w:color w:val="auto"/>
          <w:lang w:val="en-US" w:eastAsia="zh-CN"/>
        </w:rPr>
        <w:t>，已回填约2980m</w:t>
      </w:r>
      <w:r>
        <w:rPr>
          <w:rFonts w:hint="eastAsia"/>
          <w:color w:val="auto"/>
          <w:vertAlign w:val="superscript"/>
          <w:lang w:val="en-US" w:eastAsia="zh-CN"/>
        </w:rPr>
        <w:t>3</w:t>
      </w:r>
      <w:r>
        <w:rPr>
          <w:rFonts w:hint="default"/>
          <w:color w:val="auto"/>
          <w:lang w:val="en-US" w:eastAsia="zh-CN"/>
        </w:rPr>
        <w:t>，回填率达7.7%。</w:t>
      </w:r>
    </w:p>
    <w:p w14:paraId="362568F4">
      <w:pPr>
        <w:rPr>
          <w:rFonts w:hint="default"/>
          <w:color w:val="auto"/>
          <w:lang w:val="en-US" w:eastAsia="zh-CN"/>
        </w:rPr>
      </w:pPr>
      <w:r>
        <w:rPr>
          <w:rFonts w:hint="default"/>
          <w:color w:val="auto"/>
          <w:lang w:val="en-US" w:eastAsia="zh-CN"/>
        </w:rPr>
        <w:t>现作业面全部在130m中段，在2014年后进行了采矿，据统计有6个采场已采完，采空区均无积水，采空区体积共为11700m</w:t>
      </w:r>
      <w:r>
        <w:rPr>
          <w:rFonts w:hint="eastAsia"/>
          <w:color w:val="auto"/>
          <w:vertAlign w:val="superscript"/>
          <w:lang w:val="en-US" w:eastAsia="zh-CN"/>
        </w:rPr>
        <w:t>3</w:t>
      </w:r>
      <w:r>
        <w:rPr>
          <w:rFonts w:hint="default"/>
          <w:color w:val="auto"/>
          <w:lang w:val="en-US" w:eastAsia="zh-CN"/>
        </w:rPr>
        <w:t>，当前为主要生产中段，只有部份废弃巷道已采用水泥砖或铁丝网封堵，采空区均未完成回填，暂未封堵。待采空区完成回填后再进行封堵。</w:t>
      </w:r>
    </w:p>
    <w:p w14:paraId="39AE1B27">
      <w:pPr>
        <w:rPr>
          <w:rFonts w:hint="default"/>
          <w:color w:val="auto"/>
          <w:lang w:val="en-US" w:eastAsia="zh-CN"/>
        </w:rPr>
      </w:pPr>
      <w:r>
        <w:rPr>
          <w:rFonts w:hint="default"/>
          <w:color w:val="auto"/>
          <w:lang w:val="en-US" w:eastAsia="zh-CN"/>
        </w:rPr>
        <w:t>矿区内采空区合计127760m</w:t>
      </w:r>
      <w:r>
        <w:rPr>
          <w:rFonts w:hint="eastAsia"/>
          <w:color w:val="auto"/>
          <w:vertAlign w:val="superscript"/>
          <w:lang w:val="en-US" w:eastAsia="zh-CN"/>
        </w:rPr>
        <w:t>3</w:t>
      </w:r>
      <w:r>
        <w:rPr>
          <w:rFonts w:hint="default"/>
          <w:color w:val="auto"/>
          <w:lang w:val="en-US" w:eastAsia="zh-CN"/>
        </w:rPr>
        <w:t>，已回填约30780m</w:t>
      </w:r>
      <w:r>
        <w:rPr>
          <w:rFonts w:hint="eastAsia"/>
          <w:color w:val="auto"/>
          <w:vertAlign w:val="superscript"/>
          <w:lang w:val="en-US" w:eastAsia="zh-CN"/>
        </w:rPr>
        <w:t>3</w:t>
      </w:r>
      <w:r>
        <w:rPr>
          <w:rFonts w:hint="default"/>
          <w:color w:val="auto"/>
          <w:lang w:val="en-US" w:eastAsia="zh-CN"/>
        </w:rPr>
        <w:t>，回填率达24.1%。</w:t>
      </w:r>
    </w:p>
    <w:p w14:paraId="37B43ED6">
      <w:pPr>
        <w:rPr>
          <w:rFonts w:hint="default"/>
          <w:color w:val="auto"/>
          <w:lang w:val="en-US" w:eastAsia="zh-CN"/>
        </w:rPr>
      </w:pPr>
      <w:r>
        <w:rPr>
          <w:rFonts w:hint="eastAsia"/>
          <w:color w:val="auto"/>
          <w:lang w:val="en-US" w:eastAsia="zh-CN"/>
        </w:rPr>
        <w:t>（1）</w:t>
      </w:r>
      <w:r>
        <w:rPr>
          <w:rFonts w:hint="default"/>
          <w:color w:val="auto"/>
          <w:lang w:val="en-US" w:eastAsia="zh-CN"/>
        </w:rPr>
        <w:t>采空区稳定性评价</w:t>
      </w:r>
    </w:p>
    <w:p w14:paraId="499168CC">
      <w:pPr>
        <w:rPr>
          <w:rFonts w:hint="default"/>
          <w:color w:val="auto"/>
          <w:lang w:val="en-US" w:eastAsia="zh-CN"/>
        </w:rPr>
      </w:pPr>
      <w:r>
        <w:rPr>
          <w:rFonts w:hint="default"/>
          <w:color w:val="auto"/>
          <w:lang w:val="en-US" w:eastAsia="zh-CN"/>
        </w:rPr>
        <w:t>1</w:t>
      </w:r>
      <w:r>
        <w:rPr>
          <w:rFonts w:hint="eastAsia"/>
          <w:color w:val="auto"/>
          <w:lang w:val="en-US" w:eastAsia="zh-CN"/>
        </w:rPr>
        <w:t>）</w:t>
      </w:r>
      <w:r>
        <w:rPr>
          <w:rFonts w:hint="default"/>
          <w:color w:val="auto"/>
          <w:lang w:val="en-US" w:eastAsia="zh-CN"/>
        </w:rPr>
        <w:t>岩体结构</w:t>
      </w:r>
    </w:p>
    <w:p w14:paraId="361051E5">
      <w:pPr>
        <w:rPr>
          <w:rFonts w:hint="default"/>
          <w:color w:val="auto"/>
          <w:lang w:val="en-US" w:eastAsia="zh-CN"/>
        </w:rPr>
      </w:pPr>
      <w:r>
        <w:rPr>
          <w:rFonts w:hint="default"/>
          <w:color w:val="auto"/>
          <w:lang w:val="en-US" w:eastAsia="zh-CN"/>
        </w:rPr>
        <w:t>由于大多数采空区已被封闭,只能调查工作中段130m中段的采场、采空区采场、采空区位于梓山组砂岩地层中</w:t>
      </w:r>
      <w:r>
        <w:rPr>
          <w:rFonts w:hint="eastAsia"/>
          <w:color w:val="auto"/>
          <w:lang w:val="en-US" w:eastAsia="zh-CN"/>
        </w:rPr>
        <w:t>，</w:t>
      </w:r>
      <w:r>
        <w:rPr>
          <w:rFonts w:hint="default"/>
          <w:color w:val="auto"/>
          <w:lang w:val="en-US" w:eastAsia="zh-CN"/>
        </w:rPr>
        <w:t>岩体呈中～厚层结构，成岩裂隙一般不发育富水性较差，但在断裂构造的影响控制下，其构造裂隙具有一定的导水性，岩体主要结构面属</w:t>
      </w:r>
      <w:r>
        <w:rPr>
          <w:rFonts w:hint="eastAsia" w:ascii="宋体" w:hAnsi="宋体" w:cs="宋体"/>
          <w:color w:val="auto"/>
          <w:lang w:val="en-US" w:eastAsia="zh-CN"/>
        </w:rPr>
        <w:t>Ⅲ</w:t>
      </w:r>
      <w:r>
        <w:rPr>
          <w:rFonts w:hint="default"/>
          <w:color w:val="auto"/>
          <w:lang w:val="en-US" w:eastAsia="zh-CN"/>
        </w:rPr>
        <w:t>、</w:t>
      </w:r>
      <w:r>
        <w:rPr>
          <w:rFonts w:hint="eastAsia" w:ascii="宋体" w:hAnsi="宋体" w:eastAsia="宋体" w:cs="宋体"/>
          <w:color w:val="auto"/>
          <w:lang w:val="en-US" w:eastAsia="zh-CN"/>
        </w:rPr>
        <w:t>Ⅳ</w:t>
      </w:r>
      <w:r>
        <w:rPr>
          <w:rFonts w:hint="default"/>
          <w:color w:val="auto"/>
          <w:lang w:val="en-US" w:eastAsia="zh-CN"/>
        </w:rPr>
        <w:t>级结构面。巷道、采场零星位置渗水，以滴水为主。</w:t>
      </w:r>
    </w:p>
    <w:p w14:paraId="08FFFF80">
      <w:pPr>
        <w:rPr>
          <w:rFonts w:hint="default"/>
          <w:color w:val="auto"/>
          <w:lang w:val="en-US" w:eastAsia="zh-CN"/>
        </w:rPr>
      </w:pPr>
      <w:r>
        <w:rPr>
          <w:rFonts w:hint="default"/>
          <w:color w:val="auto"/>
          <w:lang w:val="en-US" w:eastAsia="zh-CN"/>
        </w:rPr>
        <w:t>2</w:t>
      </w:r>
      <w:r>
        <w:rPr>
          <w:rFonts w:hint="eastAsia"/>
          <w:color w:val="auto"/>
          <w:lang w:val="en-US" w:eastAsia="zh-CN"/>
        </w:rPr>
        <w:t>）</w:t>
      </w:r>
      <w:r>
        <w:rPr>
          <w:rFonts w:hint="default"/>
          <w:color w:val="auto"/>
          <w:lang w:val="en-US" w:eastAsia="zh-CN"/>
        </w:rPr>
        <w:t>顶板稳定性</w:t>
      </w:r>
    </w:p>
    <w:p w14:paraId="31E0C1A0">
      <w:pPr>
        <w:rPr>
          <w:rFonts w:hint="default"/>
          <w:color w:val="auto"/>
          <w:lang w:val="en-US" w:eastAsia="zh-CN"/>
        </w:rPr>
      </w:pPr>
      <w:r>
        <w:rPr>
          <w:rFonts w:hint="default"/>
          <w:color w:val="auto"/>
          <w:lang w:val="en-US" w:eastAsia="zh-CN"/>
        </w:rPr>
        <w:t>巷道和采场以及暂未封闭采空区顶板未见明显冒裂、垮塌，岩体致密</w:t>
      </w:r>
      <w:r>
        <w:rPr>
          <w:rFonts w:hint="eastAsia"/>
          <w:color w:val="auto"/>
          <w:lang w:val="en-US" w:eastAsia="zh-CN"/>
        </w:rPr>
        <w:t>；</w:t>
      </w:r>
      <w:r>
        <w:rPr>
          <w:rFonts w:hint="default"/>
          <w:color w:val="auto"/>
          <w:lang w:val="en-US" w:eastAsia="zh-CN"/>
        </w:rPr>
        <w:t>仅受断裂控制的构造裂隙连通性较好，见有零星滴状渗水</w:t>
      </w:r>
      <w:r>
        <w:rPr>
          <w:rFonts w:hint="eastAsia"/>
          <w:color w:val="auto"/>
          <w:lang w:val="en-US" w:eastAsia="zh-CN"/>
        </w:rPr>
        <w:t>；</w:t>
      </w:r>
      <w:r>
        <w:rPr>
          <w:rFonts w:hint="default"/>
          <w:color w:val="auto"/>
          <w:lang w:val="en-US" w:eastAsia="zh-CN"/>
        </w:rPr>
        <w:t>未见垮塌、冒落</w:t>
      </w:r>
      <w:r>
        <w:rPr>
          <w:rFonts w:hint="eastAsia"/>
          <w:color w:val="auto"/>
          <w:lang w:val="en-US" w:eastAsia="zh-CN"/>
        </w:rPr>
        <w:t>；</w:t>
      </w:r>
      <w:r>
        <w:rPr>
          <w:rFonts w:hint="default"/>
          <w:color w:val="auto"/>
          <w:lang w:val="en-US" w:eastAsia="zh-CN"/>
        </w:rPr>
        <w:t>顶板稳定性较好。</w:t>
      </w:r>
    </w:p>
    <w:p w14:paraId="008CB8DA">
      <w:pPr>
        <w:rPr>
          <w:rFonts w:hint="default"/>
          <w:color w:val="auto"/>
          <w:lang w:val="en-US" w:eastAsia="zh-CN"/>
        </w:rPr>
      </w:pPr>
      <w:r>
        <w:rPr>
          <w:rFonts w:hint="default"/>
          <w:color w:val="auto"/>
          <w:lang w:val="en-US" w:eastAsia="zh-CN"/>
        </w:rPr>
        <w:t>3</w:t>
      </w:r>
      <w:r>
        <w:rPr>
          <w:rFonts w:hint="eastAsia"/>
          <w:color w:val="auto"/>
          <w:lang w:val="en-US" w:eastAsia="zh-CN"/>
        </w:rPr>
        <w:t>）</w:t>
      </w:r>
      <w:r>
        <w:rPr>
          <w:rFonts w:hint="default"/>
          <w:color w:val="auto"/>
          <w:lang w:val="en-US" w:eastAsia="zh-CN"/>
        </w:rPr>
        <w:t>矿主稳定性</w:t>
      </w:r>
    </w:p>
    <w:p w14:paraId="4F617AAD">
      <w:pPr>
        <w:rPr>
          <w:rFonts w:hint="default"/>
          <w:color w:val="auto"/>
          <w:lang w:val="en-US" w:eastAsia="zh-CN"/>
        </w:rPr>
      </w:pPr>
      <w:r>
        <w:rPr>
          <w:rFonts w:hint="default"/>
          <w:color w:val="auto"/>
          <w:lang w:val="en-US" w:eastAsia="zh-CN"/>
        </w:rPr>
        <w:t>矿区采矿方法为房柱法，矿柱厚度为矿体厚度，顶柱宽度2m～3m，底柱宽度2m～6m</w:t>
      </w:r>
      <w:r>
        <w:rPr>
          <w:rFonts w:hint="eastAsia"/>
          <w:color w:val="auto"/>
          <w:lang w:val="en-US" w:eastAsia="zh-CN"/>
        </w:rPr>
        <w:t>，</w:t>
      </w:r>
      <w:r>
        <w:rPr>
          <w:rFonts w:hint="default"/>
          <w:color w:val="auto"/>
          <w:lang w:val="en-US" w:eastAsia="zh-CN"/>
        </w:rPr>
        <w:t>从已有资料及现场走访调查，采场及采空区未发生过坍塌灾害，地表未见塌陷、地面沉降痕迹。矿柱稳定性较好。</w:t>
      </w:r>
    </w:p>
    <w:p w14:paraId="3A074E88">
      <w:pPr>
        <w:rPr>
          <w:rFonts w:hint="default"/>
          <w:color w:val="auto"/>
          <w:lang w:val="en-US" w:eastAsia="zh-CN"/>
        </w:rPr>
      </w:pPr>
      <w:r>
        <w:rPr>
          <w:rFonts w:hint="eastAsia"/>
          <w:color w:val="auto"/>
          <w:lang w:val="en-US" w:eastAsia="zh-CN"/>
        </w:rPr>
        <w:t>4. 工程地质勘查类型</w:t>
      </w:r>
    </w:p>
    <w:p w14:paraId="48D0631E">
      <w:pPr>
        <w:rPr>
          <w:rFonts w:hint="default"/>
          <w:color w:val="auto"/>
          <w:lang w:val="en-US" w:eastAsia="zh-CN"/>
        </w:rPr>
      </w:pPr>
      <w:r>
        <w:rPr>
          <w:rFonts w:hint="default"/>
          <w:color w:val="auto"/>
          <w:lang w:val="en-US" w:eastAsia="zh-CN"/>
        </w:rPr>
        <w:t>本矿床为隐伏矿床。矿区含矿层及顶、底板围岩系山组砂岩、石英砂岩因埋藏较深，坚硬致密，裂隙不发育，完整性好。矿层上覆地为黄龙组灰岩层岩溶发育，岩溶管道连通性较好，在25勘探线、33勘探线溶洞在采矿标高范围内见有发育，在未来该区域开采时可能发生顶板冒落、垮塌等工程地质问题。</w:t>
      </w:r>
    </w:p>
    <w:p w14:paraId="21D69C0F">
      <w:pPr>
        <w:rPr>
          <w:rFonts w:hint="default"/>
          <w:color w:val="auto"/>
          <w:lang w:val="en-US" w:eastAsia="zh-CN"/>
        </w:rPr>
      </w:pPr>
      <w:r>
        <w:rPr>
          <w:rFonts w:hint="default"/>
          <w:color w:val="auto"/>
          <w:lang w:val="en-US" w:eastAsia="zh-CN"/>
        </w:rPr>
        <w:t>综上，矿区属于第四类以碎屑岩、沉积岩为主的层状岩类，勘查复杂程度属中等型。</w:t>
      </w:r>
    </w:p>
    <w:p w14:paraId="4A4B1946">
      <w:pPr>
        <w:pStyle w:val="4"/>
        <w:bidi w:val="0"/>
        <w:rPr>
          <w:rFonts w:hint="default"/>
          <w:color w:val="auto"/>
          <w:lang w:val="en-US" w:eastAsia="zh-CN"/>
        </w:rPr>
      </w:pPr>
      <w:bookmarkStart w:id="151" w:name="_Toc20338"/>
      <w:bookmarkStart w:id="152" w:name="_Toc13069"/>
      <w:bookmarkStart w:id="153" w:name="_Toc6343"/>
      <w:bookmarkStart w:id="154" w:name="_Toc7476"/>
      <w:r>
        <w:rPr>
          <w:rFonts w:hint="default"/>
          <w:color w:val="auto"/>
          <w:lang w:val="en-US" w:eastAsia="zh-CN"/>
        </w:rPr>
        <w:t>2.3.4</w:t>
      </w:r>
      <w:r>
        <w:rPr>
          <w:rFonts w:hint="eastAsia"/>
          <w:color w:val="auto"/>
          <w:lang w:val="en-US" w:eastAsia="zh-CN"/>
        </w:rPr>
        <w:t xml:space="preserve"> </w:t>
      </w:r>
      <w:bookmarkEnd w:id="151"/>
      <w:bookmarkEnd w:id="152"/>
      <w:bookmarkEnd w:id="153"/>
      <w:r>
        <w:rPr>
          <w:rFonts w:hint="eastAsia"/>
          <w:color w:val="auto"/>
          <w:lang w:val="en-US" w:eastAsia="zh-CN"/>
        </w:rPr>
        <w:t>矿区环境地质</w:t>
      </w:r>
      <w:bookmarkEnd w:id="154"/>
    </w:p>
    <w:p w14:paraId="5E352E93">
      <w:pPr>
        <w:rPr>
          <w:rFonts w:hint="default"/>
          <w:color w:val="auto"/>
          <w:lang w:val="en-US" w:eastAsia="zh-CN"/>
        </w:rPr>
      </w:pPr>
      <w:r>
        <w:rPr>
          <w:rFonts w:hint="default"/>
          <w:color w:val="auto"/>
          <w:lang w:val="en-US" w:eastAsia="zh-CN"/>
        </w:rPr>
        <w:t>矿区无原生环境地质问题，崩塌、滑坡、泥石流、地面塌陷等地质灾害不发育，仅在地表当地居民修路而形成裸露的岩质切坡。矿体及围岩均达到为软硬岩标准，矿渣基本不出窿，采矿活动对邻近地区大气环境和水体有轻度物理污染。采矿活动对矿区周边地质环境影响较弱，较容易恢复治理。矿区及尾矿库地下水检测因子超过《地下水质量标准》和《地表水环境质量标准》中的</w:t>
      </w:r>
      <w:r>
        <w:rPr>
          <w:rFonts w:hint="eastAsia" w:ascii="宋体" w:hAnsi="宋体" w:eastAsia="宋体" w:cs="宋体"/>
          <w:color w:val="auto"/>
          <w:lang w:val="en-US" w:eastAsia="zh-CN"/>
        </w:rPr>
        <w:t>Ⅲ</w:t>
      </w:r>
      <w:r>
        <w:rPr>
          <w:rFonts w:hint="default"/>
          <w:color w:val="auto"/>
          <w:lang w:val="en-US" w:eastAsia="zh-CN"/>
        </w:rPr>
        <w:t>类标准。</w:t>
      </w:r>
    </w:p>
    <w:p w14:paraId="7317D084">
      <w:pPr>
        <w:rPr>
          <w:rFonts w:hint="default"/>
          <w:color w:val="auto"/>
          <w:lang w:val="en-US" w:eastAsia="zh-CN"/>
        </w:rPr>
      </w:pPr>
      <w:r>
        <w:rPr>
          <w:rFonts w:hint="default"/>
          <w:color w:val="auto"/>
          <w:lang w:val="en-US" w:eastAsia="zh-CN"/>
        </w:rPr>
        <w:t>综上，矿区地质环境质量类型属第三类型</w:t>
      </w:r>
      <w:r>
        <w:rPr>
          <w:rFonts w:hint="eastAsia"/>
          <w:color w:val="auto"/>
          <w:lang w:val="en-US" w:eastAsia="zh-CN"/>
        </w:rPr>
        <w:t>。</w:t>
      </w:r>
    </w:p>
    <w:p w14:paraId="167A6050">
      <w:pPr>
        <w:pStyle w:val="3"/>
        <w:bidi w:val="0"/>
        <w:rPr>
          <w:rFonts w:hint="default"/>
          <w:color w:val="auto"/>
          <w:lang w:val="en-US" w:eastAsia="zh-CN"/>
        </w:rPr>
      </w:pPr>
      <w:bookmarkStart w:id="155" w:name="_Toc8061"/>
      <w:bookmarkStart w:id="156" w:name="_Toc10304"/>
      <w:bookmarkStart w:id="157" w:name="_Toc25245"/>
      <w:bookmarkStart w:id="158" w:name="_Toc29689"/>
      <w:r>
        <w:rPr>
          <w:rFonts w:hint="default"/>
          <w:color w:val="auto"/>
          <w:lang w:val="en-US" w:eastAsia="zh-CN"/>
        </w:rPr>
        <w:t>2.4</w:t>
      </w:r>
      <w:r>
        <w:rPr>
          <w:rFonts w:hint="eastAsia"/>
          <w:color w:val="auto"/>
          <w:lang w:val="en-US" w:eastAsia="zh-CN"/>
        </w:rPr>
        <w:t xml:space="preserve"> 《可研报告》拟定</w:t>
      </w:r>
      <w:r>
        <w:rPr>
          <w:rFonts w:hint="default"/>
          <w:color w:val="auto"/>
          <w:lang w:val="en-US" w:eastAsia="zh-CN"/>
        </w:rPr>
        <w:t>工程建设方案概况</w:t>
      </w:r>
      <w:bookmarkEnd w:id="155"/>
      <w:bookmarkEnd w:id="156"/>
      <w:bookmarkEnd w:id="157"/>
      <w:bookmarkEnd w:id="158"/>
    </w:p>
    <w:p w14:paraId="2C26D5B5">
      <w:pPr>
        <w:pStyle w:val="4"/>
        <w:bidi w:val="0"/>
        <w:rPr>
          <w:rFonts w:hint="default"/>
          <w:color w:val="auto"/>
          <w:lang w:val="en-US" w:eastAsia="zh-CN"/>
        </w:rPr>
      </w:pPr>
      <w:bookmarkStart w:id="159" w:name="_Toc29069"/>
      <w:bookmarkStart w:id="160" w:name="_Toc6408"/>
      <w:bookmarkStart w:id="161" w:name="_Toc20324"/>
      <w:bookmarkStart w:id="162" w:name="_Toc2173"/>
      <w:r>
        <w:rPr>
          <w:rFonts w:hint="default"/>
          <w:color w:val="auto"/>
          <w:lang w:val="en-US" w:eastAsia="zh-CN"/>
        </w:rPr>
        <w:t>2.4.1</w:t>
      </w:r>
      <w:r>
        <w:rPr>
          <w:rFonts w:hint="eastAsia"/>
          <w:color w:val="auto"/>
          <w:lang w:val="en-US" w:eastAsia="zh-CN"/>
        </w:rPr>
        <w:t xml:space="preserve"> </w:t>
      </w:r>
      <w:r>
        <w:rPr>
          <w:rFonts w:hint="default"/>
          <w:color w:val="auto"/>
          <w:lang w:val="en-US" w:eastAsia="zh-CN"/>
        </w:rPr>
        <w:t>矿山开采现状</w:t>
      </w:r>
      <w:bookmarkEnd w:id="159"/>
      <w:bookmarkEnd w:id="160"/>
      <w:bookmarkEnd w:id="161"/>
      <w:bookmarkEnd w:id="162"/>
    </w:p>
    <w:p w14:paraId="17601C6C">
      <w:pPr>
        <w:rPr>
          <w:rFonts w:hint="default"/>
          <w:color w:val="auto"/>
          <w:lang w:val="en-US" w:eastAsia="zh-CN"/>
        </w:rPr>
      </w:pPr>
      <w:r>
        <w:rPr>
          <w:rFonts w:hint="eastAsia"/>
          <w:color w:val="auto"/>
          <w:lang w:val="en-US" w:eastAsia="zh-CN"/>
        </w:rPr>
        <w:t>1. 矿山现状</w:t>
      </w:r>
    </w:p>
    <w:p w14:paraId="533327B5">
      <w:pPr>
        <w:rPr>
          <w:rFonts w:hint="eastAsia"/>
          <w:color w:val="auto"/>
          <w:lang w:val="en-US" w:eastAsia="zh-CN"/>
        </w:rPr>
      </w:pPr>
      <w:r>
        <w:rPr>
          <w:rFonts w:hint="eastAsia"/>
          <w:color w:val="auto"/>
          <w:lang w:val="en-US" w:eastAsia="zh-CN"/>
        </w:rPr>
        <w:t>根据现场调研并结合矿山现状图纸，矿山现共有四个在用井筒：1#回风井、2#主斜井、3#斜坡道、4#副斜井。</w:t>
      </w:r>
    </w:p>
    <w:p w14:paraId="3F28BF44">
      <w:pPr>
        <w:rPr>
          <w:rFonts w:hint="eastAsia"/>
          <w:color w:val="auto"/>
          <w:lang w:val="en-US" w:eastAsia="zh-CN"/>
        </w:rPr>
      </w:pPr>
      <w:r>
        <w:rPr>
          <w:rFonts w:hint="eastAsia"/>
          <w:color w:val="auto"/>
          <w:lang w:val="en-US" w:eastAsia="zh-CN"/>
        </w:rPr>
        <w:t>1#回风井为矿山主回风斜井，井口坐标为：X=2923647.65，Y=39381918.43，Z=+276.6m，井口至+160m段巷道尺寸：宽×高＝2.5m×2.8m，三心拱，断面积6.56m</w:t>
      </w:r>
      <w:r>
        <w:rPr>
          <w:rFonts w:hint="eastAsia"/>
          <w:color w:val="auto"/>
          <w:vertAlign w:val="superscript"/>
          <w:lang w:val="en-US" w:eastAsia="zh-CN"/>
        </w:rPr>
        <w:t>2</w:t>
      </w:r>
      <w:r>
        <w:rPr>
          <w:rFonts w:hint="eastAsia"/>
          <w:color w:val="auto"/>
          <w:lang w:val="en-US" w:eastAsia="zh-CN"/>
        </w:rPr>
        <w:t>，周长9.76m；+160m至+130m段巷道尺寸：宽×高＝2.6m×2.7m，三心拱，断面积6.50m</w:t>
      </w:r>
      <w:r>
        <w:rPr>
          <w:rFonts w:hint="eastAsia"/>
          <w:color w:val="auto"/>
          <w:vertAlign w:val="superscript"/>
          <w:lang w:val="en-US" w:eastAsia="zh-CN"/>
        </w:rPr>
        <w:t>2</w:t>
      </w:r>
      <w:r>
        <w:rPr>
          <w:rFonts w:hint="eastAsia"/>
          <w:color w:val="auto"/>
          <w:lang w:val="en-US" w:eastAsia="zh-CN"/>
        </w:rPr>
        <w:t>，周长9.69m。</w:t>
      </w:r>
    </w:p>
    <w:p w14:paraId="7B726202">
      <w:pPr>
        <w:rPr>
          <w:rFonts w:hint="eastAsia"/>
          <w:color w:val="auto"/>
          <w:lang w:val="en-US" w:eastAsia="zh-CN"/>
        </w:rPr>
      </w:pPr>
      <w:r>
        <w:rPr>
          <w:rFonts w:hint="eastAsia"/>
          <w:color w:val="auto"/>
          <w:lang w:val="en-US" w:eastAsia="zh-CN"/>
        </w:rPr>
        <w:t>2#主斜井位于矿区南端麻齐湖山上，井口坐标为：X=2923509.25，Y=39382617.43，Z=+278.3m，方位角254°30′，倾角25°，断面宽×高：3.1m×2.96m（三心拱）。该斜井已开拓至+100m中段，与+160m中段、+130m中段采用吊桥进行连接，井口和各中段车场均为平车场。该斜井兼作矿区南端进风井，可以作为独立的直达地面的安全出口之一。</w:t>
      </w:r>
    </w:p>
    <w:p w14:paraId="1EFD0D37">
      <w:pPr>
        <w:rPr>
          <w:rFonts w:hint="eastAsia"/>
          <w:color w:val="auto"/>
          <w:lang w:val="en-US" w:eastAsia="zh-CN"/>
        </w:rPr>
      </w:pPr>
      <w:r>
        <w:rPr>
          <w:rFonts w:hint="eastAsia"/>
          <w:color w:val="auto"/>
          <w:lang w:val="en-US" w:eastAsia="zh-CN"/>
        </w:rPr>
        <w:t>3#斜坡道位于2#主斜井东侧，靠近矿区污水处理厂。2012年河北宏达绿洲工程设计有限公司设计将斜坡道的线路一部分布置在矿体的端部，一部分布置矿体的下盘。在麻齐湖区域斜坡道的线路布置在矿体的端部，线路的方位角大约258°左右，在标高160m的勘探线14线附近，线路以大于90°的角度转向北北西方向，布置在矿体的下盘，线路的方位角大约328°左右。斜坡道的平均坡度为16.68%（9.47°），井口坐标为（1980西安坐标系）：X=2923565.6，Y=39382772.12，Z=+241m，断面宽×高：4m×3.5m（三心拱）。</w:t>
      </w:r>
    </w:p>
    <w:p w14:paraId="2E13ECA9">
      <w:pPr>
        <w:rPr>
          <w:rFonts w:hint="eastAsia"/>
          <w:color w:val="auto"/>
          <w:lang w:val="en-US" w:eastAsia="zh-CN"/>
        </w:rPr>
      </w:pPr>
      <w:r>
        <w:rPr>
          <w:rFonts w:hint="eastAsia"/>
          <w:color w:val="auto"/>
          <w:lang w:val="en-US" w:eastAsia="zh-CN"/>
        </w:rPr>
        <w:t>4#副斜井位于矿区北段狮吼山以北的河山角下，井口坐标为（1980西安坐标系）：X=2924032.8，Y=39381988.28，Z=+255.0m，方位角66°01′48″，倾角25°，断面宽×高：3.2m×2.7m（三心拱）。该井现已开拓至+130m中段。该副斜井用于提升人员、废石和材料，兼作矿区北端进风井。</w:t>
      </w:r>
    </w:p>
    <w:p w14:paraId="7D7993EC">
      <w:pPr>
        <w:rPr>
          <w:rFonts w:hint="eastAsia"/>
          <w:color w:val="auto"/>
          <w:lang w:val="en-US" w:eastAsia="zh-CN"/>
        </w:rPr>
      </w:pPr>
      <w:r>
        <w:rPr>
          <w:rFonts w:hint="eastAsia"/>
          <w:color w:val="auto"/>
          <w:lang w:val="en-US" w:eastAsia="zh-CN"/>
        </w:rPr>
        <w:t>井下运输巷道共供有4条，分别为+190m中段回风巷、+160m中段运输巷、+130m中段运输巷、+100m中段运输巷，现分别叙述如下：</w:t>
      </w:r>
    </w:p>
    <w:p w14:paraId="5C782F72">
      <w:pPr>
        <w:rPr>
          <w:rFonts w:hint="eastAsia"/>
          <w:color w:val="auto"/>
          <w:lang w:val="en-US" w:eastAsia="zh-CN"/>
        </w:rPr>
      </w:pPr>
      <w:r>
        <w:rPr>
          <w:rFonts w:hint="eastAsia"/>
          <w:color w:val="auto"/>
          <w:lang w:val="en-US" w:eastAsia="zh-CN"/>
        </w:rPr>
        <w:t>+190m中段回风巷：标高+193m，长度约420m，巷道断面宽×高：2.35m×2.8m（三心拱）；</w:t>
      </w:r>
    </w:p>
    <w:p w14:paraId="18A36CD3">
      <w:pPr>
        <w:rPr>
          <w:rFonts w:hint="eastAsia"/>
          <w:color w:val="auto"/>
          <w:lang w:val="en-US" w:eastAsia="zh-CN"/>
        </w:rPr>
      </w:pPr>
      <w:r>
        <w:rPr>
          <w:rFonts w:hint="eastAsia"/>
          <w:color w:val="auto"/>
          <w:lang w:val="en-US" w:eastAsia="zh-CN"/>
        </w:rPr>
        <w:t>+160m中段运输巷：标高+163m，长度约815m，巷道断面宽×高：2.35m×2.8m（三心拱）；</w:t>
      </w:r>
    </w:p>
    <w:p w14:paraId="07C076C4">
      <w:pPr>
        <w:rPr>
          <w:rFonts w:hint="eastAsia"/>
          <w:color w:val="auto"/>
          <w:lang w:val="en-US" w:eastAsia="zh-CN"/>
        </w:rPr>
      </w:pPr>
      <w:r>
        <w:rPr>
          <w:rFonts w:hint="eastAsia"/>
          <w:color w:val="auto"/>
          <w:lang w:val="en-US" w:eastAsia="zh-CN"/>
        </w:rPr>
        <w:t>+130m中段运输巷：标高+133m，长度约750m，巷道断面宽×高：2.35m×2.8m（三心拱）；</w:t>
      </w:r>
    </w:p>
    <w:p w14:paraId="5BD7BE04">
      <w:pPr>
        <w:rPr>
          <w:rFonts w:hint="eastAsia"/>
          <w:color w:val="auto"/>
          <w:lang w:val="en-US" w:eastAsia="zh-CN"/>
        </w:rPr>
      </w:pPr>
      <w:r>
        <w:rPr>
          <w:rFonts w:hint="eastAsia"/>
          <w:color w:val="auto"/>
          <w:lang w:val="en-US" w:eastAsia="zh-CN"/>
        </w:rPr>
        <w:t>+100m中段运输巷：标高+103m，长度约650m，巷道断面宽×高：2.35m×2.8m（三心拱）。</w:t>
      </w:r>
    </w:p>
    <w:p w14:paraId="4D240DDC">
      <w:pPr>
        <w:rPr>
          <w:rFonts w:hint="eastAsia"/>
          <w:color w:val="auto"/>
          <w:lang w:val="en-US" w:eastAsia="zh-CN"/>
        </w:rPr>
      </w:pPr>
      <w:r>
        <w:rPr>
          <w:rFonts w:hint="eastAsia"/>
          <w:color w:val="auto"/>
          <w:lang w:val="en-US" w:eastAsia="zh-CN"/>
        </w:rPr>
        <w:t>水仓、水泵房、井下变电所建在+100m中段，2#主斜井南侧，水仓分内、外水仓，总容积2000m</w:t>
      </w:r>
      <w:r>
        <w:rPr>
          <w:rFonts w:hint="eastAsia"/>
          <w:color w:val="auto"/>
          <w:vertAlign w:val="superscript"/>
          <w:lang w:val="en-US" w:eastAsia="zh-CN"/>
        </w:rPr>
        <w:t>3</w:t>
      </w:r>
      <w:r>
        <w:rPr>
          <w:rFonts w:hint="eastAsia"/>
          <w:color w:val="auto"/>
          <w:lang w:val="en-US" w:eastAsia="zh-CN"/>
        </w:rPr>
        <w:t>，排水设备4台DF155-30×7（额定流量155m</w:t>
      </w:r>
      <w:r>
        <w:rPr>
          <w:rFonts w:hint="eastAsia"/>
          <w:color w:val="auto"/>
          <w:vertAlign w:val="superscript"/>
          <w:lang w:val="en-US" w:eastAsia="zh-CN"/>
        </w:rPr>
        <w:t>3</w:t>
      </w:r>
      <w:r>
        <w:rPr>
          <w:rFonts w:hint="eastAsia"/>
          <w:color w:val="auto"/>
          <w:lang w:val="en-US" w:eastAsia="zh-CN"/>
        </w:rPr>
        <w:t>/h）耐酸水泵，排水管道（D219×9）沿2#主斜井铺设至+260m排水平窿，然后自流进酸水处理厂。</w:t>
      </w:r>
    </w:p>
    <w:p w14:paraId="20147CA7">
      <w:pPr>
        <w:rPr>
          <w:rFonts w:hint="eastAsia"/>
          <w:color w:val="auto"/>
          <w:lang w:val="en-US" w:eastAsia="zh-CN"/>
        </w:rPr>
      </w:pPr>
      <w:r>
        <w:rPr>
          <w:rFonts w:hint="eastAsia"/>
          <w:color w:val="auto"/>
          <w:lang w:val="en-US" w:eastAsia="zh-CN"/>
        </w:rPr>
        <w:t>压风设备布置在3#斜坡道旁，设置3台DSR-100A螺杆式空压机，供风管道沿3#斜坡道铺设。</w:t>
      </w:r>
    </w:p>
    <w:p w14:paraId="74EC0D1B">
      <w:pPr>
        <w:rPr>
          <w:rFonts w:hint="eastAsia"/>
          <w:color w:val="auto"/>
          <w:lang w:val="en-US" w:eastAsia="zh-CN"/>
        </w:rPr>
      </w:pPr>
      <w:r>
        <w:rPr>
          <w:rFonts w:hint="eastAsia"/>
          <w:color w:val="auto"/>
          <w:lang w:val="en-US" w:eastAsia="zh-CN"/>
        </w:rPr>
        <w:t>1#回风井布置有一台FKZ-6-N</w:t>
      </w:r>
      <w:r>
        <w:rPr>
          <w:rFonts w:hint="eastAsia"/>
          <w:color w:val="auto"/>
          <w:vertAlign w:val="subscript"/>
          <w:lang w:val="en-US" w:eastAsia="zh-CN"/>
        </w:rPr>
        <w:t>o</w:t>
      </w:r>
      <w:r>
        <w:rPr>
          <w:rFonts w:hint="eastAsia"/>
          <w:color w:val="auto"/>
          <w:lang w:val="en-US" w:eastAsia="zh-CN"/>
        </w:rPr>
        <w:t>19/200（额定风量59.8～113.2m</w:t>
      </w:r>
      <w:r>
        <w:rPr>
          <w:rFonts w:hint="eastAsia"/>
          <w:color w:val="auto"/>
          <w:vertAlign w:val="superscript"/>
          <w:lang w:val="en-US" w:eastAsia="zh-CN"/>
        </w:rPr>
        <w:t>3</w:t>
      </w:r>
      <w:r>
        <w:rPr>
          <w:rFonts w:hint="eastAsia"/>
          <w:color w:val="auto"/>
          <w:lang w:val="en-US" w:eastAsia="zh-CN"/>
        </w:rPr>
        <w:t>/s）轴流通风机一台。</w:t>
      </w:r>
    </w:p>
    <w:p w14:paraId="3124AEC3">
      <w:pPr>
        <w:rPr>
          <w:rFonts w:hint="eastAsia"/>
          <w:color w:val="auto"/>
          <w:lang w:val="en-US" w:eastAsia="zh-CN"/>
        </w:rPr>
      </w:pPr>
      <w:r>
        <w:rPr>
          <w:rFonts w:hint="eastAsia"/>
          <w:color w:val="auto"/>
          <w:lang w:val="en-US" w:eastAsia="zh-CN"/>
        </w:rPr>
        <w:t>矿山高压配变电站在2#主斜井北侧，距2#主斜井口约0.1km。井下主电缆沿2#主斜井铺设。</w:t>
      </w:r>
    </w:p>
    <w:p w14:paraId="292C54EE">
      <w:pPr>
        <w:rPr>
          <w:rFonts w:hint="eastAsia"/>
          <w:color w:val="auto"/>
          <w:lang w:val="en-US" w:eastAsia="zh-CN"/>
        </w:rPr>
      </w:pPr>
      <w:r>
        <w:rPr>
          <w:rFonts w:hint="eastAsia"/>
          <w:color w:val="auto"/>
          <w:lang w:val="en-US" w:eastAsia="zh-CN"/>
        </w:rPr>
        <w:t>另外矿山还建有选矿厂、酸水处理厂、办公生活区。选矿厂紧挨2#主斜井工业广场北侧，酸水处理厂位于3#斜坡道北侧30m，办公生活区位于2#主斜井北侧400m处。</w:t>
      </w:r>
    </w:p>
    <w:p w14:paraId="5E445BE7">
      <w:pPr>
        <w:rPr>
          <w:rFonts w:hint="eastAsia"/>
          <w:color w:val="auto"/>
          <w:lang w:val="en-US" w:eastAsia="zh-CN"/>
        </w:rPr>
      </w:pPr>
      <w:r>
        <w:rPr>
          <w:rFonts w:hint="eastAsia"/>
          <w:color w:val="auto"/>
          <w:lang w:val="en-US" w:eastAsia="zh-CN"/>
        </w:rPr>
        <w:t>宁都硫铁矿周边无其它矿业权设置，不存在其它矿山开采。</w:t>
      </w:r>
    </w:p>
    <w:p w14:paraId="2C52178D">
      <w:pPr>
        <w:rPr>
          <w:rFonts w:hint="eastAsia"/>
          <w:color w:val="auto"/>
          <w:lang w:val="en-US" w:eastAsia="zh-CN"/>
        </w:rPr>
      </w:pPr>
      <w:r>
        <w:rPr>
          <w:rFonts w:hint="eastAsia"/>
          <w:color w:val="auto"/>
          <w:lang w:val="en-US" w:eastAsia="zh-CN"/>
        </w:rPr>
        <w:t>2. 矿山开采特点及存在问题</w:t>
      </w:r>
    </w:p>
    <w:p w14:paraId="7F3A4E7D">
      <w:pPr>
        <w:rPr>
          <w:rFonts w:hint="eastAsia"/>
          <w:color w:val="auto"/>
          <w:lang w:val="en-US" w:eastAsia="zh-CN"/>
        </w:rPr>
      </w:pPr>
      <w:r>
        <w:rPr>
          <w:rFonts w:hint="eastAsia"/>
          <w:color w:val="auto"/>
          <w:lang w:val="en-US" w:eastAsia="zh-CN"/>
        </w:rPr>
        <w:t>矿山目前生产能力达不到矿山采矿许可证和安全许可证所核准的年产30.00万t的生产能力，本次改建工程从矿山现状出发，以技术手段满足矿山产能需求、提高矿山生产运输安全管理水平及矿山智能化建设的更新升级，旨在突破现状矿山低产能的生产现状，通过技术改造使主斜坡道成为矿石提升的主要路径，实现矿山达到矿山采矿许可证和安全许可证所核准的年产30.00万t的生产能力。</w:t>
      </w:r>
    </w:p>
    <w:p w14:paraId="62CE588D">
      <w:pPr>
        <w:rPr>
          <w:rFonts w:hint="eastAsia"/>
          <w:color w:val="auto"/>
          <w:lang w:val="en-US" w:eastAsia="zh-CN"/>
        </w:rPr>
      </w:pPr>
      <w:r>
        <w:rPr>
          <w:rFonts w:hint="eastAsia"/>
          <w:color w:val="auto"/>
          <w:lang w:val="en-US" w:eastAsia="zh-CN"/>
        </w:rPr>
        <w:t>3. 利旧工程</w:t>
      </w:r>
    </w:p>
    <w:p w14:paraId="3F6F1379">
      <w:pPr>
        <w:rPr>
          <w:rFonts w:hint="default"/>
          <w:color w:val="auto"/>
          <w:lang w:val="en-US" w:eastAsia="zh-CN"/>
        </w:rPr>
      </w:pPr>
      <w:r>
        <w:rPr>
          <w:rFonts w:hint="eastAsia"/>
          <w:color w:val="auto"/>
          <w:lang w:val="en-US" w:eastAsia="zh-CN"/>
        </w:rPr>
        <w:t>该工程利旧工程主要有1#回风井、2#主斜井、3#斜坡道、4#副斜井等，改建后各利旧工程的名称和功能拟作调整，详</w:t>
      </w:r>
      <w:r>
        <w:rPr>
          <w:rFonts w:hint="default"/>
          <w:color w:val="auto"/>
          <w:lang w:val="en-US" w:eastAsia="zh-CN"/>
        </w:rPr>
        <w:t>见表2</w:t>
      </w:r>
      <w:r>
        <w:rPr>
          <w:rFonts w:hint="eastAsia"/>
          <w:color w:val="auto"/>
          <w:lang w:val="en-US" w:eastAsia="zh-CN"/>
        </w:rPr>
        <w:t>.4</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35F46B17">
      <w:pPr>
        <w:ind w:left="0" w:leftChars="0" w:firstLine="0" w:firstLineChars="0"/>
        <w:jc w:val="center"/>
        <w:rPr>
          <w:rFonts w:hint="default"/>
          <w:color w:val="auto"/>
          <w:lang w:val="en-US" w:eastAsia="zh-CN"/>
        </w:rPr>
      </w:pPr>
      <w:r>
        <w:rPr>
          <w:rFonts w:hint="default"/>
          <w:color w:val="auto"/>
          <w:lang w:val="en-US" w:eastAsia="zh-CN"/>
        </w:rPr>
        <w:t>表2</w:t>
      </w:r>
      <w:r>
        <w:rPr>
          <w:rFonts w:hint="eastAsia"/>
          <w:color w:val="auto"/>
          <w:lang w:val="en-US" w:eastAsia="zh-CN"/>
        </w:rPr>
        <w:t>.4</w:t>
      </w:r>
      <w:r>
        <w:rPr>
          <w:rFonts w:hint="default"/>
          <w:color w:val="auto"/>
          <w:lang w:val="en-US" w:eastAsia="zh-CN"/>
        </w:rPr>
        <w:t>-</w:t>
      </w:r>
      <w:r>
        <w:rPr>
          <w:rFonts w:hint="eastAsia"/>
          <w:color w:val="auto"/>
          <w:lang w:val="en-US" w:eastAsia="zh-CN"/>
        </w:rPr>
        <w:t>1 改建前后</w:t>
      </w:r>
      <w:r>
        <w:rPr>
          <w:rFonts w:hint="default"/>
          <w:color w:val="auto"/>
          <w:lang w:val="en-US" w:eastAsia="zh-CN"/>
        </w:rPr>
        <w:t>主要利旧工程</w:t>
      </w:r>
      <w:r>
        <w:rPr>
          <w:rFonts w:hint="eastAsia"/>
          <w:color w:val="auto"/>
          <w:lang w:val="en-US" w:eastAsia="zh-CN"/>
        </w:rPr>
        <w:t>调整情况一览表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1324"/>
        <w:gridCol w:w="2092"/>
        <w:gridCol w:w="1391"/>
        <w:gridCol w:w="3791"/>
      </w:tblGrid>
      <w:tr w14:paraId="3000C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368" w:type="pct"/>
            <w:noWrap w:val="0"/>
            <w:vAlign w:val="center"/>
          </w:tcPr>
          <w:p w14:paraId="4D158E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713" w:type="pct"/>
            <w:noWrap w:val="0"/>
            <w:vAlign w:val="center"/>
          </w:tcPr>
          <w:p w14:paraId="779921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eastAsia" w:cs="Times New Roman"/>
                <w:b/>
                <w:bCs/>
                <w:color w:val="auto"/>
                <w:sz w:val="21"/>
                <w:szCs w:val="21"/>
                <w:lang w:val="en-US" w:eastAsia="zh-CN"/>
              </w:rPr>
              <w:t>改建前</w:t>
            </w:r>
            <w:r>
              <w:rPr>
                <w:rFonts w:hint="default" w:ascii="Times New Roman" w:hAnsi="Times New Roman" w:eastAsia="宋体" w:cs="Times New Roman"/>
                <w:b/>
                <w:bCs/>
                <w:color w:val="auto"/>
                <w:sz w:val="21"/>
                <w:szCs w:val="21"/>
              </w:rPr>
              <w:t>名称</w:t>
            </w:r>
          </w:p>
        </w:tc>
        <w:tc>
          <w:tcPr>
            <w:tcW w:w="1127" w:type="pct"/>
            <w:noWrap w:val="0"/>
            <w:vAlign w:val="center"/>
          </w:tcPr>
          <w:p w14:paraId="770FE4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改建前功能</w:t>
            </w:r>
          </w:p>
        </w:tc>
        <w:tc>
          <w:tcPr>
            <w:tcW w:w="749" w:type="pct"/>
            <w:noWrap w:val="0"/>
            <w:vAlign w:val="center"/>
          </w:tcPr>
          <w:p w14:paraId="2F96A6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改建后名称</w:t>
            </w:r>
          </w:p>
        </w:tc>
        <w:tc>
          <w:tcPr>
            <w:tcW w:w="2041" w:type="pct"/>
            <w:noWrap w:val="0"/>
            <w:vAlign w:val="center"/>
          </w:tcPr>
          <w:p w14:paraId="187606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eastAsia" w:cs="Times New Roman"/>
                <w:b/>
                <w:bCs/>
                <w:color w:val="auto"/>
                <w:sz w:val="21"/>
                <w:szCs w:val="21"/>
                <w:lang w:val="en-US" w:eastAsia="zh-CN"/>
              </w:rPr>
              <w:t>改建</w:t>
            </w:r>
            <w:r>
              <w:rPr>
                <w:rFonts w:hint="default" w:ascii="Times New Roman" w:hAnsi="Times New Roman" w:eastAsia="宋体" w:cs="Times New Roman"/>
                <w:b/>
                <w:bCs/>
                <w:color w:val="auto"/>
                <w:sz w:val="21"/>
                <w:szCs w:val="21"/>
                <w:lang w:val="en-US" w:eastAsia="zh-CN"/>
              </w:rPr>
              <w:t>后</w:t>
            </w:r>
            <w:r>
              <w:rPr>
                <w:rFonts w:hint="default" w:ascii="Times New Roman" w:hAnsi="Times New Roman" w:eastAsia="宋体" w:cs="Times New Roman"/>
                <w:b/>
                <w:bCs/>
                <w:color w:val="auto"/>
                <w:sz w:val="21"/>
                <w:szCs w:val="21"/>
              </w:rPr>
              <w:t>的功能</w:t>
            </w:r>
          </w:p>
        </w:tc>
      </w:tr>
      <w:tr w14:paraId="6678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68" w:type="pct"/>
            <w:noWrap w:val="0"/>
            <w:vAlign w:val="center"/>
          </w:tcPr>
          <w:p w14:paraId="2E2335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713" w:type="pct"/>
            <w:noWrap w:val="0"/>
            <w:vAlign w:val="center"/>
          </w:tcPr>
          <w:p w14:paraId="1A01C8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1#</w:t>
            </w:r>
            <w:r>
              <w:rPr>
                <w:rFonts w:hint="eastAsia" w:cs="Times New Roman"/>
                <w:color w:val="auto"/>
                <w:sz w:val="21"/>
                <w:szCs w:val="21"/>
                <w:lang w:val="en-US" w:eastAsia="zh-CN"/>
              </w:rPr>
              <w:t>回风井</w:t>
            </w:r>
          </w:p>
        </w:tc>
        <w:tc>
          <w:tcPr>
            <w:tcW w:w="1127" w:type="pct"/>
            <w:noWrap w:val="0"/>
            <w:vAlign w:val="center"/>
          </w:tcPr>
          <w:p w14:paraId="772393A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矿山主回风斜井</w:t>
            </w:r>
          </w:p>
        </w:tc>
        <w:tc>
          <w:tcPr>
            <w:tcW w:w="749" w:type="pct"/>
            <w:noWrap w:val="0"/>
            <w:vAlign w:val="center"/>
          </w:tcPr>
          <w:p w14:paraId="1100B8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南风井</w:t>
            </w:r>
          </w:p>
        </w:tc>
        <w:tc>
          <w:tcPr>
            <w:tcW w:w="2041" w:type="pct"/>
            <w:noWrap w:val="0"/>
            <w:vAlign w:val="center"/>
          </w:tcPr>
          <w:p w14:paraId="2621855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担负3-18号勘探线之间的矿体开采回风任务、兼作应急安全出口</w:t>
            </w:r>
          </w:p>
        </w:tc>
      </w:tr>
      <w:tr w14:paraId="1E688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368" w:type="pct"/>
            <w:noWrap w:val="0"/>
            <w:vAlign w:val="center"/>
          </w:tcPr>
          <w:p w14:paraId="53445F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2</w:t>
            </w:r>
          </w:p>
        </w:tc>
        <w:tc>
          <w:tcPr>
            <w:tcW w:w="713" w:type="pct"/>
            <w:noWrap w:val="0"/>
            <w:vAlign w:val="center"/>
          </w:tcPr>
          <w:p w14:paraId="22DFA3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2#</w:t>
            </w:r>
            <w:r>
              <w:rPr>
                <w:rFonts w:hint="eastAsia" w:cs="Times New Roman"/>
                <w:color w:val="auto"/>
                <w:sz w:val="21"/>
                <w:szCs w:val="21"/>
                <w:lang w:val="en-US" w:eastAsia="zh-CN"/>
              </w:rPr>
              <w:t>主</w:t>
            </w:r>
            <w:r>
              <w:rPr>
                <w:rFonts w:hint="default" w:ascii="Times New Roman" w:hAnsi="Times New Roman" w:eastAsia="宋体" w:cs="Times New Roman"/>
                <w:color w:val="auto"/>
                <w:sz w:val="21"/>
                <w:szCs w:val="21"/>
                <w:lang w:eastAsia="zh-CN"/>
              </w:rPr>
              <w:t>斜井</w:t>
            </w:r>
          </w:p>
        </w:tc>
        <w:tc>
          <w:tcPr>
            <w:tcW w:w="1127" w:type="pct"/>
            <w:noWrap w:val="0"/>
            <w:vAlign w:val="center"/>
          </w:tcPr>
          <w:p w14:paraId="5165C7D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矿山主斜井兼做进风井</w:t>
            </w:r>
          </w:p>
        </w:tc>
        <w:tc>
          <w:tcPr>
            <w:tcW w:w="749" w:type="pct"/>
            <w:noWrap w:val="0"/>
            <w:vAlign w:val="center"/>
          </w:tcPr>
          <w:p w14:paraId="2AA459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副斜井</w:t>
            </w:r>
          </w:p>
        </w:tc>
        <w:tc>
          <w:tcPr>
            <w:tcW w:w="2041" w:type="pct"/>
            <w:noWrap w:val="0"/>
            <w:vAlign w:val="center"/>
          </w:tcPr>
          <w:p w14:paraId="29F744A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不做改造，作为矿井辅助运输（运输材料），兼作矿区南端进风井安全出口</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下井主电缆、排水管道、供水管道沿副斜井。</w:t>
            </w:r>
          </w:p>
        </w:tc>
      </w:tr>
      <w:tr w14:paraId="42D1C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368" w:type="pct"/>
            <w:noWrap w:val="0"/>
            <w:vAlign w:val="center"/>
          </w:tcPr>
          <w:p w14:paraId="58C3E6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p>
        </w:tc>
        <w:tc>
          <w:tcPr>
            <w:tcW w:w="713" w:type="pct"/>
            <w:noWrap w:val="0"/>
            <w:vAlign w:val="center"/>
          </w:tcPr>
          <w:p w14:paraId="20B404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3#斜坡道</w:t>
            </w:r>
          </w:p>
        </w:tc>
        <w:tc>
          <w:tcPr>
            <w:tcW w:w="1127" w:type="pct"/>
            <w:noWrap w:val="0"/>
            <w:vAlign w:val="center"/>
          </w:tcPr>
          <w:p w14:paraId="448F9D1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矿山辅助运输兼作进风井</w:t>
            </w:r>
          </w:p>
        </w:tc>
        <w:tc>
          <w:tcPr>
            <w:tcW w:w="749" w:type="pct"/>
            <w:noWrap w:val="0"/>
            <w:vAlign w:val="center"/>
          </w:tcPr>
          <w:p w14:paraId="584272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主斜坡道</w:t>
            </w:r>
          </w:p>
        </w:tc>
        <w:tc>
          <w:tcPr>
            <w:tcW w:w="2041" w:type="pct"/>
            <w:noWrap w:val="0"/>
            <w:vAlign w:val="center"/>
          </w:tcPr>
          <w:p w14:paraId="382C4B1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主斜坡道担负主运输任务</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兼作进风井及主要安全出口</w:t>
            </w:r>
            <w:r>
              <w:rPr>
                <w:rFonts w:hint="eastAsia" w:cs="Times New Roman"/>
                <w:color w:val="auto"/>
                <w:sz w:val="21"/>
                <w:szCs w:val="21"/>
                <w:lang w:eastAsia="zh-CN"/>
              </w:rPr>
              <w:t>。</w:t>
            </w:r>
          </w:p>
        </w:tc>
      </w:tr>
      <w:tr w14:paraId="58DE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368" w:type="pct"/>
            <w:noWrap w:val="0"/>
            <w:vAlign w:val="center"/>
          </w:tcPr>
          <w:p w14:paraId="6A4F1D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p>
        </w:tc>
        <w:tc>
          <w:tcPr>
            <w:tcW w:w="713" w:type="pct"/>
            <w:noWrap w:val="0"/>
            <w:vAlign w:val="center"/>
          </w:tcPr>
          <w:p w14:paraId="50F271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4#副斜井</w:t>
            </w:r>
          </w:p>
        </w:tc>
        <w:tc>
          <w:tcPr>
            <w:tcW w:w="1127" w:type="pct"/>
            <w:noWrap w:val="0"/>
            <w:vAlign w:val="center"/>
          </w:tcPr>
          <w:p w14:paraId="759BD0F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用于提升人员、废石和材料，兼作矿区北端进风井</w:t>
            </w:r>
          </w:p>
        </w:tc>
        <w:tc>
          <w:tcPr>
            <w:tcW w:w="749" w:type="pct"/>
            <w:noWrap w:val="0"/>
            <w:vAlign w:val="center"/>
          </w:tcPr>
          <w:p w14:paraId="622C8F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北风井</w:t>
            </w:r>
          </w:p>
        </w:tc>
        <w:tc>
          <w:tcPr>
            <w:tcW w:w="2041" w:type="pct"/>
            <w:noWrap w:val="0"/>
            <w:vAlign w:val="center"/>
          </w:tcPr>
          <w:p w14:paraId="526508B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cs="Times New Roman"/>
                <w:color w:val="auto"/>
                <w:sz w:val="21"/>
                <w:szCs w:val="21"/>
                <w:lang w:val="en-US" w:eastAsia="zh-CN"/>
              </w:rPr>
            </w:pPr>
            <w:r>
              <w:rPr>
                <w:rFonts w:hint="eastAsia" w:cs="Times New Roman"/>
                <w:color w:val="auto"/>
                <w:sz w:val="21"/>
                <w:szCs w:val="21"/>
                <w:lang w:val="en-US" w:eastAsia="zh-CN"/>
              </w:rPr>
              <w:t>作为11-7号勘探线之间的矿体开采回风井，兼作此区域开采的应急安全出口。</w:t>
            </w:r>
          </w:p>
        </w:tc>
      </w:tr>
      <w:tr w14:paraId="37E58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68" w:type="pct"/>
            <w:noWrap w:val="0"/>
            <w:vAlign w:val="center"/>
          </w:tcPr>
          <w:p w14:paraId="7C5E23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5</w:t>
            </w:r>
          </w:p>
        </w:tc>
        <w:tc>
          <w:tcPr>
            <w:tcW w:w="4631" w:type="pct"/>
            <w:gridSpan w:val="4"/>
            <w:noWrap w:val="0"/>
            <w:vAlign w:val="center"/>
          </w:tcPr>
          <w:p w14:paraId="5345034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现有供电、供水、供</w:t>
            </w:r>
            <w:r>
              <w:rPr>
                <w:rFonts w:hint="eastAsia" w:ascii="Times New Roman" w:hAnsi="Times New Roman" w:eastAsia="宋体" w:cs="Times New Roman"/>
                <w:color w:val="auto"/>
                <w:sz w:val="21"/>
                <w:szCs w:val="21"/>
                <w:lang w:val="en-US" w:eastAsia="zh-CN"/>
              </w:rPr>
              <w:t>风</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排水</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六大系统</w:t>
            </w:r>
            <w:r>
              <w:rPr>
                <w:rFonts w:hint="eastAsia" w:ascii="Times New Roman" w:hAnsi="Times New Roman" w:eastAsia="宋体" w:cs="Times New Roman"/>
                <w:color w:val="auto"/>
                <w:sz w:val="21"/>
                <w:szCs w:val="21"/>
                <w:lang w:eastAsia="zh-CN"/>
              </w:rPr>
              <w:t>”</w:t>
            </w:r>
            <w:r>
              <w:rPr>
                <w:rFonts w:hint="eastAsia" w:cs="Times New Roman"/>
                <w:color w:val="auto"/>
                <w:sz w:val="21"/>
                <w:szCs w:val="21"/>
                <w:lang w:val="en-US" w:eastAsia="zh-CN"/>
              </w:rPr>
              <w:t>进行局部改造</w:t>
            </w:r>
            <w:r>
              <w:rPr>
                <w:rFonts w:hint="default" w:ascii="Times New Roman" w:hAnsi="Times New Roman" w:eastAsia="宋体" w:cs="Times New Roman"/>
                <w:color w:val="auto"/>
                <w:sz w:val="21"/>
                <w:szCs w:val="21"/>
              </w:rPr>
              <w:t>。</w:t>
            </w:r>
          </w:p>
        </w:tc>
      </w:tr>
    </w:tbl>
    <w:p w14:paraId="5F5F1863">
      <w:pPr>
        <w:pStyle w:val="4"/>
        <w:bidi w:val="0"/>
        <w:rPr>
          <w:rFonts w:hint="default"/>
          <w:color w:val="auto"/>
          <w:lang w:val="en-US" w:eastAsia="zh-CN"/>
        </w:rPr>
      </w:pPr>
      <w:bookmarkStart w:id="163" w:name="_Toc10568"/>
      <w:bookmarkStart w:id="164" w:name="_Toc8372"/>
      <w:bookmarkStart w:id="165" w:name="_Toc2744"/>
      <w:bookmarkStart w:id="166" w:name="_Toc26312"/>
      <w:r>
        <w:rPr>
          <w:rFonts w:hint="default"/>
          <w:color w:val="auto"/>
          <w:lang w:val="en-US" w:eastAsia="zh-CN"/>
        </w:rPr>
        <w:t>2.4.2</w:t>
      </w:r>
      <w:r>
        <w:rPr>
          <w:rFonts w:hint="eastAsia"/>
          <w:color w:val="auto"/>
          <w:lang w:val="en-US" w:eastAsia="zh-CN"/>
        </w:rPr>
        <w:t xml:space="preserve"> </w:t>
      </w:r>
      <w:r>
        <w:rPr>
          <w:rFonts w:hint="default"/>
          <w:color w:val="auto"/>
          <w:lang w:val="en-US" w:eastAsia="zh-CN"/>
        </w:rPr>
        <w:t>建设规模及工作制度</w:t>
      </w:r>
      <w:bookmarkEnd w:id="163"/>
      <w:bookmarkEnd w:id="164"/>
      <w:bookmarkEnd w:id="165"/>
      <w:bookmarkEnd w:id="166"/>
    </w:p>
    <w:p w14:paraId="4D53CF50">
      <w:pPr>
        <w:rPr>
          <w:rFonts w:hint="default"/>
          <w:color w:val="auto"/>
          <w:lang w:val="en-US" w:eastAsia="zh-CN"/>
        </w:rPr>
      </w:pPr>
      <w:r>
        <w:rPr>
          <w:rFonts w:hint="eastAsia"/>
          <w:color w:val="auto"/>
          <w:lang w:val="en-US" w:eastAsia="zh-CN"/>
        </w:rPr>
        <w:t xml:space="preserve">1. </w:t>
      </w:r>
      <w:r>
        <w:rPr>
          <w:rFonts w:hint="default"/>
          <w:color w:val="auto"/>
          <w:lang w:val="en-US" w:eastAsia="zh-CN"/>
        </w:rPr>
        <w:t>地质储量及可采储量</w:t>
      </w:r>
    </w:p>
    <w:p w14:paraId="19FD2CCE">
      <w:pPr>
        <w:rPr>
          <w:rFonts w:hint="default"/>
          <w:color w:val="auto"/>
          <w:lang w:val="en-US" w:eastAsia="zh-CN"/>
        </w:rPr>
      </w:pPr>
      <w:r>
        <w:rPr>
          <w:rFonts w:hint="eastAsia"/>
          <w:color w:val="auto"/>
          <w:lang w:val="en-US" w:eastAsia="zh-CN"/>
        </w:rPr>
        <w:t>（1）地质储量</w:t>
      </w:r>
    </w:p>
    <w:p w14:paraId="7A717D8C">
      <w:pPr>
        <w:rPr>
          <w:rFonts w:hint="default"/>
          <w:color w:val="auto"/>
          <w:lang w:val="en-US" w:eastAsia="zh-CN"/>
        </w:rPr>
      </w:pPr>
      <w:r>
        <w:rPr>
          <w:rFonts w:hint="default"/>
          <w:color w:val="auto"/>
          <w:lang w:val="en-US" w:eastAsia="zh-CN"/>
        </w:rPr>
        <w:t>2023年江西省地质局第七地质大队编制《江西省宁都县青塘矿区硫铁矿2023年度矿山储量年度报告》截止2023年12月31日，宁都县青塘硫铁矿采矿证范围内保有硫铁矿矿石量8624.75kt，伴生Cu</w:t>
      </w:r>
      <w:r>
        <w:rPr>
          <w:rFonts w:hint="eastAsia"/>
          <w:color w:val="auto"/>
          <w:lang w:val="en-US" w:eastAsia="zh-CN"/>
        </w:rPr>
        <w:t xml:space="preserve"> </w:t>
      </w:r>
      <w:r>
        <w:rPr>
          <w:rFonts w:hint="default"/>
          <w:color w:val="auto"/>
          <w:lang w:val="en-US" w:eastAsia="zh-CN"/>
        </w:rPr>
        <w:t>19.705kt，WO</w:t>
      </w:r>
      <w:r>
        <w:rPr>
          <w:rFonts w:hint="default"/>
          <w:color w:val="auto"/>
          <w:vertAlign w:val="subscript"/>
          <w:lang w:val="en-US" w:eastAsia="zh-CN"/>
        </w:rPr>
        <w:t>3</w:t>
      </w:r>
      <w:r>
        <w:rPr>
          <w:rFonts w:hint="eastAsia"/>
          <w:color w:val="auto"/>
          <w:vertAlign w:val="baseline"/>
          <w:lang w:val="en-US" w:eastAsia="zh-CN"/>
        </w:rPr>
        <w:t xml:space="preserve"> </w:t>
      </w:r>
      <w:r>
        <w:rPr>
          <w:rFonts w:hint="default"/>
          <w:color w:val="auto"/>
          <w:lang w:val="en-US" w:eastAsia="zh-CN"/>
        </w:rPr>
        <w:t>7.829kt，平均品位S</w:t>
      </w:r>
      <w:r>
        <w:rPr>
          <w:rFonts w:hint="eastAsia"/>
          <w:color w:val="auto"/>
          <w:lang w:val="en-US" w:eastAsia="zh-CN"/>
        </w:rPr>
        <w:t xml:space="preserve"> </w:t>
      </w:r>
      <w:r>
        <w:rPr>
          <w:rFonts w:hint="default"/>
          <w:color w:val="auto"/>
          <w:lang w:val="en-US" w:eastAsia="zh-CN"/>
        </w:rPr>
        <w:t>21.32%、Cu</w:t>
      </w:r>
      <w:r>
        <w:rPr>
          <w:rFonts w:hint="eastAsia"/>
          <w:color w:val="auto"/>
          <w:lang w:val="en-US" w:eastAsia="zh-CN"/>
        </w:rPr>
        <w:t xml:space="preserve"> </w:t>
      </w:r>
      <w:r>
        <w:rPr>
          <w:rFonts w:hint="default"/>
          <w:color w:val="auto"/>
          <w:lang w:val="en-US" w:eastAsia="zh-CN"/>
        </w:rPr>
        <w:t>0.291%、WO</w:t>
      </w:r>
      <w:r>
        <w:rPr>
          <w:rFonts w:hint="default"/>
          <w:color w:val="auto"/>
          <w:vertAlign w:val="subscript"/>
          <w:lang w:val="en-US" w:eastAsia="zh-CN"/>
        </w:rPr>
        <w:t>3</w:t>
      </w:r>
      <w:r>
        <w:rPr>
          <w:rFonts w:hint="eastAsia"/>
          <w:color w:val="auto"/>
          <w:lang w:val="en-US" w:eastAsia="zh-CN"/>
        </w:rPr>
        <w:t xml:space="preserve"> </w:t>
      </w:r>
      <w:r>
        <w:rPr>
          <w:rFonts w:hint="default"/>
          <w:color w:val="auto"/>
          <w:lang w:val="en-US" w:eastAsia="zh-CN"/>
        </w:rPr>
        <w:t>0.008%，其中推断资源量6158.81kt，控制资源量2465.94kt。</w:t>
      </w:r>
    </w:p>
    <w:p w14:paraId="60B1F110">
      <w:pPr>
        <w:rPr>
          <w:rFonts w:hint="default"/>
          <w:color w:val="auto"/>
          <w:lang w:val="en-US" w:eastAsia="zh-CN"/>
        </w:rPr>
      </w:pPr>
      <w:r>
        <w:rPr>
          <w:rFonts w:hint="default"/>
          <w:color w:val="auto"/>
          <w:lang w:val="en-US" w:eastAsia="zh-CN"/>
        </w:rPr>
        <w:t>2023年年报提供的地质资源量中推断资源量可信度较低，矿山地质构造简单，可信度按K=0.8考虑。因此工业资源/储量按KZ+TD×0.8计算。</w:t>
      </w:r>
    </w:p>
    <w:p w14:paraId="2A1A3C5A">
      <w:pPr>
        <w:rPr>
          <w:rFonts w:hint="default"/>
          <w:color w:val="auto"/>
          <w:lang w:val="en-US" w:eastAsia="zh-CN"/>
        </w:rPr>
      </w:pPr>
      <w:r>
        <w:rPr>
          <w:rFonts w:hint="default"/>
          <w:color w:val="auto"/>
          <w:lang w:val="en-US" w:eastAsia="zh-CN"/>
        </w:rPr>
        <w:t>工业资源/储量＝2465.94+6158.81×0.8＝7392.99kt。</w:t>
      </w:r>
    </w:p>
    <w:p w14:paraId="312F2F52">
      <w:pPr>
        <w:rPr>
          <w:rFonts w:hint="eastAsia"/>
          <w:color w:val="auto"/>
          <w:lang w:val="en-US" w:eastAsia="zh-CN"/>
        </w:rPr>
      </w:pPr>
      <w:r>
        <w:rPr>
          <w:rFonts w:hint="eastAsia"/>
          <w:color w:val="auto"/>
          <w:lang w:val="en-US" w:eastAsia="zh-CN"/>
        </w:rPr>
        <w:t>（2）可采储量</w:t>
      </w:r>
    </w:p>
    <w:p w14:paraId="162CB713">
      <w:pPr>
        <w:ind w:left="0" w:leftChars="0" w:firstLine="0" w:firstLineChars="0"/>
        <w:jc w:val="center"/>
        <w:rPr>
          <w:rFonts w:hint="default"/>
          <w:color w:val="auto"/>
          <w:lang w:val="en-US" w:eastAsia="zh-CN"/>
        </w:rPr>
      </w:pPr>
      <w:r>
        <w:rPr>
          <w:rFonts w:hint="eastAsia"/>
          <w:color w:val="auto"/>
          <w:lang w:val="en-US" w:eastAsia="zh-CN"/>
        </w:rPr>
        <w:t>表2.4-2 矿区可采储量一览表（单位：万t）</w:t>
      </w:r>
    </w:p>
    <w:tbl>
      <w:tblPr>
        <w:tblStyle w:val="36"/>
        <w:tblW w:w="92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5"/>
        <w:gridCol w:w="1234"/>
        <w:gridCol w:w="1216"/>
        <w:gridCol w:w="1360"/>
        <w:gridCol w:w="1567"/>
        <w:gridCol w:w="1011"/>
        <w:gridCol w:w="1372"/>
      </w:tblGrid>
      <w:tr w14:paraId="5272C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jc w:val="center"/>
        </w:trPr>
        <w:tc>
          <w:tcPr>
            <w:tcW w:w="1525" w:type="dxa"/>
            <w:tcBorders>
              <w:top w:val="single" w:color="000000" w:sz="12" w:space="0"/>
              <w:left w:val="single" w:color="000000" w:sz="12" w:space="0"/>
            </w:tcBorders>
            <w:vAlign w:val="center"/>
          </w:tcPr>
          <w:p w14:paraId="3421654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pacing w:val="-8"/>
                <w:sz w:val="21"/>
                <w:szCs w:val="21"/>
              </w:rPr>
              <w:t>中段名称</w:t>
            </w:r>
          </w:p>
        </w:tc>
        <w:tc>
          <w:tcPr>
            <w:tcW w:w="1234" w:type="dxa"/>
            <w:tcBorders>
              <w:top w:val="single" w:color="000000" w:sz="12" w:space="0"/>
            </w:tcBorders>
            <w:vAlign w:val="center"/>
          </w:tcPr>
          <w:p w14:paraId="4316560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pacing w:val="-5"/>
                <w:sz w:val="21"/>
                <w:szCs w:val="21"/>
              </w:rPr>
            </w:pPr>
            <w:r>
              <w:rPr>
                <w:rFonts w:hint="default" w:ascii="Times New Roman" w:hAnsi="Times New Roman" w:cs="Times New Roman"/>
                <w:b/>
                <w:bCs/>
                <w:color w:val="auto"/>
                <w:spacing w:val="-6"/>
                <w:sz w:val="21"/>
                <w:szCs w:val="21"/>
              </w:rPr>
              <w:t>工业资</w:t>
            </w:r>
            <w:r>
              <w:rPr>
                <w:rFonts w:hint="default" w:ascii="Times New Roman" w:hAnsi="Times New Roman" w:cs="Times New Roman"/>
                <w:b/>
                <w:bCs/>
                <w:color w:val="auto"/>
                <w:spacing w:val="-5"/>
                <w:sz w:val="21"/>
                <w:szCs w:val="21"/>
              </w:rPr>
              <w:t>源</w:t>
            </w:r>
          </w:p>
          <w:p w14:paraId="78CFEA2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eastAsia="Times New Roman" w:cs="Times New Roman"/>
                <w:b/>
                <w:bCs/>
                <w:color w:val="auto"/>
                <w:spacing w:val="-5"/>
                <w:sz w:val="21"/>
                <w:szCs w:val="21"/>
              </w:rPr>
              <w:t>/</w:t>
            </w:r>
            <w:r>
              <w:rPr>
                <w:rFonts w:hint="default" w:ascii="Times New Roman" w:hAnsi="Times New Roman" w:cs="Times New Roman"/>
                <w:b/>
                <w:bCs/>
                <w:color w:val="auto"/>
                <w:spacing w:val="-5"/>
                <w:sz w:val="21"/>
                <w:szCs w:val="21"/>
              </w:rPr>
              <w:t>储量</w:t>
            </w:r>
          </w:p>
        </w:tc>
        <w:tc>
          <w:tcPr>
            <w:tcW w:w="1216" w:type="dxa"/>
            <w:tcBorders>
              <w:top w:val="single" w:color="000000" w:sz="12" w:space="0"/>
            </w:tcBorders>
            <w:vAlign w:val="center"/>
          </w:tcPr>
          <w:p w14:paraId="2106CE3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pacing w:val="-2"/>
                <w:sz w:val="21"/>
                <w:szCs w:val="21"/>
              </w:rPr>
            </w:pPr>
            <w:r>
              <w:rPr>
                <w:rFonts w:hint="default" w:ascii="Times New Roman" w:hAnsi="Times New Roman" w:cs="Times New Roman"/>
                <w:b/>
                <w:bCs/>
                <w:color w:val="auto"/>
                <w:spacing w:val="-2"/>
                <w:sz w:val="21"/>
                <w:szCs w:val="21"/>
              </w:rPr>
              <w:t>保安矿柱</w:t>
            </w:r>
          </w:p>
          <w:p w14:paraId="1E62196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pacing w:val="-9"/>
                <w:sz w:val="21"/>
                <w:szCs w:val="21"/>
              </w:rPr>
              <w:t>留设量</w:t>
            </w:r>
          </w:p>
        </w:tc>
        <w:tc>
          <w:tcPr>
            <w:tcW w:w="1360" w:type="dxa"/>
            <w:tcBorders>
              <w:top w:val="single" w:color="000000" w:sz="12" w:space="0"/>
            </w:tcBorders>
            <w:vAlign w:val="center"/>
          </w:tcPr>
          <w:p w14:paraId="224BE0B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pacing w:val="-3"/>
                <w:sz w:val="21"/>
                <w:szCs w:val="21"/>
              </w:rPr>
            </w:pPr>
            <w:r>
              <w:rPr>
                <w:rFonts w:hint="default" w:ascii="Times New Roman" w:hAnsi="Times New Roman" w:cs="Times New Roman"/>
                <w:b/>
                <w:bCs/>
                <w:color w:val="auto"/>
                <w:spacing w:val="-3"/>
                <w:sz w:val="21"/>
                <w:szCs w:val="21"/>
              </w:rPr>
              <w:t>设计资源</w:t>
            </w:r>
          </w:p>
          <w:p w14:paraId="25550AD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eastAsia="Times New Roman" w:cs="Times New Roman"/>
                <w:b/>
                <w:bCs/>
                <w:color w:val="auto"/>
                <w:spacing w:val="-5"/>
                <w:sz w:val="21"/>
                <w:szCs w:val="21"/>
              </w:rPr>
              <w:t>/</w:t>
            </w:r>
            <w:r>
              <w:rPr>
                <w:rFonts w:hint="default" w:ascii="Times New Roman" w:hAnsi="Times New Roman" w:cs="Times New Roman"/>
                <w:b/>
                <w:bCs/>
                <w:color w:val="auto"/>
                <w:spacing w:val="-2"/>
                <w:sz w:val="21"/>
                <w:szCs w:val="21"/>
              </w:rPr>
              <w:t>储量</w:t>
            </w:r>
          </w:p>
        </w:tc>
        <w:tc>
          <w:tcPr>
            <w:tcW w:w="1567" w:type="dxa"/>
            <w:tcBorders>
              <w:top w:val="single" w:color="000000" w:sz="12" w:space="0"/>
            </w:tcBorders>
            <w:vAlign w:val="center"/>
          </w:tcPr>
          <w:p w14:paraId="77535CBD">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pacing w:val="-2"/>
                <w:sz w:val="21"/>
                <w:szCs w:val="21"/>
              </w:rPr>
              <w:t>设计损失量</w:t>
            </w:r>
          </w:p>
        </w:tc>
        <w:tc>
          <w:tcPr>
            <w:tcW w:w="1011" w:type="dxa"/>
            <w:tcBorders>
              <w:top w:val="single" w:color="000000" w:sz="12" w:space="0"/>
            </w:tcBorders>
            <w:vAlign w:val="center"/>
          </w:tcPr>
          <w:p w14:paraId="63CE1AE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pacing w:val="-5"/>
                <w:sz w:val="21"/>
                <w:szCs w:val="21"/>
              </w:rPr>
            </w:pPr>
            <w:r>
              <w:rPr>
                <w:rFonts w:hint="default" w:ascii="Times New Roman" w:hAnsi="Times New Roman" w:cs="Times New Roman"/>
                <w:b/>
                <w:bCs/>
                <w:color w:val="auto"/>
                <w:spacing w:val="-5"/>
                <w:sz w:val="21"/>
                <w:szCs w:val="21"/>
              </w:rPr>
              <w:t>采区</w:t>
            </w:r>
          </w:p>
          <w:p w14:paraId="65AB461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pacing w:val="-10"/>
                <w:sz w:val="21"/>
                <w:szCs w:val="21"/>
              </w:rPr>
              <w:t>回采率</w:t>
            </w:r>
          </w:p>
        </w:tc>
        <w:tc>
          <w:tcPr>
            <w:tcW w:w="1372" w:type="dxa"/>
            <w:tcBorders>
              <w:top w:val="single" w:color="000000" w:sz="12" w:space="0"/>
              <w:right w:val="single" w:color="000000" w:sz="12" w:space="0"/>
            </w:tcBorders>
            <w:vAlign w:val="center"/>
          </w:tcPr>
          <w:p w14:paraId="3691DF9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pacing w:val="-4"/>
                <w:sz w:val="21"/>
                <w:szCs w:val="21"/>
              </w:rPr>
            </w:pPr>
            <w:r>
              <w:rPr>
                <w:rFonts w:hint="default" w:ascii="Times New Roman" w:hAnsi="Times New Roman" w:cs="Times New Roman"/>
                <w:b/>
                <w:bCs/>
                <w:color w:val="auto"/>
                <w:spacing w:val="-4"/>
                <w:sz w:val="21"/>
                <w:szCs w:val="21"/>
              </w:rPr>
              <w:t>设计</w:t>
            </w:r>
          </w:p>
          <w:p w14:paraId="5E1FA19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pacing w:val="-4"/>
                <w:sz w:val="21"/>
                <w:szCs w:val="21"/>
              </w:rPr>
              <w:t>可采储量</w:t>
            </w:r>
          </w:p>
        </w:tc>
      </w:tr>
      <w:tr w14:paraId="37C4D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1525" w:type="dxa"/>
            <w:tcBorders>
              <w:left w:val="single" w:color="000000" w:sz="12" w:space="0"/>
            </w:tcBorders>
            <w:vAlign w:val="center"/>
          </w:tcPr>
          <w:p w14:paraId="24F61DF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4"/>
                <w:sz w:val="21"/>
                <w:szCs w:val="21"/>
              </w:rPr>
              <w:t>+190m</w:t>
            </w:r>
            <w:r>
              <w:rPr>
                <w:rFonts w:hint="default" w:ascii="Times New Roman" w:hAnsi="Times New Roman" w:cs="Times New Roman"/>
                <w:color w:val="auto"/>
                <w:spacing w:val="-4"/>
                <w:sz w:val="21"/>
                <w:szCs w:val="21"/>
              </w:rPr>
              <w:t>中段</w:t>
            </w:r>
          </w:p>
        </w:tc>
        <w:tc>
          <w:tcPr>
            <w:tcW w:w="1234" w:type="dxa"/>
            <w:vAlign w:val="center"/>
          </w:tcPr>
          <w:p w14:paraId="15F1F3E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45.084</w:t>
            </w:r>
          </w:p>
        </w:tc>
        <w:tc>
          <w:tcPr>
            <w:tcW w:w="1216" w:type="dxa"/>
            <w:vAlign w:val="center"/>
          </w:tcPr>
          <w:p w14:paraId="4E28292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45.084</w:t>
            </w:r>
          </w:p>
        </w:tc>
        <w:tc>
          <w:tcPr>
            <w:tcW w:w="1360" w:type="dxa"/>
            <w:vAlign w:val="center"/>
          </w:tcPr>
          <w:p w14:paraId="140A2C2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567" w:type="dxa"/>
            <w:vAlign w:val="center"/>
          </w:tcPr>
          <w:p w14:paraId="4C19AD2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011" w:type="dxa"/>
            <w:vAlign w:val="center"/>
          </w:tcPr>
          <w:p w14:paraId="4109B29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372" w:type="dxa"/>
            <w:tcBorders>
              <w:right w:val="single" w:color="000000" w:sz="12" w:space="0"/>
            </w:tcBorders>
            <w:vAlign w:val="center"/>
          </w:tcPr>
          <w:p w14:paraId="32EA8F6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r>
      <w:tr w14:paraId="4DFA64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jc w:val="center"/>
        </w:trPr>
        <w:tc>
          <w:tcPr>
            <w:tcW w:w="1525" w:type="dxa"/>
            <w:tcBorders>
              <w:left w:val="single" w:color="000000" w:sz="12" w:space="0"/>
            </w:tcBorders>
            <w:vAlign w:val="center"/>
          </w:tcPr>
          <w:p w14:paraId="7608B98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4"/>
                <w:sz w:val="21"/>
                <w:szCs w:val="21"/>
              </w:rPr>
              <w:t>+160m</w:t>
            </w:r>
            <w:r>
              <w:rPr>
                <w:rFonts w:hint="default" w:ascii="Times New Roman" w:hAnsi="Times New Roman" w:cs="Times New Roman"/>
                <w:color w:val="auto"/>
                <w:spacing w:val="-4"/>
                <w:sz w:val="21"/>
                <w:szCs w:val="21"/>
              </w:rPr>
              <w:t>中段</w:t>
            </w:r>
          </w:p>
        </w:tc>
        <w:tc>
          <w:tcPr>
            <w:tcW w:w="1234" w:type="dxa"/>
            <w:vAlign w:val="center"/>
          </w:tcPr>
          <w:p w14:paraId="387B198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231.592</w:t>
            </w:r>
          </w:p>
        </w:tc>
        <w:tc>
          <w:tcPr>
            <w:tcW w:w="1216" w:type="dxa"/>
            <w:vAlign w:val="center"/>
          </w:tcPr>
          <w:p w14:paraId="6B23AAC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360" w:type="dxa"/>
            <w:vAlign w:val="center"/>
          </w:tcPr>
          <w:p w14:paraId="4E28FB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231.592</w:t>
            </w:r>
          </w:p>
        </w:tc>
        <w:tc>
          <w:tcPr>
            <w:tcW w:w="1567" w:type="dxa"/>
            <w:vAlign w:val="center"/>
          </w:tcPr>
          <w:p w14:paraId="7665F9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34.739</w:t>
            </w:r>
          </w:p>
        </w:tc>
        <w:tc>
          <w:tcPr>
            <w:tcW w:w="1011" w:type="dxa"/>
            <w:vAlign w:val="center"/>
          </w:tcPr>
          <w:p w14:paraId="6819F2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85%</w:t>
            </w:r>
          </w:p>
        </w:tc>
        <w:tc>
          <w:tcPr>
            <w:tcW w:w="1372" w:type="dxa"/>
            <w:tcBorders>
              <w:right w:val="single" w:color="000000" w:sz="12" w:space="0"/>
            </w:tcBorders>
            <w:vAlign w:val="center"/>
          </w:tcPr>
          <w:p w14:paraId="08A0F95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196.853</w:t>
            </w:r>
          </w:p>
        </w:tc>
      </w:tr>
      <w:tr w14:paraId="43EBE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 w:hRule="atLeast"/>
          <w:jc w:val="center"/>
        </w:trPr>
        <w:tc>
          <w:tcPr>
            <w:tcW w:w="1525" w:type="dxa"/>
            <w:tcBorders>
              <w:left w:val="single" w:color="000000" w:sz="12" w:space="0"/>
            </w:tcBorders>
            <w:vAlign w:val="center"/>
          </w:tcPr>
          <w:p w14:paraId="5B2F2F4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4"/>
                <w:sz w:val="21"/>
                <w:szCs w:val="21"/>
              </w:rPr>
              <w:t>+130m</w:t>
            </w:r>
            <w:r>
              <w:rPr>
                <w:rFonts w:hint="default" w:ascii="Times New Roman" w:hAnsi="Times New Roman" w:cs="Times New Roman"/>
                <w:color w:val="auto"/>
                <w:spacing w:val="-4"/>
                <w:sz w:val="21"/>
                <w:szCs w:val="21"/>
              </w:rPr>
              <w:t>中段</w:t>
            </w:r>
          </w:p>
        </w:tc>
        <w:tc>
          <w:tcPr>
            <w:tcW w:w="1234" w:type="dxa"/>
            <w:vAlign w:val="center"/>
          </w:tcPr>
          <w:p w14:paraId="6682720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242.520</w:t>
            </w:r>
          </w:p>
        </w:tc>
        <w:tc>
          <w:tcPr>
            <w:tcW w:w="1216" w:type="dxa"/>
            <w:vAlign w:val="center"/>
          </w:tcPr>
          <w:p w14:paraId="29C600D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360" w:type="dxa"/>
            <w:vAlign w:val="center"/>
          </w:tcPr>
          <w:p w14:paraId="3E6D3A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242.520</w:t>
            </w:r>
          </w:p>
        </w:tc>
        <w:tc>
          <w:tcPr>
            <w:tcW w:w="1567" w:type="dxa"/>
            <w:vAlign w:val="center"/>
          </w:tcPr>
          <w:p w14:paraId="4987AC0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36.378</w:t>
            </w:r>
          </w:p>
        </w:tc>
        <w:tc>
          <w:tcPr>
            <w:tcW w:w="1011" w:type="dxa"/>
            <w:vAlign w:val="center"/>
          </w:tcPr>
          <w:p w14:paraId="513E834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85%</w:t>
            </w:r>
          </w:p>
        </w:tc>
        <w:tc>
          <w:tcPr>
            <w:tcW w:w="1372" w:type="dxa"/>
            <w:tcBorders>
              <w:right w:val="single" w:color="000000" w:sz="12" w:space="0"/>
            </w:tcBorders>
            <w:vAlign w:val="center"/>
          </w:tcPr>
          <w:p w14:paraId="6185654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206.142</w:t>
            </w:r>
          </w:p>
        </w:tc>
      </w:tr>
      <w:tr w14:paraId="676B7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525" w:type="dxa"/>
            <w:tcBorders>
              <w:left w:val="single" w:color="000000" w:sz="12" w:space="0"/>
            </w:tcBorders>
            <w:vAlign w:val="center"/>
          </w:tcPr>
          <w:p w14:paraId="3D58649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4"/>
                <w:sz w:val="21"/>
                <w:szCs w:val="21"/>
              </w:rPr>
              <w:t>+100m</w:t>
            </w:r>
            <w:r>
              <w:rPr>
                <w:rFonts w:hint="default" w:ascii="Times New Roman" w:hAnsi="Times New Roman" w:cs="Times New Roman"/>
                <w:color w:val="auto"/>
                <w:spacing w:val="-4"/>
                <w:sz w:val="21"/>
                <w:szCs w:val="21"/>
              </w:rPr>
              <w:t>中段</w:t>
            </w:r>
          </w:p>
        </w:tc>
        <w:tc>
          <w:tcPr>
            <w:tcW w:w="1234" w:type="dxa"/>
            <w:vAlign w:val="center"/>
          </w:tcPr>
          <w:p w14:paraId="444CE9D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220.104</w:t>
            </w:r>
          </w:p>
        </w:tc>
        <w:tc>
          <w:tcPr>
            <w:tcW w:w="1216" w:type="dxa"/>
            <w:vAlign w:val="center"/>
          </w:tcPr>
          <w:p w14:paraId="5DD52A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0</w:t>
            </w:r>
          </w:p>
        </w:tc>
        <w:tc>
          <w:tcPr>
            <w:tcW w:w="1360" w:type="dxa"/>
            <w:vAlign w:val="center"/>
          </w:tcPr>
          <w:p w14:paraId="517D047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220.104</w:t>
            </w:r>
          </w:p>
        </w:tc>
        <w:tc>
          <w:tcPr>
            <w:tcW w:w="1567" w:type="dxa"/>
            <w:vAlign w:val="center"/>
          </w:tcPr>
          <w:p w14:paraId="160A5D0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33.016</w:t>
            </w:r>
          </w:p>
        </w:tc>
        <w:tc>
          <w:tcPr>
            <w:tcW w:w="1011" w:type="dxa"/>
            <w:vAlign w:val="center"/>
          </w:tcPr>
          <w:p w14:paraId="4393F59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85%</w:t>
            </w:r>
          </w:p>
        </w:tc>
        <w:tc>
          <w:tcPr>
            <w:tcW w:w="1372" w:type="dxa"/>
            <w:tcBorders>
              <w:right w:val="single" w:color="000000" w:sz="12" w:space="0"/>
            </w:tcBorders>
            <w:vAlign w:val="center"/>
          </w:tcPr>
          <w:p w14:paraId="3CDE4C2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187.088</w:t>
            </w:r>
          </w:p>
        </w:tc>
      </w:tr>
      <w:tr w14:paraId="14587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1525" w:type="dxa"/>
            <w:tcBorders>
              <w:left w:val="single" w:color="000000" w:sz="12" w:space="0"/>
              <w:bottom w:val="single" w:color="000000" w:sz="12" w:space="0"/>
            </w:tcBorders>
            <w:vAlign w:val="center"/>
          </w:tcPr>
          <w:p w14:paraId="2AA3A76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4"/>
                <w:sz w:val="21"/>
                <w:szCs w:val="21"/>
              </w:rPr>
              <w:t>合计</w:t>
            </w:r>
          </w:p>
        </w:tc>
        <w:tc>
          <w:tcPr>
            <w:tcW w:w="1234" w:type="dxa"/>
            <w:tcBorders>
              <w:bottom w:val="single" w:color="000000" w:sz="12" w:space="0"/>
            </w:tcBorders>
            <w:vAlign w:val="center"/>
          </w:tcPr>
          <w:p w14:paraId="6D8C019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739.299</w:t>
            </w:r>
          </w:p>
        </w:tc>
        <w:tc>
          <w:tcPr>
            <w:tcW w:w="1216" w:type="dxa"/>
            <w:tcBorders>
              <w:bottom w:val="single" w:color="000000" w:sz="12" w:space="0"/>
            </w:tcBorders>
            <w:vAlign w:val="center"/>
          </w:tcPr>
          <w:p w14:paraId="3F47B6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45.084</w:t>
            </w:r>
          </w:p>
        </w:tc>
        <w:tc>
          <w:tcPr>
            <w:tcW w:w="1360" w:type="dxa"/>
            <w:tcBorders>
              <w:bottom w:val="single" w:color="000000" w:sz="12" w:space="0"/>
            </w:tcBorders>
            <w:vAlign w:val="center"/>
          </w:tcPr>
          <w:p w14:paraId="169F4F2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694.215</w:t>
            </w:r>
          </w:p>
        </w:tc>
        <w:tc>
          <w:tcPr>
            <w:tcW w:w="1567" w:type="dxa"/>
            <w:tcBorders>
              <w:bottom w:val="single" w:color="000000" w:sz="12" w:space="0"/>
            </w:tcBorders>
            <w:vAlign w:val="center"/>
          </w:tcPr>
          <w:p w14:paraId="28997E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104.132</w:t>
            </w:r>
          </w:p>
        </w:tc>
        <w:tc>
          <w:tcPr>
            <w:tcW w:w="1011" w:type="dxa"/>
            <w:tcBorders>
              <w:bottom w:val="single" w:color="000000" w:sz="12" w:space="0"/>
            </w:tcBorders>
            <w:vAlign w:val="center"/>
          </w:tcPr>
          <w:p w14:paraId="235EE9A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cs="Times New Roman"/>
                <w:color w:val="auto"/>
                <w:sz w:val="21"/>
                <w:szCs w:val="21"/>
              </w:rPr>
            </w:pPr>
          </w:p>
        </w:tc>
        <w:tc>
          <w:tcPr>
            <w:tcW w:w="1372" w:type="dxa"/>
            <w:tcBorders>
              <w:bottom w:val="single" w:color="000000" w:sz="12" w:space="0"/>
              <w:right w:val="single" w:color="000000" w:sz="12" w:space="0"/>
            </w:tcBorders>
            <w:vAlign w:val="center"/>
          </w:tcPr>
          <w:p w14:paraId="7E28B1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590.083</w:t>
            </w:r>
          </w:p>
        </w:tc>
      </w:tr>
    </w:tbl>
    <w:p w14:paraId="32414E62">
      <w:pPr>
        <w:rPr>
          <w:rFonts w:hint="eastAsia"/>
          <w:color w:val="auto"/>
          <w:lang w:val="en-US" w:eastAsia="zh-CN"/>
        </w:rPr>
      </w:pPr>
      <w:r>
        <w:rPr>
          <w:rFonts w:hint="eastAsia"/>
          <w:color w:val="auto"/>
          <w:lang w:val="en-US" w:eastAsia="zh-CN"/>
        </w:rPr>
        <w:t>2. 矿山生产规模</w:t>
      </w:r>
    </w:p>
    <w:p w14:paraId="51BC0427">
      <w:pPr>
        <w:rPr>
          <w:rFonts w:hint="eastAsia"/>
          <w:color w:val="auto"/>
          <w:lang w:val="en-US" w:eastAsia="zh-CN"/>
        </w:rPr>
      </w:pPr>
      <w:r>
        <w:rPr>
          <w:rFonts w:hint="eastAsia"/>
          <w:color w:val="auto"/>
          <w:lang w:val="en-US" w:eastAsia="zh-CN"/>
        </w:rPr>
        <w:t>《可研报告》拟定采矿能力30万吨/年。</w:t>
      </w:r>
    </w:p>
    <w:p w14:paraId="01473219">
      <w:pPr>
        <w:rPr>
          <w:rFonts w:hint="eastAsia"/>
          <w:color w:val="auto"/>
          <w:lang w:val="en-US" w:eastAsia="zh-CN"/>
        </w:rPr>
      </w:pPr>
      <w:r>
        <w:rPr>
          <w:rFonts w:hint="eastAsia"/>
          <w:color w:val="auto"/>
          <w:lang w:val="en-US" w:eastAsia="zh-CN"/>
        </w:rPr>
        <w:t>3. 矿山服务年限</w:t>
      </w:r>
    </w:p>
    <w:p w14:paraId="12C14910">
      <w:pPr>
        <w:jc w:val="center"/>
        <w:rPr>
          <w:rFonts w:hint="default"/>
          <w:color w:val="auto"/>
          <w:lang w:val="en-US" w:eastAsia="zh-CN"/>
        </w:rPr>
      </w:pPr>
      <w:r>
        <w:rPr>
          <w:rFonts w:hint="eastAsia"/>
          <w:color w:val="auto"/>
          <w:lang w:val="en-US" w:eastAsia="zh-CN"/>
        </w:rPr>
        <w:t>矿山服务年限</w:t>
      </w:r>
      <m:oMath>
        <m:r>
          <m:rPr>
            <m:sty m:val="p"/>
          </m:rPr>
          <w:rPr>
            <w:rFonts w:hint="default" w:ascii="Cambria Math" w:hAnsi="Cambria Math" w:cs="Times New Roman"/>
            <w:color w:val="auto"/>
            <w:kern w:val="2"/>
            <w:sz w:val="28"/>
            <w:szCs w:val="24"/>
            <w:lang w:val="en-US" w:eastAsia="zh-CN" w:bidi="ar-SA"/>
          </w:rPr>
          <m:t>T=</m:t>
        </m:r>
        <m:f>
          <m:fPr>
            <m:ctrlPr>
              <w:rPr>
                <w:rFonts w:hint="default" w:ascii="Cambria Math" w:hAnsi="Cambria Math" w:cs="Times New Roman"/>
                <w:color w:val="auto"/>
                <w:kern w:val="2"/>
                <w:sz w:val="28"/>
                <w:szCs w:val="24"/>
                <w:lang w:val="en-US" w:eastAsia="zh-CN" w:bidi="ar-SA"/>
              </w:rPr>
            </m:ctrlPr>
          </m:fPr>
          <m:num>
            <m:r>
              <m:rPr>
                <m:sty m:val="p"/>
              </m:rPr>
              <w:rPr>
                <w:rFonts w:hint="default" w:ascii="Cambria Math" w:hAnsi="Cambria Math" w:cs="Times New Roman"/>
                <w:color w:val="auto"/>
                <w:kern w:val="2"/>
                <w:sz w:val="28"/>
                <w:szCs w:val="28"/>
                <w:lang w:val="en-US" w:eastAsia="zh-CN" w:bidi="ar-SA"/>
              </w:rPr>
              <m:t>Q</m:t>
            </m:r>
            <m:ctrlPr>
              <w:rPr>
                <w:rFonts w:hint="default" w:ascii="Cambria Math" w:hAnsi="Cambria Math" w:cs="Times New Roman"/>
                <w:color w:val="auto"/>
                <w:kern w:val="2"/>
                <w:sz w:val="28"/>
                <w:szCs w:val="24"/>
                <w:lang w:val="en-US" w:eastAsia="zh-CN" w:bidi="ar-SA"/>
              </w:rPr>
            </m:ctrlPr>
          </m:num>
          <m:den>
            <m:r>
              <m:rPr>
                <m:sty m:val="p"/>
              </m:rPr>
              <w:rPr>
                <w:rFonts w:hint="eastAsia"/>
                <w:color w:val="auto"/>
                <w:lang w:val="en-US" w:eastAsia="zh-CN"/>
              </w:rPr>
              <m:t>A</m:t>
            </m:r>
            <m:r>
              <m:rPr>
                <m:sty m:val="p"/>
              </m:rPr>
              <w:rPr>
                <w:rFonts w:ascii="Cambria Math" w:hAnsi="Cambria Math"/>
                <w:color w:val="auto"/>
                <w:lang w:val="en-US"/>
              </w:rPr>
              <m:t>×</m:t>
            </m:r>
            <m:r>
              <m:rPr>
                <m:sty m:val="p"/>
              </m:rPr>
              <w:rPr>
                <w:rFonts w:hint="default" w:ascii="Cambria Math" w:hAnsi="Cambria Math"/>
                <w:color w:val="auto"/>
                <w:lang w:val="en-US" w:eastAsia="zh-CN"/>
              </w:rPr>
              <m:t>(1−</m:t>
            </m:r>
            <m:r>
              <m:rPr>
                <m:sty m:val="p"/>
              </m:rPr>
              <w:rPr>
                <w:rFonts w:hint="eastAsia"/>
                <w:color w:val="auto"/>
                <w:lang w:val="en-US" w:eastAsia="zh-CN"/>
              </w:rPr>
              <m:t>β</m:t>
            </m:r>
            <m:r>
              <m:rPr>
                <m:sty m:val="p"/>
              </m:rPr>
              <w:rPr>
                <w:rFonts w:hint="default" w:ascii="Cambria Math" w:hAnsi="Cambria Math"/>
                <w:color w:val="auto"/>
                <w:lang w:val="en-US" w:eastAsia="zh-CN"/>
              </w:rPr>
              <m:t>)</m:t>
            </m:r>
            <m:ctrlPr>
              <w:rPr>
                <w:rFonts w:hint="default" w:ascii="Cambria Math" w:hAnsi="Cambria Math" w:cs="Times New Roman"/>
                <w:color w:val="auto"/>
                <w:kern w:val="2"/>
                <w:sz w:val="28"/>
                <w:szCs w:val="24"/>
                <w:lang w:val="en-US" w:eastAsia="zh-CN" w:bidi="ar-SA"/>
              </w:rPr>
            </m:ctrlPr>
          </m:den>
        </m:f>
      </m:oMath>
    </w:p>
    <w:p w14:paraId="71174CA8">
      <w:pPr>
        <w:rPr>
          <w:rFonts w:hint="eastAsia"/>
          <w:color w:val="auto"/>
          <w:sz w:val="24"/>
          <w:szCs w:val="24"/>
          <w:lang w:val="en-US" w:eastAsia="zh-CN"/>
        </w:rPr>
      </w:pPr>
      <w:r>
        <w:rPr>
          <w:rFonts w:hint="eastAsia"/>
          <w:color w:val="auto"/>
          <w:sz w:val="24"/>
          <w:szCs w:val="24"/>
          <w:lang w:val="en-US" w:eastAsia="zh-CN"/>
        </w:rPr>
        <w:t>式中：T—矿山服务年限；</w:t>
      </w:r>
    </w:p>
    <w:p w14:paraId="7A9A4533">
      <w:pPr>
        <w:ind w:firstLine="1200" w:firstLineChars="500"/>
        <w:rPr>
          <w:rFonts w:hint="eastAsia"/>
          <w:color w:val="auto"/>
          <w:sz w:val="24"/>
          <w:szCs w:val="24"/>
          <w:lang w:val="en-US" w:eastAsia="zh-CN"/>
        </w:rPr>
      </w:pPr>
      <w:r>
        <w:rPr>
          <w:rFonts w:hint="eastAsia"/>
          <w:color w:val="auto"/>
          <w:sz w:val="24"/>
          <w:szCs w:val="24"/>
          <w:lang w:val="en-US" w:eastAsia="zh-CN"/>
        </w:rPr>
        <w:t>Q—地下开采范围内设计可采储量；</w:t>
      </w:r>
    </w:p>
    <w:p w14:paraId="2B52D23F">
      <w:pPr>
        <w:ind w:firstLine="1200" w:firstLineChars="500"/>
        <w:rPr>
          <w:rFonts w:hint="eastAsia"/>
          <w:color w:val="auto"/>
          <w:sz w:val="24"/>
          <w:szCs w:val="24"/>
          <w:lang w:val="en-US" w:eastAsia="zh-CN"/>
        </w:rPr>
      </w:pPr>
      <w:r>
        <w:rPr>
          <w:rFonts w:hint="eastAsia"/>
          <w:color w:val="auto"/>
          <w:sz w:val="24"/>
          <w:szCs w:val="24"/>
          <w:lang w:val="en-US" w:eastAsia="zh-CN"/>
        </w:rPr>
        <w:t>A—矿山地下开采年产量；</w:t>
      </w:r>
    </w:p>
    <w:p w14:paraId="3E9D157B">
      <w:pPr>
        <w:ind w:firstLine="1200" w:firstLineChars="500"/>
        <w:rPr>
          <w:rFonts w:hint="eastAsia"/>
          <w:color w:val="auto"/>
          <w:sz w:val="24"/>
          <w:szCs w:val="24"/>
          <w:lang w:val="en-US" w:eastAsia="zh-CN"/>
        </w:rPr>
      </w:pPr>
      <w:r>
        <w:rPr>
          <w:rFonts w:hint="eastAsia"/>
          <w:color w:val="auto"/>
          <w:sz w:val="24"/>
          <w:szCs w:val="24"/>
          <w:lang w:val="en-US" w:eastAsia="zh-CN"/>
        </w:rPr>
        <w:t>β—地下开采矿石贫化率，10%。</w:t>
      </w:r>
    </w:p>
    <w:p w14:paraId="4128178A">
      <w:pPr>
        <w:rPr>
          <w:rFonts w:hint="eastAsia"/>
          <w:color w:val="auto"/>
          <w:lang w:val="en-US" w:eastAsia="zh-CN"/>
        </w:rPr>
      </w:pPr>
      <w:r>
        <w:rPr>
          <w:rFonts w:hint="eastAsia"/>
          <w:color w:val="auto"/>
          <w:lang w:val="en-US" w:eastAsia="zh-CN"/>
        </w:rPr>
        <w:t>经计算，矿山生产服务年限为21.9a（不含基建期）。</w:t>
      </w:r>
    </w:p>
    <w:p w14:paraId="2301ED85">
      <w:pPr>
        <w:numPr>
          <w:ilvl w:val="0"/>
          <w:numId w:val="0"/>
        </w:numPr>
        <w:ind w:left="0" w:leftChars="0"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4.</w:t>
      </w:r>
      <w:r>
        <w:rPr>
          <w:rFonts w:hint="eastAsia" w:cs="Times New Roman"/>
          <w:color w:val="auto"/>
          <w:kern w:val="2"/>
          <w:sz w:val="28"/>
          <w:szCs w:val="24"/>
          <w:lang w:val="en-US" w:eastAsia="zh-CN" w:bidi="ar-SA"/>
        </w:rPr>
        <w:t xml:space="preserve"> </w:t>
      </w:r>
      <w:r>
        <w:rPr>
          <w:rFonts w:hint="eastAsia"/>
          <w:color w:val="auto"/>
          <w:lang w:val="en-US" w:eastAsia="zh-CN"/>
        </w:rPr>
        <w:t>工作制度</w:t>
      </w:r>
    </w:p>
    <w:p w14:paraId="5C2A99B4">
      <w:pPr>
        <w:numPr>
          <w:ilvl w:val="0"/>
          <w:numId w:val="0"/>
        </w:numPr>
        <w:ind w:leftChars="200"/>
        <w:rPr>
          <w:rFonts w:hint="eastAsia"/>
          <w:color w:val="auto"/>
          <w:lang w:val="en-US" w:eastAsia="zh-CN"/>
        </w:rPr>
      </w:pPr>
      <w:r>
        <w:rPr>
          <w:rFonts w:hint="eastAsia"/>
          <w:color w:val="auto"/>
          <w:lang w:val="en-US" w:eastAsia="zh-CN"/>
        </w:rPr>
        <w:t>《可研报告》年工作日300d，每天3班作业，每班工作8h，矿山目前在籍总人数153人，最大班下井人员为32人。</w:t>
      </w:r>
    </w:p>
    <w:p w14:paraId="1E30B2E2">
      <w:pPr>
        <w:pStyle w:val="4"/>
        <w:bidi w:val="0"/>
        <w:rPr>
          <w:rFonts w:hint="eastAsia"/>
          <w:color w:val="auto"/>
          <w:lang w:val="en-US" w:eastAsia="zh-CN"/>
        </w:rPr>
      </w:pPr>
      <w:bookmarkStart w:id="167" w:name="_Toc14792"/>
      <w:bookmarkStart w:id="168" w:name="_Toc20655"/>
      <w:bookmarkStart w:id="169" w:name="_Toc20978"/>
      <w:bookmarkStart w:id="170" w:name="_Toc20524"/>
      <w:r>
        <w:rPr>
          <w:rFonts w:hint="eastAsia"/>
          <w:color w:val="auto"/>
          <w:lang w:val="en-US" w:eastAsia="zh-CN"/>
        </w:rPr>
        <w:t>2.4.3 总图运输</w:t>
      </w:r>
      <w:bookmarkEnd w:id="167"/>
      <w:bookmarkEnd w:id="168"/>
      <w:bookmarkEnd w:id="169"/>
      <w:bookmarkEnd w:id="170"/>
    </w:p>
    <w:p w14:paraId="4A0968D5">
      <w:pPr>
        <w:rPr>
          <w:rFonts w:hint="default"/>
          <w:color w:val="auto"/>
          <w:lang w:val="en-US" w:eastAsia="zh-CN"/>
        </w:rPr>
      </w:pPr>
      <w:r>
        <w:rPr>
          <w:rFonts w:hint="eastAsia"/>
          <w:color w:val="auto"/>
          <w:lang w:val="en-US" w:eastAsia="zh-CN"/>
        </w:rPr>
        <w:t>一、总图布置</w:t>
      </w:r>
    </w:p>
    <w:p w14:paraId="44EE696F">
      <w:pPr>
        <w:rPr>
          <w:rFonts w:hint="eastAsia"/>
          <w:color w:val="auto"/>
          <w:lang w:val="en-US" w:eastAsia="zh-CN"/>
        </w:rPr>
      </w:pPr>
      <w:r>
        <w:rPr>
          <w:rFonts w:hint="eastAsia"/>
          <w:color w:val="auto"/>
          <w:lang w:val="en-US" w:eastAsia="zh-CN"/>
        </w:rPr>
        <w:t>1</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工业场地平面布置</w:t>
      </w:r>
    </w:p>
    <w:p w14:paraId="05EADD5A">
      <w:pPr>
        <w:rPr>
          <w:rFonts w:hint="eastAsia"/>
          <w:color w:val="auto"/>
          <w:lang w:val="en-US" w:eastAsia="zh-CN"/>
        </w:rPr>
      </w:pPr>
      <w:r>
        <w:rPr>
          <w:rFonts w:hint="eastAsia"/>
          <w:color w:val="auto"/>
          <w:lang w:val="en-US" w:eastAsia="zh-CN"/>
        </w:rPr>
        <w:t>宁都硫铁矿为成熟的生产矿山，总体布局是根据矿部及其地形地貌特点，采取集中布局方案，主要工业场地已建设完备，符合相关规范规定，因此本次拟定继续沿用现有的工业场地。</w:t>
      </w:r>
    </w:p>
    <w:p w14:paraId="75127803">
      <w:pPr>
        <w:rPr>
          <w:rFonts w:hint="eastAsia"/>
          <w:color w:val="auto"/>
          <w:lang w:val="en-US" w:eastAsia="zh-CN"/>
        </w:rPr>
      </w:pPr>
      <w:r>
        <w:rPr>
          <w:rFonts w:hint="eastAsia"/>
          <w:color w:val="auto"/>
          <w:lang w:val="en-US" w:eastAsia="zh-CN"/>
        </w:rPr>
        <w:t>（1）采矿工业场地：布置在麻齐湖山上，位于副斜井井口，无需征地和进行场地平整。该场地的标高为+278.3m，主要用于布置井口车场、原矿仓、卷扬机房、电机车和矿车修理房等。场地上原建的固定天轮及钢筋混凝土天轮架能利用。副斜井井口工业场地主要为重新布置的井口车场。</w:t>
      </w:r>
    </w:p>
    <w:p w14:paraId="3E7F29E4">
      <w:pPr>
        <w:rPr>
          <w:rFonts w:hint="eastAsia"/>
          <w:color w:val="auto"/>
          <w:lang w:val="en-US" w:eastAsia="zh-CN"/>
        </w:rPr>
      </w:pPr>
      <w:r>
        <w:rPr>
          <w:rFonts w:hint="eastAsia"/>
          <w:color w:val="auto"/>
          <w:lang w:val="en-US" w:eastAsia="zh-CN"/>
        </w:rPr>
        <w:t>（2）生活区：现有生活区位于离副斜井北侧400m处，包含办公楼、员工宿舍等。</w:t>
      </w:r>
    </w:p>
    <w:p w14:paraId="47D71223">
      <w:pPr>
        <w:rPr>
          <w:rFonts w:hint="eastAsia"/>
          <w:color w:val="auto"/>
          <w:lang w:val="en-US" w:eastAsia="zh-CN"/>
        </w:rPr>
      </w:pPr>
      <w:r>
        <w:rPr>
          <w:rFonts w:hint="eastAsia"/>
          <w:color w:val="auto"/>
          <w:lang w:val="en-US" w:eastAsia="zh-CN"/>
        </w:rPr>
        <w:t>（3）供水水源：</w:t>
      </w:r>
      <w:r>
        <w:rPr>
          <w:rFonts w:hint="default"/>
          <w:color w:val="auto"/>
          <w:lang w:val="en-US" w:eastAsia="zh-CN"/>
        </w:rPr>
        <w:t>生活用水水源为距矿山办公和生活区约1.5km的茶山迳溪水</w:t>
      </w:r>
      <w:r>
        <w:rPr>
          <w:rFonts w:hint="eastAsia"/>
          <w:color w:val="auto"/>
          <w:lang w:val="en-US" w:eastAsia="zh-CN"/>
        </w:rPr>
        <w:t>；</w:t>
      </w:r>
      <w:r>
        <w:rPr>
          <w:rFonts w:hint="default"/>
          <w:color w:val="auto"/>
          <w:lang w:val="en-US" w:eastAsia="zh-CN"/>
        </w:rPr>
        <w:t>生产用水来自副斜井井口附近的污水处理厂的水，矿山供水条件稳定能满足矿区开采生产、生活的需要。</w:t>
      </w:r>
    </w:p>
    <w:p w14:paraId="475D4BC1">
      <w:pPr>
        <w:rPr>
          <w:rFonts w:hint="eastAsia"/>
          <w:color w:val="auto"/>
          <w:lang w:val="en-US" w:eastAsia="zh-CN"/>
        </w:rPr>
      </w:pPr>
      <w:r>
        <w:rPr>
          <w:rFonts w:hint="eastAsia"/>
          <w:color w:val="auto"/>
          <w:lang w:val="en-US" w:eastAsia="zh-CN"/>
        </w:rPr>
        <w:t>（4）高位水池：矿山高位水池设于副斜井井口上方，水源来自</w:t>
      </w:r>
      <w:r>
        <w:rPr>
          <w:rFonts w:hint="default"/>
          <w:color w:val="auto"/>
          <w:lang w:val="en-US" w:eastAsia="zh-CN"/>
        </w:rPr>
        <w:t>副斜井井口附近的污水处理厂的水</w:t>
      </w:r>
      <w:r>
        <w:rPr>
          <w:rFonts w:hint="eastAsia"/>
          <w:color w:val="auto"/>
          <w:lang w:val="en-US" w:eastAsia="zh-CN"/>
        </w:rPr>
        <w:t>，标高约为+293m，容积为300m</w:t>
      </w:r>
      <w:r>
        <w:rPr>
          <w:rFonts w:hint="eastAsia"/>
          <w:color w:val="auto"/>
          <w:vertAlign w:val="superscript"/>
          <w:lang w:val="en-US" w:eastAsia="zh-CN"/>
        </w:rPr>
        <w:t>3</w:t>
      </w:r>
      <w:r>
        <w:rPr>
          <w:rFonts w:hint="eastAsia"/>
          <w:color w:val="auto"/>
          <w:lang w:val="en-US" w:eastAsia="zh-CN"/>
        </w:rPr>
        <w:t>。供井下生产和消防用，其中消防水量108m</w:t>
      </w:r>
      <w:r>
        <w:rPr>
          <w:rFonts w:hint="eastAsia"/>
          <w:color w:val="auto"/>
          <w:vertAlign w:val="superscript"/>
          <w:lang w:val="en-US" w:eastAsia="zh-CN"/>
        </w:rPr>
        <w:t>3</w:t>
      </w:r>
      <w:r>
        <w:rPr>
          <w:rFonts w:hint="eastAsia"/>
          <w:color w:val="auto"/>
          <w:lang w:val="en-US" w:eastAsia="zh-CN"/>
        </w:rPr>
        <w:t>/次。高位水池供水通过D108×5mm钢管接至</w:t>
      </w:r>
      <w:r>
        <w:rPr>
          <w:rFonts w:hint="default"/>
          <w:color w:val="auto"/>
          <w:lang w:val="en-US" w:eastAsia="zh-CN"/>
        </w:rPr>
        <w:t>副斜井</w:t>
      </w:r>
      <w:r>
        <w:rPr>
          <w:rFonts w:hint="eastAsia"/>
          <w:color w:val="auto"/>
          <w:lang w:val="en-US" w:eastAsia="zh-CN"/>
        </w:rPr>
        <w:t>井口进入，作为井下生产、消防和施救供水。</w:t>
      </w:r>
    </w:p>
    <w:p w14:paraId="153B6F33">
      <w:pPr>
        <w:rPr>
          <w:rFonts w:hint="eastAsia"/>
          <w:color w:val="auto"/>
          <w:lang w:val="en-US" w:eastAsia="zh-CN"/>
        </w:rPr>
      </w:pPr>
      <w:r>
        <w:rPr>
          <w:rFonts w:hint="eastAsia"/>
          <w:color w:val="auto"/>
          <w:lang w:val="en-US" w:eastAsia="zh-CN"/>
        </w:rPr>
        <w:t>（5）炸药库：</w:t>
      </w:r>
    </w:p>
    <w:p w14:paraId="5C16B03B">
      <w:pPr>
        <w:rPr>
          <w:rFonts w:hint="eastAsia"/>
          <w:color w:val="auto"/>
          <w:lang w:val="en-US" w:eastAsia="zh-CN"/>
        </w:rPr>
      </w:pPr>
      <w:r>
        <w:rPr>
          <w:rFonts w:hint="eastAsia"/>
          <w:color w:val="auto"/>
          <w:lang w:val="en-US" w:eastAsia="zh-CN"/>
        </w:rPr>
        <w:t>现有炸药库布置在北风井井口的西南方向且无任何建筑物的另一座山的山</w:t>
      </w:r>
      <w:r>
        <w:rPr>
          <w:color w:val="auto"/>
        </w:rPr>
        <w:t>坳</w:t>
      </w:r>
      <w:r>
        <w:rPr>
          <w:rFonts w:hint="eastAsia"/>
          <w:color w:val="auto"/>
          <w:lang w:val="en-US" w:eastAsia="zh-CN"/>
        </w:rPr>
        <w:t>内，距北风井井口的直线距离约200m。</w:t>
      </w:r>
    </w:p>
    <w:p w14:paraId="49265B2A">
      <w:pPr>
        <w:rPr>
          <w:rFonts w:hint="eastAsia"/>
          <w:color w:val="auto"/>
          <w:lang w:val="en-US" w:eastAsia="zh-CN"/>
        </w:rPr>
      </w:pPr>
      <w:r>
        <w:rPr>
          <w:rFonts w:hint="eastAsia"/>
          <w:color w:val="auto"/>
          <w:lang w:val="en-US" w:eastAsia="zh-CN"/>
        </w:rPr>
        <w:t>2</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矿山道路</w:t>
      </w:r>
    </w:p>
    <w:p w14:paraId="7BFB461E">
      <w:pPr>
        <w:rPr>
          <w:rFonts w:hint="default"/>
          <w:color w:val="auto"/>
          <w:lang w:val="en-US" w:eastAsia="zh-CN"/>
        </w:rPr>
      </w:pPr>
      <w:r>
        <w:rPr>
          <w:rFonts w:hint="eastAsia"/>
          <w:color w:val="auto"/>
          <w:lang w:val="en-US" w:eastAsia="zh-CN"/>
        </w:rPr>
        <w:t>矿区所在地不通铁路，但宁都至兴国的省道S451穿过矿区，而兴国已通铁路。产品的外运可通过宁～兴公路运至兴国，然后由兴国经铁路运至目的地。矿山至宁都与兴国的公路为柏油路面公路，长度约0.36km，路况良好。</w:t>
      </w:r>
    </w:p>
    <w:p w14:paraId="2DFB589D">
      <w:pPr>
        <w:rPr>
          <w:rFonts w:hint="eastAsia"/>
          <w:color w:val="auto"/>
          <w:lang w:val="en-US" w:eastAsia="zh-CN"/>
        </w:rPr>
      </w:pPr>
      <w:r>
        <w:rPr>
          <w:rFonts w:hint="eastAsia"/>
          <w:color w:val="auto"/>
          <w:lang w:val="en-US" w:eastAsia="zh-CN"/>
        </w:rPr>
        <w:t>3</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工业场地排水</w:t>
      </w:r>
    </w:p>
    <w:p w14:paraId="16F430CA">
      <w:pPr>
        <w:rPr>
          <w:rFonts w:hint="eastAsia"/>
          <w:color w:val="auto"/>
          <w:lang w:val="en-US" w:eastAsia="zh-CN"/>
        </w:rPr>
      </w:pPr>
      <w:r>
        <w:rPr>
          <w:rFonts w:hint="eastAsia"/>
          <w:color w:val="auto"/>
          <w:lang w:val="en-US" w:eastAsia="zh-CN"/>
        </w:rPr>
        <w:t>场地雨水通过排水明沟就近排出场外。雨污水排水管道依照工业区道路、建筑物的布置、地形标高和雨污水去向来布置。排水管道采用雨水明沟及盖板沟等形式。</w:t>
      </w:r>
    </w:p>
    <w:p w14:paraId="2F252C7D">
      <w:pPr>
        <w:rPr>
          <w:rFonts w:hint="eastAsia"/>
          <w:color w:val="auto"/>
          <w:lang w:val="en-US" w:eastAsia="zh-CN"/>
        </w:rPr>
      </w:pPr>
      <w:r>
        <w:rPr>
          <w:rFonts w:hint="eastAsia"/>
          <w:color w:val="auto"/>
          <w:lang w:val="en-US" w:eastAsia="zh-CN"/>
        </w:rPr>
        <w:t>矿山工业场地具体平面布置见矿区总平面布置图。</w:t>
      </w:r>
    </w:p>
    <w:p w14:paraId="1FB7ADB5">
      <w:pPr>
        <w:pStyle w:val="4"/>
        <w:bidi w:val="0"/>
        <w:rPr>
          <w:rFonts w:hint="default"/>
          <w:color w:val="auto"/>
          <w:lang w:val="en-US" w:eastAsia="zh-CN"/>
        </w:rPr>
      </w:pPr>
      <w:bookmarkStart w:id="171" w:name="_Toc2995"/>
      <w:bookmarkStart w:id="172" w:name="_Toc18558"/>
      <w:bookmarkStart w:id="173" w:name="_Toc13522"/>
      <w:bookmarkStart w:id="174" w:name="_Toc5700"/>
      <w:r>
        <w:rPr>
          <w:rFonts w:hint="default"/>
          <w:color w:val="auto"/>
          <w:lang w:val="en-US" w:eastAsia="zh-CN"/>
        </w:rPr>
        <w:t>2.4.4</w:t>
      </w:r>
      <w:r>
        <w:rPr>
          <w:rFonts w:hint="eastAsia"/>
          <w:color w:val="auto"/>
          <w:lang w:val="en-US" w:eastAsia="zh-CN"/>
        </w:rPr>
        <w:t xml:space="preserve"> </w:t>
      </w:r>
      <w:r>
        <w:rPr>
          <w:rFonts w:hint="default"/>
          <w:color w:val="auto"/>
          <w:lang w:val="en-US" w:eastAsia="zh-CN"/>
        </w:rPr>
        <w:t>开采范围</w:t>
      </w:r>
      <w:bookmarkEnd w:id="171"/>
      <w:bookmarkEnd w:id="172"/>
      <w:bookmarkEnd w:id="173"/>
      <w:bookmarkEnd w:id="174"/>
    </w:p>
    <w:p w14:paraId="27B9C72C">
      <w:pPr>
        <w:rPr>
          <w:rFonts w:hint="default"/>
          <w:color w:val="auto"/>
          <w:lang w:val="en-US" w:eastAsia="zh-CN"/>
        </w:rPr>
      </w:pPr>
      <w:r>
        <w:rPr>
          <w:rFonts w:hint="default"/>
          <w:color w:val="auto"/>
          <w:lang w:val="en-US" w:eastAsia="zh-CN"/>
        </w:rPr>
        <w:t>采矿许可证确定的矿区开采范围</w:t>
      </w:r>
      <w:r>
        <w:rPr>
          <w:rFonts w:hint="eastAsia"/>
          <w:color w:val="auto"/>
          <w:lang w:val="en-US" w:eastAsia="zh-CN"/>
        </w:rPr>
        <w:t>：</w:t>
      </w:r>
      <w:r>
        <w:rPr>
          <w:rFonts w:hint="default"/>
          <w:color w:val="auto"/>
          <w:lang w:val="en-US" w:eastAsia="zh-CN"/>
        </w:rPr>
        <w:t>开采深度为</w:t>
      </w:r>
      <w:r>
        <w:rPr>
          <w:rFonts w:hint="default" w:ascii="Times New Roman" w:hAnsi="Times New Roman" w:eastAsia="宋体" w:cs="Times New Roman"/>
          <w:color w:val="auto"/>
          <w:lang w:val="en-US" w:eastAsia="zh-CN"/>
        </w:rPr>
        <w:t>+</w:t>
      </w:r>
      <w:r>
        <w:rPr>
          <w:rFonts w:hint="default"/>
          <w:color w:val="auto"/>
          <w:lang w:val="en-US" w:eastAsia="zh-CN"/>
        </w:rPr>
        <w:t>390m～</w:t>
      </w:r>
      <w:r>
        <w:rPr>
          <w:rFonts w:hint="default" w:ascii="Times New Roman" w:hAnsi="Times New Roman" w:eastAsia="宋体" w:cs="Times New Roman"/>
          <w:color w:val="auto"/>
          <w:lang w:val="en-US" w:eastAsia="zh-CN"/>
        </w:rPr>
        <w:t>+</w:t>
      </w:r>
      <w:r>
        <w:rPr>
          <w:rFonts w:hint="default"/>
          <w:color w:val="auto"/>
          <w:lang w:val="en-US" w:eastAsia="zh-CN"/>
        </w:rPr>
        <w:t>100m，</w:t>
      </w:r>
      <w:r>
        <w:rPr>
          <w:rFonts w:hint="eastAsia"/>
          <w:color w:val="auto"/>
          <w:lang w:val="en-US" w:eastAsia="zh-CN"/>
        </w:rPr>
        <w:t>矿区面积</w:t>
      </w:r>
      <w:r>
        <w:rPr>
          <w:rFonts w:hint="default"/>
          <w:color w:val="auto"/>
          <w:lang w:val="en-US" w:eastAsia="zh-CN"/>
        </w:rPr>
        <w:t>2.1224km</w:t>
      </w:r>
      <w:r>
        <w:rPr>
          <w:rFonts w:hint="eastAsia"/>
          <w:color w:val="auto"/>
          <w:vertAlign w:val="superscript"/>
          <w:lang w:val="en-US" w:eastAsia="zh-CN"/>
        </w:rPr>
        <w:t>2</w:t>
      </w:r>
      <w:r>
        <w:rPr>
          <w:rFonts w:hint="default"/>
          <w:color w:val="auto"/>
          <w:lang w:val="en-US" w:eastAsia="zh-CN"/>
        </w:rPr>
        <w:t>。</w:t>
      </w:r>
    </w:p>
    <w:p w14:paraId="6863F79D">
      <w:pPr>
        <w:rPr>
          <w:rFonts w:hint="default"/>
          <w:color w:val="auto"/>
          <w:lang w:val="en-US" w:eastAsia="zh-CN"/>
        </w:rPr>
      </w:pPr>
      <w:r>
        <w:rPr>
          <w:rFonts w:hint="default"/>
          <w:color w:val="auto"/>
          <w:lang w:val="en-US" w:eastAsia="zh-CN"/>
        </w:rPr>
        <w:t>开采顺序</w:t>
      </w:r>
      <w:r>
        <w:rPr>
          <w:rFonts w:hint="eastAsia"/>
          <w:color w:val="auto"/>
          <w:lang w:val="en-US" w:eastAsia="zh-CN"/>
        </w:rPr>
        <w:t>：</w:t>
      </w:r>
      <w:r>
        <w:rPr>
          <w:rFonts w:hint="default"/>
          <w:color w:val="auto"/>
          <w:lang w:val="en-US" w:eastAsia="zh-CN"/>
        </w:rPr>
        <w:t>在立面上采用下行式的开采顺序，在平面上3-18号勘探线之间的矿体由两端进风井向南风井方向开采，11-7号勘探线之间的矿体采用后退式开采。同一中段如有多层矿体，安排开采时要求先开采上层矿体，后开采下层矿体。</w:t>
      </w:r>
    </w:p>
    <w:p w14:paraId="73F85585">
      <w:pPr>
        <w:pStyle w:val="4"/>
        <w:bidi w:val="0"/>
        <w:rPr>
          <w:rFonts w:hint="default"/>
          <w:color w:val="auto"/>
          <w:lang w:val="en-US" w:eastAsia="zh-CN"/>
        </w:rPr>
      </w:pPr>
      <w:bookmarkStart w:id="175" w:name="_Toc29346"/>
      <w:bookmarkStart w:id="176" w:name="_Toc7725"/>
      <w:bookmarkStart w:id="177" w:name="_Toc3751"/>
      <w:bookmarkStart w:id="178" w:name="_Toc12782"/>
      <w:r>
        <w:rPr>
          <w:rFonts w:hint="default"/>
          <w:color w:val="auto"/>
          <w:lang w:val="en-US" w:eastAsia="zh-CN"/>
        </w:rPr>
        <w:t>2.4.5</w:t>
      </w:r>
      <w:r>
        <w:rPr>
          <w:rFonts w:hint="eastAsia"/>
          <w:color w:val="auto"/>
          <w:lang w:val="en-US" w:eastAsia="zh-CN"/>
        </w:rPr>
        <w:t xml:space="preserve"> </w:t>
      </w:r>
      <w:r>
        <w:rPr>
          <w:rFonts w:hint="default"/>
          <w:color w:val="auto"/>
          <w:lang w:val="en-US" w:eastAsia="zh-CN"/>
        </w:rPr>
        <w:t>开拓运输</w:t>
      </w:r>
      <w:bookmarkEnd w:id="175"/>
      <w:bookmarkEnd w:id="176"/>
      <w:bookmarkEnd w:id="177"/>
      <w:bookmarkEnd w:id="178"/>
    </w:p>
    <w:p w14:paraId="1A34FA53">
      <w:pPr>
        <w:rPr>
          <w:rFonts w:hint="default" w:ascii="宋体" w:hAnsi="宋体" w:eastAsia="宋体" w:cs="宋体"/>
          <w:b/>
          <w:bCs/>
          <w:color w:val="auto"/>
          <w:lang w:val="en-US" w:eastAsia="zh-CN"/>
        </w:rPr>
      </w:pPr>
      <w:r>
        <w:rPr>
          <w:rFonts w:hint="eastAsia" w:ascii="宋体" w:hAnsi="宋体" w:cs="宋体"/>
          <w:b/>
          <w:bCs/>
          <w:color w:val="auto"/>
          <w:lang w:val="en-US" w:eastAsia="zh-CN"/>
        </w:rPr>
        <w:t>一、开拓运输系统</w:t>
      </w:r>
    </w:p>
    <w:p w14:paraId="142F586A">
      <w:pPr>
        <w:rPr>
          <w:rFonts w:hint="eastAsia" w:ascii="宋体" w:hAnsi="宋体" w:eastAsia="宋体" w:cs="宋体"/>
          <w:color w:val="auto"/>
          <w:lang w:val="en-US" w:eastAsia="zh-CN"/>
        </w:rPr>
      </w:pPr>
      <w:r>
        <w:rPr>
          <w:rFonts w:hint="eastAsia" w:cs="Times New Roman"/>
          <w:color w:val="auto"/>
          <w:lang w:val="en-US" w:eastAsia="zh-CN"/>
        </w:rPr>
        <w:t>1</w:t>
      </w:r>
      <w:r>
        <w:rPr>
          <w:rFonts w:hint="eastAsia"/>
          <w:color w:val="auto"/>
          <w:lang w:val="en-US" w:eastAsia="zh-CN"/>
        </w:rPr>
        <w:t>. 开拓</w:t>
      </w:r>
      <w:r>
        <w:rPr>
          <w:rFonts w:hint="eastAsia" w:ascii="宋体" w:hAnsi="宋体" w:eastAsia="宋体" w:cs="宋体"/>
          <w:color w:val="auto"/>
          <w:lang w:val="en-US" w:eastAsia="zh-CN"/>
        </w:rPr>
        <w:t>范围</w:t>
      </w:r>
    </w:p>
    <w:p w14:paraId="5447DF58">
      <w:pPr>
        <w:bidi w:val="0"/>
        <w:rPr>
          <w:rFonts w:hint="eastAsia"/>
          <w:color w:val="auto"/>
          <w:lang w:val="en-US" w:eastAsia="zh-CN"/>
        </w:rPr>
      </w:pPr>
      <w:r>
        <w:rPr>
          <w:rFonts w:hint="eastAsia"/>
          <w:color w:val="auto"/>
          <w:lang w:val="en-US" w:eastAsia="zh-CN"/>
        </w:rPr>
        <w:t>根据2012年1月江西省地质矿产勘查开发局赣南地质调查大队编制的《江西省宁都县青塘矿区硫铁矿资源储量核实报告》和2024年1月江西省地质局第七地质大队编制的《江西省宁都县青塘矿区硫铁矿2023年度矿山储量年度报告》可知宁都县硫铁矿资源储量分布在3-18号勘探线和11-7号勘探之间。因此此次范围为矿区范围内3-18号勘探线和11-7号勘探线之间的矿体。</w:t>
      </w:r>
    </w:p>
    <w:p w14:paraId="122DF83D">
      <w:pPr>
        <w:bidi w:val="0"/>
        <w:rPr>
          <w:rFonts w:hint="eastAsia"/>
          <w:color w:val="auto"/>
          <w:lang w:val="en-US" w:eastAsia="zh-CN"/>
        </w:rPr>
      </w:pPr>
      <w:r>
        <w:rPr>
          <w:rFonts w:hint="eastAsia" w:cs="Times New Roman"/>
          <w:color w:val="auto"/>
          <w:lang w:val="en-US" w:eastAsia="zh-CN"/>
        </w:rPr>
        <w:t>2</w:t>
      </w:r>
      <w:r>
        <w:rPr>
          <w:rFonts w:hint="eastAsia"/>
          <w:color w:val="auto"/>
          <w:lang w:val="en-US" w:eastAsia="zh-CN"/>
        </w:rPr>
        <w:t>. 开拓方式选择</w:t>
      </w:r>
    </w:p>
    <w:p w14:paraId="669BFA35">
      <w:pPr>
        <w:bidi w:val="0"/>
        <w:rPr>
          <w:rFonts w:hint="default"/>
          <w:color w:val="auto"/>
          <w:lang w:val="en-US" w:eastAsia="zh-CN"/>
        </w:rPr>
      </w:pPr>
      <w:r>
        <w:rPr>
          <w:rFonts w:hint="eastAsia"/>
          <w:color w:val="auto"/>
          <w:lang w:val="en-US" w:eastAsia="zh-CN"/>
        </w:rPr>
        <w:t>（1）现有开拓系统</w:t>
      </w:r>
    </w:p>
    <w:p w14:paraId="63E4F0F1">
      <w:pPr>
        <w:bidi w:val="0"/>
        <w:rPr>
          <w:rFonts w:hint="eastAsia"/>
          <w:color w:val="auto"/>
          <w:lang w:val="en-US" w:eastAsia="zh-CN"/>
        </w:rPr>
      </w:pPr>
      <w:r>
        <w:rPr>
          <w:rFonts w:hint="eastAsia"/>
          <w:color w:val="auto"/>
          <w:lang w:val="en-US" w:eastAsia="zh-CN"/>
        </w:rPr>
        <w:t>矿山现已开拓四个井筒，井筒功能见表2.4-1，主要运输巷道已开拓四条，分别为+190m中段运输巷、+160m中段运输巷、+130m中段运输巷、+100m中段运输巷，并形成通风系统。</w:t>
      </w:r>
    </w:p>
    <w:p w14:paraId="44EB035D">
      <w:pPr>
        <w:bidi w:val="0"/>
        <w:rPr>
          <w:rFonts w:hint="eastAsia"/>
          <w:color w:val="auto"/>
          <w:lang w:val="en-US" w:eastAsia="zh-CN"/>
        </w:rPr>
      </w:pPr>
      <w:r>
        <w:rPr>
          <w:rFonts w:hint="eastAsia"/>
          <w:color w:val="auto"/>
          <w:lang w:val="en-US" w:eastAsia="zh-CN"/>
        </w:rPr>
        <w:t>原4#副斜井距离矿山选厂较远，运输成本较大，大部分采场适合全面法采矿方法，无轨矿车可直接进入采场进行装矿，而原2#主斜井采用串车提升，有轨矿车不能进入采场内进行装矿，效率低，矿石提升至地面后需二次搬运至选厂，提升能力不能满足矿山生产需求。因此对矿山开拓系统进行如下调整：</w:t>
      </w:r>
    </w:p>
    <w:p w14:paraId="468DF4DC">
      <w:pPr>
        <w:bidi w:val="0"/>
        <w:rPr>
          <w:rFonts w:hint="eastAsia"/>
          <w:color w:val="auto"/>
          <w:lang w:val="en-US" w:eastAsia="zh-CN"/>
        </w:rPr>
      </w:pPr>
      <w:r>
        <w:rPr>
          <w:rFonts w:hint="eastAsia"/>
          <w:color w:val="auto"/>
          <w:lang w:val="en-US" w:eastAsia="zh-CN"/>
        </w:rPr>
        <w:t>原1#回风井利用作为矿山南风井；原2#主斜井利用作为矿山副斜井，此井作为安全出口，铺设电缆及水管并兼做进风井，仅运输材料，原3#斜坡道作为矿山主斜坡道，采用无轨矿车运输兼做进风井</w:t>
      </w:r>
      <w:r>
        <w:rPr>
          <w:rFonts w:hint="eastAsia" w:ascii="Times New Roman" w:eastAsia="宋体"/>
          <w:color w:val="auto"/>
          <w:lang w:val="en-US" w:eastAsia="zh-CN"/>
        </w:rPr>
        <w:t>；</w:t>
      </w:r>
      <w:r>
        <w:rPr>
          <w:rFonts w:hint="eastAsia"/>
          <w:color w:val="auto"/>
          <w:lang w:val="en-US" w:eastAsia="zh-CN"/>
        </w:rPr>
        <w:t>原4#副斜井作为矿山北风井，矿山开拓3-18号勘探线之间的矿体时，南风井进行回风，主斜坡道、副斜井、北风井进风，矿石运输由主斜坡道承担；待3-18号勘探线之间的矿体开采完后，再进行开采11-7号勘探线之间的矿体，此时北风井进行回风，主斜坡道、副斜井、南风井进风，矿石运输仍由主斜坡道承担。</w:t>
      </w:r>
    </w:p>
    <w:p w14:paraId="54EB9F92">
      <w:pPr>
        <w:bidi w:val="0"/>
        <w:rPr>
          <w:rFonts w:hint="eastAsia"/>
          <w:color w:val="auto"/>
          <w:lang w:val="en-US" w:eastAsia="zh-CN"/>
        </w:rPr>
      </w:pPr>
      <w:r>
        <w:rPr>
          <w:rFonts w:hint="eastAsia"/>
          <w:color w:val="auto"/>
          <w:lang w:val="en-US" w:eastAsia="zh-CN"/>
        </w:rPr>
        <w:t>中段高度为30m，共设4个中段：+190m、+160m、+130m、+100m中段，其中+190m中段为回风中段，+160m中段为首采中段。矿山年运输量为30万t矿石，中段运输巷为脉外布置，中段运输方式为UQ-12矿用自卸车无轨运输。</w:t>
      </w:r>
    </w:p>
    <w:p w14:paraId="55068BDD">
      <w:pPr>
        <w:bidi w:val="0"/>
        <w:rPr>
          <w:rFonts w:hint="eastAsia"/>
          <w:color w:val="auto"/>
          <w:lang w:val="en-US" w:eastAsia="zh-CN"/>
        </w:rPr>
      </w:pPr>
      <w:r>
        <w:rPr>
          <w:rFonts w:hint="eastAsia"/>
          <w:color w:val="auto"/>
          <w:lang w:val="en-US" w:eastAsia="zh-CN"/>
        </w:rPr>
        <w:t>（2）井筒</w:t>
      </w:r>
    </w:p>
    <w:p w14:paraId="2C6B8405">
      <w:pPr>
        <w:bidi w:val="0"/>
        <w:rPr>
          <w:rFonts w:hint="eastAsia"/>
          <w:color w:val="auto"/>
          <w:lang w:val="en-US" w:eastAsia="zh-CN"/>
        </w:rPr>
      </w:pPr>
      <w:r>
        <w:rPr>
          <w:rFonts w:hint="eastAsia"/>
          <w:color w:val="auto"/>
          <w:lang w:val="en-US" w:eastAsia="zh-CN"/>
        </w:rPr>
        <w:t>主斜坡道担负主运输任务，现有主斜坡道平均坡度16.68%，断面宽×高：4m×3.5m（三心拱），作为主斜坡道时，坡度不符合规范要求，因此将原有主斜坡道进行改造，改造内容为：斜坡道内井8测点以上部分进行改道降坡，井8～井9、井29～井32测点之间进行底板开挖降坡、使其坡度一致，其余部分进行局部修整。改造后主斜坡道平均坡度15.96%。主斜坡道作为主运输外，还承担运输废石、行人、敷设供气管等任务。主斜坡道兼作进风井及主要安全出口。改造工程量：2734.51m</w:t>
      </w:r>
      <w:r>
        <w:rPr>
          <w:rFonts w:hint="eastAsia"/>
          <w:color w:val="auto"/>
          <w:vertAlign w:val="superscript"/>
          <w:lang w:val="en-US" w:eastAsia="zh-CN"/>
        </w:rPr>
        <w:t>3</w:t>
      </w:r>
      <w:r>
        <w:rPr>
          <w:rFonts w:hint="eastAsia"/>
          <w:color w:val="auto"/>
          <w:lang w:val="en-US" w:eastAsia="zh-CN"/>
        </w:rPr>
        <w:t>。</w:t>
      </w:r>
    </w:p>
    <w:p w14:paraId="67AE475F">
      <w:pPr>
        <w:bidi w:val="0"/>
        <w:rPr>
          <w:rFonts w:hint="eastAsia"/>
          <w:color w:val="auto"/>
          <w:lang w:val="en-US" w:eastAsia="zh-CN"/>
        </w:rPr>
      </w:pPr>
      <w:r>
        <w:rPr>
          <w:rFonts w:hint="eastAsia"/>
          <w:color w:val="auto"/>
          <w:lang w:val="en-US" w:eastAsia="zh-CN"/>
        </w:rPr>
        <w:t>副斜井位于矿区南端麻齐湖山上，井口坐标为：X=2923509.25，Y=39382617.43，Z=+278.3m，方位角254°30′，倾角25°，断面宽×高：3.1m×2.96m（三心拱）。该斜井已开拓至+100m，井口和+100m中段车场为平车场。副斜井直接利旧，不做改造，作为材料运输，兼作矿区南端进风井安全出口。下井主电缆、排水管道、供水管道沿副斜井铺设。</w:t>
      </w:r>
    </w:p>
    <w:p w14:paraId="59D0392D">
      <w:pPr>
        <w:bidi w:val="0"/>
        <w:rPr>
          <w:rFonts w:hint="eastAsia"/>
          <w:color w:val="auto"/>
          <w:lang w:val="en-US" w:eastAsia="zh-CN"/>
        </w:rPr>
      </w:pPr>
      <w:r>
        <w:rPr>
          <w:rFonts w:hint="eastAsia"/>
          <w:color w:val="auto"/>
          <w:lang w:val="en-US" w:eastAsia="zh-CN"/>
        </w:rPr>
        <w:t>南风井井口坐标为：X=2923647.65，Y=39381918.43，Z=+276.6m，井口至+160m，巷道尺寸：宽×高＝2.5m×2.8m，三心拱，断面积6.56m</w:t>
      </w:r>
      <w:r>
        <w:rPr>
          <w:rFonts w:hint="eastAsia"/>
          <w:color w:val="auto"/>
          <w:vertAlign w:val="superscript"/>
          <w:lang w:val="en-US" w:eastAsia="zh-CN"/>
        </w:rPr>
        <w:t>2</w:t>
      </w:r>
      <w:r>
        <w:rPr>
          <w:rFonts w:hint="eastAsia"/>
          <w:color w:val="auto"/>
          <w:lang w:val="en-US" w:eastAsia="zh-CN"/>
        </w:rPr>
        <w:t>，周长9.76m；+160m至+130m段巷道尺寸：宽×高＝2.6m×2.7m，三心拱，断面积6.50m</w:t>
      </w:r>
      <w:r>
        <w:rPr>
          <w:rFonts w:hint="eastAsia"/>
          <w:color w:val="auto"/>
          <w:vertAlign w:val="superscript"/>
          <w:lang w:val="en-US" w:eastAsia="zh-CN"/>
        </w:rPr>
        <w:t>2</w:t>
      </w:r>
      <w:r>
        <w:rPr>
          <w:rFonts w:hint="eastAsia"/>
          <w:color w:val="auto"/>
          <w:lang w:val="en-US" w:eastAsia="zh-CN"/>
        </w:rPr>
        <w:t>，周长9.69m。南风井担负3-18号勘探线之间的矿体开采回风任务、兼作应急安全出口。</w:t>
      </w:r>
    </w:p>
    <w:p w14:paraId="06CCDB1C">
      <w:pPr>
        <w:bidi w:val="0"/>
        <w:rPr>
          <w:rFonts w:hint="eastAsia"/>
          <w:color w:val="auto"/>
          <w:lang w:val="en-US" w:eastAsia="zh-CN"/>
        </w:rPr>
      </w:pPr>
      <w:r>
        <w:rPr>
          <w:rFonts w:hint="eastAsia"/>
          <w:color w:val="auto"/>
          <w:lang w:val="en-US" w:eastAsia="zh-CN"/>
        </w:rPr>
        <w:t>北风井位于矿区北段狮吼山以北的河山角下。井口坐标为：X=2924032.8，Y=39381988.28，Z=+255.0m，方位角66°01′48″，倾角25°，断面宽×高：3.2m×2.7m（三心拱）。该井现已开拓至+130m中段。在+100m中段至+130m中段设一回风天井（断面长×宽：2m×2m），现有北风井利用作为11-7号勘探线之间的矿体开采回风井，兼作此区域开采的应急安全出口。回风天井工程量：120m</w:t>
      </w:r>
      <w:r>
        <w:rPr>
          <w:rFonts w:hint="eastAsia"/>
          <w:color w:val="auto"/>
          <w:vertAlign w:val="superscript"/>
          <w:lang w:val="en-US" w:eastAsia="zh-CN"/>
        </w:rPr>
        <w:t>3</w:t>
      </w:r>
      <w:r>
        <w:rPr>
          <w:rFonts w:hint="eastAsia"/>
          <w:color w:val="auto"/>
          <w:lang w:val="en-US" w:eastAsia="zh-CN"/>
        </w:rPr>
        <w:t>。</w:t>
      </w:r>
    </w:p>
    <w:p w14:paraId="71D9DC81">
      <w:pPr>
        <w:bidi w:val="0"/>
        <w:rPr>
          <w:rFonts w:hint="eastAsia"/>
          <w:color w:val="auto"/>
          <w:lang w:val="en-US" w:eastAsia="zh-CN"/>
        </w:rPr>
      </w:pPr>
      <w:r>
        <w:rPr>
          <w:rFonts w:hint="eastAsia"/>
          <w:color w:val="auto"/>
          <w:lang w:val="en-US" w:eastAsia="zh-CN"/>
        </w:rPr>
        <w:t>（3）中段运输巷</w:t>
      </w:r>
    </w:p>
    <w:p w14:paraId="0B08BE78">
      <w:pPr>
        <w:bidi w:val="0"/>
        <w:rPr>
          <w:rFonts w:hint="eastAsia"/>
          <w:color w:val="auto"/>
          <w:lang w:val="en-US" w:eastAsia="zh-CN"/>
        </w:rPr>
      </w:pPr>
      <w:r>
        <w:rPr>
          <w:rFonts w:hint="eastAsia"/>
          <w:color w:val="auto"/>
          <w:lang w:val="en-US" w:eastAsia="zh-CN"/>
        </w:rPr>
        <w:t>共设4条中段巷：+190m、+160m、+130m、+100m，其中+190m中段巷为回风大巷，+160m、+130m、+100m中段巷为运输巷，中段运输巷沿脉脉外布置。现分别叙述如下：</w:t>
      </w:r>
    </w:p>
    <w:p w14:paraId="66906903">
      <w:pPr>
        <w:bidi w:val="0"/>
        <w:rPr>
          <w:rFonts w:hint="eastAsia"/>
          <w:color w:val="auto"/>
          <w:lang w:val="en-US" w:eastAsia="zh-CN"/>
        </w:rPr>
      </w:pPr>
      <w:r>
        <w:rPr>
          <w:rFonts w:hint="eastAsia"/>
          <w:color w:val="auto"/>
          <w:lang w:val="en-US" w:eastAsia="zh-CN"/>
        </w:rPr>
        <w:t>+190m中段回风巷：长度约420m，断面宽×高：2.35m×2.8m（三心拱）；开采3-18号勘探线之间的矿体的同时向北施工+190m中段回风巷，延伸约790m，新施工巷道断面宽×高：4m×3.5m（三心拱），+190m中段回风巷与北风井贯通，作为开采3-18号勘探线之间的矿体的回风巷道。工程量：5767.85m</w:t>
      </w:r>
      <w:r>
        <w:rPr>
          <w:rFonts w:hint="eastAsia"/>
          <w:color w:val="auto"/>
          <w:vertAlign w:val="superscript"/>
          <w:lang w:val="en-US" w:eastAsia="zh-CN"/>
        </w:rPr>
        <w:t>3</w:t>
      </w:r>
      <w:r>
        <w:rPr>
          <w:rFonts w:hint="eastAsia"/>
          <w:color w:val="auto"/>
          <w:lang w:val="en-US" w:eastAsia="zh-CN"/>
        </w:rPr>
        <w:t>。</w:t>
      </w:r>
    </w:p>
    <w:p w14:paraId="674FE085">
      <w:pPr>
        <w:bidi w:val="0"/>
        <w:rPr>
          <w:rFonts w:hint="eastAsia"/>
          <w:color w:val="auto"/>
          <w:lang w:val="en-US" w:eastAsia="zh-CN"/>
        </w:rPr>
      </w:pPr>
      <w:r>
        <w:rPr>
          <w:rFonts w:hint="eastAsia"/>
          <w:color w:val="auto"/>
          <w:lang w:val="en-US" w:eastAsia="zh-CN"/>
        </w:rPr>
        <w:t>+160m中段运输巷：长度约815m，断面宽×高：2.35m×2.8m（三心拱）；+160m中段运输巷分别与副斜井、主斜坡道贯通、北风井贯通，使用UQ-12矿用自卸车无轨运输。为满足要求，将+160m中段运输巷断面扩宽至4m×3.5m（宽×高，三心拱），改造工程：5446.71m</w:t>
      </w:r>
      <w:r>
        <w:rPr>
          <w:rFonts w:hint="eastAsia"/>
          <w:color w:val="auto"/>
          <w:vertAlign w:val="superscript"/>
          <w:lang w:val="en-US" w:eastAsia="zh-CN"/>
        </w:rPr>
        <w:t>3</w:t>
      </w:r>
      <w:r>
        <w:rPr>
          <w:rFonts w:hint="eastAsia"/>
          <w:color w:val="auto"/>
          <w:lang w:val="en-US" w:eastAsia="zh-CN"/>
        </w:rPr>
        <w:t>；开采3-18号勘探线之间的矿体的同时向北施工+160m运输巷，新施工长度约800m，断面宽×高：4m×3.5m（三心拱），工程量：5767.85m</w:t>
      </w:r>
      <w:r>
        <w:rPr>
          <w:rFonts w:hint="eastAsia"/>
          <w:color w:val="auto"/>
          <w:vertAlign w:val="superscript"/>
          <w:lang w:val="en-US" w:eastAsia="zh-CN"/>
        </w:rPr>
        <w:t>3</w:t>
      </w:r>
      <w:r>
        <w:rPr>
          <w:rFonts w:hint="eastAsia"/>
          <w:color w:val="auto"/>
          <w:lang w:val="en-US" w:eastAsia="zh-CN"/>
        </w:rPr>
        <w:t>。</w:t>
      </w:r>
    </w:p>
    <w:p w14:paraId="39B0D218">
      <w:pPr>
        <w:bidi w:val="0"/>
        <w:rPr>
          <w:rFonts w:hint="eastAsia"/>
          <w:color w:val="auto"/>
          <w:lang w:val="en-US" w:eastAsia="zh-CN"/>
        </w:rPr>
      </w:pPr>
      <w:r>
        <w:rPr>
          <w:rFonts w:hint="eastAsia"/>
          <w:color w:val="auto"/>
          <w:lang w:val="en-US" w:eastAsia="zh-CN"/>
        </w:rPr>
        <w:t>+130m中段运输巷：长度约750m，断面宽×高：2.35m×2.8m（三心拱）；+130m中段运输巷分别与副斜井、主斜坡道贯通、北风井贯通，使用UQ-12矿用自卸车无轨运输。为满足要求，将+130m中段运输巷断面扩宽至4m×3.5m（宽×高，三心拱），改造工程：5012.31m</w:t>
      </w:r>
      <w:r>
        <w:rPr>
          <w:rFonts w:hint="eastAsia"/>
          <w:color w:val="auto"/>
          <w:vertAlign w:val="superscript"/>
          <w:lang w:val="en-US" w:eastAsia="zh-CN"/>
        </w:rPr>
        <w:t>3</w:t>
      </w:r>
      <w:r>
        <w:rPr>
          <w:rFonts w:hint="eastAsia"/>
          <w:color w:val="auto"/>
          <w:lang w:val="en-US" w:eastAsia="zh-CN"/>
        </w:rPr>
        <w:t>；开采3-18号勘探线之间的矿体的同时向北施工+130m中段运输巷，新施工总长度约806m，断面宽×高：4m×3.5m（三心拱），工程量：10377m</w:t>
      </w:r>
      <w:r>
        <w:rPr>
          <w:rFonts w:hint="eastAsia"/>
          <w:color w:val="auto"/>
          <w:vertAlign w:val="superscript"/>
          <w:lang w:val="en-US" w:eastAsia="zh-CN"/>
        </w:rPr>
        <w:t>3</w:t>
      </w:r>
      <w:r>
        <w:rPr>
          <w:rFonts w:hint="eastAsia"/>
          <w:color w:val="auto"/>
          <w:lang w:val="en-US" w:eastAsia="zh-CN"/>
        </w:rPr>
        <w:t>。</w:t>
      </w:r>
    </w:p>
    <w:p w14:paraId="0D531FD5">
      <w:pPr>
        <w:bidi w:val="0"/>
        <w:rPr>
          <w:rFonts w:hint="eastAsia"/>
          <w:color w:val="auto"/>
          <w:lang w:val="en-US" w:eastAsia="zh-CN"/>
        </w:rPr>
      </w:pPr>
      <w:r>
        <w:rPr>
          <w:rFonts w:hint="eastAsia"/>
          <w:color w:val="auto"/>
          <w:lang w:val="en-US" w:eastAsia="zh-CN"/>
        </w:rPr>
        <w:t>+100m中段运输巷：长度约650m，断面宽×高：2.35m×2.8m（三心拱）。+100m中段运输巷分别与副斜井、主斜坡道贯通，延伸+100m中段运输巷通过回风天井与北风井连通，用UQ-12矿用自卸车无轨运输，为满足要求，将+100m中段运输巷断面扩宽至4m×3.5m（宽×高，三心拱），改造工程：5433.72m</w:t>
      </w:r>
      <w:r>
        <w:rPr>
          <w:rFonts w:hint="eastAsia"/>
          <w:color w:val="auto"/>
          <w:vertAlign w:val="superscript"/>
          <w:lang w:val="en-US" w:eastAsia="zh-CN"/>
        </w:rPr>
        <w:t>3</w:t>
      </w:r>
      <w:r>
        <w:rPr>
          <w:rFonts w:hint="eastAsia"/>
          <w:color w:val="auto"/>
          <w:lang w:val="en-US" w:eastAsia="zh-CN"/>
        </w:rPr>
        <w:t>；开采3-18号勘探线之间的矿体的同时向北施工+100m中段运输巷，新施工总长度约823.4m，断面宽×高：4m×3.5m（三心拱），工程量：10601m</w:t>
      </w:r>
      <w:r>
        <w:rPr>
          <w:rFonts w:hint="eastAsia"/>
          <w:color w:val="auto"/>
          <w:vertAlign w:val="superscript"/>
          <w:lang w:val="en-US" w:eastAsia="zh-CN"/>
        </w:rPr>
        <w:t>3</w:t>
      </w:r>
      <w:r>
        <w:rPr>
          <w:rFonts w:hint="eastAsia"/>
          <w:color w:val="auto"/>
          <w:lang w:val="en-US" w:eastAsia="zh-CN"/>
        </w:rPr>
        <w:t>。</w:t>
      </w:r>
    </w:p>
    <w:p w14:paraId="7529ECCA">
      <w:pPr>
        <w:bidi w:val="0"/>
        <w:rPr>
          <w:rFonts w:hint="eastAsia"/>
          <w:color w:val="auto"/>
          <w:lang w:val="en-US" w:eastAsia="zh-CN"/>
        </w:rPr>
      </w:pPr>
      <w:r>
        <w:rPr>
          <w:rFonts w:hint="eastAsia"/>
          <w:color w:val="auto"/>
          <w:lang w:val="en-US" w:eastAsia="zh-CN"/>
        </w:rPr>
        <w:t>（4）人行井</w:t>
      </w:r>
    </w:p>
    <w:p w14:paraId="789C731A">
      <w:pPr>
        <w:bidi w:val="0"/>
        <w:rPr>
          <w:rFonts w:hint="eastAsia"/>
          <w:color w:val="auto"/>
          <w:lang w:val="en-US" w:eastAsia="zh-CN"/>
        </w:rPr>
      </w:pPr>
      <w:r>
        <w:rPr>
          <w:rFonts w:hint="eastAsia"/>
          <w:color w:val="auto"/>
          <w:lang w:val="en-US" w:eastAsia="zh-CN"/>
        </w:rPr>
        <w:t>布置在采场两端的间柱内，断面为矩形，规格（宽×高）=2.0m×2.0m。人行上山内敷设台阶和扶手。人行上山作为采场回采过程中人行安全通道。</w:t>
      </w:r>
    </w:p>
    <w:p w14:paraId="49F19F24">
      <w:pPr>
        <w:bidi w:val="0"/>
        <w:rPr>
          <w:rFonts w:hint="eastAsia"/>
          <w:color w:val="auto"/>
          <w:lang w:val="en-US" w:eastAsia="zh-CN"/>
        </w:rPr>
      </w:pPr>
      <w:r>
        <w:rPr>
          <w:rFonts w:hint="eastAsia"/>
          <w:color w:val="auto"/>
          <w:lang w:val="en-US" w:eastAsia="zh-CN"/>
        </w:rPr>
        <w:t>（5）边界回风天井</w:t>
      </w:r>
    </w:p>
    <w:p w14:paraId="52D098AC">
      <w:pPr>
        <w:bidi w:val="0"/>
        <w:rPr>
          <w:rFonts w:hint="eastAsia"/>
          <w:color w:val="auto"/>
          <w:lang w:val="en-US" w:eastAsia="zh-CN"/>
        </w:rPr>
      </w:pPr>
      <w:r>
        <w:rPr>
          <w:rFonts w:hint="eastAsia"/>
          <w:color w:val="auto"/>
          <w:lang w:val="en-US" w:eastAsia="zh-CN"/>
        </w:rPr>
        <w:t>在矿体北边最端部设边界通风行人天井（+100m～+190m），分别与+190m中段回风巷、+160m中段运输巷、+130m中段运输巷、+100m中段运输巷连通，断面为矩形，规格（宽×高）=2m×2m。边界通风上山内敷设台阶和扶手。回风上山兼作人行安全通道。工程量：400m</w:t>
      </w:r>
      <w:r>
        <w:rPr>
          <w:rFonts w:hint="eastAsia"/>
          <w:color w:val="auto"/>
          <w:vertAlign w:val="superscript"/>
          <w:lang w:val="en-US" w:eastAsia="zh-CN"/>
        </w:rPr>
        <w:t>3</w:t>
      </w:r>
      <w:r>
        <w:rPr>
          <w:rFonts w:hint="eastAsia"/>
          <w:color w:val="auto"/>
          <w:lang w:val="en-US" w:eastAsia="zh-CN"/>
        </w:rPr>
        <w:t>。</w:t>
      </w:r>
    </w:p>
    <w:p w14:paraId="659823D3">
      <w:pPr>
        <w:bidi w:val="0"/>
        <w:rPr>
          <w:rFonts w:hint="default"/>
          <w:b/>
          <w:bCs/>
          <w:color w:val="auto"/>
          <w:lang w:val="en-US" w:eastAsia="zh-CN"/>
        </w:rPr>
      </w:pPr>
      <w:r>
        <w:rPr>
          <w:rFonts w:hint="eastAsia"/>
          <w:b/>
          <w:bCs/>
          <w:color w:val="auto"/>
          <w:lang w:val="en-US" w:eastAsia="zh-CN"/>
        </w:rPr>
        <w:t>二、运输设备选型</w:t>
      </w:r>
    </w:p>
    <w:p w14:paraId="638FC47D">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主斜坡道运输巷运输生产能力：AN=300kt/a，废石率20%；</w:t>
      </w:r>
    </w:p>
    <w:p w14:paraId="241950EF">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井筒特征：主斜坡道下口标高+100m，上口标高+241m，运输距离最长2800m，坡度i=</w:t>
      </w:r>
      <w:r>
        <w:rPr>
          <w:rFonts w:hint="eastAsia"/>
          <w:color w:val="auto"/>
          <w:lang w:val="en-US" w:eastAsia="zh-CN"/>
        </w:rPr>
        <w:t>15.96</w:t>
      </w:r>
      <w:r>
        <w:rPr>
          <w:rFonts w:hint="default"/>
          <w:color w:val="auto"/>
          <w:lang w:val="en-US" w:eastAsia="zh-CN"/>
        </w:rPr>
        <w:t>%；</w:t>
      </w:r>
    </w:p>
    <w:p w14:paraId="431861CE">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运输方式：UQ-12矿用自卸车运输（配矿安标志）；</w:t>
      </w:r>
    </w:p>
    <w:p w14:paraId="17BD3096">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运输内容：运输铁矿石、废矿石及运送材料设备等；</w:t>
      </w:r>
    </w:p>
    <w:p w14:paraId="42F8A08E">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运输设备：采用UQ-12矿用自卸车运输（配置湿式制动器、尾气净化装置和灭火装置），自重4.6t，容量4.9m</w:t>
      </w:r>
      <w:r>
        <w:rPr>
          <w:rFonts w:hint="default"/>
          <w:color w:val="auto"/>
          <w:vertAlign w:val="superscript"/>
          <w:lang w:val="en-US" w:eastAsia="zh-CN"/>
        </w:rPr>
        <w:t>3</w:t>
      </w:r>
      <w:r>
        <w:rPr>
          <w:rFonts w:hint="default"/>
          <w:color w:val="auto"/>
          <w:lang w:val="en-US" w:eastAsia="zh-CN"/>
        </w:rPr>
        <w:t>；最高运输速度30km/h，柴油发动机功率为90.5kW，最大牵引力60kN，爬坡能力（重载）</w:t>
      </w:r>
      <w:r>
        <w:rPr>
          <w:rFonts w:hint="eastAsia"/>
          <w:color w:val="auto"/>
          <w:lang w:val="en-US" w:eastAsia="zh-CN"/>
        </w:rPr>
        <w:t>≥</w:t>
      </w:r>
      <w:r>
        <w:rPr>
          <w:rFonts w:hint="default"/>
          <w:color w:val="auto"/>
          <w:lang w:val="en-US" w:eastAsia="zh-CN"/>
        </w:rPr>
        <w:t>14</w:t>
      </w:r>
      <w:r>
        <w:rPr>
          <w:rFonts w:hint="eastAsia" w:ascii="宋体" w:hAnsi="宋体" w:eastAsia="宋体" w:cs="宋体"/>
          <w:color w:val="auto"/>
          <w:lang w:val="en-US" w:eastAsia="zh-CN"/>
        </w:rPr>
        <w:t>°</w:t>
      </w:r>
      <w:r>
        <w:rPr>
          <w:rFonts w:hint="default"/>
          <w:color w:val="auto"/>
          <w:lang w:val="en-US" w:eastAsia="zh-CN"/>
        </w:rPr>
        <w:t>。外型尺寸：长</w:t>
      </w:r>
      <w:r>
        <w:rPr>
          <w:rFonts w:hint="eastAsia"/>
          <w:color w:val="auto"/>
          <w:lang w:val="en-US" w:eastAsia="zh-CN"/>
        </w:rPr>
        <w:t>×</w:t>
      </w:r>
      <w:r>
        <w:rPr>
          <w:rFonts w:hint="default"/>
          <w:color w:val="auto"/>
          <w:lang w:val="en-US" w:eastAsia="zh-CN"/>
        </w:rPr>
        <w:t>宽</w:t>
      </w:r>
      <w:r>
        <w:rPr>
          <w:rFonts w:hint="eastAsia"/>
          <w:color w:val="auto"/>
          <w:lang w:val="en-US" w:eastAsia="zh-CN"/>
        </w:rPr>
        <w:t>×</w:t>
      </w:r>
      <w:r>
        <w:rPr>
          <w:rFonts w:hint="default"/>
          <w:color w:val="auto"/>
          <w:lang w:val="en-US" w:eastAsia="zh-CN"/>
        </w:rPr>
        <w:t>高=5100mm</w:t>
      </w:r>
      <w:r>
        <w:rPr>
          <w:rFonts w:hint="eastAsia"/>
          <w:color w:val="auto"/>
          <w:lang w:val="en-US" w:eastAsia="zh-CN"/>
        </w:rPr>
        <w:t>×</w:t>
      </w:r>
      <w:r>
        <w:rPr>
          <w:rFonts w:hint="default"/>
          <w:color w:val="auto"/>
          <w:lang w:val="en-US" w:eastAsia="zh-CN"/>
        </w:rPr>
        <w:t>2000mm</w:t>
      </w:r>
      <w:r>
        <w:rPr>
          <w:rFonts w:hint="eastAsia"/>
          <w:color w:val="auto"/>
          <w:lang w:val="en-US" w:eastAsia="zh-CN"/>
        </w:rPr>
        <w:t>×</w:t>
      </w:r>
      <w:r>
        <w:rPr>
          <w:rFonts w:hint="default"/>
          <w:color w:val="auto"/>
          <w:lang w:val="en-US" w:eastAsia="zh-CN"/>
        </w:rPr>
        <w:t>1800mm</w:t>
      </w:r>
      <w:r>
        <w:rPr>
          <w:rFonts w:hint="eastAsia"/>
          <w:color w:val="auto"/>
          <w:lang w:val="en-US" w:eastAsia="zh-CN"/>
        </w:rPr>
        <w:t>。</w:t>
      </w:r>
    </w:p>
    <w:p w14:paraId="30FB49E9">
      <w:pPr>
        <w:bidi w:val="0"/>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矿井工作制度：年工作日：b</w:t>
      </w:r>
      <w:r>
        <w:rPr>
          <w:rFonts w:hint="default"/>
          <w:color w:val="auto"/>
          <w:vertAlign w:val="subscript"/>
          <w:lang w:val="en-US" w:eastAsia="zh-CN"/>
        </w:rPr>
        <w:t>r</w:t>
      </w:r>
      <w:r>
        <w:rPr>
          <w:rFonts w:hint="default"/>
          <w:color w:val="auto"/>
          <w:lang w:val="en-US" w:eastAsia="zh-CN"/>
        </w:rPr>
        <w:t>=300d、每天净运输时间为18h（每天3班、每班6h）。</w:t>
      </w:r>
    </w:p>
    <w:p w14:paraId="1E2BE482">
      <w:pPr>
        <w:bidi w:val="0"/>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矿石容重4100/1.6=2563g/m</w:t>
      </w:r>
      <w:r>
        <w:rPr>
          <w:rFonts w:hint="default"/>
          <w:color w:val="auto"/>
          <w:vertAlign w:val="superscript"/>
          <w:lang w:val="en-US" w:eastAsia="zh-CN"/>
        </w:rPr>
        <w:t>3</w:t>
      </w:r>
      <w:r>
        <w:rPr>
          <w:rFonts w:hint="default"/>
          <w:color w:val="auto"/>
          <w:lang w:val="en-US" w:eastAsia="zh-CN"/>
        </w:rPr>
        <w:t>，废石容重2800/1.6=1750kg/m</w:t>
      </w:r>
      <w:r>
        <w:rPr>
          <w:rFonts w:hint="default"/>
          <w:color w:val="auto"/>
          <w:vertAlign w:val="superscript"/>
          <w:lang w:val="en-US" w:eastAsia="zh-CN"/>
        </w:rPr>
        <w:t>3</w:t>
      </w:r>
      <w:r>
        <w:rPr>
          <w:rFonts w:hint="eastAsia"/>
          <w:color w:val="auto"/>
          <w:vertAlign w:val="baseline"/>
          <w:lang w:val="en-US" w:eastAsia="zh-CN"/>
        </w:rPr>
        <w:t>，</w:t>
      </w:r>
      <w:r>
        <w:rPr>
          <w:rFonts w:hint="default"/>
          <w:color w:val="auto"/>
          <w:lang w:val="en-US" w:eastAsia="zh-CN"/>
        </w:rPr>
        <w:t>矿用自卸车载重量取12t。</w:t>
      </w:r>
    </w:p>
    <w:p w14:paraId="74C5A35A">
      <w:pPr>
        <w:bidi w:val="0"/>
        <w:rPr>
          <w:rFonts w:hint="eastAsia"/>
          <w:b/>
          <w:bCs/>
          <w:color w:val="auto"/>
          <w:lang w:val="en-US" w:eastAsia="zh-CN"/>
        </w:rPr>
      </w:pPr>
      <w:r>
        <w:rPr>
          <w:rFonts w:hint="eastAsia"/>
          <w:b/>
          <w:bCs/>
          <w:color w:val="auto"/>
          <w:lang w:val="en-US" w:eastAsia="zh-CN"/>
        </w:rPr>
        <w:t>三、运人设备选型</w:t>
      </w:r>
    </w:p>
    <w:p w14:paraId="3586D382">
      <w:pPr>
        <w:bidi w:val="0"/>
        <w:rPr>
          <w:rFonts w:hint="eastAsia"/>
          <w:color w:val="auto"/>
          <w:lang w:val="en-US" w:eastAsia="zh-CN"/>
        </w:rPr>
      </w:pPr>
      <w:r>
        <w:rPr>
          <w:rFonts w:hint="eastAsia"/>
          <w:color w:val="auto"/>
          <w:lang w:val="en-US" w:eastAsia="zh-CN"/>
        </w:rPr>
        <w:t>矿山现有斜坡道人车RU-6（有矿安标志）一辆运送人员上下班。RU-6无轨人车参数如下表2.4-3。</w:t>
      </w:r>
    </w:p>
    <w:p w14:paraId="1D46C28A">
      <w:pPr>
        <w:bidi w:val="0"/>
        <w:ind w:left="0" w:leftChars="0" w:firstLine="0" w:firstLineChars="0"/>
        <w:jc w:val="center"/>
        <w:rPr>
          <w:rFonts w:hint="eastAsia"/>
          <w:color w:val="auto"/>
          <w:lang w:val="en-US" w:eastAsia="zh-CN"/>
        </w:rPr>
      </w:pPr>
      <w:r>
        <w:rPr>
          <w:rFonts w:hint="eastAsia"/>
          <w:color w:val="auto"/>
          <w:lang w:val="en-US" w:eastAsia="zh-CN"/>
        </w:rPr>
        <w:t>表2.4-3 无轨人车技术参数</w:t>
      </w:r>
    </w:p>
    <w:tbl>
      <w:tblPr>
        <w:tblStyle w:val="36"/>
        <w:tblW w:w="8876" w:type="dxa"/>
        <w:tblInd w:w="12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2"/>
        <w:gridCol w:w="1423"/>
        <w:gridCol w:w="1289"/>
        <w:gridCol w:w="1481"/>
        <w:gridCol w:w="1072"/>
        <w:gridCol w:w="1072"/>
        <w:gridCol w:w="1077"/>
      </w:tblGrid>
      <w:tr w14:paraId="72BE6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1462" w:type="dxa"/>
            <w:vMerge w:val="restart"/>
            <w:tcBorders>
              <w:bottom w:val="nil"/>
            </w:tcBorders>
            <w:vAlign w:val="center"/>
          </w:tcPr>
          <w:p w14:paraId="4C286D1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型号规格</w:t>
            </w:r>
          </w:p>
        </w:tc>
        <w:tc>
          <w:tcPr>
            <w:tcW w:w="4193" w:type="dxa"/>
            <w:gridSpan w:val="3"/>
            <w:vAlign w:val="center"/>
          </w:tcPr>
          <w:p w14:paraId="4F8CF11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外形尺寸（mm）</w:t>
            </w:r>
          </w:p>
        </w:tc>
        <w:tc>
          <w:tcPr>
            <w:tcW w:w="1072" w:type="dxa"/>
            <w:vAlign w:val="center"/>
          </w:tcPr>
          <w:p w14:paraId="48A9C22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乘员</w:t>
            </w:r>
          </w:p>
        </w:tc>
        <w:tc>
          <w:tcPr>
            <w:tcW w:w="1072" w:type="dxa"/>
            <w:vAlign w:val="center"/>
          </w:tcPr>
          <w:p w14:paraId="33A3DC4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功率</w:t>
            </w:r>
          </w:p>
        </w:tc>
        <w:tc>
          <w:tcPr>
            <w:tcW w:w="1077" w:type="dxa"/>
            <w:vAlign w:val="center"/>
          </w:tcPr>
          <w:p w14:paraId="310C5D0D">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自重</w:t>
            </w:r>
          </w:p>
        </w:tc>
      </w:tr>
      <w:tr w14:paraId="5360B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462" w:type="dxa"/>
            <w:vMerge w:val="continue"/>
            <w:tcBorders>
              <w:top w:val="nil"/>
            </w:tcBorders>
            <w:vAlign w:val="center"/>
          </w:tcPr>
          <w:p w14:paraId="66A7ADD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p>
        </w:tc>
        <w:tc>
          <w:tcPr>
            <w:tcW w:w="1423" w:type="dxa"/>
            <w:vAlign w:val="center"/>
          </w:tcPr>
          <w:p w14:paraId="5258BD0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长</w:t>
            </w:r>
          </w:p>
        </w:tc>
        <w:tc>
          <w:tcPr>
            <w:tcW w:w="1289" w:type="dxa"/>
            <w:vAlign w:val="center"/>
          </w:tcPr>
          <w:p w14:paraId="1F2CDD67">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宽</w:t>
            </w:r>
          </w:p>
        </w:tc>
        <w:tc>
          <w:tcPr>
            <w:tcW w:w="1481" w:type="dxa"/>
            <w:vAlign w:val="center"/>
          </w:tcPr>
          <w:p w14:paraId="0B695B6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高</w:t>
            </w:r>
          </w:p>
        </w:tc>
        <w:tc>
          <w:tcPr>
            <w:tcW w:w="1072" w:type="dxa"/>
            <w:vAlign w:val="center"/>
          </w:tcPr>
          <w:p w14:paraId="26705FC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（人）</w:t>
            </w:r>
          </w:p>
        </w:tc>
        <w:tc>
          <w:tcPr>
            <w:tcW w:w="1072" w:type="dxa"/>
            <w:vAlign w:val="center"/>
          </w:tcPr>
          <w:p w14:paraId="76EFE68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eastAsia" w:ascii="Times New Roman" w:hAnsi="Times New Roman" w:eastAsia="宋体" w:cs="Times New Roman"/>
                <w:b/>
                <w:bCs/>
                <w:color w:val="auto"/>
                <w:spacing w:val="-4"/>
                <w:sz w:val="21"/>
                <w:szCs w:val="21"/>
                <w:lang w:val="en-US" w:eastAsia="zh-CN"/>
              </w:rPr>
              <w:t>k</w:t>
            </w:r>
            <w:r>
              <w:rPr>
                <w:rFonts w:hint="default" w:ascii="Times New Roman" w:hAnsi="Times New Roman" w:eastAsia="Times New Roman" w:cs="Times New Roman"/>
                <w:b/>
                <w:bCs/>
                <w:color w:val="auto"/>
                <w:spacing w:val="-4"/>
                <w:sz w:val="21"/>
                <w:szCs w:val="21"/>
              </w:rPr>
              <w:t>W</w:t>
            </w:r>
          </w:p>
        </w:tc>
        <w:tc>
          <w:tcPr>
            <w:tcW w:w="1077" w:type="dxa"/>
            <w:vAlign w:val="center"/>
          </w:tcPr>
          <w:p w14:paraId="0A58465D">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kg</w:t>
            </w:r>
          </w:p>
        </w:tc>
      </w:tr>
      <w:tr w14:paraId="79312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1462" w:type="dxa"/>
            <w:vAlign w:val="center"/>
          </w:tcPr>
          <w:p w14:paraId="5ABA87D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RU-6</w:t>
            </w:r>
          </w:p>
        </w:tc>
        <w:tc>
          <w:tcPr>
            <w:tcW w:w="1423" w:type="dxa"/>
            <w:vAlign w:val="center"/>
          </w:tcPr>
          <w:p w14:paraId="42BBA33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5085</w:t>
            </w:r>
          </w:p>
        </w:tc>
        <w:tc>
          <w:tcPr>
            <w:tcW w:w="1289" w:type="dxa"/>
            <w:vAlign w:val="center"/>
          </w:tcPr>
          <w:p w14:paraId="4F2AD3F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2040</w:t>
            </w:r>
          </w:p>
        </w:tc>
        <w:tc>
          <w:tcPr>
            <w:tcW w:w="1481" w:type="dxa"/>
            <w:vAlign w:val="center"/>
          </w:tcPr>
          <w:p w14:paraId="7D71F50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2380</w:t>
            </w:r>
          </w:p>
        </w:tc>
        <w:tc>
          <w:tcPr>
            <w:tcW w:w="1072" w:type="dxa"/>
            <w:vAlign w:val="center"/>
          </w:tcPr>
          <w:p w14:paraId="775C1F3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6</w:t>
            </w:r>
          </w:p>
        </w:tc>
        <w:tc>
          <w:tcPr>
            <w:tcW w:w="1072" w:type="dxa"/>
            <w:vAlign w:val="center"/>
          </w:tcPr>
          <w:p w14:paraId="56470C8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65</w:t>
            </w:r>
          </w:p>
        </w:tc>
        <w:tc>
          <w:tcPr>
            <w:tcW w:w="1077" w:type="dxa"/>
            <w:vAlign w:val="center"/>
          </w:tcPr>
          <w:p w14:paraId="1143CA8E">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4600</w:t>
            </w:r>
          </w:p>
        </w:tc>
      </w:tr>
    </w:tbl>
    <w:p w14:paraId="6F089B36">
      <w:pPr>
        <w:bidi w:val="0"/>
        <w:rPr>
          <w:rFonts w:hint="default"/>
          <w:color w:val="auto"/>
          <w:lang w:val="en-US" w:eastAsia="zh-CN"/>
        </w:rPr>
      </w:pPr>
      <w:r>
        <w:rPr>
          <w:rFonts w:hint="default"/>
          <w:color w:val="auto"/>
          <w:lang w:val="en-US" w:eastAsia="zh-CN"/>
        </w:rPr>
        <w:t>最大牵引力30kN，最大运行速度为22km/h，爬坡能力（重载）14</w:t>
      </w:r>
      <w:r>
        <w:rPr>
          <w:rFonts w:hint="eastAsia" w:ascii="宋体" w:hAnsi="宋体" w:eastAsia="宋体" w:cs="宋体"/>
          <w:color w:val="auto"/>
          <w:lang w:val="en-US" w:eastAsia="zh-CN"/>
        </w:rPr>
        <w:t>°</w:t>
      </w:r>
      <w:r>
        <w:rPr>
          <w:rFonts w:hint="eastAsia"/>
          <w:color w:val="auto"/>
          <w:lang w:val="en-US" w:eastAsia="zh-CN"/>
        </w:rPr>
        <w:t>；</w:t>
      </w:r>
      <w:r>
        <w:rPr>
          <w:rFonts w:hint="default"/>
          <w:color w:val="auto"/>
          <w:lang w:val="en-US" w:eastAsia="zh-CN"/>
        </w:rPr>
        <w:t>制动型式：全封闭多盘湿式弹簧制动，液压释放</w:t>
      </w:r>
      <w:r>
        <w:rPr>
          <w:rFonts w:hint="eastAsia"/>
          <w:color w:val="auto"/>
          <w:lang w:val="en-US" w:eastAsia="zh-CN"/>
        </w:rPr>
        <w:t>。可</w:t>
      </w:r>
      <w:r>
        <w:rPr>
          <w:rFonts w:hint="default"/>
          <w:color w:val="auto"/>
          <w:lang w:val="en-US" w:eastAsia="zh-CN"/>
        </w:rPr>
        <w:t>满足运</w:t>
      </w:r>
      <w:r>
        <w:rPr>
          <w:rFonts w:hint="eastAsia"/>
          <w:color w:val="auto"/>
          <w:lang w:val="en-US" w:eastAsia="zh-CN"/>
        </w:rPr>
        <w:t>送</w:t>
      </w:r>
      <w:r>
        <w:rPr>
          <w:rFonts w:hint="default"/>
          <w:color w:val="auto"/>
          <w:lang w:val="en-US" w:eastAsia="zh-CN"/>
        </w:rPr>
        <w:t>人</w:t>
      </w:r>
      <w:r>
        <w:rPr>
          <w:rFonts w:hint="eastAsia"/>
          <w:color w:val="auto"/>
          <w:lang w:val="en-US" w:eastAsia="zh-CN"/>
        </w:rPr>
        <w:t>员</w:t>
      </w:r>
      <w:r>
        <w:rPr>
          <w:rFonts w:hint="default"/>
          <w:color w:val="auto"/>
          <w:lang w:val="en-US" w:eastAsia="zh-CN"/>
        </w:rPr>
        <w:t>的要求。</w:t>
      </w:r>
    </w:p>
    <w:p w14:paraId="08E658B2">
      <w:pPr>
        <w:pStyle w:val="4"/>
        <w:bidi w:val="0"/>
        <w:rPr>
          <w:rFonts w:hint="default"/>
          <w:color w:val="auto"/>
          <w:lang w:val="en-US" w:eastAsia="zh-CN"/>
        </w:rPr>
      </w:pPr>
      <w:bookmarkStart w:id="179" w:name="_Toc20725"/>
      <w:bookmarkStart w:id="180" w:name="_Toc5295"/>
      <w:bookmarkStart w:id="181" w:name="_Toc3286"/>
      <w:bookmarkStart w:id="182" w:name="_Toc28522"/>
      <w:r>
        <w:rPr>
          <w:rFonts w:hint="default"/>
          <w:color w:val="auto"/>
          <w:lang w:val="en-US" w:eastAsia="zh-CN"/>
        </w:rPr>
        <w:t>2.4.6</w:t>
      </w:r>
      <w:r>
        <w:rPr>
          <w:rFonts w:hint="eastAsia"/>
          <w:color w:val="auto"/>
          <w:lang w:val="en-US" w:eastAsia="zh-CN"/>
        </w:rPr>
        <w:t xml:space="preserve"> </w:t>
      </w:r>
      <w:r>
        <w:rPr>
          <w:rFonts w:hint="default"/>
          <w:color w:val="auto"/>
          <w:lang w:val="en-US" w:eastAsia="zh-CN"/>
        </w:rPr>
        <w:t>采矿工艺</w:t>
      </w:r>
      <w:bookmarkEnd w:id="179"/>
      <w:bookmarkEnd w:id="180"/>
      <w:bookmarkEnd w:id="181"/>
      <w:bookmarkEnd w:id="182"/>
    </w:p>
    <w:p w14:paraId="1611D592">
      <w:pPr>
        <w:bidi w:val="0"/>
        <w:rPr>
          <w:rFonts w:hint="default"/>
          <w:color w:val="auto"/>
          <w:lang w:val="en-US" w:eastAsia="zh-CN"/>
        </w:rPr>
      </w:pPr>
      <w:r>
        <w:rPr>
          <w:rFonts w:hint="default"/>
          <w:color w:val="auto"/>
          <w:lang w:val="en-US" w:eastAsia="zh-CN"/>
        </w:rPr>
        <w:t>矿区的矿体厚度变化大，倾角近水平至30</w:t>
      </w:r>
      <w:r>
        <w:rPr>
          <w:rFonts w:hint="eastAsia" w:ascii="宋体" w:hAnsi="宋体" w:eastAsia="宋体" w:cs="宋体"/>
          <w:color w:val="auto"/>
          <w:lang w:val="en-US" w:eastAsia="zh-CN"/>
        </w:rPr>
        <w:t>°</w:t>
      </w:r>
      <w:r>
        <w:rPr>
          <w:rFonts w:hint="eastAsia"/>
          <w:color w:val="auto"/>
          <w:lang w:val="en-US" w:eastAsia="zh-CN"/>
        </w:rPr>
        <w:t>，</w:t>
      </w:r>
      <w:r>
        <w:rPr>
          <w:rFonts w:hint="default"/>
          <w:color w:val="auto"/>
          <w:lang w:val="en-US" w:eastAsia="zh-CN"/>
        </w:rPr>
        <w:t>矿山现有采矿方法为浅孔房柱法，浅孔房柱法回采效率较低，机械化效率低，无法满足矿山生产需求。因此需增加新的采矿方法。</w:t>
      </w:r>
    </w:p>
    <w:p w14:paraId="5AF30B0E">
      <w:pPr>
        <w:bidi w:val="0"/>
        <w:rPr>
          <w:rFonts w:hint="default"/>
          <w:color w:val="auto"/>
          <w:lang w:val="en-US" w:eastAsia="zh-CN"/>
        </w:rPr>
      </w:pPr>
      <w:r>
        <w:rPr>
          <w:rFonts w:hint="default"/>
          <w:color w:val="auto"/>
          <w:lang w:val="en-US" w:eastAsia="zh-CN"/>
        </w:rPr>
        <w:t>依据矿体特征及围岩条件，考虑从外向里、自上而下沿各支脉开采，本次方案</w:t>
      </w:r>
      <w:r>
        <w:rPr>
          <w:rFonts w:hint="eastAsia"/>
          <w:color w:val="auto"/>
          <w:lang w:val="en-US" w:eastAsia="zh-CN"/>
        </w:rPr>
        <w:t>确定</w:t>
      </w:r>
      <w:r>
        <w:rPr>
          <w:rFonts w:hint="default"/>
          <w:color w:val="auto"/>
          <w:lang w:val="en-US" w:eastAsia="zh-CN"/>
        </w:rPr>
        <w:t>中厚及近水平的矿体采用全面采矿法（嗣后充填），薄及缓倾斜的矿体采用房柱法（嗣后充填），厚矿体采用阶段矿房采矿法（嗣后充填）。</w:t>
      </w:r>
      <w:r>
        <w:rPr>
          <w:rFonts w:hint="eastAsia"/>
          <w:color w:val="auto"/>
          <w:lang w:val="en-US" w:eastAsia="zh-CN"/>
        </w:rPr>
        <w:t>具体采矿方法介绍详见附图。</w:t>
      </w:r>
    </w:p>
    <w:p w14:paraId="0F4B7152">
      <w:pPr>
        <w:pStyle w:val="4"/>
        <w:bidi w:val="0"/>
        <w:rPr>
          <w:rFonts w:hint="default"/>
          <w:color w:val="auto"/>
          <w:lang w:val="en-US" w:eastAsia="zh-CN"/>
        </w:rPr>
      </w:pPr>
      <w:bookmarkStart w:id="183" w:name="_Toc18299"/>
      <w:bookmarkStart w:id="184" w:name="_Toc1904"/>
      <w:bookmarkStart w:id="185" w:name="_Toc19883"/>
      <w:bookmarkStart w:id="186" w:name="_Toc24232"/>
      <w:r>
        <w:rPr>
          <w:rFonts w:hint="default"/>
          <w:color w:val="auto"/>
          <w:lang w:val="en-US" w:eastAsia="zh-CN"/>
        </w:rPr>
        <w:t>2.4.7通风系统</w:t>
      </w:r>
      <w:bookmarkEnd w:id="183"/>
      <w:bookmarkEnd w:id="184"/>
      <w:bookmarkEnd w:id="185"/>
      <w:bookmarkEnd w:id="186"/>
    </w:p>
    <w:p w14:paraId="6718CECC">
      <w:pPr>
        <w:numPr>
          <w:ilvl w:val="0"/>
          <w:numId w:val="0"/>
        </w:numPr>
        <w:ind w:leftChars="200"/>
        <w:rPr>
          <w:rFonts w:hint="eastAsia"/>
          <w:b/>
          <w:bCs/>
          <w:color w:val="auto"/>
          <w:lang w:val="en-US" w:eastAsia="zh-CN"/>
        </w:rPr>
      </w:pPr>
      <w:r>
        <w:rPr>
          <w:rFonts w:hint="eastAsia"/>
          <w:b/>
          <w:bCs/>
          <w:color w:val="auto"/>
          <w:lang w:val="en-US" w:eastAsia="zh-CN"/>
        </w:rPr>
        <w:t>一、开采3-18号勘探线之间的矿体时通风方式和通风系统</w:t>
      </w:r>
    </w:p>
    <w:p w14:paraId="3844BB8C">
      <w:pPr>
        <w:bidi w:val="0"/>
        <w:rPr>
          <w:rFonts w:hint="default"/>
          <w:color w:val="auto"/>
          <w:lang w:val="en-US" w:eastAsia="zh-CN"/>
        </w:rPr>
      </w:pPr>
      <w:r>
        <w:rPr>
          <w:rFonts w:hint="default"/>
          <w:color w:val="auto"/>
          <w:lang w:val="en-US" w:eastAsia="zh-CN"/>
        </w:rPr>
        <w:t>通风系统采用中央对角式通风系统，由三个进风井（副斜井、主斜坡道</w:t>
      </w:r>
      <w:r>
        <w:rPr>
          <w:rFonts w:hint="eastAsia"/>
          <w:color w:val="auto"/>
          <w:lang w:val="en-US" w:eastAsia="zh-CN"/>
        </w:rPr>
        <w:t>、</w:t>
      </w:r>
      <w:r>
        <w:rPr>
          <w:rFonts w:hint="default"/>
          <w:color w:val="auto"/>
          <w:lang w:val="en-US" w:eastAsia="zh-CN"/>
        </w:rPr>
        <w:t>北风井）和一个回风井（南风井）构成。南端由副斜井、主斜坡道进风，北端由北风井，南风井回风。</w:t>
      </w:r>
    </w:p>
    <w:p w14:paraId="4D5FDA28">
      <w:pPr>
        <w:bidi w:val="0"/>
        <w:rPr>
          <w:rFonts w:hint="default"/>
          <w:color w:val="auto"/>
          <w:lang w:val="en-US" w:eastAsia="zh-CN"/>
        </w:rPr>
      </w:pPr>
      <w:r>
        <w:rPr>
          <w:rFonts w:hint="default"/>
          <w:color w:val="auto"/>
          <w:lang w:val="en-US" w:eastAsia="zh-CN"/>
        </w:rPr>
        <w:t>主扇采用抽出式通风机，供电线路设置正、反转及停止开关，通过电动机反转改变巷道中风流方向进行反风，使矿井风流在10分钟内反向，其反风量达到正常运转时风量的60%。每年至少进行一次反风试验，并测定主要风路反风后的风量。</w:t>
      </w:r>
    </w:p>
    <w:p w14:paraId="74924B67">
      <w:pPr>
        <w:bidi w:val="0"/>
        <w:rPr>
          <w:rFonts w:hint="default"/>
          <w:color w:val="auto"/>
          <w:lang w:val="en-US" w:eastAsia="zh-CN"/>
        </w:rPr>
      </w:pPr>
      <w:r>
        <w:rPr>
          <w:rFonts w:hint="default"/>
          <w:color w:val="auto"/>
          <w:lang w:val="en-US" w:eastAsia="zh-CN"/>
        </w:rPr>
        <w:t>除+190m中段外，其它各中段通风方式如下：</w:t>
      </w:r>
    </w:p>
    <w:p w14:paraId="76BBB66F">
      <w:pPr>
        <w:bidi w:val="0"/>
        <w:rPr>
          <w:rFonts w:hint="default"/>
          <w:color w:val="auto"/>
          <w:lang w:val="en-US" w:eastAsia="zh-CN"/>
        </w:rPr>
      </w:pPr>
      <w:r>
        <w:rPr>
          <w:rFonts w:hint="default"/>
          <w:color w:val="auto"/>
          <w:lang w:val="en-US" w:eastAsia="zh-CN"/>
        </w:rPr>
        <w:t>在矿区南端，新鲜风流由副斜井和主斜坡道进入生产中段，经中段运输巷道、采场沿脉或穿脉运输巷道，由切割上山进入采场。清洗工作面后，污风进入采场回风平巷，经过两中段之间的回风井巷，再进入上水平巷道，通过回风巷道到矿区南风井南风井，由南风井主扇抽出地表。</w:t>
      </w:r>
    </w:p>
    <w:p w14:paraId="5ED20523">
      <w:pPr>
        <w:bidi w:val="0"/>
        <w:rPr>
          <w:rFonts w:hint="default"/>
          <w:color w:val="auto"/>
          <w:lang w:val="en-US" w:eastAsia="zh-CN"/>
        </w:rPr>
      </w:pPr>
      <w:r>
        <w:rPr>
          <w:rFonts w:hint="default"/>
          <w:color w:val="auto"/>
          <w:lang w:val="en-US" w:eastAsia="zh-CN"/>
        </w:rPr>
        <w:t>在矿区北端，新鲜风流由北风井进入生产中段，经中段运输巷道、采场沿脉或穿脉运输巷道，由切割上山进入采场。清洗工作面后，污风进入采场回风平巷，经过两中段之间的回风井巷，再进入上水平巷道，通过回风巷道最后排到矿区南风井，由南风井主扇抽出地表。</w:t>
      </w:r>
    </w:p>
    <w:p w14:paraId="711C5E5F">
      <w:pPr>
        <w:bidi w:val="0"/>
        <w:rPr>
          <w:rFonts w:hint="default"/>
          <w:color w:val="auto"/>
          <w:lang w:val="en-US" w:eastAsia="zh-CN"/>
        </w:rPr>
      </w:pPr>
      <w:r>
        <w:rPr>
          <w:rFonts w:hint="default"/>
          <w:color w:val="auto"/>
          <w:lang w:val="en-US" w:eastAsia="zh-CN"/>
        </w:rPr>
        <w:t>+190m中段采场的通风方式</w:t>
      </w:r>
      <w:r>
        <w:rPr>
          <w:rFonts w:hint="eastAsia"/>
          <w:color w:val="auto"/>
          <w:lang w:val="en-US" w:eastAsia="zh-CN"/>
        </w:rPr>
        <w:t>为</w:t>
      </w:r>
      <w:r>
        <w:rPr>
          <w:rFonts w:hint="default"/>
          <w:color w:val="auto"/>
          <w:lang w:val="en-US" w:eastAsia="zh-CN"/>
        </w:rPr>
        <w:t>局扇在本水平进行回风</w:t>
      </w:r>
      <w:r>
        <w:rPr>
          <w:rFonts w:hint="eastAsia"/>
          <w:color w:val="auto"/>
          <w:lang w:val="en-US" w:eastAsia="zh-CN"/>
        </w:rPr>
        <w:t>，</w:t>
      </w:r>
      <w:r>
        <w:rPr>
          <w:rFonts w:hint="default"/>
          <w:color w:val="auto"/>
          <w:lang w:val="en-US" w:eastAsia="zh-CN"/>
        </w:rPr>
        <w:t>由于进风和回风在同一个水平，因此除了加强局扇通风外，还应加强通风管理。对于+190m中段的新鲜风流与污风采用风门或风桥进行隔离。</w:t>
      </w:r>
    </w:p>
    <w:p w14:paraId="57D0E7F6">
      <w:pPr>
        <w:bidi w:val="0"/>
        <w:rPr>
          <w:rFonts w:hint="default"/>
          <w:color w:val="auto"/>
          <w:lang w:val="en-US" w:eastAsia="zh-CN"/>
        </w:rPr>
      </w:pPr>
      <w:r>
        <w:rPr>
          <w:rFonts w:hint="default"/>
          <w:color w:val="auto"/>
          <w:lang w:val="en-US" w:eastAsia="zh-CN"/>
        </w:rPr>
        <w:t>所有中段为了引导、阻断和调节风流，应在巷道的适当位置，设置相应的通风构筑物或辅扇，以保证风流通向生产需风地点。在风阻较大的并联支路中可安装辅扇，从而调节支路风阻和风量。变配电硐室、水泵房等硐室的通风采用贯穿风流通风。</w:t>
      </w:r>
    </w:p>
    <w:p w14:paraId="21AB5954">
      <w:pPr>
        <w:bidi w:val="0"/>
        <w:rPr>
          <w:rFonts w:hint="eastAsia"/>
          <w:b/>
          <w:bCs/>
          <w:color w:val="auto"/>
          <w:lang w:val="en-US" w:eastAsia="zh-CN"/>
        </w:rPr>
      </w:pPr>
      <w:r>
        <w:rPr>
          <w:rFonts w:hint="eastAsia"/>
          <w:b/>
          <w:bCs/>
          <w:color w:val="auto"/>
          <w:lang w:val="en-US" w:eastAsia="zh-CN"/>
        </w:rPr>
        <w:t>二、开采11-7号勘探线之间的矿体时通风方式和通风系统</w:t>
      </w:r>
    </w:p>
    <w:p w14:paraId="1BA554CA">
      <w:pPr>
        <w:bidi w:val="0"/>
        <w:rPr>
          <w:rFonts w:hint="default"/>
          <w:b w:val="0"/>
          <w:bCs w:val="0"/>
          <w:color w:val="auto"/>
          <w:lang w:val="en-US" w:eastAsia="zh-CN"/>
        </w:rPr>
      </w:pPr>
      <w:r>
        <w:rPr>
          <w:rFonts w:hint="default"/>
          <w:b w:val="0"/>
          <w:bCs w:val="0"/>
          <w:color w:val="auto"/>
          <w:lang w:val="en-US" w:eastAsia="zh-CN"/>
        </w:rPr>
        <w:t>通风系统采用对角式通风系统，由三个进风井（副斜井、主斜坡、南风井）和一个回风井（北风井）构成。新鲜风流由副斜井、主斜坡道、南风井进入生产中段，经中段运输巷道、采场沿脉或穿脉运输巷道，由切割上山进入采场。清洗工作面后，污风进入采场回风平巷，经过两中段之间的回风井巷，再进入上水平巷道，通过回风巷道到矿区北风井，由北风井主扇抽出地表。</w:t>
      </w:r>
    </w:p>
    <w:p w14:paraId="3EA96B0F">
      <w:pPr>
        <w:numPr>
          <w:ilvl w:val="0"/>
          <w:numId w:val="0"/>
        </w:numPr>
        <w:ind w:leftChars="200"/>
        <w:rPr>
          <w:rFonts w:hint="eastAsia"/>
          <w:b/>
          <w:bCs/>
          <w:color w:val="auto"/>
          <w:lang w:val="en-US" w:eastAsia="zh-CN"/>
        </w:rPr>
      </w:pPr>
      <w:r>
        <w:rPr>
          <w:rFonts w:hint="eastAsia"/>
          <w:b/>
          <w:bCs/>
          <w:color w:val="auto"/>
          <w:lang w:val="en-US" w:eastAsia="zh-CN"/>
        </w:rPr>
        <w:t>三、局部通风</w:t>
      </w:r>
    </w:p>
    <w:p w14:paraId="49E39F33">
      <w:pPr>
        <w:bidi w:val="0"/>
        <w:rPr>
          <w:rFonts w:hint="eastAsia"/>
          <w:color w:val="auto"/>
          <w:lang w:val="en-US" w:eastAsia="zh-CN"/>
        </w:rPr>
      </w:pPr>
      <w:r>
        <w:rPr>
          <w:rFonts w:hint="eastAsia"/>
          <w:color w:val="auto"/>
          <w:lang w:val="en-US" w:eastAsia="zh-CN"/>
        </w:rPr>
        <w:t>矿山配有YBT-5.5型局扇（功率5.5kW）、YTB-11-N</w:t>
      </w:r>
      <w:r>
        <w:rPr>
          <w:rFonts w:hint="eastAsia"/>
          <w:color w:val="auto"/>
          <w:vertAlign w:val="subscript"/>
          <w:lang w:val="en-US" w:eastAsia="zh-CN"/>
        </w:rPr>
        <w:t>o</w:t>
      </w:r>
      <w:r>
        <w:rPr>
          <w:rFonts w:hint="eastAsia"/>
          <w:color w:val="auto"/>
          <w:lang w:val="en-US" w:eastAsia="zh-CN"/>
        </w:rPr>
        <w:t>5.0/11.0（Ⅱ）型局扇若干台（功率11kW），配阻燃风筒，直径300mm。主要对独头作业面、采场、采掘作业点及其它通风困难地段进行通风，改善作业环境。</w:t>
      </w:r>
    </w:p>
    <w:p w14:paraId="7D7B6C2D">
      <w:pPr>
        <w:numPr>
          <w:ilvl w:val="0"/>
          <w:numId w:val="0"/>
        </w:numPr>
        <w:ind w:leftChars="200"/>
        <w:rPr>
          <w:rFonts w:hint="eastAsia"/>
          <w:b/>
          <w:bCs/>
          <w:color w:val="auto"/>
          <w:lang w:val="en-US" w:eastAsia="zh-CN"/>
        </w:rPr>
      </w:pPr>
      <w:r>
        <w:rPr>
          <w:rFonts w:hint="eastAsia"/>
          <w:b/>
          <w:bCs/>
          <w:color w:val="auto"/>
          <w:lang w:val="en-US" w:eastAsia="zh-CN"/>
        </w:rPr>
        <w:t>四、防尘</w:t>
      </w:r>
    </w:p>
    <w:p w14:paraId="71642C09">
      <w:pPr>
        <w:bidi w:val="0"/>
        <w:rPr>
          <w:rFonts w:hint="eastAsia"/>
          <w:color w:val="auto"/>
          <w:lang w:val="en-US" w:eastAsia="zh-CN"/>
        </w:rPr>
      </w:pPr>
      <w:r>
        <w:rPr>
          <w:rFonts w:hint="eastAsia"/>
          <w:color w:val="auto"/>
          <w:lang w:val="en-US" w:eastAsia="zh-CN"/>
        </w:rPr>
        <w:t>矿井采掘作业采用湿式作业，建有生产供水系统。矿山为接尘从业人员发放了个体防护用品。</w:t>
      </w:r>
    </w:p>
    <w:p w14:paraId="4961052D">
      <w:pPr>
        <w:numPr>
          <w:ilvl w:val="0"/>
          <w:numId w:val="0"/>
        </w:numPr>
        <w:ind w:leftChars="200"/>
        <w:rPr>
          <w:rFonts w:hint="eastAsia"/>
          <w:b/>
          <w:bCs/>
          <w:color w:val="auto"/>
          <w:lang w:val="en-US" w:eastAsia="zh-CN"/>
        </w:rPr>
      </w:pPr>
      <w:r>
        <w:rPr>
          <w:rFonts w:hint="eastAsia"/>
          <w:b/>
          <w:bCs/>
          <w:color w:val="auto"/>
          <w:lang w:val="en-US" w:eastAsia="zh-CN"/>
        </w:rPr>
        <w:t>五、通风系统检测检验</w:t>
      </w:r>
    </w:p>
    <w:p w14:paraId="31BBAC99">
      <w:pPr>
        <w:bidi w:val="0"/>
        <w:rPr>
          <w:rFonts w:hint="eastAsia"/>
          <w:color w:val="auto"/>
          <w:lang w:val="en-US" w:eastAsia="zh-CN"/>
        </w:rPr>
      </w:pPr>
      <w:r>
        <w:rPr>
          <w:rFonts w:hint="eastAsia"/>
          <w:color w:val="auto"/>
          <w:lang w:val="en-US" w:eastAsia="zh-CN"/>
        </w:rPr>
        <w:t>经江西华安检测技术有限公司对目前通风系统及主通风机进行了检测检验，检测结论合格，并出具了检测合格的安全检测检验报告。</w:t>
      </w:r>
    </w:p>
    <w:p w14:paraId="0BB76402">
      <w:pPr>
        <w:pStyle w:val="4"/>
        <w:bidi w:val="0"/>
        <w:rPr>
          <w:rFonts w:hint="default"/>
          <w:color w:val="auto"/>
          <w:lang w:val="en-US" w:eastAsia="zh-CN"/>
        </w:rPr>
      </w:pPr>
      <w:bookmarkStart w:id="187" w:name="_Toc26960"/>
      <w:bookmarkStart w:id="188" w:name="_Toc2302"/>
      <w:bookmarkStart w:id="189" w:name="_Toc3001"/>
      <w:bookmarkStart w:id="190" w:name="_Toc23896"/>
      <w:r>
        <w:rPr>
          <w:rFonts w:hint="default"/>
          <w:color w:val="auto"/>
          <w:lang w:val="en-US" w:eastAsia="zh-CN"/>
        </w:rPr>
        <w:t>2.4.8</w:t>
      </w:r>
      <w:r>
        <w:rPr>
          <w:rFonts w:hint="eastAsia"/>
          <w:color w:val="auto"/>
          <w:lang w:val="en-US" w:eastAsia="zh-CN"/>
        </w:rPr>
        <w:t xml:space="preserve"> </w:t>
      </w:r>
      <w:r>
        <w:rPr>
          <w:rFonts w:hint="default"/>
          <w:color w:val="auto"/>
          <w:lang w:val="en-US" w:eastAsia="zh-CN"/>
        </w:rPr>
        <w:t>矿山供配电设施</w:t>
      </w:r>
      <w:bookmarkEnd w:id="187"/>
      <w:bookmarkEnd w:id="188"/>
      <w:bookmarkEnd w:id="189"/>
      <w:bookmarkEnd w:id="190"/>
    </w:p>
    <w:p w14:paraId="554A5355">
      <w:pPr>
        <w:rPr>
          <w:rFonts w:hint="eastAsia"/>
          <w:b/>
          <w:bCs/>
          <w:color w:val="auto"/>
          <w:lang w:val="en-US" w:eastAsia="zh-CN"/>
        </w:rPr>
      </w:pPr>
      <w:r>
        <w:rPr>
          <w:rFonts w:hint="eastAsia"/>
          <w:b/>
          <w:bCs/>
          <w:color w:val="auto"/>
          <w:lang w:val="en-US" w:eastAsia="zh-CN"/>
        </w:rPr>
        <w:t>一、电源及电力负荷</w:t>
      </w:r>
    </w:p>
    <w:p w14:paraId="29E7185E">
      <w:pPr>
        <w:rPr>
          <w:rFonts w:hint="eastAsia"/>
          <w:color w:val="auto"/>
          <w:lang w:val="en-US" w:eastAsia="zh-CN"/>
        </w:rPr>
      </w:pPr>
      <w:r>
        <w:rPr>
          <w:rFonts w:hint="eastAsia"/>
          <w:color w:val="auto"/>
          <w:lang w:val="en-US" w:eastAsia="zh-CN"/>
        </w:rPr>
        <w:t>1. 电源设施现状</w:t>
      </w:r>
    </w:p>
    <w:p w14:paraId="2EF543CD">
      <w:pPr>
        <w:rPr>
          <w:rFonts w:hint="eastAsia"/>
          <w:b w:val="0"/>
          <w:bCs w:val="0"/>
          <w:color w:val="auto"/>
          <w:lang w:val="en-US" w:eastAsia="zh-CN"/>
        </w:rPr>
      </w:pPr>
      <w:r>
        <w:rPr>
          <w:rFonts w:hint="eastAsia"/>
          <w:b w:val="0"/>
          <w:bCs w:val="0"/>
          <w:color w:val="auto"/>
          <w:lang w:val="en-US" w:eastAsia="zh-CN"/>
        </w:rPr>
        <w:t>本矿已有一路10kV电源引自青塘变电站，导线型号为LGJ-240，线路长度距副斜井口约3km。矿区现有2台315kVA杆变（1台供通风机用电，另外1台供绞车房用电）和1台500kVA干式变压器（供井下设备用电），此外现有200kW（供地面设备用电）、400kW（供通风机用电）、500kW（供井下设备用电）柴油发电机等各一台。</w:t>
      </w:r>
    </w:p>
    <w:p w14:paraId="21687944">
      <w:pPr>
        <w:rPr>
          <w:rFonts w:hint="eastAsia"/>
          <w:color w:val="auto"/>
          <w:lang w:val="en-US" w:eastAsia="zh-CN"/>
        </w:rPr>
      </w:pPr>
      <w:r>
        <w:rPr>
          <w:rFonts w:hint="eastAsia"/>
          <w:color w:val="auto"/>
          <w:lang w:val="en-US" w:eastAsia="zh-CN"/>
        </w:rPr>
        <w:t>2. 电力负荷</w:t>
      </w:r>
    </w:p>
    <w:p w14:paraId="1E6F9D66">
      <w:pPr>
        <w:rPr>
          <w:rFonts w:hint="eastAsia"/>
          <w:color w:val="auto"/>
          <w:lang w:val="en-US" w:eastAsia="zh-CN"/>
        </w:rPr>
      </w:pPr>
      <w:r>
        <w:rPr>
          <w:rFonts w:hint="eastAsia"/>
          <w:color w:val="auto"/>
          <w:lang w:val="en-US" w:eastAsia="zh-CN"/>
        </w:rPr>
        <w:t>一级负荷：井下排水泵、主通风机。</w:t>
      </w:r>
    </w:p>
    <w:p w14:paraId="3341ED28">
      <w:pPr>
        <w:rPr>
          <w:rFonts w:hint="eastAsia"/>
          <w:color w:val="auto"/>
          <w:lang w:val="en-US" w:eastAsia="zh-CN"/>
        </w:rPr>
      </w:pPr>
      <w:r>
        <w:rPr>
          <w:rFonts w:hint="eastAsia"/>
          <w:color w:val="auto"/>
          <w:lang w:val="en-US" w:eastAsia="zh-CN"/>
        </w:rPr>
        <w:t>二级负荷；压风自救空压机、矿山通讯及监控设备、应急照明。</w:t>
      </w:r>
    </w:p>
    <w:p w14:paraId="0E95678E">
      <w:pPr>
        <w:rPr>
          <w:rFonts w:hint="eastAsia"/>
          <w:color w:val="auto"/>
          <w:lang w:val="en-US" w:eastAsia="zh-CN"/>
        </w:rPr>
      </w:pPr>
      <w:r>
        <w:rPr>
          <w:rFonts w:hint="eastAsia"/>
          <w:color w:val="auto"/>
          <w:lang w:val="en-US" w:eastAsia="zh-CN"/>
        </w:rPr>
        <w:t>三级负荷：本矿山不属于以上一、二级负荷的其他负荷。</w:t>
      </w:r>
    </w:p>
    <w:p w14:paraId="314E7B3E">
      <w:pPr>
        <w:rPr>
          <w:rFonts w:hint="eastAsia"/>
          <w:color w:val="auto"/>
          <w:lang w:val="en-US" w:eastAsia="zh-CN"/>
        </w:rPr>
      </w:pPr>
      <w:r>
        <w:rPr>
          <w:rFonts w:hint="eastAsia"/>
          <w:color w:val="auto"/>
          <w:lang w:val="en-US" w:eastAsia="zh-CN"/>
        </w:rPr>
        <w:t>经负荷统计，矿井目前设备安装总容量为1704kW，设备工作容量为1098kW。负荷统计如下（无功补偿前）：</w:t>
      </w:r>
    </w:p>
    <w:p w14:paraId="69FC4257">
      <w:pPr>
        <w:rPr>
          <w:rFonts w:hint="eastAsia"/>
          <w:color w:val="auto"/>
          <w:lang w:val="en-US" w:eastAsia="zh-CN"/>
        </w:rPr>
      </w:pPr>
      <w:r>
        <w:rPr>
          <w:rFonts w:hint="eastAsia"/>
          <w:color w:val="auto"/>
          <w:lang w:val="en-US" w:eastAsia="zh-CN"/>
        </w:rPr>
        <w:t>有功功率：834kW</w:t>
      </w:r>
    </w:p>
    <w:p w14:paraId="7435929D">
      <w:pPr>
        <w:rPr>
          <w:rFonts w:hint="eastAsia"/>
          <w:color w:val="auto"/>
          <w:lang w:val="en-US" w:eastAsia="zh-CN"/>
        </w:rPr>
      </w:pPr>
      <w:r>
        <w:rPr>
          <w:rFonts w:hint="eastAsia"/>
          <w:color w:val="auto"/>
          <w:lang w:val="en-US" w:eastAsia="zh-CN"/>
        </w:rPr>
        <w:t>无功功率：543kVar</w:t>
      </w:r>
    </w:p>
    <w:p w14:paraId="598185F5">
      <w:pPr>
        <w:rPr>
          <w:rFonts w:hint="eastAsia"/>
          <w:color w:val="auto"/>
          <w:lang w:val="en-US" w:eastAsia="zh-CN"/>
        </w:rPr>
      </w:pPr>
      <w:r>
        <w:rPr>
          <w:rFonts w:hint="eastAsia"/>
          <w:color w:val="auto"/>
          <w:lang w:val="en-US" w:eastAsia="zh-CN"/>
        </w:rPr>
        <w:t>视在功率：995kVA</w:t>
      </w:r>
    </w:p>
    <w:p w14:paraId="145DA592">
      <w:pPr>
        <w:rPr>
          <w:rFonts w:hint="eastAsia"/>
          <w:color w:val="auto"/>
          <w:lang w:val="en-US" w:eastAsia="zh-CN"/>
        </w:rPr>
      </w:pPr>
      <w:r>
        <w:rPr>
          <w:rFonts w:hint="eastAsia"/>
          <w:color w:val="auto"/>
          <w:lang w:val="en-US" w:eastAsia="zh-CN"/>
        </w:rPr>
        <w:t>功率因数：0.84</w:t>
      </w:r>
    </w:p>
    <w:p w14:paraId="6E901D27">
      <w:pPr>
        <w:rPr>
          <w:rFonts w:hint="eastAsia"/>
          <w:color w:val="auto"/>
          <w:lang w:val="en-US" w:eastAsia="zh-CN"/>
        </w:rPr>
      </w:pPr>
      <w:r>
        <w:rPr>
          <w:rFonts w:hint="eastAsia"/>
          <w:color w:val="auto"/>
          <w:lang w:val="en-US" w:eastAsia="zh-CN"/>
        </w:rPr>
        <w:t>经低压电容器补偿400kVar后，计入变压器损耗，全矿计算负荷如下：</w:t>
      </w:r>
    </w:p>
    <w:p w14:paraId="41FBAEAE">
      <w:pPr>
        <w:rPr>
          <w:rFonts w:hint="eastAsia"/>
          <w:color w:val="auto"/>
          <w:lang w:val="en-US" w:eastAsia="zh-CN"/>
        </w:rPr>
      </w:pPr>
      <w:r>
        <w:rPr>
          <w:rFonts w:hint="eastAsia"/>
          <w:color w:val="auto"/>
          <w:lang w:val="en-US" w:eastAsia="zh-CN"/>
        </w:rPr>
        <w:t>有功功率：842kW</w:t>
      </w:r>
    </w:p>
    <w:p w14:paraId="0CB96BCB">
      <w:pPr>
        <w:rPr>
          <w:rFonts w:hint="eastAsia"/>
          <w:color w:val="auto"/>
          <w:lang w:val="en-US" w:eastAsia="zh-CN"/>
        </w:rPr>
      </w:pPr>
      <w:r>
        <w:rPr>
          <w:rFonts w:hint="eastAsia"/>
          <w:color w:val="auto"/>
          <w:lang w:val="en-US" w:eastAsia="zh-CN"/>
        </w:rPr>
        <w:t>无功功率：185kVar</w:t>
      </w:r>
    </w:p>
    <w:p w14:paraId="5CE32C2A">
      <w:pPr>
        <w:rPr>
          <w:rFonts w:hint="eastAsia"/>
          <w:color w:val="auto"/>
          <w:lang w:val="en-US" w:eastAsia="zh-CN"/>
        </w:rPr>
      </w:pPr>
      <w:r>
        <w:rPr>
          <w:rFonts w:hint="eastAsia"/>
          <w:color w:val="auto"/>
          <w:lang w:val="en-US" w:eastAsia="zh-CN"/>
        </w:rPr>
        <w:t>视在功率：862kVA</w:t>
      </w:r>
    </w:p>
    <w:p w14:paraId="4257777A">
      <w:pPr>
        <w:rPr>
          <w:rFonts w:hint="eastAsia"/>
          <w:color w:val="auto"/>
          <w:lang w:val="en-US" w:eastAsia="zh-CN"/>
        </w:rPr>
      </w:pPr>
      <w:r>
        <w:rPr>
          <w:rFonts w:hint="eastAsia"/>
          <w:color w:val="auto"/>
          <w:lang w:val="en-US" w:eastAsia="zh-CN"/>
        </w:rPr>
        <w:t>补偿后功率因数：0.98</w:t>
      </w:r>
    </w:p>
    <w:p w14:paraId="2E34D9CE">
      <w:pPr>
        <w:rPr>
          <w:rFonts w:hint="eastAsia"/>
          <w:color w:val="auto"/>
          <w:lang w:val="en-US" w:eastAsia="zh-CN"/>
        </w:rPr>
      </w:pPr>
      <w:r>
        <w:rPr>
          <w:rFonts w:hint="eastAsia"/>
          <w:color w:val="auto"/>
          <w:lang w:val="en-US" w:eastAsia="zh-CN"/>
        </w:rPr>
        <w:t>矿井年耗电量：3744132kW·h，吨石耗电量12.48kW·h/t。</w:t>
      </w:r>
    </w:p>
    <w:p w14:paraId="3ACE6F25">
      <w:pPr>
        <w:rPr>
          <w:rFonts w:hint="eastAsia"/>
          <w:color w:val="auto"/>
          <w:lang w:val="en-US" w:eastAsia="zh-CN"/>
        </w:rPr>
      </w:pPr>
      <w:r>
        <w:rPr>
          <w:rFonts w:hint="eastAsia"/>
          <w:color w:val="auto"/>
          <w:lang w:val="en-US" w:eastAsia="zh-CN"/>
        </w:rPr>
        <w:t>3. 供电电源</w:t>
      </w:r>
    </w:p>
    <w:p w14:paraId="5599C175">
      <w:pPr>
        <w:rPr>
          <w:rFonts w:hint="eastAsia"/>
          <w:color w:val="auto"/>
          <w:lang w:val="en-US" w:eastAsia="zh-CN"/>
        </w:rPr>
      </w:pPr>
      <w:r>
        <w:rPr>
          <w:rFonts w:hint="eastAsia"/>
          <w:color w:val="auto"/>
          <w:lang w:val="en-US" w:eastAsia="zh-CN"/>
        </w:rPr>
        <w:t>矿井主电源利旧，备用电源利用现有柴油发电机。</w:t>
      </w:r>
    </w:p>
    <w:p w14:paraId="5F205C3C">
      <w:pPr>
        <w:rPr>
          <w:rFonts w:hint="eastAsia"/>
          <w:b/>
          <w:bCs/>
          <w:color w:val="auto"/>
          <w:lang w:val="en-US" w:eastAsia="zh-CN"/>
        </w:rPr>
      </w:pPr>
      <w:r>
        <w:rPr>
          <w:rFonts w:hint="eastAsia"/>
          <w:b/>
          <w:bCs/>
          <w:color w:val="auto"/>
          <w:lang w:val="en-US" w:eastAsia="zh-CN"/>
        </w:rPr>
        <w:t>二、地面变、配电系统</w:t>
      </w:r>
    </w:p>
    <w:p w14:paraId="36A50ACD">
      <w:pPr>
        <w:rPr>
          <w:rFonts w:hint="eastAsia"/>
          <w:color w:val="auto"/>
          <w:lang w:val="en-US" w:eastAsia="zh-CN"/>
        </w:rPr>
      </w:pPr>
      <w:r>
        <w:rPr>
          <w:rFonts w:hint="eastAsia"/>
          <w:color w:val="auto"/>
          <w:lang w:val="en-US" w:eastAsia="zh-CN"/>
        </w:rPr>
        <w:t>1. 变配电所的设置及主要设备选型</w:t>
      </w:r>
    </w:p>
    <w:p w14:paraId="1EB8009B">
      <w:pPr>
        <w:rPr>
          <w:rFonts w:hint="eastAsia"/>
          <w:color w:val="auto"/>
          <w:lang w:val="en-US" w:eastAsia="zh-CN"/>
        </w:rPr>
      </w:pPr>
      <w:r>
        <w:rPr>
          <w:rFonts w:hint="eastAsia"/>
          <w:color w:val="auto"/>
          <w:lang w:val="en-US" w:eastAsia="zh-CN"/>
        </w:rPr>
        <w:t>在矿区副斜井口附近设一座10/0.4kV主变配电所，变电所由高、低压配电室构成。</w:t>
      </w:r>
    </w:p>
    <w:p w14:paraId="4EA5D9EB">
      <w:pPr>
        <w:rPr>
          <w:rFonts w:hint="eastAsia"/>
          <w:color w:val="auto"/>
          <w:lang w:val="en-US" w:eastAsia="zh-CN"/>
        </w:rPr>
      </w:pPr>
      <w:r>
        <w:rPr>
          <w:rFonts w:hint="eastAsia"/>
          <w:color w:val="auto"/>
          <w:lang w:val="en-US" w:eastAsia="zh-CN"/>
        </w:rPr>
        <w:t>地面新增1台S20-M-500/10-500kVA变压器和利用1台200kW柴油发电机形成双电源供地面设备用电，地面室内利用1台KSG13-500/10-500kVA变压器和1台500kW柴油发电机形成双电源供井下设备用电。</w:t>
      </w:r>
    </w:p>
    <w:p w14:paraId="1F3DDA20">
      <w:pPr>
        <w:rPr>
          <w:rFonts w:hint="eastAsia"/>
          <w:color w:val="auto"/>
          <w:lang w:val="en-US" w:eastAsia="zh-CN"/>
        </w:rPr>
      </w:pPr>
      <w:r>
        <w:rPr>
          <w:rFonts w:hint="eastAsia"/>
          <w:color w:val="auto"/>
          <w:lang w:val="en-US" w:eastAsia="zh-CN"/>
        </w:rPr>
        <w:t>高压配电室设4台HXGN-12型高压开关柜，10kV系统采用单母线接线方式。低压配电室设4台GGD2型低压开关柜，1台电容补偿柜，低压380V系统采用单母线接线方式，两低压进线开关设置机械闭锁。</w:t>
      </w:r>
    </w:p>
    <w:p w14:paraId="357B86F8">
      <w:pPr>
        <w:rPr>
          <w:rFonts w:hint="eastAsia"/>
          <w:color w:val="auto"/>
          <w:lang w:val="en-US" w:eastAsia="zh-CN"/>
        </w:rPr>
      </w:pPr>
      <w:r>
        <w:rPr>
          <w:rFonts w:hint="eastAsia"/>
          <w:color w:val="auto"/>
          <w:lang w:val="en-US" w:eastAsia="zh-CN"/>
        </w:rPr>
        <w:t>供地面设备用的变压器和柴油发电机均采用中性点接地系统。供井下设备用的变压器和柴油发电机均采用中性点不接地系统。</w:t>
      </w:r>
    </w:p>
    <w:p w14:paraId="0D67A84E">
      <w:pPr>
        <w:rPr>
          <w:rFonts w:hint="eastAsia"/>
          <w:color w:val="auto"/>
          <w:lang w:val="en-US" w:eastAsia="zh-CN"/>
        </w:rPr>
      </w:pPr>
      <w:r>
        <w:rPr>
          <w:rFonts w:hint="eastAsia"/>
          <w:color w:val="auto"/>
          <w:lang w:val="en-US" w:eastAsia="zh-CN"/>
        </w:rPr>
        <w:t>2. 单相电容电流</w:t>
      </w:r>
    </w:p>
    <w:p w14:paraId="31B4E43B">
      <w:pPr>
        <w:rPr>
          <w:rFonts w:hint="eastAsia"/>
          <w:color w:val="auto"/>
          <w:lang w:val="en-US" w:eastAsia="zh-CN"/>
        </w:rPr>
      </w:pPr>
      <w:r>
        <w:rPr>
          <w:rFonts w:hint="eastAsia"/>
          <w:color w:val="auto"/>
          <w:lang w:val="en-US" w:eastAsia="zh-CN"/>
        </w:rPr>
        <w:t>矿山高压电网单相接地电容电流计算值2.36A，前级变电所高压电网单相接地电容电流值若超过20A，必须采取限制措施。</w:t>
      </w:r>
    </w:p>
    <w:p w14:paraId="6991906E">
      <w:pPr>
        <w:rPr>
          <w:rFonts w:hint="eastAsia"/>
          <w:color w:val="auto"/>
          <w:lang w:val="en-US" w:eastAsia="zh-CN"/>
        </w:rPr>
      </w:pPr>
      <w:r>
        <w:rPr>
          <w:rFonts w:hint="eastAsia"/>
          <w:color w:val="auto"/>
          <w:lang w:val="en-US" w:eastAsia="zh-CN"/>
        </w:rPr>
        <w:t>3. 继电保护及无功补偿</w:t>
      </w:r>
    </w:p>
    <w:p w14:paraId="7A482528">
      <w:pPr>
        <w:rPr>
          <w:rFonts w:hint="eastAsia"/>
          <w:color w:val="auto"/>
          <w:lang w:val="en-US" w:eastAsia="zh-CN"/>
        </w:rPr>
      </w:pPr>
      <w:r>
        <w:rPr>
          <w:rFonts w:hint="eastAsia"/>
          <w:color w:val="auto"/>
          <w:lang w:val="en-US" w:eastAsia="zh-CN"/>
        </w:rPr>
        <w:t>地面变电所10kV采用带熔断器的负荷开关，设电流速断、过电流保护。10kV高压馈线上装有选择性的单相接地保护装置。低压出线塑壳断路器设有短路、过负荷保护。</w:t>
      </w:r>
    </w:p>
    <w:p w14:paraId="18665541">
      <w:pPr>
        <w:rPr>
          <w:rFonts w:hint="eastAsia"/>
          <w:color w:val="auto"/>
          <w:lang w:val="en-US" w:eastAsia="zh-CN"/>
        </w:rPr>
      </w:pPr>
      <w:r>
        <w:rPr>
          <w:rFonts w:hint="eastAsia"/>
          <w:color w:val="auto"/>
          <w:lang w:val="en-US" w:eastAsia="zh-CN"/>
        </w:rPr>
        <w:t>地面低压系统侧设低压无功补偿，补偿容量为400kVar，补偿后功率因数达0.95及以上。</w:t>
      </w:r>
    </w:p>
    <w:p w14:paraId="2D4946F7">
      <w:pPr>
        <w:rPr>
          <w:rFonts w:hint="eastAsia"/>
          <w:color w:val="auto"/>
          <w:lang w:val="en-US" w:eastAsia="zh-CN"/>
        </w:rPr>
      </w:pPr>
      <w:r>
        <w:rPr>
          <w:rFonts w:hint="eastAsia"/>
          <w:color w:val="auto"/>
          <w:lang w:val="en-US" w:eastAsia="zh-CN"/>
        </w:rPr>
        <w:t>4. 地面配电系统</w:t>
      </w:r>
    </w:p>
    <w:p w14:paraId="4A3A4F27">
      <w:pPr>
        <w:rPr>
          <w:rFonts w:hint="eastAsia"/>
          <w:color w:val="auto"/>
          <w:lang w:val="en-US" w:eastAsia="zh-CN"/>
        </w:rPr>
      </w:pPr>
      <w:r>
        <w:rPr>
          <w:rFonts w:hint="eastAsia"/>
          <w:color w:val="auto"/>
          <w:lang w:val="en-US" w:eastAsia="zh-CN"/>
        </w:rPr>
        <w:t>地面空压机采用YJV22-1kV3×50+2×25电缆一对一供电，线路长约0.2km，正常工作压降为2.16%；地面160kW绞车采用1根YJV22-1kV3×240+1×120电缆一对一供电，线路长约0.1km，正常工作压降为0.69%。</w:t>
      </w:r>
    </w:p>
    <w:p w14:paraId="66D40D31">
      <w:pPr>
        <w:rPr>
          <w:rFonts w:hint="eastAsia"/>
          <w:color w:val="auto"/>
          <w:lang w:val="en-US" w:eastAsia="zh-CN"/>
        </w:rPr>
      </w:pPr>
      <w:r>
        <w:rPr>
          <w:rFonts w:hint="eastAsia"/>
          <w:color w:val="auto"/>
          <w:lang w:val="en-US" w:eastAsia="zh-CN"/>
        </w:rPr>
        <w:t>前、后期回风斜井口200kW通风机利用S11-M-315/10-315kVA杆上变电亭和一台400kW柴油发电机形成双电源供电，10kV电源引自青塘变电站10kV线路T接。</w:t>
      </w:r>
    </w:p>
    <w:p w14:paraId="6C8BEF0F">
      <w:pPr>
        <w:rPr>
          <w:rFonts w:hint="default"/>
          <w:b/>
          <w:bCs/>
          <w:color w:val="auto"/>
          <w:lang w:val="en-US" w:eastAsia="zh-CN"/>
        </w:rPr>
      </w:pPr>
      <w:r>
        <w:rPr>
          <w:rFonts w:hint="eastAsia"/>
          <w:b/>
          <w:bCs/>
          <w:color w:val="auto"/>
          <w:lang w:val="en-US" w:eastAsia="zh-CN"/>
        </w:rPr>
        <w:t>三、井下变、配电系统</w:t>
      </w:r>
    </w:p>
    <w:p w14:paraId="34CA6DB5">
      <w:pPr>
        <w:rPr>
          <w:rFonts w:hint="eastAsia"/>
          <w:color w:val="auto"/>
          <w:lang w:val="en-US" w:eastAsia="zh-CN"/>
        </w:rPr>
      </w:pPr>
      <w:r>
        <w:rPr>
          <w:rFonts w:hint="eastAsia"/>
          <w:color w:val="auto"/>
          <w:lang w:val="en-US" w:eastAsia="zh-CN"/>
        </w:rPr>
        <w:t>1. 井下用电负荷</w:t>
      </w:r>
    </w:p>
    <w:p w14:paraId="7675BB0B">
      <w:pPr>
        <w:rPr>
          <w:rFonts w:hint="eastAsia"/>
          <w:color w:val="auto"/>
          <w:lang w:val="en-US" w:eastAsia="zh-CN"/>
        </w:rPr>
      </w:pPr>
      <w:r>
        <w:rPr>
          <w:rFonts w:hint="eastAsia"/>
          <w:color w:val="auto"/>
          <w:lang w:val="en-US" w:eastAsia="zh-CN"/>
        </w:rPr>
        <w:t>根据井下用电负荷统计，井下用电设备安装容量为749.5kW，工作容量418.5kW，井下计算负荷如下：</w:t>
      </w:r>
    </w:p>
    <w:p w14:paraId="2B51401F">
      <w:pPr>
        <w:rPr>
          <w:rFonts w:hint="eastAsia"/>
          <w:color w:val="auto"/>
          <w:lang w:val="en-US" w:eastAsia="zh-CN"/>
        </w:rPr>
      </w:pPr>
      <w:r>
        <w:rPr>
          <w:rFonts w:hint="eastAsia"/>
          <w:color w:val="auto"/>
          <w:lang w:val="en-US" w:eastAsia="zh-CN"/>
        </w:rPr>
        <w:t>有功负荷：P＝305kW</w:t>
      </w:r>
    </w:p>
    <w:p w14:paraId="02F7A179">
      <w:pPr>
        <w:bidi w:val="0"/>
        <w:rPr>
          <w:rFonts w:hint="eastAsia"/>
          <w:color w:val="auto"/>
          <w:lang w:val="en-US" w:eastAsia="zh-CN"/>
        </w:rPr>
      </w:pPr>
      <w:r>
        <w:rPr>
          <w:rFonts w:hint="eastAsia"/>
          <w:color w:val="auto"/>
          <w:lang w:val="en-US" w:eastAsia="zh-CN"/>
        </w:rPr>
        <w:t>无功负荷：Q＝216kVar</w:t>
      </w:r>
    </w:p>
    <w:p w14:paraId="02ACEBD1">
      <w:pPr>
        <w:bidi w:val="0"/>
        <w:rPr>
          <w:rFonts w:hint="eastAsia"/>
          <w:color w:val="auto"/>
          <w:lang w:val="en-US" w:eastAsia="zh-CN"/>
        </w:rPr>
      </w:pPr>
      <w:r>
        <w:rPr>
          <w:rFonts w:hint="eastAsia"/>
          <w:color w:val="auto"/>
          <w:lang w:val="en-US" w:eastAsia="zh-CN"/>
        </w:rPr>
        <w:t>视在功率：S＝374kVA</w:t>
      </w:r>
    </w:p>
    <w:p w14:paraId="34BA5789">
      <w:pPr>
        <w:bidi w:val="0"/>
        <w:rPr>
          <w:rFonts w:hint="eastAsia"/>
          <w:color w:val="auto"/>
          <w:lang w:val="en-US" w:eastAsia="zh-CN"/>
        </w:rPr>
      </w:pPr>
      <w:r>
        <w:rPr>
          <w:rFonts w:hint="eastAsia"/>
          <w:color w:val="auto"/>
          <w:lang w:val="en-US" w:eastAsia="zh-CN"/>
        </w:rPr>
        <w:t>功率因数：COSφ=0.822</w:t>
      </w:r>
    </w:p>
    <w:p w14:paraId="0E35B6EA">
      <w:pPr>
        <w:bidi w:val="0"/>
        <w:rPr>
          <w:rFonts w:hint="eastAsia"/>
          <w:color w:val="auto"/>
          <w:lang w:val="en-US" w:eastAsia="zh-CN"/>
        </w:rPr>
      </w:pPr>
      <w:r>
        <w:rPr>
          <w:rFonts w:hint="eastAsia"/>
          <w:color w:val="auto"/>
          <w:lang w:val="en-US" w:eastAsia="zh-CN"/>
        </w:rPr>
        <w:t>2. 下井电缆的选择</w:t>
      </w:r>
    </w:p>
    <w:p w14:paraId="44D707CC">
      <w:pPr>
        <w:rPr>
          <w:rFonts w:hint="eastAsia"/>
          <w:color w:val="auto"/>
          <w:lang w:val="en-US" w:eastAsia="zh-CN"/>
        </w:rPr>
      </w:pPr>
      <w:r>
        <w:rPr>
          <w:rFonts w:hint="eastAsia"/>
          <w:color w:val="auto"/>
          <w:lang w:val="en-US" w:eastAsia="zh-CN"/>
        </w:rPr>
        <w:t>采用4根WD-MYJY22-1kV3×185电缆两两并联形成2回路沿副斜井口不同间隔下井至+100m水泵房，线路全长0.4km，两回路电缆一路工作，一路备用，正常工作压降3.9%，任一路电缆都能担负井下全部负荷。</w:t>
      </w:r>
    </w:p>
    <w:p w14:paraId="691A39CE">
      <w:pPr>
        <w:rPr>
          <w:rFonts w:hint="eastAsia"/>
          <w:color w:val="auto"/>
          <w:lang w:val="en-US" w:eastAsia="zh-CN"/>
        </w:rPr>
      </w:pPr>
      <w:r>
        <w:rPr>
          <w:rFonts w:hint="eastAsia"/>
          <w:color w:val="auto"/>
          <w:lang w:val="en-US" w:eastAsia="zh-CN"/>
        </w:rPr>
        <w:t>3. 井下供电方案</w:t>
      </w:r>
    </w:p>
    <w:p w14:paraId="579927C1">
      <w:pPr>
        <w:rPr>
          <w:rFonts w:hint="eastAsia"/>
          <w:color w:val="auto"/>
          <w:lang w:val="en-US" w:eastAsia="zh-CN"/>
        </w:rPr>
      </w:pPr>
      <w:r>
        <w:rPr>
          <w:rFonts w:hint="eastAsia"/>
          <w:color w:val="auto"/>
          <w:lang w:val="en-US" w:eastAsia="zh-CN"/>
        </w:rPr>
        <w:t>本矿区由于井下供电负荷不大，经技术经济比较下，下井采用交流380V电压。</w:t>
      </w:r>
    </w:p>
    <w:p w14:paraId="461B611B">
      <w:pPr>
        <w:rPr>
          <w:rFonts w:hint="eastAsia"/>
          <w:color w:val="auto"/>
          <w:lang w:val="en-US" w:eastAsia="zh-CN"/>
        </w:rPr>
      </w:pPr>
      <w:r>
        <w:rPr>
          <w:rFonts w:hint="eastAsia"/>
          <w:color w:val="auto"/>
          <w:lang w:val="en-US" w:eastAsia="zh-CN"/>
        </w:rPr>
        <w:t>井下+100m水泵房配电室设有5台GKD矿用一般型低压开关柜和1台GKWD矿用一般型低压补偿柜。低压系统采用单母线分段连接方式。供井下用电的变压器、发电机采用中性点不接地系统。</w:t>
      </w:r>
    </w:p>
    <w:p w14:paraId="46CED894">
      <w:pPr>
        <w:rPr>
          <w:rFonts w:hint="eastAsia"/>
          <w:color w:val="auto"/>
          <w:lang w:val="en-US" w:eastAsia="zh-CN"/>
        </w:rPr>
      </w:pPr>
      <w:r>
        <w:rPr>
          <w:rFonts w:hint="eastAsia"/>
          <w:color w:val="auto"/>
          <w:lang w:val="en-US" w:eastAsia="zh-CN"/>
        </w:rPr>
        <w:t>井下照明采用1台BJZ-</w:t>
      </w:r>
      <w:r>
        <w:rPr>
          <w:rFonts w:hint="default"/>
          <w:color w:val="auto"/>
          <w:lang w:val="en-US" w:eastAsia="zh-CN"/>
        </w:rPr>
        <w:t>～</w:t>
      </w:r>
      <w:r>
        <w:rPr>
          <w:rFonts w:hint="eastAsia"/>
          <w:color w:val="auto"/>
          <w:lang w:val="en-US" w:eastAsia="zh-CN"/>
        </w:rPr>
        <w:t>380/220-5kVA专用变压器，常规输出电压包括12V、24V、36V、127V、220V。井下低压配电系统采用IT系统。井下低压馈出线上均装设JD-1000型检漏保护装置或剩余电流保护装置。</w:t>
      </w:r>
    </w:p>
    <w:p w14:paraId="7E8F5995">
      <w:pPr>
        <w:rPr>
          <w:rFonts w:hint="default"/>
          <w:b/>
          <w:bCs/>
          <w:color w:val="auto"/>
          <w:lang w:val="en-US" w:eastAsia="zh-CN"/>
        </w:rPr>
      </w:pPr>
      <w:r>
        <w:rPr>
          <w:rFonts w:hint="eastAsia"/>
          <w:b/>
          <w:bCs/>
          <w:color w:val="auto"/>
          <w:lang w:val="en-US" w:eastAsia="zh-CN"/>
        </w:rPr>
        <w:t>四、电气照明</w:t>
      </w:r>
    </w:p>
    <w:p w14:paraId="61E8DA98">
      <w:pPr>
        <w:rPr>
          <w:rFonts w:hint="eastAsia"/>
          <w:color w:val="auto"/>
          <w:lang w:val="en-US" w:eastAsia="zh-CN"/>
        </w:rPr>
      </w:pPr>
      <w:r>
        <w:rPr>
          <w:rFonts w:hint="eastAsia"/>
          <w:color w:val="auto"/>
          <w:lang w:val="en-US" w:eastAsia="zh-CN"/>
        </w:rPr>
        <w:t>地面电气照明采用高效节能灯，井下采用防腐、防潮型节能灯具。</w:t>
      </w:r>
    </w:p>
    <w:p w14:paraId="5FFB4DD3">
      <w:pPr>
        <w:rPr>
          <w:rFonts w:hint="eastAsia"/>
          <w:color w:val="auto"/>
          <w:lang w:val="en-US" w:eastAsia="zh-CN"/>
        </w:rPr>
      </w:pPr>
      <w:r>
        <w:rPr>
          <w:rFonts w:hint="eastAsia"/>
          <w:color w:val="auto"/>
          <w:lang w:val="en-US" w:eastAsia="zh-CN"/>
        </w:rPr>
        <w:t>地面照明电压采用220V，地面调度室、变电所、风机房、空压机房等重要工作场所设应急照明，应急照明等采用自带蓄电池照明灯具。</w:t>
      </w:r>
    </w:p>
    <w:p w14:paraId="169A4995">
      <w:pPr>
        <w:rPr>
          <w:rFonts w:hint="eastAsia"/>
          <w:color w:val="auto"/>
          <w:lang w:val="en-US" w:eastAsia="zh-CN"/>
        </w:rPr>
      </w:pPr>
      <w:r>
        <w:rPr>
          <w:rFonts w:hint="eastAsia"/>
          <w:color w:val="auto"/>
          <w:lang w:val="en-US" w:eastAsia="zh-CN"/>
        </w:rPr>
        <w:t>井下照明电压采用127V、36V，电源引自井下照明隔离变压器。井下车场、运输巷道及各机电设备硐室设固定照明，照明电压为127V。回采工作面、掘进工作面、出矿巷道、天井和天井至回采工作面之间的照明电压为36V，井下照明采用1台BJZ-</w:t>
      </w:r>
      <w:r>
        <w:rPr>
          <w:rFonts w:hint="default"/>
          <w:color w:val="auto"/>
          <w:lang w:val="en-US" w:eastAsia="zh-CN"/>
        </w:rPr>
        <w:t>～</w:t>
      </w:r>
      <w:r>
        <w:rPr>
          <w:rFonts w:hint="eastAsia"/>
          <w:color w:val="auto"/>
          <w:lang w:val="en-US" w:eastAsia="zh-CN"/>
        </w:rPr>
        <w:t>380/220-5kVA专用变压器，常规输出电压包括12V、24V、36V、127V、220V。井下设置应急照明灯，入井工作人员均配带携带式蓄电池矿灯。</w:t>
      </w:r>
    </w:p>
    <w:p w14:paraId="789DC318">
      <w:pPr>
        <w:rPr>
          <w:rFonts w:hint="eastAsia"/>
          <w:color w:val="auto"/>
          <w:lang w:val="en-US" w:eastAsia="zh-CN"/>
        </w:rPr>
      </w:pPr>
      <w:r>
        <w:rPr>
          <w:rFonts w:hint="eastAsia"/>
          <w:color w:val="auto"/>
          <w:lang w:val="en-US" w:eastAsia="zh-CN"/>
        </w:rPr>
        <w:t>照明照度：</w:t>
      </w:r>
    </w:p>
    <w:p w14:paraId="1FC4F25F">
      <w:pPr>
        <w:rPr>
          <w:rFonts w:hint="eastAsia"/>
          <w:color w:val="auto"/>
          <w:lang w:val="en-US" w:eastAsia="zh-CN"/>
        </w:rPr>
      </w:pPr>
      <w:r>
        <w:rPr>
          <w:rFonts w:hint="eastAsia"/>
          <w:color w:val="auto"/>
          <w:lang w:val="en-US" w:eastAsia="zh-CN"/>
        </w:rPr>
        <w:t>1. 地面配电室：200lx</w:t>
      </w:r>
    </w:p>
    <w:p w14:paraId="17ED8339">
      <w:pPr>
        <w:rPr>
          <w:rFonts w:hint="eastAsia"/>
          <w:color w:val="auto"/>
          <w:lang w:val="en-US" w:eastAsia="zh-CN"/>
        </w:rPr>
      </w:pPr>
      <w:r>
        <w:rPr>
          <w:rFonts w:hint="eastAsia"/>
          <w:color w:val="auto"/>
          <w:lang w:val="en-US" w:eastAsia="zh-CN"/>
        </w:rPr>
        <w:t>2. 地面调度室：300lx</w:t>
      </w:r>
    </w:p>
    <w:p w14:paraId="1B5BADDF">
      <w:pPr>
        <w:rPr>
          <w:rFonts w:hint="eastAsia"/>
          <w:color w:val="auto"/>
          <w:lang w:val="en-US" w:eastAsia="zh-CN"/>
        </w:rPr>
      </w:pPr>
      <w:r>
        <w:rPr>
          <w:rFonts w:hint="eastAsia"/>
          <w:color w:val="auto"/>
          <w:lang w:val="en-US" w:eastAsia="zh-CN"/>
        </w:rPr>
        <w:t>3. 压风机房：150lx</w:t>
      </w:r>
    </w:p>
    <w:p w14:paraId="2A811AF8">
      <w:pPr>
        <w:rPr>
          <w:rFonts w:hint="eastAsia"/>
          <w:color w:val="auto"/>
          <w:lang w:val="en-US" w:eastAsia="zh-CN"/>
        </w:rPr>
      </w:pPr>
      <w:r>
        <w:rPr>
          <w:rFonts w:hint="eastAsia"/>
          <w:color w:val="auto"/>
          <w:lang w:val="en-US" w:eastAsia="zh-CN"/>
        </w:rPr>
        <w:t>4. 通风机房：100lx</w:t>
      </w:r>
    </w:p>
    <w:p w14:paraId="5D5808F5">
      <w:pPr>
        <w:rPr>
          <w:rFonts w:hint="eastAsia"/>
          <w:color w:val="auto"/>
          <w:lang w:val="en-US" w:eastAsia="zh-CN"/>
        </w:rPr>
      </w:pPr>
      <w:r>
        <w:rPr>
          <w:rFonts w:hint="eastAsia"/>
          <w:color w:val="auto"/>
          <w:lang w:val="en-US" w:eastAsia="zh-CN"/>
        </w:rPr>
        <w:t>5. 电气设备硐室：50lx</w:t>
      </w:r>
    </w:p>
    <w:p w14:paraId="6D9E49CE">
      <w:pPr>
        <w:rPr>
          <w:rFonts w:hint="eastAsia"/>
          <w:color w:val="auto"/>
          <w:lang w:val="en-US" w:eastAsia="zh-CN"/>
        </w:rPr>
      </w:pPr>
      <w:r>
        <w:rPr>
          <w:rFonts w:hint="eastAsia"/>
          <w:color w:val="auto"/>
          <w:lang w:val="en-US" w:eastAsia="zh-CN"/>
        </w:rPr>
        <w:t>6. 检修硐室：75lx</w:t>
      </w:r>
    </w:p>
    <w:p w14:paraId="331A7FBC">
      <w:pPr>
        <w:rPr>
          <w:rFonts w:hint="eastAsia"/>
          <w:color w:val="auto"/>
          <w:lang w:val="en-US" w:eastAsia="zh-CN"/>
        </w:rPr>
      </w:pPr>
      <w:r>
        <w:rPr>
          <w:rFonts w:hint="eastAsia"/>
          <w:color w:val="auto"/>
          <w:lang w:val="en-US" w:eastAsia="zh-CN"/>
        </w:rPr>
        <w:t>7. 井底巷道交叉点、专用人行道：15lx</w:t>
      </w:r>
    </w:p>
    <w:p w14:paraId="7DACDA8A">
      <w:pPr>
        <w:rPr>
          <w:rFonts w:hint="eastAsia"/>
          <w:color w:val="auto"/>
          <w:lang w:val="en-US" w:eastAsia="zh-CN"/>
        </w:rPr>
      </w:pPr>
      <w:r>
        <w:rPr>
          <w:rFonts w:hint="eastAsia"/>
          <w:color w:val="auto"/>
          <w:lang w:val="en-US" w:eastAsia="zh-CN"/>
        </w:rPr>
        <w:t>8. 运输巷道：10lx</w:t>
      </w:r>
    </w:p>
    <w:p w14:paraId="0A94551D">
      <w:pPr>
        <w:rPr>
          <w:rFonts w:hint="default"/>
          <w:b/>
          <w:bCs/>
          <w:color w:val="auto"/>
          <w:lang w:val="en-US" w:eastAsia="zh-CN"/>
        </w:rPr>
      </w:pPr>
      <w:r>
        <w:rPr>
          <w:rFonts w:hint="eastAsia"/>
          <w:b/>
          <w:bCs/>
          <w:color w:val="auto"/>
          <w:lang w:val="en-US" w:eastAsia="zh-CN"/>
        </w:rPr>
        <w:t>五、防雷与接地</w:t>
      </w:r>
    </w:p>
    <w:p w14:paraId="7F1E17D3">
      <w:pPr>
        <w:rPr>
          <w:rFonts w:hint="eastAsia"/>
          <w:color w:val="auto"/>
          <w:lang w:val="en-US" w:eastAsia="zh-CN"/>
        </w:rPr>
      </w:pPr>
      <w:r>
        <w:rPr>
          <w:rFonts w:hint="eastAsia"/>
          <w:color w:val="auto"/>
          <w:lang w:val="en-US" w:eastAsia="zh-CN"/>
        </w:rPr>
        <w:t>按《建筑物防雷设计规范》（GB50057-2010）及《金属非金属矿山安全规程》（GB16423-2020）相关章节的要求设置防雷与接地装置。</w:t>
      </w:r>
    </w:p>
    <w:p w14:paraId="5053A788">
      <w:pPr>
        <w:rPr>
          <w:rFonts w:hint="eastAsia"/>
          <w:color w:val="auto"/>
          <w:lang w:val="en-US" w:eastAsia="zh-CN"/>
        </w:rPr>
      </w:pPr>
      <w:r>
        <w:rPr>
          <w:rFonts w:hint="eastAsia"/>
          <w:color w:val="auto"/>
          <w:lang w:val="en-US" w:eastAsia="zh-CN"/>
        </w:rPr>
        <w:t>为防止雷电波入侵，10kV电源线路终端杆安装避雷器保护；在低压柜内设过电压保护装置。</w:t>
      </w:r>
    </w:p>
    <w:p w14:paraId="445A2E2E">
      <w:pPr>
        <w:rPr>
          <w:rFonts w:hint="eastAsia"/>
          <w:color w:val="auto"/>
          <w:lang w:val="en-US" w:eastAsia="zh-CN"/>
        </w:rPr>
      </w:pPr>
      <w:r>
        <w:rPr>
          <w:rFonts w:hint="eastAsia"/>
          <w:color w:val="auto"/>
          <w:lang w:val="en-US" w:eastAsia="zh-CN"/>
        </w:rPr>
        <w:t>工业场地高于15m的建筑物、构筑物采用接闪杆或接闪带进行防雷保护，其接地装置利用建筑物、构筑物基础或钢管接地极，其接地电阻不大于4</w:t>
      </w:r>
      <w:r>
        <w:rPr>
          <w:rFonts w:hint="default" w:ascii="Times New Roman" w:hAnsi="Times New Roman" w:cs="Times New Roman"/>
          <w:color w:val="auto"/>
          <w:lang w:val="en-US" w:eastAsia="zh-CN"/>
        </w:rPr>
        <w:t>Ω</w:t>
      </w:r>
      <w:r>
        <w:rPr>
          <w:rFonts w:hint="eastAsia"/>
          <w:color w:val="auto"/>
          <w:lang w:val="en-US" w:eastAsia="zh-CN"/>
        </w:rPr>
        <w:t>。</w:t>
      </w:r>
    </w:p>
    <w:p w14:paraId="0E49246F">
      <w:pPr>
        <w:rPr>
          <w:rFonts w:hint="eastAsia"/>
          <w:color w:val="auto"/>
          <w:lang w:val="en-US" w:eastAsia="zh-CN"/>
        </w:rPr>
      </w:pPr>
      <w:r>
        <w:rPr>
          <w:rFonts w:hint="eastAsia"/>
          <w:color w:val="auto"/>
          <w:lang w:val="en-US" w:eastAsia="zh-CN"/>
        </w:rPr>
        <w:t>在井下主、副水仓中各设一组主接地极，采用耐腐蚀的钢板制成，其面积不得小于0.75m</w:t>
      </w:r>
      <w:r>
        <w:rPr>
          <w:rFonts w:hint="eastAsia"/>
          <w:color w:val="auto"/>
          <w:vertAlign w:val="superscript"/>
          <w:lang w:val="en-US" w:eastAsia="zh-CN"/>
        </w:rPr>
        <w:t>2</w:t>
      </w:r>
      <w:r>
        <w:rPr>
          <w:rFonts w:hint="eastAsia"/>
          <w:color w:val="auto"/>
          <w:lang w:val="en-US" w:eastAsia="zh-CN"/>
        </w:rPr>
        <w:t>，厚度不得小于5mm。其它用电设备地点均设局部接地极，采用面积不小0.6m</w:t>
      </w:r>
      <w:r>
        <w:rPr>
          <w:rFonts w:hint="eastAsia"/>
          <w:color w:val="auto"/>
          <w:vertAlign w:val="superscript"/>
          <w:lang w:val="en-US" w:eastAsia="zh-CN"/>
        </w:rPr>
        <w:t>2</w:t>
      </w:r>
      <w:r>
        <w:rPr>
          <w:rFonts w:hint="eastAsia"/>
          <w:color w:val="auto"/>
          <w:lang w:val="en-US" w:eastAsia="zh-CN"/>
        </w:rPr>
        <w:t>，厚度不小于3.5mm的钢板或具有同等有效面积的钢管制成，平设于附近水沟中。电气设备的保护接地装置应与主接地极连成总接地网。接地网上任一保护接地点接地电阻不得超过2</w:t>
      </w:r>
      <w:r>
        <w:rPr>
          <w:rFonts w:hint="default" w:ascii="Times New Roman" w:hAnsi="Times New Roman" w:cs="Times New Roman"/>
          <w:color w:val="auto"/>
          <w:lang w:val="en-US" w:eastAsia="zh-CN"/>
        </w:rPr>
        <w:t>Ω</w:t>
      </w:r>
      <w:r>
        <w:rPr>
          <w:rFonts w:hint="eastAsia"/>
          <w:color w:val="auto"/>
          <w:lang w:val="en-US" w:eastAsia="zh-CN"/>
        </w:rPr>
        <w:t>。每一移动式和手持式电气设备至局部接地极之间的保护接地用的电缆芯线和接地连接线的电阻不得超过1</w:t>
      </w:r>
      <w:r>
        <w:rPr>
          <w:rFonts w:hint="default" w:ascii="Times New Roman" w:hAnsi="Times New Roman" w:cs="Times New Roman"/>
          <w:color w:val="auto"/>
          <w:lang w:val="en-US" w:eastAsia="zh-CN"/>
        </w:rPr>
        <w:t>Ω</w:t>
      </w:r>
      <w:r>
        <w:rPr>
          <w:rFonts w:hint="eastAsia"/>
          <w:color w:val="auto"/>
          <w:lang w:val="en-US" w:eastAsia="zh-CN"/>
        </w:rPr>
        <w:t>。井下变配电室的接地母线应与其附近的排水、压缩空气、洒水管、沿井巷装设的金属结构做总等电位联结。其他配电点在局部范围内将其接地母线与其附近的排水、压缩空气、洒水管、沿井巷装设的金属结构做局部等电位联结。</w:t>
      </w:r>
    </w:p>
    <w:p w14:paraId="2C337D8F">
      <w:pPr>
        <w:rPr>
          <w:rFonts w:hint="default"/>
          <w:color w:val="auto"/>
          <w:lang w:val="en-US" w:eastAsia="zh-CN"/>
        </w:rPr>
      </w:pPr>
      <w:r>
        <w:rPr>
          <w:rFonts w:hint="eastAsia"/>
          <w:color w:val="auto"/>
          <w:lang w:val="en-US" w:eastAsia="zh-CN"/>
        </w:rPr>
        <w:t>经由地面架空线路引入井下的供电线路，必须在入井处装设防雷电装置。由地面直接入井的轨道及露天架空引入（出）的管道，必须在井口附近将金属体进行不少于2处的良好的集中接地。通信及监控系统线路必须在入井处装设防雷装置。</w:t>
      </w:r>
    </w:p>
    <w:p w14:paraId="5FBE685A">
      <w:pPr>
        <w:rPr>
          <w:rFonts w:hint="default"/>
          <w:b/>
          <w:bCs/>
          <w:color w:val="auto"/>
          <w:lang w:val="en-US" w:eastAsia="zh-CN"/>
        </w:rPr>
      </w:pPr>
      <w:r>
        <w:rPr>
          <w:rFonts w:hint="eastAsia"/>
          <w:b/>
          <w:bCs/>
          <w:color w:val="auto"/>
          <w:lang w:val="en-US" w:eastAsia="zh-CN"/>
        </w:rPr>
        <w:t>六、</w:t>
      </w:r>
      <w:r>
        <w:rPr>
          <w:rFonts w:hint="default"/>
          <w:b/>
          <w:bCs/>
          <w:color w:val="auto"/>
          <w:lang w:val="en-US" w:eastAsia="zh-CN"/>
        </w:rPr>
        <w:t>供配电系统检测检验</w:t>
      </w:r>
    </w:p>
    <w:p w14:paraId="50AD7473">
      <w:pPr>
        <w:rPr>
          <w:rFonts w:hint="default"/>
          <w:color w:val="auto"/>
          <w:lang w:val="en-US" w:eastAsia="zh-CN"/>
        </w:rPr>
      </w:pPr>
      <w:r>
        <w:rPr>
          <w:rFonts w:hint="default"/>
          <w:color w:val="auto"/>
          <w:lang w:val="en-US" w:eastAsia="zh-CN"/>
        </w:rPr>
        <w:t>经江西华安检测技术有限公司检测，</w:t>
      </w:r>
      <w:r>
        <w:rPr>
          <w:rFonts w:hint="eastAsia"/>
          <w:color w:val="auto"/>
          <w:lang w:val="en-US" w:eastAsia="zh-CN"/>
        </w:rPr>
        <w:t>目前</w:t>
      </w:r>
      <w:r>
        <w:rPr>
          <w:rFonts w:hint="default"/>
          <w:color w:val="auto"/>
          <w:lang w:val="en-US" w:eastAsia="zh-CN"/>
        </w:rPr>
        <w:t>矿山供电系统、接地装置检测检验结论为合格。</w:t>
      </w:r>
    </w:p>
    <w:p w14:paraId="0B48BCCC">
      <w:pPr>
        <w:pStyle w:val="4"/>
        <w:bidi w:val="0"/>
        <w:rPr>
          <w:rFonts w:hint="default"/>
          <w:color w:val="auto"/>
          <w:lang w:val="en-US" w:eastAsia="zh-CN"/>
        </w:rPr>
      </w:pPr>
      <w:bookmarkStart w:id="191" w:name="_Toc9045"/>
      <w:bookmarkStart w:id="192" w:name="_Toc31549"/>
      <w:bookmarkStart w:id="193" w:name="_Toc32524"/>
      <w:bookmarkStart w:id="194" w:name="_Toc29338"/>
      <w:r>
        <w:rPr>
          <w:rFonts w:hint="default"/>
          <w:color w:val="auto"/>
          <w:lang w:val="en-US" w:eastAsia="zh-CN"/>
        </w:rPr>
        <w:t>2.4.9</w:t>
      </w:r>
      <w:r>
        <w:rPr>
          <w:rFonts w:hint="eastAsia"/>
          <w:color w:val="auto"/>
          <w:lang w:val="en-US" w:eastAsia="zh-CN"/>
        </w:rPr>
        <w:t xml:space="preserve"> </w:t>
      </w:r>
      <w:r>
        <w:rPr>
          <w:rFonts w:hint="default"/>
          <w:color w:val="auto"/>
          <w:lang w:val="en-US" w:eastAsia="zh-CN"/>
        </w:rPr>
        <w:t>防排水与防灭火系统</w:t>
      </w:r>
      <w:bookmarkEnd w:id="191"/>
      <w:bookmarkEnd w:id="192"/>
      <w:bookmarkEnd w:id="193"/>
      <w:bookmarkEnd w:id="194"/>
    </w:p>
    <w:p w14:paraId="47C7878D">
      <w:pPr>
        <w:rPr>
          <w:rFonts w:hint="eastAsia"/>
          <w:color w:val="auto"/>
          <w:lang w:val="en-US" w:eastAsia="zh-CN"/>
        </w:rPr>
      </w:pPr>
      <w:r>
        <w:rPr>
          <w:rFonts w:hint="eastAsia"/>
          <w:color w:val="auto"/>
          <w:lang w:val="en-US" w:eastAsia="zh-CN"/>
        </w:rPr>
        <w:t>一、防排水系统</w:t>
      </w:r>
    </w:p>
    <w:p w14:paraId="76C5D9F8">
      <w:pPr>
        <w:rPr>
          <w:rFonts w:hint="eastAsia"/>
          <w:color w:val="auto"/>
          <w:lang w:val="en-US" w:eastAsia="zh-CN"/>
        </w:rPr>
      </w:pPr>
      <w:r>
        <w:rPr>
          <w:rFonts w:hint="eastAsia"/>
          <w:color w:val="auto"/>
          <w:lang w:val="en-US" w:eastAsia="zh-CN"/>
        </w:rPr>
        <w:t>1. 井下涌水量</w:t>
      </w:r>
    </w:p>
    <w:p w14:paraId="04125634">
      <w:pPr>
        <w:rPr>
          <w:rFonts w:hint="eastAsia"/>
          <w:color w:val="auto"/>
          <w:lang w:val="en-US" w:eastAsia="zh-CN"/>
        </w:rPr>
      </w:pPr>
      <w:r>
        <w:rPr>
          <w:rFonts w:hint="eastAsia"/>
          <w:color w:val="auto"/>
          <w:lang w:val="en-US" w:eastAsia="zh-CN"/>
        </w:rPr>
        <w:t>矿井+100m中段预计涌水量：正常涌水量：Q</w:t>
      </w:r>
      <w:r>
        <w:rPr>
          <w:rFonts w:hint="eastAsia"/>
          <w:color w:val="auto"/>
          <w:vertAlign w:val="subscript"/>
          <w:lang w:val="en-US" w:eastAsia="zh-CN"/>
        </w:rPr>
        <w:t>正</w:t>
      </w:r>
      <w:r>
        <w:rPr>
          <w:rFonts w:hint="eastAsia"/>
          <w:color w:val="auto"/>
          <w:lang w:val="en-US" w:eastAsia="zh-CN"/>
        </w:rPr>
        <w:t>=3870m</w:t>
      </w:r>
      <w:r>
        <w:rPr>
          <w:rFonts w:hint="eastAsia"/>
          <w:color w:val="auto"/>
          <w:vertAlign w:val="superscript"/>
          <w:lang w:val="en-US" w:eastAsia="zh-CN"/>
        </w:rPr>
        <w:t>3</w:t>
      </w:r>
      <w:r>
        <w:rPr>
          <w:rFonts w:hint="eastAsia"/>
          <w:color w:val="auto"/>
          <w:lang w:val="en-US" w:eastAsia="zh-CN"/>
        </w:rPr>
        <w:t>/d，最大涌水量：Q</w:t>
      </w:r>
      <w:r>
        <w:rPr>
          <w:rFonts w:hint="eastAsia"/>
          <w:color w:val="auto"/>
          <w:vertAlign w:val="subscript"/>
          <w:lang w:val="en-US" w:eastAsia="zh-CN"/>
        </w:rPr>
        <w:t>大</w:t>
      </w:r>
      <w:r>
        <w:rPr>
          <w:rFonts w:hint="eastAsia"/>
          <w:color w:val="auto"/>
          <w:lang w:val="en-US" w:eastAsia="zh-CN"/>
        </w:rPr>
        <w:t>=5066m</w:t>
      </w:r>
      <w:r>
        <w:rPr>
          <w:rFonts w:hint="eastAsia"/>
          <w:color w:val="auto"/>
          <w:vertAlign w:val="superscript"/>
          <w:lang w:val="en-US" w:eastAsia="zh-CN"/>
        </w:rPr>
        <w:t>3</w:t>
      </w:r>
      <w:r>
        <w:rPr>
          <w:rFonts w:hint="eastAsia"/>
          <w:color w:val="auto"/>
          <w:lang w:val="en-US" w:eastAsia="zh-CN"/>
        </w:rPr>
        <w:t>/d。</w:t>
      </w:r>
    </w:p>
    <w:p w14:paraId="38D1A393">
      <w:pPr>
        <w:rPr>
          <w:rFonts w:hint="eastAsia"/>
          <w:color w:val="auto"/>
          <w:lang w:val="en-US" w:eastAsia="zh-CN"/>
        </w:rPr>
      </w:pPr>
      <w:r>
        <w:rPr>
          <w:rFonts w:hint="eastAsia"/>
          <w:color w:val="auto"/>
          <w:lang w:val="en-US" w:eastAsia="zh-CN"/>
        </w:rPr>
        <w:t>2. 排水方式</w:t>
      </w:r>
    </w:p>
    <w:p w14:paraId="2EAFF06B">
      <w:pPr>
        <w:ind w:firstLine="0" w:firstLineChars="0"/>
        <w:rPr>
          <w:rFonts w:hint="eastAsia"/>
          <w:color w:val="auto"/>
          <w:lang w:val="en-US" w:eastAsia="zh-CN"/>
        </w:rPr>
      </w:pPr>
      <w:r>
        <w:rPr>
          <w:rFonts w:hint="eastAsia"/>
          <w:color w:val="auto"/>
          <w:lang w:val="en-US" w:eastAsia="zh-CN"/>
        </w:rPr>
        <w:t>根据矿山实际情况，采用一级排水，水泵房设在+100m，其余中段采用排水沟排至+100m水仓，然后统一由水泵排出井内。泵站设于+100m中段车场附近。泵站包括水泵硐室、变配电硐室、水仓、管子道和吸水井等。</w:t>
      </w:r>
    </w:p>
    <w:p w14:paraId="4D4E7257">
      <w:pPr>
        <w:rPr>
          <w:rFonts w:hint="eastAsia"/>
          <w:color w:val="auto"/>
          <w:lang w:val="en-US" w:eastAsia="zh-CN"/>
        </w:rPr>
      </w:pPr>
      <w:r>
        <w:rPr>
          <w:rFonts w:hint="eastAsia"/>
          <w:color w:val="auto"/>
          <w:lang w:val="en-US" w:eastAsia="zh-CN"/>
        </w:rPr>
        <w:t>水仓容积：按正常涌水量8h计算，+100m中段水仓容积应为1290m</w:t>
      </w:r>
      <w:r>
        <w:rPr>
          <w:rFonts w:hint="eastAsia"/>
          <w:color w:val="auto"/>
          <w:vertAlign w:val="superscript"/>
          <w:lang w:val="en-US" w:eastAsia="zh-CN"/>
        </w:rPr>
        <w:t>3</w:t>
      </w:r>
      <w:r>
        <w:rPr>
          <w:rFonts w:hint="eastAsia"/>
          <w:color w:val="auto"/>
          <w:lang w:val="en-US" w:eastAsia="zh-CN"/>
        </w:rPr>
        <w:t>，矿山现有水仓容积2000m</w:t>
      </w:r>
      <w:r>
        <w:rPr>
          <w:rFonts w:hint="eastAsia"/>
          <w:color w:val="auto"/>
          <w:vertAlign w:val="superscript"/>
          <w:lang w:val="en-US" w:eastAsia="zh-CN"/>
        </w:rPr>
        <w:t>3</w:t>
      </w:r>
      <w:r>
        <w:rPr>
          <w:rFonts w:hint="eastAsia"/>
          <w:color w:val="auto"/>
          <w:lang w:val="en-US" w:eastAsia="zh-CN"/>
        </w:rPr>
        <w:t>，满足要求。</w:t>
      </w:r>
    </w:p>
    <w:p w14:paraId="7E4CA2C9">
      <w:pPr>
        <w:rPr>
          <w:rFonts w:hint="eastAsia"/>
          <w:color w:val="auto"/>
          <w:lang w:val="en-US" w:eastAsia="zh-CN"/>
        </w:rPr>
      </w:pPr>
      <w:r>
        <w:rPr>
          <w:rFonts w:hint="eastAsia"/>
          <w:color w:val="auto"/>
          <w:lang w:val="en-US" w:eastAsia="zh-CN"/>
        </w:rPr>
        <w:t>3. 排泥</w:t>
      </w:r>
    </w:p>
    <w:p w14:paraId="51F8D555">
      <w:pPr>
        <w:rPr>
          <w:rFonts w:hint="eastAsia"/>
          <w:color w:val="auto"/>
          <w:lang w:val="en-US" w:eastAsia="zh-CN"/>
        </w:rPr>
      </w:pPr>
      <w:r>
        <w:rPr>
          <w:rFonts w:hint="eastAsia"/>
          <w:color w:val="auto"/>
          <w:lang w:val="en-US" w:eastAsia="zh-CN"/>
        </w:rPr>
        <w:t>水仓采用自然沉积，人力清仓。采用矿车装载水仓泥浆后，运出地表排放。</w:t>
      </w:r>
    </w:p>
    <w:p w14:paraId="3B739B34">
      <w:pPr>
        <w:rPr>
          <w:rFonts w:hint="eastAsia"/>
          <w:color w:val="auto"/>
          <w:lang w:val="en-US" w:eastAsia="zh-CN"/>
        </w:rPr>
      </w:pPr>
      <w:r>
        <w:rPr>
          <w:rFonts w:hint="eastAsia"/>
          <w:color w:val="auto"/>
          <w:lang w:val="en-US" w:eastAsia="zh-CN"/>
        </w:rPr>
        <w:t>4. 排水设备</w:t>
      </w:r>
    </w:p>
    <w:p w14:paraId="5CBD1D20">
      <w:pPr>
        <w:rPr>
          <w:rFonts w:hint="eastAsia"/>
          <w:color w:val="auto"/>
          <w:lang w:val="en-US" w:eastAsia="zh-CN"/>
        </w:rPr>
      </w:pPr>
      <w:r>
        <w:rPr>
          <w:rFonts w:hint="eastAsia"/>
          <w:color w:val="auto"/>
          <w:lang w:val="en-US" w:eastAsia="zh-CN"/>
        </w:rPr>
        <w:t>+100m中段水泵房利用现有4台DF150-30×7型</w:t>
      </w:r>
      <w:r>
        <w:rPr>
          <w:rFonts w:hint="eastAsia" w:ascii="Times New Roman" w:eastAsia="宋体"/>
          <w:color w:val="auto"/>
          <w:lang w:val="en-US" w:eastAsia="zh-CN"/>
        </w:rPr>
        <w:t>（额定流量155m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w:t>
      </w:r>
      <w:r>
        <w:rPr>
          <w:rFonts w:hint="eastAsia"/>
          <w:color w:val="auto"/>
          <w:lang w:val="en-US" w:eastAsia="zh-CN"/>
        </w:rPr>
        <w:t>耐酸水泵，其中：2台工作、1台备用、1台检修，能满足排水要求，水泵配套电动机160kW、380V，排水管路2趟D219×9耐腐蚀性钢塑复合钢管，吸水管路D273×9耐腐蚀性钢塑塑造复合钢管均能满足排水要求。</w:t>
      </w:r>
    </w:p>
    <w:p w14:paraId="349FAE02">
      <w:pPr>
        <w:rPr>
          <w:rFonts w:hint="eastAsia"/>
          <w:color w:val="auto"/>
          <w:lang w:val="en-US" w:eastAsia="zh-CN"/>
        </w:rPr>
      </w:pPr>
      <w:r>
        <w:rPr>
          <w:rFonts w:hint="eastAsia"/>
          <w:color w:val="auto"/>
          <w:lang w:val="en-US" w:eastAsia="zh-CN"/>
        </w:rPr>
        <w:t>5. 辅助设备</w:t>
      </w:r>
    </w:p>
    <w:p w14:paraId="61A72C00">
      <w:pPr>
        <w:rPr>
          <w:rFonts w:hint="eastAsia"/>
          <w:color w:val="auto"/>
          <w:lang w:val="en-US" w:eastAsia="zh-CN"/>
        </w:rPr>
      </w:pPr>
      <w:r>
        <w:rPr>
          <w:rFonts w:hint="eastAsia"/>
          <w:color w:val="auto"/>
          <w:lang w:val="en-US" w:eastAsia="zh-CN"/>
        </w:rPr>
        <w:t>主排水泵房水泵采用有底阀、ZPBG型射流泵射流引水方式，射流泵以排水管中的压力水作为水源，以消防洒水管中的压力水作为备用水源。水仓与吸水井之间、吸水井与吸水井之间安装配水阀门，型号为PZI-250、DN250、PN=0.1MPa，数量4套。</w:t>
      </w:r>
    </w:p>
    <w:p w14:paraId="6346CC9F">
      <w:pPr>
        <w:rPr>
          <w:rFonts w:hint="eastAsia"/>
          <w:color w:val="auto"/>
          <w:lang w:val="en-US" w:eastAsia="zh-CN"/>
        </w:rPr>
      </w:pPr>
      <w:r>
        <w:rPr>
          <w:rFonts w:hint="eastAsia"/>
          <w:color w:val="auto"/>
          <w:lang w:val="en-US" w:eastAsia="zh-CN"/>
        </w:rPr>
        <w:t>井下最低中段的主水泵房出口不少于两个；一个通往中段巷道并装设防水门；另一个在水泵房地面7m以上与安全出口连通。水泵房地面高出水泵房入口处巷道底板0.5m；潜没式泵房设有两个通往中段巷道的出口。</w:t>
      </w:r>
    </w:p>
    <w:p w14:paraId="06FE94D5">
      <w:pPr>
        <w:rPr>
          <w:rFonts w:hint="eastAsia"/>
          <w:color w:val="auto"/>
          <w:lang w:val="en-US" w:eastAsia="zh-CN"/>
        </w:rPr>
      </w:pPr>
      <w:r>
        <w:rPr>
          <w:rFonts w:hint="eastAsia"/>
          <w:color w:val="auto"/>
          <w:lang w:val="en-US" w:eastAsia="zh-CN"/>
        </w:rPr>
        <w:t>6. 探防水设备设施</w:t>
      </w:r>
    </w:p>
    <w:p w14:paraId="0B622BD8">
      <w:pPr>
        <w:rPr>
          <w:rFonts w:hint="eastAsia"/>
          <w:color w:val="auto"/>
          <w:lang w:val="en-US" w:eastAsia="zh-CN"/>
        </w:rPr>
      </w:pPr>
      <w:r>
        <w:rPr>
          <w:rFonts w:hint="eastAsia"/>
          <w:color w:val="auto"/>
          <w:lang w:val="en-US" w:eastAsia="zh-CN"/>
        </w:rPr>
        <w:t>由于矿山水文地质条件属中等类型，矿山设置了井下防治水领导机构，配备了专门探水设备。探水设备型号为ZY-200的全液压坑道探矿钻机，坚持“预测预报、有疑必探、先探后掘、先治后采”原则做好探水工作。</w:t>
      </w:r>
    </w:p>
    <w:p w14:paraId="79920F54">
      <w:pPr>
        <w:rPr>
          <w:rFonts w:hint="eastAsia"/>
          <w:color w:val="auto"/>
          <w:lang w:val="en-US" w:eastAsia="zh-CN"/>
        </w:rPr>
      </w:pPr>
      <w:r>
        <w:rPr>
          <w:rFonts w:hint="eastAsia"/>
          <w:color w:val="auto"/>
          <w:lang w:val="en-US" w:eastAsia="zh-CN"/>
        </w:rPr>
        <w:t>7. 排水系统及主水泵检测检验简介</w:t>
      </w:r>
    </w:p>
    <w:p w14:paraId="5D0EC472">
      <w:pPr>
        <w:rPr>
          <w:rFonts w:hint="eastAsia"/>
          <w:color w:val="auto"/>
          <w:lang w:val="en-US" w:eastAsia="zh-CN"/>
        </w:rPr>
      </w:pPr>
      <w:r>
        <w:rPr>
          <w:rFonts w:hint="eastAsia"/>
          <w:color w:val="auto"/>
          <w:lang w:val="en-US" w:eastAsia="zh-CN"/>
        </w:rPr>
        <w:t>经江西华安检测技术有限公司检测，目前矿井排水系统和主排水泵检测检验结论为合格。</w:t>
      </w:r>
    </w:p>
    <w:p w14:paraId="312FDCBD">
      <w:pPr>
        <w:rPr>
          <w:rFonts w:hint="eastAsia"/>
          <w:color w:val="auto"/>
          <w:lang w:val="en-US" w:eastAsia="zh-CN"/>
        </w:rPr>
      </w:pPr>
      <w:r>
        <w:rPr>
          <w:rFonts w:hint="eastAsia"/>
          <w:color w:val="auto"/>
          <w:lang w:val="en-US" w:eastAsia="zh-CN"/>
        </w:rPr>
        <w:t>二、防灭火系统</w:t>
      </w:r>
    </w:p>
    <w:p w14:paraId="63DAF6CC">
      <w:pPr>
        <w:rPr>
          <w:rFonts w:hint="default"/>
          <w:color w:val="auto"/>
          <w:lang w:val="en-US" w:eastAsia="zh-CN"/>
        </w:rPr>
      </w:pPr>
      <w:r>
        <w:rPr>
          <w:rFonts w:hint="eastAsia"/>
          <w:color w:val="auto"/>
          <w:lang w:val="en-US" w:eastAsia="zh-CN"/>
        </w:rPr>
        <w:t>1. 地面</w:t>
      </w:r>
      <w:r>
        <w:rPr>
          <w:rFonts w:hint="default"/>
          <w:color w:val="auto"/>
          <w:lang w:val="en-US" w:eastAsia="zh-CN"/>
        </w:rPr>
        <w:t>排水</w:t>
      </w:r>
    </w:p>
    <w:p w14:paraId="74404BCF">
      <w:pPr>
        <w:rPr>
          <w:rFonts w:hint="default"/>
          <w:color w:val="auto"/>
          <w:lang w:val="en-US" w:eastAsia="zh-CN"/>
        </w:rPr>
      </w:pPr>
      <w:r>
        <w:rPr>
          <w:rFonts w:hint="eastAsia"/>
          <w:color w:val="auto"/>
          <w:lang w:val="en-US" w:eastAsia="zh-CN"/>
        </w:rPr>
        <w:t>（1）</w:t>
      </w:r>
      <w:r>
        <w:rPr>
          <w:rFonts w:hint="default"/>
          <w:color w:val="auto"/>
          <w:lang w:val="en-US" w:eastAsia="zh-CN"/>
        </w:rPr>
        <w:t>工业场地排水</w:t>
      </w:r>
    </w:p>
    <w:p w14:paraId="3D5194A7">
      <w:pPr>
        <w:rPr>
          <w:rFonts w:hint="eastAsia"/>
          <w:color w:val="auto"/>
          <w:lang w:val="en-US" w:eastAsia="zh-CN"/>
        </w:rPr>
      </w:pPr>
      <w:r>
        <w:rPr>
          <w:rFonts w:hint="default"/>
          <w:color w:val="auto"/>
          <w:lang w:val="en-US" w:eastAsia="zh-CN"/>
        </w:rPr>
        <w:t>工业场地排水主要为雨水和井下排水、生活污水。场地排水系统采用生产、生活污水与雨水分流制。矿井排水量见表</w:t>
      </w:r>
      <w:r>
        <w:rPr>
          <w:rFonts w:hint="eastAsia"/>
          <w:color w:val="auto"/>
          <w:lang w:val="en-US" w:eastAsia="zh-CN"/>
        </w:rPr>
        <w:t>2.4-9。</w:t>
      </w:r>
    </w:p>
    <w:p w14:paraId="59100932">
      <w:pPr>
        <w:ind w:left="0" w:leftChars="0" w:firstLine="0" w:firstLineChars="0"/>
        <w:jc w:val="center"/>
        <w:rPr>
          <w:rFonts w:hint="eastAsia"/>
          <w:color w:val="auto"/>
          <w:lang w:val="en-US" w:eastAsia="zh-CN"/>
        </w:rPr>
      </w:pPr>
      <w:r>
        <w:rPr>
          <w:rFonts w:hint="default"/>
          <w:color w:val="auto"/>
          <w:lang w:val="en-US" w:eastAsia="zh-CN"/>
        </w:rPr>
        <w:t>表</w:t>
      </w:r>
      <w:r>
        <w:rPr>
          <w:rFonts w:hint="eastAsia"/>
          <w:color w:val="auto"/>
          <w:lang w:val="en-US" w:eastAsia="zh-CN"/>
        </w:rPr>
        <w:t>2.4-9 矿井排水量表</w:t>
      </w:r>
    </w:p>
    <w:tbl>
      <w:tblPr>
        <w:tblStyle w:val="36"/>
        <w:tblW w:w="9285"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7"/>
        <w:gridCol w:w="3406"/>
        <w:gridCol w:w="2241"/>
        <w:gridCol w:w="2621"/>
      </w:tblGrid>
      <w:tr w14:paraId="7F6D6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17" w:type="dxa"/>
            <w:vMerge w:val="restart"/>
            <w:tcBorders>
              <w:top w:val="single" w:color="000000" w:sz="12" w:space="0"/>
              <w:left w:val="single" w:color="000000" w:sz="12" w:space="0"/>
              <w:bottom w:val="nil"/>
            </w:tcBorders>
            <w:vAlign w:val="center"/>
          </w:tcPr>
          <w:p w14:paraId="1B15F16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顺序</w:t>
            </w:r>
          </w:p>
        </w:tc>
        <w:tc>
          <w:tcPr>
            <w:tcW w:w="3406" w:type="dxa"/>
            <w:vMerge w:val="restart"/>
            <w:tcBorders>
              <w:top w:val="single" w:color="000000" w:sz="12" w:space="0"/>
              <w:bottom w:val="nil"/>
            </w:tcBorders>
            <w:vAlign w:val="center"/>
          </w:tcPr>
          <w:p w14:paraId="57F0E2E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排水项目</w:t>
            </w:r>
          </w:p>
        </w:tc>
        <w:tc>
          <w:tcPr>
            <w:tcW w:w="4862" w:type="dxa"/>
            <w:gridSpan w:val="2"/>
            <w:tcBorders>
              <w:top w:val="single" w:color="000000" w:sz="12" w:space="0"/>
              <w:right w:val="single" w:color="000000" w:sz="12" w:space="0"/>
            </w:tcBorders>
            <w:vAlign w:val="center"/>
          </w:tcPr>
          <w:p w14:paraId="4B010B5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排水量</w:t>
            </w:r>
          </w:p>
        </w:tc>
      </w:tr>
      <w:tr w14:paraId="02EDE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17" w:type="dxa"/>
            <w:vMerge w:val="continue"/>
            <w:tcBorders>
              <w:top w:val="nil"/>
              <w:left w:val="single" w:color="000000" w:sz="12" w:space="0"/>
            </w:tcBorders>
            <w:vAlign w:val="center"/>
          </w:tcPr>
          <w:p w14:paraId="22C93F3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p>
        </w:tc>
        <w:tc>
          <w:tcPr>
            <w:tcW w:w="3406" w:type="dxa"/>
            <w:vMerge w:val="continue"/>
            <w:tcBorders>
              <w:top w:val="nil"/>
            </w:tcBorders>
            <w:vAlign w:val="center"/>
          </w:tcPr>
          <w:p w14:paraId="18BE965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p>
        </w:tc>
        <w:tc>
          <w:tcPr>
            <w:tcW w:w="2241" w:type="dxa"/>
            <w:vAlign w:val="center"/>
          </w:tcPr>
          <w:p w14:paraId="068405C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日排水量（m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/d）</w:t>
            </w:r>
          </w:p>
        </w:tc>
        <w:tc>
          <w:tcPr>
            <w:tcW w:w="2621" w:type="dxa"/>
            <w:tcBorders>
              <w:right w:val="single" w:color="000000" w:sz="12" w:space="0"/>
            </w:tcBorders>
            <w:vAlign w:val="center"/>
          </w:tcPr>
          <w:p w14:paraId="13F996B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小时排水量（m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/h）</w:t>
            </w:r>
          </w:p>
        </w:tc>
      </w:tr>
      <w:tr w14:paraId="1E740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017" w:type="dxa"/>
            <w:tcBorders>
              <w:left w:val="single" w:color="000000" w:sz="12" w:space="0"/>
            </w:tcBorders>
            <w:vAlign w:val="center"/>
          </w:tcPr>
          <w:p w14:paraId="696C0987">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w:t>
            </w:r>
          </w:p>
        </w:tc>
        <w:tc>
          <w:tcPr>
            <w:tcW w:w="3406" w:type="dxa"/>
            <w:vAlign w:val="center"/>
          </w:tcPr>
          <w:p w14:paraId="0E90286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井下排水</w:t>
            </w:r>
          </w:p>
        </w:tc>
        <w:tc>
          <w:tcPr>
            <w:tcW w:w="2241" w:type="dxa"/>
            <w:vAlign w:val="center"/>
          </w:tcPr>
          <w:p w14:paraId="2A605A0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3870～5066</w:t>
            </w:r>
          </w:p>
        </w:tc>
        <w:tc>
          <w:tcPr>
            <w:tcW w:w="2621" w:type="dxa"/>
            <w:tcBorders>
              <w:right w:val="single" w:color="000000" w:sz="12" w:space="0"/>
            </w:tcBorders>
            <w:vAlign w:val="center"/>
          </w:tcPr>
          <w:p w14:paraId="18C91F0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161.25～211</w:t>
            </w:r>
          </w:p>
        </w:tc>
      </w:tr>
      <w:tr w14:paraId="31FAF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017" w:type="dxa"/>
            <w:tcBorders>
              <w:left w:val="single" w:color="000000" w:sz="12" w:space="0"/>
              <w:bottom w:val="single" w:color="000000" w:sz="12" w:space="0"/>
            </w:tcBorders>
            <w:vAlign w:val="center"/>
          </w:tcPr>
          <w:p w14:paraId="06D9B3A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2</w:t>
            </w:r>
          </w:p>
        </w:tc>
        <w:tc>
          <w:tcPr>
            <w:tcW w:w="3406" w:type="dxa"/>
            <w:tcBorders>
              <w:bottom w:val="single" w:color="000000" w:sz="12" w:space="0"/>
            </w:tcBorders>
            <w:vAlign w:val="center"/>
          </w:tcPr>
          <w:p w14:paraId="6F00A77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生活污水</w:t>
            </w:r>
          </w:p>
        </w:tc>
        <w:tc>
          <w:tcPr>
            <w:tcW w:w="2241" w:type="dxa"/>
            <w:tcBorders>
              <w:bottom w:val="single" w:color="000000" w:sz="12" w:space="0"/>
            </w:tcBorders>
            <w:vAlign w:val="center"/>
          </w:tcPr>
          <w:p w14:paraId="2B8626C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95.35</w:t>
            </w:r>
          </w:p>
        </w:tc>
        <w:tc>
          <w:tcPr>
            <w:tcW w:w="2621" w:type="dxa"/>
            <w:tcBorders>
              <w:bottom w:val="single" w:color="000000" w:sz="12" w:space="0"/>
              <w:right w:val="single" w:color="000000" w:sz="12" w:space="0"/>
            </w:tcBorders>
            <w:vAlign w:val="center"/>
          </w:tcPr>
          <w:p w14:paraId="435927A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16.63</w:t>
            </w:r>
          </w:p>
        </w:tc>
      </w:tr>
    </w:tbl>
    <w:p w14:paraId="31AF38F4">
      <w:pPr>
        <w:bidi w:val="0"/>
        <w:rPr>
          <w:rFonts w:hint="default"/>
          <w:color w:val="auto"/>
          <w:lang w:val="en-US" w:eastAsia="zh-CN"/>
        </w:rPr>
      </w:pPr>
      <w:r>
        <w:rPr>
          <w:rFonts w:hint="default"/>
          <w:color w:val="auto"/>
          <w:lang w:val="en-US" w:eastAsia="zh-CN"/>
        </w:rPr>
        <w:t>在</w:t>
      </w:r>
      <w:r>
        <w:rPr>
          <w:rFonts w:hint="eastAsia"/>
          <w:color w:val="auto"/>
          <w:lang w:val="en-US" w:eastAsia="zh-CN"/>
        </w:rPr>
        <w:t>副斜井</w:t>
      </w:r>
      <w:r>
        <w:rPr>
          <w:rFonts w:hint="default"/>
          <w:color w:val="auto"/>
          <w:lang w:val="en-US" w:eastAsia="zh-CN"/>
        </w:rPr>
        <w:t>井口附近已建一套排水处理系统，井下排水由</w:t>
      </w:r>
      <w:r>
        <w:rPr>
          <w:rFonts w:hint="eastAsia"/>
          <w:color w:val="auto"/>
          <w:lang w:val="en-US" w:eastAsia="zh-CN"/>
        </w:rPr>
        <w:t>副斜井</w:t>
      </w:r>
      <w:r>
        <w:rPr>
          <w:rFonts w:hint="default"/>
          <w:color w:val="auto"/>
          <w:lang w:val="en-US" w:eastAsia="zh-CN"/>
        </w:rPr>
        <w:t>+100m～+260m、排至+260m平硐排水沟，</w:t>
      </w:r>
      <w:r>
        <w:rPr>
          <w:rFonts w:hint="eastAsia"/>
          <w:color w:val="auto"/>
          <w:lang w:val="en-US" w:eastAsia="zh-CN"/>
        </w:rPr>
        <w:t>自</w:t>
      </w:r>
      <w:r>
        <w:rPr>
          <w:rFonts w:hint="default"/>
          <w:color w:val="auto"/>
          <w:lang w:val="en-US" w:eastAsia="zh-CN"/>
        </w:rPr>
        <w:t>流至</w:t>
      </w:r>
      <w:r>
        <w:rPr>
          <w:rFonts w:hint="eastAsia"/>
          <w:color w:val="auto"/>
          <w:lang w:val="en-US" w:eastAsia="zh-CN"/>
        </w:rPr>
        <w:t>副斜井</w:t>
      </w:r>
      <w:r>
        <w:rPr>
          <w:rFonts w:hint="default"/>
          <w:color w:val="auto"/>
          <w:lang w:val="en-US" w:eastAsia="zh-CN"/>
        </w:rPr>
        <w:t>井口</w:t>
      </w:r>
      <w:r>
        <w:rPr>
          <w:rFonts w:hint="eastAsia"/>
          <w:color w:val="auto"/>
          <w:lang w:val="en-US" w:eastAsia="zh-CN"/>
        </w:rPr>
        <w:t>，</w:t>
      </w:r>
      <w:r>
        <w:rPr>
          <w:rFonts w:hint="default"/>
          <w:color w:val="auto"/>
          <w:lang w:val="en-US" w:eastAsia="zh-CN"/>
        </w:rPr>
        <w:t>自流至平流式沉淀池（容积为200m</w:t>
      </w:r>
      <w:r>
        <w:rPr>
          <w:rFonts w:hint="default"/>
          <w:color w:val="auto"/>
          <w:vertAlign w:val="superscript"/>
          <w:lang w:val="en-US" w:eastAsia="zh-CN"/>
        </w:rPr>
        <w:t>3</w:t>
      </w:r>
      <w:r>
        <w:rPr>
          <w:rFonts w:hint="default"/>
          <w:color w:val="auto"/>
          <w:lang w:val="en-US" w:eastAsia="zh-CN"/>
        </w:rPr>
        <w:t>）处理：经过澄清沉淀后水质达到《污水综合排放标准》一级标准的要求后作为工业场地绿化用水，雨季时多余排水排至室外场地。场区污水采用120t/d一体化处理设备处理后达到排放标准外排。</w:t>
      </w:r>
    </w:p>
    <w:p w14:paraId="31AAB72B">
      <w:pPr>
        <w:bidi w:val="0"/>
        <w:rPr>
          <w:rFonts w:hint="default"/>
          <w:color w:val="auto"/>
          <w:lang w:val="en-US" w:eastAsia="zh-CN"/>
        </w:rPr>
      </w:pPr>
      <w:r>
        <w:rPr>
          <w:rFonts w:hint="default"/>
          <w:color w:val="auto"/>
          <w:lang w:val="en-US" w:eastAsia="zh-CN"/>
        </w:rPr>
        <w:t>场地雨水通过排水明沟就近排出场外。雨污水排水管道依照工业区道路、建筑物的布置、地形标高和雨污水去向来布置。室外场地下污水管道最小重力流管径为</w:t>
      </w:r>
      <w:r>
        <w:rPr>
          <w:rFonts w:hint="eastAsia"/>
          <w:color w:val="auto"/>
          <w:lang w:val="en-US" w:eastAsia="zh-CN"/>
        </w:rPr>
        <w:t>D</w:t>
      </w:r>
      <w:r>
        <w:rPr>
          <w:rFonts w:hint="default"/>
          <w:color w:val="auto"/>
          <w:lang w:val="en-US" w:eastAsia="zh-CN"/>
        </w:rPr>
        <w:t>300，充满度为0.55。</w:t>
      </w:r>
    </w:p>
    <w:p w14:paraId="53813830">
      <w:pPr>
        <w:rPr>
          <w:rFonts w:hint="default"/>
          <w:color w:val="auto"/>
          <w:lang w:val="en-US" w:eastAsia="zh-CN"/>
        </w:rPr>
      </w:pPr>
      <w:r>
        <w:rPr>
          <w:rFonts w:hint="eastAsia"/>
          <w:color w:val="auto"/>
          <w:lang w:val="en-US" w:eastAsia="zh-CN"/>
        </w:rPr>
        <w:t>（2）</w:t>
      </w:r>
      <w:r>
        <w:rPr>
          <w:rFonts w:hint="default"/>
          <w:color w:val="auto"/>
          <w:lang w:val="en-US" w:eastAsia="zh-CN"/>
        </w:rPr>
        <w:t>室内给排水</w:t>
      </w:r>
    </w:p>
    <w:p w14:paraId="71D7F7EF">
      <w:pPr>
        <w:rPr>
          <w:rFonts w:hint="default"/>
          <w:color w:val="auto"/>
          <w:lang w:val="en-US" w:eastAsia="zh-CN"/>
        </w:rPr>
      </w:pPr>
      <w:r>
        <w:rPr>
          <w:rFonts w:hint="default"/>
          <w:color w:val="auto"/>
          <w:lang w:val="en-US" w:eastAsia="zh-CN"/>
        </w:rPr>
        <w:t>在招待所、食堂、浴室、厕所等建筑内敷设给水排水管路满足各处用水需求。室内给水管采用硬聚氯乙烯给水管（UPVC），室内排水管采用排水U-PVC管。在浴室内设置单管热水给水系统，热水管道采用热水PP-R管。在浴室上部设置不锈钢热水水箱（10m</w:t>
      </w:r>
      <w:r>
        <w:rPr>
          <w:rFonts w:hint="default"/>
          <w:color w:val="auto"/>
          <w:vertAlign w:val="superscript"/>
          <w:lang w:val="en-US" w:eastAsia="zh-CN"/>
        </w:rPr>
        <w:t>3</w:t>
      </w:r>
      <w:r>
        <w:rPr>
          <w:rFonts w:hint="default"/>
          <w:color w:val="auto"/>
          <w:lang w:val="en-US" w:eastAsia="zh-CN"/>
        </w:rPr>
        <w:t>）储存热水用水量。</w:t>
      </w:r>
    </w:p>
    <w:p w14:paraId="2F0A0835">
      <w:pPr>
        <w:rPr>
          <w:rFonts w:hint="default"/>
          <w:color w:val="auto"/>
          <w:lang w:val="en-US" w:eastAsia="zh-CN"/>
        </w:rPr>
      </w:pPr>
      <w:r>
        <w:rPr>
          <w:rFonts w:hint="default"/>
          <w:color w:val="auto"/>
          <w:lang w:val="en-US" w:eastAsia="zh-CN"/>
        </w:rPr>
        <w:t>在装载点、转载点、卸载点设置喷雾洒水设施及管路，污水排放通过污水管沟排至沉淀池处理。</w:t>
      </w:r>
    </w:p>
    <w:p w14:paraId="51689695">
      <w:pPr>
        <w:rPr>
          <w:rFonts w:hint="eastAsia"/>
          <w:color w:val="auto"/>
          <w:lang w:val="en-US" w:eastAsia="zh-CN"/>
        </w:rPr>
      </w:pPr>
      <w:r>
        <w:rPr>
          <w:rFonts w:hint="eastAsia"/>
          <w:color w:val="auto"/>
          <w:lang w:val="en-US" w:eastAsia="zh-CN"/>
        </w:rPr>
        <w:t>2. 消防及洒水</w:t>
      </w:r>
    </w:p>
    <w:p w14:paraId="21A42F09">
      <w:pPr>
        <w:rPr>
          <w:rFonts w:hint="eastAsia"/>
          <w:color w:val="auto"/>
          <w:lang w:val="en-US" w:eastAsia="zh-CN"/>
        </w:rPr>
      </w:pPr>
      <w:r>
        <w:rPr>
          <w:rFonts w:hint="eastAsia"/>
          <w:color w:val="auto"/>
          <w:lang w:val="en-US" w:eastAsia="zh-CN"/>
        </w:rPr>
        <w:t>（1）消防给水</w:t>
      </w:r>
    </w:p>
    <w:p w14:paraId="5936EA02">
      <w:pPr>
        <w:rPr>
          <w:rFonts w:hint="eastAsia"/>
          <w:color w:val="auto"/>
          <w:lang w:val="en-US" w:eastAsia="zh-CN"/>
        </w:rPr>
      </w:pPr>
      <w:r>
        <w:rPr>
          <w:rFonts w:hint="eastAsia"/>
          <w:color w:val="auto"/>
          <w:lang w:val="en-US" w:eastAsia="zh-CN"/>
        </w:rPr>
        <w:t>1）消防用水量</w:t>
      </w:r>
    </w:p>
    <w:p w14:paraId="017CC934">
      <w:pPr>
        <w:rPr>
          <w:rFonts w:hint="eastAsia"/>
          <w:color w:val="auto"/>
          <w:lang w:val="en-US" w:eastAsia="zh-CN"/>
        </w:rPr>
      </w:pPr>
      <w:r>
        <w:rPr>
          <w:rFonts w:hint="eastAsia"/>
          <w:color w:val="auto"/>
          <w:lang w:val="en-US" w:eastAsia="zh-CN"/>
        </w:rPr>
        <w:t>工业场地消防用水和井下消防用水按同一时间内一次考虑。</w:t>
      </w:r>
    </w:p>
    <w:p w14:paraId="348ADA97">
      <w:pPr>
        <w:rPr>
          <w:rFonts w:hint="default" w:ascii="Times New Roman" w:hAnsi="Times New Roman" w:cs="Times New Roman"/>
          <w:color w:val="auto"/>
          <w:lang w:val="en-US" w:eastAsia="zh-CN"/>
        </w:rPr>
      </w:pPr>
      <w:r>
        <w:rPr>
          <w:rFonts w:hint="default" w:ascii="Times New Roman" w:hAnsi="Times New Roman" w:eastAsia="微软雅黑" w:cs="Times New Roman"/>
          <w:color w:val="auto"/>
          <w:lang w:val="en-US" w:eastAsia="zh-CN"/>
        </w:rPr>
        <w:t>①</w:t>
      </w:r>
      <w:r>
        <w:rPr>
          <w:rFonts w:hint="default" w:ascii="Times New Roman" w:hAnsi="Times New Roman" w:cs="Times New Roman"/>
          <w:color w:val="auto"/>
          <w:lang w:val="en-US" w:eastAsia="zh-CN"/>
        </w:rPr>
        <w:t>工业场地消防用水量162m</w:t>
      </w:r>
      <w:r>
        <w:rPr>
          <w:rFonts w:hint="default" w:ascii="Times New Roman" w:hAnsi="Times New Roman" w:cs="Times New Roman"/>
          <w:color w:val="auto"/>
          <w:vertAlign w:val="superscript"/>
          <w:lang w:val="en-US" w:eastAsia="zh-CN"/>
        </w:rPr>
        <w:t>3</w:t>
      </w:r>
      <w:r>
        <w:rPr>
          <w:rFonts w:hint="eastAsia"/>
          <w:color w:val="auto"/>
          <w:lang w:val="en-US" w:eastAsia="zh-CN"/>
        </w:rPr>
        <w:t>/次</w:t>
      </w:r>
      <w:r>
        <w:rPr>
          <w:rFonts w:hint="default" w:ascii="Times New Roman" w:hAnsi="Times New Roman" w:cs="Times New Roman"/>
          <w:color w:val="auto"/>
          <w:lang w:val="en-US" w:eastAsia="zh-CN"/>
        </w:rPr>
        <w:t>（15L/s，火灾延续时间3h）。</w:t>
      </w:r>
    </w:p>
    <w:p w14:paraId="21E30CC9">
      <w:pPr>
        <w:rPr>
          <w:rFonts w:hint="default" w:ascii="Times New Roman" w:hAnsi="Times New Roman" w:cs="Times New Roman"/>
          <w:color w:val="auto"/>
          <w:lang w:val="en-US" w:eastAsia="zh-CN"/>
        </w:rPr>
      </w:pPr>
      <w:r>
        <w:rPr>
          <w:rFonts w:hint="default" w:ascii="Times New Roman" w:hAnsi="Times New Roman" w:eastAsia="微软雅黑" w:cs="Times New Roman"/>
          <w:color w:val="auto"/>
          <w:lang w:val="en-US" w:eastAsia="zh-CN"/>
        </w:rPr>
        <w:t>②</w:t>
      </w:r>
      <w:r>
        <w:rPr>
          <w:rFonts w:hint="default" w:ascii="Times New Roman" w:hAnsi="Times New Roman" w:cs="Times New Roman"/>
          <w:color w:val="auto"/>
          <w:lang w:val="en-US" w:eastAsia="zh-CN"/>
        </w:rPr>
        <w:t>井下消防日用水量</w:t>
      </w:r>
    </w:p>
    <w:p w14:paraId="4734D34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井下同一时间的火灾次数按一次考虑，一次火灾消防用水量按下式计算：</w:t>
      </w:r>
    </w:p>
    <w:p w14:paraId="2D244745">
      <w:pPr>
        <w:ind w:left="0" w:lef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x</w:t>
      </w:r>
      <w:r>
        <w:rPr>
          <w:rFonts w:hint="default" w:ascii="Times New Roman" w:hAnsi="Times New Roman" w:cs="Times New Roman"/>
          <w:color w:val="auto"/>
          <w:lang w:val="en-US" w:eastAsia="zh-CN"/>
        </w:rPr>
        <w:t>=Σ0.06q</w:t>
      </w:r>
      <w:r>
        <w:rPr>
          <w:rFonts w:hint="default" w:ascii="Times New Roman" w:hAnsi="Times New Roman" w:cs="Times New Roman"/>
          <w:color w:val="auto"/>
          <w:vertAlign w:val="subscript"/>
          <w:lang w:val="en-US" w:eastAsia="zh-CN"/>
        </w:rPr>
        <w:t>i</w:t>
      </w:r>
      <w:r>
        <w:rPr>
          <w:rFonts w:hint="default" w:ascii="Times New Roman" w:hAnsi="Times New Roman" w:cs="Times New Roman"/>
          <w:color w:val="auto"/>
          <w:lang w:val="en-US" w:eastAsia="zh-CN"/>
        </w:rPr>
        <w:t>t</w:t>
      </w:r>
      <w:r>
        <w:rPr>
          <w:rFonts w:hint="default" w:ascii="Times New Roman" w:hAnsi="Times New Roman" w:cs="Times New Roman"/>
          <w:color w:val="auto"/>
          <w:vertAlign w:val="subscript"/>
          <w:lang w:val="en-US" w:eastAsia="zh-CN"/>
        </w:rPr>
        <w:t>i</w:t>
      </w:r>
    </w:p>
    <w:p w14:paraId="3B11D01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式中：Q</w:t>
      </w:r>
      <w:r>
        <w:rPr>
          <w:rFonts w:hint="default" w:ascii="Times New Roman" w:hAnsi="Times New Roman" w:cs="Times New Roman"/>
          <w:color w:val="auto"/>
          <w:vertAlign w:val="subscript"/>
          <w:lang w:val="en-US" w:eastAsia="zh-CN"/>
        </w:rPr>
        <w:t>x</w:t>
      </w:r>
      <w:r>
        <w:rPr>
          <w:rFonts w:hint="default" w:ascii="Times New Roman" w:hAnsi="Times New Roman" w:cs="Times New Roman"/>
          <w:color w:val="auto"/>
          <w:lang w:val="en-US" w:eastAsia="zh-CN"/>
        </w:rPr>
        <w:t>—井下一次火灾消防用水量（m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w:t>
      </w:r>
    </w:p>
    <w:p w14:paraId="379CE72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i</w:t>
      </w:r>
      <w:r>
        <w:rPr>
          <w:rFonts w:hint="default" w:ascii="Times New Roman" w:hAnsi="Times New Roman" w:cs="Times New Roman"/>
          <w:color w:val="auto"/>
          <w:lang w:val="en-US" w:eastAsia="zh-CN"/>
        </w:rPr>
        <w:t>—某消防用水项流量指标（L/min）</w:t>
      </w:r>
    </w:p>
    <w:p w14:paraId="29D81CA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w:t>
      </w:r>
      <w:r>
        <w:rPr>
          <w:rFonts w:hint="default" w:ascii="Times New Roman" w:hAnsi="Times New Roman" w:cs="Times New Roman"/>
          <w:color w:val="auto"/>
          <w:vertAlign w:val="subscript"/>
          <w:lang w:val="en-US" w:eastAsia="zh-CN"/>
        </w:rPr>
        <w:t>i</w:t>
      </w:r>
      <w:r>
        <w:rPr>
          <w:rFonts w:hint="default" w:ascii="Times New Roman" w:hAnsi="Times New Roman" w:cs="Times New Roman"/>
          <w:color w:val="auto"/>
          <w:lang w:val="en-US" w:eastAsia="zh-CN"/>
        </w:rPr>
        <w:t>—某用水项的火灾延续时间（h）</w:t>
      </w:r>
    </w:p>
    <w:p w14:paraId="4117358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矿井井下消火栓总流量按5L/s计算，火灾延续时间按6h计，则井下一次火灾消防用水量为：</w:t>
      </w:r>
    </w:p>
    <w:p w14:paraId="3609CC1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x</w:t>
      </w:r>
      <w:r>
        <w:rPr>
          <w:rFonts w:hint="default" w:ascii="Times New Roman" w:hAnsi="Times New Roman" w:cs="Times New Roman"/>
          <w:color w:val="auto"/>
          <w:lang w:val="en-US" w:eastAsia="zh-CN"/>
        </w:rPr>
        <w:t>=5×3.6×6=108m</w:t>
      </w:r>
      <w:r>
        <w:rPr>
          <w:rFonts w:hint="default" w:ascii="Times New Roman" w:hAnsi="Times New Roman" w:cs="Times New Roman"/>
          <w:color w:val="auto"/>
          <w:vertAlign w:val="superscript"/>
          <w:lang w:val="en-US" w:eastAsia="zh-CN"/>
        </w:rPr>
        <w:t>3</w:t>
      </w:r>
      <w:r>
        <w:rPr>
          <w:rFonts w:hint="eastAsia"/>
          <w:color w:val="auto"/>
          <w:lang w:val="en-US" w:eastAsia="zh-CN"/>
        </w:rPr>
        <w:t>/次</w:t>
      </w:r>
    </w:p>
    <w:p w14:paraId="7A1D4198">
      <w:pPr>
        <w:rPr>
          <w:rFonts w:hint="default" w:ascii="Times New Roman" w:hAnsi="Times New Roman" w:cs="Times New Roman"/>
          <w:color w:val="auto"/>
          <w:lang w:val="en-US" w:eastAsia="zh-CN"/>
        </w:rPr>
      </w:pPr>
      <w:r>
        <w:rPr>
          <w:rFonts w:hint="default" w:ascii="Times New Roman" w:hAnsi="Times New Roman" w:eastAsia="微软雅黑" w:cs="Times New Roman"/>
          <w:color w:val="auto"/>
          <w:lang w:val="en-US" w:eastAsia="zh-CN"/>
        </w:rPr>
        <w:t>③</w:t>
      </w:r>
      <w:r>
        <w:rPr>
          <w:rFonts w:hint="default" w:ascii="Times New Roman" w:hAnsi="Times New Roman" w:cs="Times New Roman"/>
          <w:color w:val="auto"/>
          <w:lang w:val="en-US" w:eastAsia="zh-CN"/>
        </w:rPr>
        <w:t>井下洒水日用水量</w:t>
      </w:r>
    </w:p>
    <w:p w14:paraId="78DAD9F3">
      <w:pPr>
        <w:ind w:left="0" w:leftChars="0" w:firstLine="0" w:firstLineChars="0"/>
        <w:jc w:val="center"/>
        <w:rPr>
          <w:rFonts w:hint="eastAsia"/>
          <w:color w:val="auto"/>
          <w:lang w:val="en-US" w:eastAsia="zh-CN"/>
        </w:rPr>
      </w:pPr>
      <w:r>
        <w:rPr>
          <w:rFonts w:hint="eastAsia"/>
          <w:color w:val="auto"/>
          <w:lang w:val="en-US" w:eastAsia="zh-CN"/>
        </w:rPr>
        <w:t>Q</w:t>
      </w:r>
      <w:r>
        <w:rPr>
          <w:rFonts w:hint="eastAsia"/>
          <w:color w:val="auto"/>
          <w:vertAlign w:val="subscript"/>
          <w:lang w:val="en-US" w:eastAsia="zh-CN"/>
        </w:rPr>
        <w:t>d</w:t>
      </w:r>
      <w:r>
        <w:rPr>
          <w:rFonts w:hint="eastAsia"/>
          <w:color w:val="auto"/>
          <w:lang w:val="en-US" w:eastAsia="zh-CN"/>
        </w:rPr>
        <w:t>=KΣ0.06q</w:t>
      </w:r>
      <w:r>
        <w:rPr>
          <w:rFonts w:hint="eastAsia"/>
          <w:color w:val="auto"/>
          <w:vertAlign w:val="subscript"/>
          <w:lang w:val="en-US" w:eastAsia="zh-CN"/>
        </w:rPr>
        <w:t>i</w:t>
      </w:r>
      <w:r>
        <w:rPr>
          <w:rFonts w:hint="eastAsia"/>
          <w:color w:val="auto"/>
          <w:lang w:val="en-US" w:eastAsia="zh-CN"/>
        </w:rPr>
        <w:t>t</w:t>
      </w:r>
      <w:r>
        <w:rPr>
          <w:rFonts w:hint="eastAsia"/>
          <w:color w:val="auto"/>
          <w:vertAlign w:val="subscript"/>
          <w:lang w:val="en-US" w:eastAsia="zh-CN"/>
        </w:rPr>
        <w:t>i</w:t>
      </w:r>
    </w:p>
    <w:p w14:paraId="2020F38F">
      <w:pPr>
        <w:rPr>
          <w:rFonts w:hint="eastAsia"/>
          <w:color w:val="auto"/>
          <w:lang w:val="en-US" w:eastAsia="zh-CN"/>
        </w:rPr>
      </w:pPr>
      <w:r>
        <w:rPr>
          <w:rFonts w:hint="eastAsia"/>
          <w:color w:val="auto"/>
          <w:lang w:val="en-US" w:eastAsia="zh-CN"/>
        </w:rPr>
        <w:t>式中：Q</w:t>
      </w:r>
      <w:r>
        <w:rPr>
          <w:rFonts w:hint="eastAsia"/>
          <w:color w:val="auto"/>
          <w:vertAlign w:val="subscript"/>
          <w:lang w:val="en-US" w:eastAsia="zh-CN"/>
        </w:rPr>
        <w:t>d</w:t>
      </w:r>
      <w:r>
        <w:rPr>
          <w:rFonts w:hint="eastAsia"/>
          <w:color w:val="auto"/>
          <w:lang w:val="en-US" w:eastAsia="zh-CN"/>
        </w:rPr>
        <w:t>—井下洒水日用水量（m</w:t>
      </w:r>
      <w:r>
        <w:rPr>
          <w:rFonts w:hint="eastAsia"/>
          <w:color w:val="auto"/>
          <w:vertAlign w:val="superscript"/>
          <w:lang w:val="en-US" w:eastAsia="zh-CN"/>
        </w:rPr>
        <w:t>3</w:t>
      </w:r>
      <w:r>
        <w:rPr>
          <w:rFonts w:hint="eastAsia"/>
          <w:color w:val="auto"/>
          <w:lang w:val="en-US" w:eastAsia="zh-CN"/>
        </w:rPr>
        <w:t>）</w:t>
      </w:r>
    </w:p>
    <w:p w14:paraId="61F3A8A0">
      <w:pPr>
        <w:ind w:firstLine="1400" w:firstLineChars="500"/>
        <w:rPr>
          <w:rFonts w:hint="eastAsia"/>
          <w:color w:val="auto"/>
          <w:lang w:val="en-US" w:eastAsia="zh-CN"/>
        </w:rPr>
      </w:pPr>
      <w:r>
        <w:rPr>
          <w:rFonts w:hint="eastAsia"/>
          <w:color w:val="auto"/>
          <w:lang w:val="en-US" w:eastAsia="zh-CN"/>
        </w:rPr>
        <w:t>K—富余系数，取1.25～1.35</w:t>
      </w:r>
    </w:p>
    <w:p w14:paraId="614165E0">
      <w:pPr>
        <w:ind w:firstLine="1400" w:firstLineChars="500"/>
        <w:rPr>
          <w:rFonts w:hint="eastAsia"/>
          <w:color w:val="auto"/>
          <w:lang w:val="en-US" w:eastAsia="zh-CN"/>
        </w:rPr>
      </w:pPr>
      <w:r>
        <w:rPr>
          <w:rFonts w:hint="eastAsia"/>
          <w:color w:val="auto"/>
          <w:lang w:val="en-US" w:eastAsia="zh-CN"/>
        </w:rPr>
        <w:t>q</w:t>
      </w:r>
      <w:r>
        <w:rPr>
          <w:rFonts w:hint="eastAsia"/>
          <w:color w:val="auto"/>
          <w:vertAlign w:val="subscript"/>
          <w:lang w:val="en-US" w:eastAsia="zh-CN"/>
        </w:rPr>
        <w:t>i</w:t>
      </w:r>
      <w:r>
        <w:rPr>
          <w:rFonts w:hint="eastAsia"/>
          <w:color w:val="auto"/>
          <w:lang w:val="en-US" w:eastAsia="zh-CN"/>
        </w:rPr>
        <w:t>—某用水项流量指标（L/min）</w:t>
      </w:r>
    </w:p>
    <w:p w14:paraId="2E178915">
      <w:pPr>
        <w:ind w:firstLine="1400" w:firstLineChars="500"/>
        <w:rPr>
          <w:rFonts w:hint="eastAsia"/>
          <w:color w:val="auto"/>
          <w:lang w:val="en-US" w:eastAsia="zh-CN"/>
        </w:rPr>
      </w:pPr>
      <w:r>
        <w:rPr>
          <w:rFonts w:hint="eastAsia"/>
          <w:color w:val="auto"/>
          <w:lang w:val="en-US" w:eastAsia="zh-CN"/>
        </w:rPr>
        <w:t>t</w:t>
      </w:r>
      <w:r>
        <w:rPr>
          <w:rFonts w:hint="eastAsia"/>
          <w:color w:val="auto"/>
          <w:vertAlign w:val="subscript"/>
          <w:lang w:val="en-US" w:eastAsia="zh-CN"/>
        </w:rPr>
        <w:t>i</w:t>
      </w:r>
      <w:r>
        <w:rPr>
          <w:rFonts w:hint="eastAsia"/>
          <w:color w:val="auto"/>
          <w:lang w:val="en-US" w:eastAsia="zh-CN"/>
        </w:rPr>
        <w:t>—某用水项一天中的使用时间（h）</w:t>
      </w:r>
    </w:p>
    <w:p w14:paraId="77595F23">
      <w:pPr>
        <w:rPr>
          <w:rFonts w:hint="eastAsia"/>
          <w:color w:val="auto"/>
          <w:lang w:val="en-US" w:eastAsia="zh-CN"/>
        </w:rPr>
      </w:pPr>
      <w:r>
        <w:rPr>
          <w:rFonts w:hint="eastAsia"/>
          <w:color w:val="auto"/>
          <w:lang w:val="en-US" w:eastAsia="zh-CN"/>
        </w:rPr>
        <w:t>井下用水点洒水除尘用水量标准及使用时间如下：</w:t>
      </w:r>
    </w:p>
    <w:p w14:paraId="0AD27F73">
      <w:pPr>
        <w:rPr>
          <w:rFonts w:hint="eastAsia"/>
          <w:color w:val="auto"/>
          <w:lang w:val="en-US" w:eastAsia="zh-CN"/>
        </w:rPr>
      </w:pPr>
      <w:r>
        <w:rPr>
          <w:rFonts w:hint="eastAsia"/>
          <w:color w:val="auto"/>
          <w:lang w:val="en-US" w:eastAsia="zh-CN"/>
        </w:rPr>
        <w:t>凿岩机：5L/min台，日工作时间：16h</w:t>
      </w:r>
    </w:p>
    <w:p w14:paraId="1121D32E">
      <w:pPr>
        <w:rPr>
          <w:rFonts w:hint="eastAsia"/>
          <w:color w:val="auto"/>
          <w:lang w:val="en-US" w:eastAsia="zh-CN"/>
        </w:rPr>
      </w:pPr>
      <w:r>
        <w:rPr>
          <w:rFonts w:hint="eastAsia"/>
          <w:color w:val="auto"/>
          <w:lang w:val="en-US" w:eastAsia="zh-CN"/>
        </w:rPr>
        <w:t>井下冲洗巷道给水栓：20L/min，日工作时间：3h</w:t>
      </w:r>
    </w:p>
    <w:p w14:paraId="59962D92">
      <w:pPr>
        <w:rPr>
          <w:rFonts w:hint="eastAsia"/>
          <w:color w:val="auto"/>
          <w:lang w:val="en-US" w:eastAsia="zh-CN"/>
        </w:rPr>
      </w:pPr>
      <w:r>
        <w:rPr>
          <w:rFonts w:hint="eastAsia"/>
          <w:color w:val="auto"/>
          <w:lang w:val="en-US" w:eastAsia="zh-CN"/>
        </w:rPr>
        <w:t>井下洒水日用水量：</w:t>
      </w:r>
    </w:p>
    <w:p w14:paraId="103BCD6A">
      <w:pPr>
        <w:rPr>
          <w:rFonts w:hint="eastAsia"/>
          <w:color w:val="auto"/>
          <w:lang w:val="en-US" w:eastAsia="zh-CN"/>
        </w:rPr>
      </w:pPr>
      <w:r>
        <w:rPr>
          <w:rFonts w:hint="eastAsia"/>
          <w:color w:val="auto"/>
          <w:lang w:val="en-US" w:eastAsia="zh-CN"/>
        </w:rPr>
        <w:t>Q</w:t>
      </w:r>
      <w:r>
        <w:rPr>
          <w:rFonts w:hint="eastAsia"/>
          <w:color w:val="auto"/>
          <w:vertAlign w:val="subscript"/>
          <w:lang w:val="en-US" w:eastAsia="zh-CN"/>
        </w:rPr>
        <w:t>d</w:t>
      </w:r>
      <w:r>
        <w:rPr>
          <w:rFonts w:hint="eastAsia"/>
          <w:color w:val="auto"/>
          <w:lang w:val="en-US" w:eastAsia="zh-CN"/>
        </w:rPr>
        <w:t>=1.25×0.06×（5×10×18+20×20×3）</w:t>
      </w:r>
    </w:p>
    <w:p w14:paraId="4969E746">
      <w:pPr>
        <w:ind w:firstLine="840" w:firstLineChars="300"/>
        <w:rPr>
          <w:rFonts w:hint="default"/>
          <w:color w:val="auto"/>
          <w:lang w:val="en-US" w:eastAsia="zh-CN"/>
        </w:rPr>
      </w:pPr>
      <w:r>
        <w:rPr>
          <w:rFonts w:hint="eastAsia"/>
          <w:color w:val="auto"/>
          <w:lang w:val="en-US" w:eastAsia="zh-CN"/>
        </w:rPr>
        <w:t>=157.5m</w:t>
      </w:r>
      <w:r>
        <w:rPr>
          <w:rFonts w:hint="eastAsia"/>
          <w:color w:val="auto"/>
          <w:vertAlign w:val="superscript"/>
          <w:lang w:val="en-US" w:eastAsia="zh-CN"/>
        </w:rPr>
        <w:t>3</w:t>
      </w:r>
      <w:r>
        <w:rPr>
          <w:rFonts w:hint="eastAsia"/>
          <w:color w:val="auto"/>
          <w:lang w:val="en-US" w:eastAsia="zh-CN"/>
        </w:rPr>
        <w:t>/d</w:t>
      </w:r>
    </w:p>
    <w:p w14:paraId="3FBE35D6">
      <w:pPr>
        <w:rPr>
          <w:rFonts w:hint="eastAsia"/>
          <w:color w:val="auto"/>
          <w:lang w:val="en-US" w:eastAsia="zh-CN"/>
        </w:rPr>
      </w:pPr>
      <w:r>
        <w:rPr>
          <w:rFonts w:hint="eastAsia"/>
          <w:color w:val="auto"/>
          <w:lang w:val="en-US" w:eastAsia="zh-CN"/>
        </w:rPr>
        <w:t>（2）消防给水系统</w:t>
      </w:r>
    </w:p>
    <w:p w14:paraId="10F36540">
      <w:pPr>
        <w:rPr>
          <w:rFonts w:hint="eastAsia"/>
          <w:color w:val="auto"/>
          <w:lang w:val="en-US" w:eastAsia="zh-CN"/>
        </w:rPr>
      </w:pPr>
      <w:r>
        <w:rPr>
          <w:rFonts w:hint="eastAsia"/>
          <w:color w:val="auto"/>
          <w:lang w:val="en-US" w:eastAsia="zh-CN"/>
        </w:rPr>
        <w:t>工业场地消防给水采用常高压制消防给水系统，消防水量为15L/s，火灾延续时间为3h，一次灭火用水量为162m</w:t>
      </w:r>
      <w:r>
        <w:rPr>
          <w:rFonts w:hint="eastAsia"/>
          <w:color w:val="auto"/>
          <w:vertAlign w:val="superscript"/>
          <w:lang w:val="en-US" w:eastAsia="zh-CN"/>
        </w:rPr>
        <w:t>3</w:t>
      </w:r>
      <w:r>
        <w:rPr>
          <w:rFonts w:hint="eastAsia"/>
          <w:color w:val="auto"/>
          <w:lang w:val="en-US" w:eastAsia="zh-CN"/>
        </w:rPr>
        <w:t>。室外消防管路和生活管路接自高位水池，室外消防管路与生活管路尽可能形成环状。沿室外道路每隔100～120m设置一个SS100型地上式室外消火栓。</w:t>
      </w:r>
    </w:p>
    <w:p w14:paraId="79844FAD">
      <w:pPr>
        <w:rPr>
          <w:rFonts w:hint="eastAsia"/>
          <w:color w:val="auto"/>
          <w:lang w:val="en-US" w:eastAsia="zh-CN"/>
        </w:rPr>
      </w:pPr>
      <w:r>
        <w:rPr>
          <w:rFonts w:hint="eastAsia"/>
          <w:color w:val="auto"/>
          <w:lang w:val="en-US" w:eastAsia="zh-CN"/>
        </w:rPr>
        <w:t>矿井井下消防、洒水利用井上、井下地形高差，采用消防与洒水合一的静压给水系统。消防洒水主干管D108×5由地面高位水池沿副斜井、中段运输巷、回风巷等敷设至井下。管网布置尽量使管道中水的流向与巷道中的风向一致。管网中支管起点附近位置设控制阀门，干管及支管直线段每隔一段距离设一检修阀。系统压力控制在小于1.6MPa，消防栓栓口水压不应低于0.35MPa，也不应高于1.0MPa；从静压高于1.0MPa的干管直接连接给水栓，消火栓宜采取减压阀减压，从静压不高于1.0MPa的干管直接连接给水栓，消火栓宜采取孔板减压，减压后的压力不超过0.5MPa。</w:t>
      </w:r>
    </w:p>
    <w:p w14:paraId="0756C7E9">
      <w:pPr>
        <w:rPr>
          <w:rFonts w:hint="eastAsia"/>
          <w:color w:val="auto"/>
          <w:lang w:val="en-US" w:eastAsia="zh-CN"/>
        </w:rPr>
      </w:pPr>
      <w:r>
        <w:rPr>
          <w:rFonts w:hint="eastAsia"/>
          <w:color w:val="auto"/>
          <w:lang w:val="en-US" w:eastAsia="zh-CN"/>
        </w:rPr>
        <w:t>（3）井下消防洒水装置布置</w:t>
      </w:r>
    </w:p>
    <w:p w14:paraId="3981590A">
      <w:pPr>
        <w:rPr>
          <w:rFonts w:hint="eastAsia"/>
          <w:color w:val="auto"/>
          <w:lang w:val="en-US" w:eastAsia="zh-CN"/>
        </w:rPr>
      </w:pPr>
      <w:r>
        <w:rPr>
          <w:rFonts w:hint="eastAsia"/>
          <w:color w:val="auto"/>
          <w:lang w:val="en-US" w:eastAsia="zh-CN"/>
        </w:rPr>
        <w:t>按照《金属非金属矿山安全规程》（GB16423-2020）在重要保护区域及井下交通枢纽，如井底车场硐室、主要运输巷道、掘进巷道入口每隔50～100m防火保护距离设置SN50型或SNSS50型消火栓，以保证有一股水柱灭火。在设有供水管道的各条大巷、生产中段，每隔50～100m设置一个DN25供水接口，或在消火栓处配置给水栓异径接头（DN50×25），使消火栓平时可具有给水栓功能。所有矿井采区避灾线路上应敷设供水管路，所有采掘工作面和其他人员较集中的地点、井下各作业地点及采区避灾路线上及避难硐室（场所）处应设置供水管路及供水阀门，保证各采掘作业地点在灾变期间能够实现提供应急供水的要求。在井下采掘工作面设置喷嘴、喷雾防尘装置。</w:t>
      </w:r>
    </w:p>
    <w:p w14:paraId="324873C3">
      <w:pPr>
        <w:rPr>
          <w:rFonts w:hint="eastAsia"/>
          <w:color w:val="auto"/>
          <w:lang w:val="en-US" w:eastAsia="zh-CN"/>
        </w:rPr>
      </w:pPr>
      <w:r>
        <w:rPr>
          <w:rFonts w:hint="eastAsia"/>
          <w:color w:val="auto"/>
          <w:lang w:val="en-US" w:eastAsia="zh-CN"/>
        </w:rPr>
        <w:t>（4）管径选择及管道敷设</w:t>
      </w:r>
    </w:p>
    <w:p w14:paraId="4C4D66D9">
      <w:pPr>
        <w:rPr>
          <w:rFonts w:hint="eastAsia"/>
          <w:color w:val="auto"/>
          <w:lang w:val="en-US" w:eastAsia="zh-CN"/>
        </w:rPr>
      </w:pPr>
      <w:r>
        <w:rPr>
          <w:rFonts w:hint="eastAsia"/>
          <w:color w:val="auto"/>
          <w:lang w:val="en-US" w:eastAsia="zh-CN"/>
        </w:rPr>
        <w:t>根据系统压力，最大静水压力大于1.6MPa的管段采用无缝钢管，计算水压小于或等于1.6MPa的管段采用镀锌钢管或无缝钢管。选择的管道阀门及管件压力大于管道计算水压，管道连接采用沟槽式管道接头，阀门处采用法兰连接。管道敷设在斜井中，每隔4～7m设斜管支墩或滑动支架，并用管卡固定。每隔100m左右设一固定支架。水平管根据管径规格每隔4～6m设滑动支架，每隔100m左右设一固定支架。水平管和斜管两个固定支架间设一个管道伸缩器。管道及支架均采取防腐处理，管内径根据管段内消防及洒水用水秒流量，取经济流速按下式计算：</w:t>
      </w:r>
    </w:p>
    <w:p w14:paraId="62A9353F">
      <w:pPr>
        <w:ind w:left="0" w:leftChars="0" w:firstLine="0" w:firstLineChars="0"/>
        <w:jc w:val="center"/>
        <w:rPr>
          <w:rFonts w:hint="eastAsia"/>
          <w:color w:val="auto"/>
          <w:lang w:val="en-US" w:eastAsia="zh-CN"/>
        </w:rPr>
      </w:pPr>
      <w:r>
        <w:rPr>
          <w:color w:val="auto"/>
          <w:position w:val="-13"/>
        </w:rPr>
        <w:drawing>
          <wp:inline distT="0" distB="0" distL="0" distR="0">
            <wp:extent cx="1022985" cy="415925"/>
            <wp:effectExtent l="0" t="0" r="5715" b="3175"/>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12"/>
                    <a:stretch>
                      <a:fillRect/>
                    </a:stretch>
                  </pic:blipFill>
                  <pic:spPr>
                    <a:xfrm>
                      <a:off x="0" y="0"/>
                      <a:ext cx="1023544" cy="416413"/>
                    </a:xfrm>
                    <a:prstGeom prst="rect">
                      <a:avLst/>
                    </a:prstGeom>
                  </pic:spPr>
                </pic:pic>
              </a:graphicData>
            </a:graphic>
          </wp:inline>
        </w:drawing>
      </w:r>
    </w:p>
    <w:p w14:paraId="58E20EAA">
      <w:pPr>
        <w:rPr>
          <w:rFonts w:hint="eastAsia"/>
          <w:color w:val="auto"/>
          <w:sz w:val="24"/>
          <w:szCs w:val="24"/>
          <w:lang w:val="en-US" w:eastAsia="zh-CN"/>
        </w:rPr>
      </w:pPr>
      <w:r>
        <w:rPr>
          <w:rFonts w:hint="eastAsia"/>
          <w:color w:val="auto"/>
          <w:sz w:val="24"/>
          <w:szCs w:val="24"/>
          <w:lang w:val="en-US" w:eastAsia="zh-CN"/>
        </w:rPr>
        <w:t>式中：D—管道内径（m）</w:t>
      </w:r>
    </w:p>
    <w:p w14:paraId="0A279573">
      <w:pPr>
        <w:ind w:firstLine="1200" w:firstLineChars="500"/>
        <w:rPr>
          <w:rFonts w:hint="eastAsia"/>
          <w:color w:val="auto"/>
          <w:sz w:val="24"/>
          <w:szCs w:val="24"/>
          <w:lang w:val="en-US" w:eastAsia="zh-CN"/>
        </w:rPr>
      </w:pPr>
      <w:r>
        <w:rPr>
          <w:rFonts w:hint="eastAsia"/>
          <w:color w:val="auto"/>
          <w:sz w:val="24"/>
          <w:szCs w:val="24"/>
          <w:lang w:val="en-US" w:eastAsia="zh-CN"/>
        </w:rPr>
        <w:t>Q—流量（m</w:t>
      </w:r>
      <w:r>
        <w:rPr>
          <w:rFonts w:hint="eastAsia"/>
          <w:color w:val="auto"/>
          <w:sz w:val="24"/>
          <w:szCs w:val="24"/>
          <w:vertAlign w:val="superscript"/>
          <w:lang w:val="en-US" w:eastAsia="zh-CN"/>
        </w:rPr>
        <w:t>3</w:t>
      </w:r>
      <w:r>
        <w:rPr>
          <w:rFonts w:hint="eastAsia"/>
          <w:color w:val="auto"/>
          <w:sz w:val="24"/>
          <w:szCs w:val="24"/>
          <w:lang w:val="en-US" w:eastAsia="zh-CN"/>
        </w:rPr>
        <w:t>/h）</w:t>
      </w:r>
    </w:p>
    <w:p w14:paraId="2047CF2E">
      <w:pPr>
        <w:ind w:firstLine="1200" w:firstLineChars="500"/>
        <w:rPr>
          <w:rFonts w:hint="eastAsia"/>
          <w:color w:val="auto"/>
          <w:sz w:val="24"/>
          <w:szCs w:val="24"/>
          <w:lang w:val="en-US" w:eastAsia="zh-CN"/>
        </w:rPr>
      </w:pPr>
      <w:r>
        <w:rPr>
          <w:rFonts w:hint="eastAsia"/>
          <w:color w:val="auto"/>
          <w:sz w:val="24"/>
          <w:szCs w:val="24"/>
          <w:lang w:val="en-US" w:eastAsia="zh-CN"/>
        </w:rPr>
        <w:t>VP—经济流速（1.5m/s～2.2m/s）</w:t>
      </w:r>
    </w:p>
    <w:p w14:paraId="154D9A40">
      <w:pPr>
        <w:rPr>
          <w:rFonts w:hint="eastAsia"/>
          <w:color w:val="auto"/>
          <w:lang w:val="en-US" w:eastAsia="zh-CN"/>
        </w:rPr>
      </w:pPr>
      <w:r>
        <w:rPr>
          <w:rFonts w:hint="eastAsia"/>
          <w:color w:val="auto"/>
          <w:lang w:val="en-US" w:eastAsia="zh-CN"/>
        </w:rPr>
        <w:t>钢管壁厚按下式确定：</w:t>
      </w:r>
    </w:p>
    <w:p w14:paraId="4F7515CC">
      <w:pPr>
        <w:ind w:left="0" w:leftChars="0" w:firstLine="0" w:firstLineChars="0"/>
        <w:jc w:val="center"/>
        <w:rPr>
          <w:rFonts w:hint="default"/>
          <w:color w:val="auto"/>
          <w:lang w:val="en-US" w:eastAsia="zh-CN"/>
        </w:rPr>
      </w:pPr>
      <w:r>
        <w:rPr>
          <w:color w:val="auto"/>
          <w:position w:val="-11"/>
        </w:rPr>
        <w:drawing>
          <wp:inline distT="0" distB="0" distL="0" distR="0">
            <wp:extent cx="903605" cy="352425"/>
            <wp:effectExtent l="0" t="0" r="10795" b="9525"/>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13"/>
                    <a:stretch>
                      <a:fillRect/>
                    </a:stretch>
                  </pic:blipFill>
                  <pic:spPr>
                    <a:xfrm>
                      <a:off x="0" y="0"/>
                      <a:ext cx="903733" cy="353026"/>
                    </a:xfrm>
                    <a:prstGeom prst="rect">
                      <a:avLst/>
                    </a:prstGeom>
                  </pic:spPr>
                </pic:pic>
              </a:graphicData>
            </a:graphic>
          </wp:inline>
        </w:drawing>
      </w:r>
    </w:p>
    <w:p w14:paraId="080580FE">
      <w:pPr>
        <w:rPr>
          <w:rFonts w:hint="eastAsia"/>
          <w:color w:val="auto"/>
          <w:sz w:val="24"/>
          <w:szCs w:val="24"/>
          <w:lang w:val="en-US" w:eastAsia="zh-CN"/>
        </w:rPr>
      </w:pPr>
      <w:r>
        <w:rPr>
          <w:rFonts w:hint="eastAsia"/>
          <w:color w:val="auto"/>
          <w:sz w:val="24"/>
          <w:szCs w:val="24"/>
          <w:lang w:val="en-US" w:eastAsia="zh-CN"/>
        </w:rPr>
        <w:t>式中：δ—计算壁厚（mm）</w:t>
      </w:r>
    </w:p>
    <w:p w14:paraId="6058EBB9">
      <w:pPr>
        <w:ind w:firstLine="1200" w:firstLineChars="500"/>
        <w:rPr>
          <w:rFonts w:hint="eastAsia"/>
          <w:color w:val="auto"/>
          <w:sz w:val="24"/>
          <w:szCs w:val="24"/>
          <w:lang w:val="en-US" w:eastAsia="zh-CN"/>
        </w:rPr>
      </w:pPr>
      <w:r>
        <w:rPr>
          <w:rFonts w:hint="eastAsia"/>
          <w:color w:val="auto"/>
          <w:sz w:val="24"/>
          <w:szCs w:val="24"/>
          <w:lang w:val="en-US" w:eastAsia="zh-CN"/>
        </w:rPr>
        <w:t>P—最大计算水压（MPa）</w:t>
      </w:r>
    </w:p>
    <w:p w14:paraId="0127481F">
      <w:pPr>
        <w:ind w:firstLine="1200" w:firstLineChars="500"/>
        <w:rPr>
          <w:rFonts w:hint="eastAsia"/>
          <w:color w:val="auto"/>
          <w:sz w:val="24"/>
          <w:szCs w:val="24"/>
          <w:lang w:val="en-US" w:eastAsia="zh-CN"/>
        </w:rPr>
      </w:pPr>
      <w:r>
        <w:rPr>
          <w:rFonts w:hint="eastAsia"/>
          <w:color w:val="auto"/>
          <w:sz w:val="24"/>
          <w:szCs w:val="24"/>
          <w:lang w:val="en-US" w:eastAsia="zh-CN"/>
        </w:rPr>
        <w:t>d—管道内径（mm）</w:t>
      </w:r>
    </w:p>
    <w:p w14:paraId="56477D28">
      <w:pPr>
        <w:ind w:firstLine="1200" w:firstLineChars="500"/>
        <w:rPr>
          <w:rFonts w:hint="eastAsia"/>
          <w:color w:val="auto"/>
          <w:sz w:val="24"/>
          <w:szCs w:val="24"/>
          <w:lang w:val="en-US" w:eastAsia="zh-CN"/>
        </w:rPr>
      </w:pPr>
      <w:r>
        <w:rPr>
          <w:rFonts w:hint="eastAsia"/>
          <w:color w:val="auto"/>
          <w:sz w:val="24"/>
          <w:szCs w:val="24"/>
          <w:lang w:val="en-US" w:eastAsia="zh-CN"/>
        </w:rPr>
        <w:t>[δ]—钢的最大允许应力（MPa），取133</w:t>
      </w:r>
    </w:p>
    <w:p w14:paraId="272E0D23">
      <w:pPr>
        <w:ind w:firstLine="1200" w:firstLineChars="500"/>
        <w:rPr>
          <w:rFonts w:hint="eastAsia"/>
          <w:color w:val="auto"/>
          <w:sz w:val="24"/>
          <w:szCs w:val="24"/>
          <w:lang w:val="en-US" w:eastAsia="zh-CN"/>
        </w:rPr>
      </w:pPr>
      <w:r>
        <w:rPr>
          <w:rFonts w:hint="eastAsia"/>
          <w:color w:val="auto"/>
          <w:sz w:val="24"/>
          <w:szCs w:val="24"/>
          <w:lang w:val="en-US" w:eastAsia="zh-CN"/>
        </w:rPr>
        <w:t>φ—焊缝系数，取1.0</w:t>
      </w:r>
    </w:p>
    <w:p w14:paraId="5C5E2E16">
      <w:pPr>
        <w:rPr>
          <w:rFonts w:hint="default"/>
          <w:color w:val="auto"/>
          <w:lang w:val="en-US" w:eastAsia="zh-CN"/>
        </w:rPr>
      </w:pPr>
      <w:r>
        <w:rPr>
          <w:rFonts w:hint="default"/>
          <w:color w:val="auto"/>
          <w:lang w:val="en-US" w:eastAsia="zh-CN"/>
        </w:rPr>
        <w:t>按照井下各段管路消防、洒水计算秒流量及压力，采用无缝钢管，经计算各段管路管径及壁厚见表</w:t>
      </w:r>
      <w:r>
        <w:rPr>
          <w:rFonts w:hint="eastAsia"/>
          <w:color w:val="auto"/>
          <w:lang w:val="en-US" w:eastAsia="zh-CN"/>
        </w:rPr>
        <w:t>2.4-10</w:t>
      </w:r>
      <w:r>
        <w:rPr>
          <w:rFonts w:hint="default"/>
          <w:color w:val="auto"/>
          <w:lang w:val="en-US" w:eastAsia="zh-CN"/>
        </w:rPr>
        <w:t>。</w:t>
      </w:r>
    </w:p>
    <w:p w14:paraId="563EBE91">
      <w:pPr>
        <w:ind w:left="0" w:leftChars="0" w:firstLine="0" w:firstLineChars="0"/>
        <w:jc w:val="center"/>
        <w:rPr>
          <w:rFonts w:hint="default"/>
          <w:color w:val="auto"/>
          <w:lang w:val="en-US" w:eastAsia="zh-CN"/>
        </w:rPr>
      </w:pPr>
      <w:r>
        <w:rPr>
          <w:rFonts w:hint="default"/>
          <w:color w:val="auto"/>
          <w:lang w:val="en-US" w:eastAsia="zh-CN"/>
        </w:rPr>
        <w:t>表</w:t>
      </w:r>
      <w:r>
        <w:rPr>
          <w:rFonts w:hint="eastAsia"/>
          <w:color w:val="auto"/>
          <w:lang w:val="en-US" w:eastAsia="zh-CN"/>
        </w:rPr>
        <w:t xml:space="preserve">2.4-10 </w:t>
      </w:r>
      <w:r>
        <w:rPr>
          <w:rFonts w:hint="default"/>
          <w:color w:val="auto"/>
          <w:lang w:val="en-US" w:eastAsia="zh-CN"/>
        </w:rPr>
        <w:t>井下消防洒水管路计算结果一览表</w:t>
      </w:r>
    </w:p>
    <w:tbl>
      <w:tblPr>
        <w:tblStyle w:val="36"/>
        <w:tblW w:w="9285" w:type="dxa"/>
        <w:tblInd w:w="1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81"/>
        <w:gridCol w:w="2579"/>
        <w:gridCol w:w="2425"/>
      </w:tblGrid>
      <w:tr w14:paraId="13EB5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4281" w:type="dxa"/>
            <w:tcBorders>
              <w:top w:val="single" w:color="000000" w:sz="12" w:space="0"/>
              <w:left w:val="single" w:color="000000" w:sz="12" w:space="0"/>
            </w:tcBorders>
            <w:vAlign w:val="center"/>
          </w:tcPr>
          <w:p w14:paraId="350B7C4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主要巷道名称</w:t>
            </w:r>
          </w:p>
        </w:tc>
        <w:tc>
          <w:tcPr>
            <w:tcW w:w="2579" w:type="dxa"/>
            <w:tcBorders>
              <w:top w:val="single" w:color="000000" w:sz="12" w:space="0"/>
            </w:tcBorders>
            <w:vAlign w:val="center"/>
          </w:tcPr>
          <w:p w14:paraId="7CFAB06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流量（L/s）</w:t>
            </w:r>
          </w:p>
        </w:tc>
        <w:tc>
          <w:tcPr>
            <w:tcW w:w="2425" w:type="dxa"/>
            <w:tcBorders>
              <w:top w:val="single" w:color="000000" w:sz="12" w:space="0"/>
              <w:right w:val="single" w:color="000000" w:sz="12" w:space="0"/>
            </w:tcBorders>
            <w:vAlign w:val="center"/>
          </w:tcPr>
          <w:p w14:paraId="0CB57AF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管道规格</w:t>
            </w:r>
          </w:p>
        </w:tc>
      </w:tr>
      <w:tr w14:paraId="4829D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 w:hRule="atLeast"/>
        </w:trPr>
        <w:tc>
          <w:tcPr>
            <w:tcW w:w="4281" w:type="dxa"/>
            <w:tcBorders>
              <w:left w:val="single" w:color="000000" w:sz="12" w:space="0"/>
            </w:tcBorders>
            <w:vAlign w:val="center"/>
          </w:tcPr>
          <w:p w14:paraId="47A6118E">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副斜井、中段运输巷</w:t>
            </w:r>
          </w:p>
        </w:tc>
        <w:tc>
          <w:tcPr>
            <w:tcW w:w="2579" w:type="dxa"/>
            <w:vAlign w:val="center"/>
          </w:tcPr>
          <w:p w14:paraId="09C56989">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6.8～7.2</w:t>
            </w:r>
          </w:p>
        </w:tc>
        <w:tc>
          <w:tcPr>
            <w:tcW w:w="2425" w:type="dxa"/>
            <w:tcBorders>
              <w:right w:val="single" w:color="000000" w:sz="12" w:space="0"/>
            </w:tcBorders>
            <w:vAlign w:val="center"/>
          </w:tcPr>
          <w:p w14:paraId="79315AA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D108×5</w:t>
            </w:r>
          </w:p>
        </w:tc>
      </w:tr>
      <w:tr w14:paraId="4F770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281" w:type="dxa"/>
            <w:tcBorders>
              <w:left w:val="single" w:color="000000" w:sz="12" w:space="0"/>
              <w:bottom w:val="single" w:color="000000" w:sz="12" w:space="0"/>
            </w:tcBorders>
            <w:vAlign w:val="center"/>
          </w:tcPr>
          <w:p w14:paraId="326FBA0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采掘工作面</w:t>
            </w:r>
          </w:p>
        </w:tc>
        <w:tc>
          <w:tcPr>
            <w:tcW w:w="2579" w:type="dxa"/>
            <w:tcBorders>
              <w:bottom w:val="single" w:color="000000" w:sz="12" w:space="0"/>
            </w:tcBorders>
            <w:vAlign w:val="center"/>
          </w:tcPr>
          <w:p w14:paraId="79786CA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6.8～7.1</w:t>
            </w:r>
          </w:p>
        </w:tc>
        <w:tc>
          <w:tcPr>
            <w:tcW w:w="2425" w:type="dxa"/>
            <w:tcBorders>
              <w:bottom w:val="single" w:color="000000" w:sz="12" w:space="0"/>
              <w:right w:val="single" w:color="000000" w:sz="12" w:space="0"/>
            </w:tcBorders>
            <w:vAlign w:val="center"/>
          </w:tcPr>
          <w:p w14:paraId="13093FC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D89×4.5</w:t>
            </w:r>
          </w:p>
        </w:tc>
      </w:tr>
    </w:tbl>
    <w:p w14:paraId="37A65053">
      <w:pPr>
        <w:pStyle w:val="4"/>
        <w:bidi w:val="0"/>
        <w:rPr>
          <w:rFonts w:hint="default"/>
          <w:color w:val="auto"/>
          <w:lang w:val="en-US" w:eastAsia="zh-CN"/>
        </w:rPr>
      </w:pPr>
      <w:bookmarkStart w:id="195" w:name="_Toc7939"/>
      <w:bookmarkStart w:id="196" w:name="_Toc11515"/>
      <w:bookmarkStart w:id="197" w:name="_Toc96"/>
      <w:bookmarkStart w:id="198" w:name="_Toc6229"/>
      <w:r>
        <w:rPr>
          <w:rFonts w:hint="default"/>
          <w:color w:val="auto"/>
          <w:lang w:val="en-US" w:eastAsia="zh-CN"/>
        </w:rPr>
        <w:t>2.4.10</w:t>
      </w:r>
      <w:r>
        <w:rPr>
          <w:rFonts w:hint="eastAsia"/>
          <w:color w:val="auto"/>
          <w:lang w:val="en-US" w:eastAsia="zh-CN"/>
        </w:rPr>
        <w:t xml:space="preserve"> </w:t>
      </w:r>
      <w:r>
        <w:rPr>
          <w:rFonts w:hint="default"/>
          <w:color w:val="auto"/>
          <w:lang w:val="en-US" w:eastAsia="zh-CN"/>
        </w:rPr>
        <w:t>废石场</w:t>
      </w:r>
      <w:bookmarkEnd w:id="195"/>
      <w:bookmarkEnd w:id="196"/>
      <w:bookmarkEnd w:id="197"/>
      <w:bookmarkEnd w:id="198"/>
    </w:p>
    <w:p w14:paraId="2E68E3DD">
      <w:pPr>
        <w:rPr>
          <w:rFonts w:hint="default"/>
          <w:color w:val="auto"/>
          <w:lang w:val="en-US" w:eastAsia="zh-CN"/>
        </w:rPr>
      </w:pPr>
      <w:r>
        <w:rPr>
          <w:rFonts w:hint="default"/>
          <w:color w:val="auto"/>
          <w:lang w:val="en-US" w:eastAsia="zh-CN"/>
        </w:rPr>
        <w:t>矿山废石大部分用于采空区充填、矿区道路修筑、工业场地的修建以及供当地民用建房使用，多余废石堆放在废石场</w:t>
      </w:r>
      <w:r>
        <w:rPr>
          <w:rFonts w:hint="eastAsia"/>
          <w:color w:val="auto"/>
          <w:lang w:val="en-US" w:eastAsia="zh-CN"/>
        </w:rPr>
        <w:t>。</w:t>
      </w:r>
      <w:r>
        <w:rPr>
          <w:rFonts w:hint="default"/>
          <w:color w:val="auto"/>
          <w:lang w:val="en-US" w:eastAsia="zh-CN"/>
        </w:rPr>
        <w:t>废石场布置于北风井井口附近的山间小盆地，最近处离井口约30m左右。</w:t>
      </w:r>
      <w:r>
        <w:rPr>
          <w:rFonts w:hint="eastAsia" w:eastAsia="宋体"/>
          <w:color w:val="auto"/>
          <w:lang w:val="en-US" w:eastAsia="zh-CN"/>
        </w:rPr>
        <w:t>北风井</w:t>
      </w:r>
      <w:r>
        <w:rPr>
          <w:rFonts w:hint="default"/>
          <w:color w:val="auto"/>
          <w:lang w:val="en-US" w:eastAsia="zh-CN"/>
        </w:rPr>
        <w:t>井口废石场下游设置了约2.5m高、12m长的挡墙。</w:t>
      </w:r>
      <w:r>
        <w:rPr>
          <w:rFonts w:hint="eastAsia"/>
          <w:color w:val="auto"/>
          <w:lang w:val="en-US" w:eastAsia="zh-CN"/>
        </w:rPr>
        <w:t>目前废石场基本无废石堆置，后续矿山采用充填法充填采空区，无多余废石，故本次取消废石场。</w:t>
      </w:r>
    </w:p>
    <w:p w14:paraId="74B21CD0">
      <w:pPr>
        <w:rPr>
          <w:rFonts w:hint="default"/>
          <w:color w:val="auto"/>
          <w:lang w:val="en-US" w:eastAsia="zh-CN"/>
        </w:rPr>
      </w:pPr>
      <w:r>
        <w:rPr>
          <w:rFonts w:hint="eastAsia"/>
          <w:color w:val="auto"/>
          <w:lang w:val="en-US" w:eastAsia="zh-CN"/>
        </w:rPr>
        <w:t>目前</w:t>
      </w:r>
      <w:r>
        <w:rPr>
          <w:rFonts w:hint="default"/>
          <w:color w:val="auto"/>
          <w:lang w:val="en-US" w:eastAsia="zh-CN"/>
        </w:rPr>
        <w:t>废石场下游无民房、工棚等人员生活、活动设施。</w:t>
      </w:r>
    </w:p>
    <w:p w14:paraId="43C1B027">
      <w:pPr>
        <w:pStyle w:val="4"/>
        <w:bidi w:val="0"/>
        <w:rPr>
          <w:rFonts w:hint="default"/>
          <w:color w:val="auto"/>
          <w:lang w:val="en-US" w:eastAsia="zh-CN"/>
        </w:rPr>
      </w:pPr>
      <w:bookmarkStart w:id="199" w:name="_Toc30845"/>
      <w:bookmarkStart w:id="200" w:name="_Toc30366"/>
      <w:bookmarkStart w:id="201" w:name="_Toc31992"/>
      <w:bookmarkStart w:id="202" w:name="_Toc18909"/>
      <w:r>
        <w:rPr>
          <w:rFonts w:hint="eastAsia"/>
          <w:color w:val="auto"/>
          <w:lang w:val="en-US" w:eastAsia="zh-CN"/>
        </w:rPr>
        <w:t xml:space="preserve">2.4.11 </w:t>
      </w:r>
      <w:r>
        <w:rPr>
          <w:rFonts w:hint="default"/>
          <w:color w:val="auto"/>
          <w:lang w:val="en-US" w:eastAsia="zh-CN"/>
        </w:rPr>
        <w:t>矿山机修</w:t>
      </w:r>
      <w:bookmarkEnd w:id="199"/>
      <w:bookmarkEnd w:id="200"/>
      <w:bookmarkEnd w:id="201"/>
      <w:bookmarkEnd w:id="202"/>
    </w:p>
    <w:p w14:paraId="439C82DF">
      <w:pPr>
        <w:rPr>
          <w:rFonts w:hint="default"/>
          <w:color w:val="auto"/>
          <w:lang w:val="en-US" w:eastAsia="zh-CN"/>
        </w:rPr>
      </w:pPr>
      <w:r>
        <w:rPr>
          <w:rFonts w:hint="default"/>
          <w:color w:val="auto"/>
          <w:lang w:val="en-US" w:eastAsia="zh-CN"/>
        </w:rPr>
        <w:t>矿山有简易机修间，基本满足矿区生产需要</w:t>
      </w:r>
      <w:r>
        <w:rPr>
          <w:rFonts w:hint="eastAsia"/>
          <w:color w:val="auto"/>
          <w:lang w:val="en-US" w:eastAsia="zh-CN"/>
        </w:rPr>
        <w:t>，位于主斜坡道附近</w:t>
      </w:r>
      <w:r>
        <w:rPr>
          <w:rFonts w:hint="default"/>
          <w:color w:val="auto"/>
          <w:lang w:val="en-US" w:eastAsia="zh-CN"/>
        </w:rPr>
        <w:t>。</w:t>
      </w:r>
    </w:p>
    <w:p w14:paraId="1950A127">
      <w:pPr>
        <w:pStyle w:val="4"/>
        <w:bidi w:val="0"/>
        <w:rPr>
          <w:rFonts w:hint="eastAsia"/>
          <w:color w:val="auto"/>
          <w:lang w:val="en-US" w:eastAsia="zh-CN"/>
        </w:rPr>
      </w:pPr>
      <w:bookmarkStart w:id="203" w:name="_Toc686"/>
      <w:bookmarkStart w:id="204" w:name="_Toc23851"/>
      <w:bookmarkStart w:id="205" w:name="_Toc587"/>
      <w:bookmarkStart w:id="206" w:name="_Toc31953"/>
      <w:r>
        <w:rPr>
          <w:rFonts w:hint="eastAsia"/>
          <w:color w:val="auto"/>
          <w:lang w:val="en-US" w:eastAsia="zh-CN"/>
        </w:rPr>
        <w:t>2.4.12 炸药库</w:t>
      </w:r>
      <w:bookmarkEnd w:id="203"/>
      <w:bookmarkEnd w:id="204"/>
      <w:bookmarkEnd w:id="205"/>
      <w:bookmarkEnd w:id="206"/>
    </w:p>
    <w:p w14:paraId="7AFF295D">
      <w:pPr>
        <w:rPr>
          <w:rFonts w:hint="default"/>
          <w:color w:val="auto"/>
          <w:lang w:val="en-US" w:eastAsia="zh-CN"/>
        </w:rPr>
      </w:pPr>
      <w:r>
        <w:rPr>
          <w:rFonts w:hint="default"/>
          <w:color w:val="auto"/>
          <w:lang w:val="en-US" w:eastAsia="zh-CN"/>
        </w:rPr>
        <w:t>现有炸药库布置在北风井井口的西南方向且无任何建筑物的另一座山的</w:t>
      </w:r>
      <w:r>
        <w:rPr>
          <w:rFonts w:hint="eastAsia"/>
          <w:color w:val="auto"/>
          <w:lang w:val="en-US" w:eastAsia="zh-CN"/>
        </w:rPr>
        <w:t>山坳</w:t>
      </w:r>
      <w:r>
        <w:rPr>
          <w:rFonts w:hint="default"/>
          <w:color w:val="auto"/>
          <w:lang w:val="en-US" w:eastAsia="zh-CN"/>
        </w:rPr>
        <w:t>内，与北风井井口隔一废石场，距北风井井口的直线距离约200m，北风井井口所在山的背面居住有少于50户的居民。居民区与炸药库之间隔了一座山，直线距离大于300m。考虑到库址距北风井井口较近，可将建炸药库的地方挖出凹形空间，在原山凹出口附近修筑土堤，使炸药库周围形成一道屏挡。炸药与雷管分别建库存放，库间距大于20m。库区周围按规定的距离建2m高的围墙，围墙外面的山坡设截洪沟。</w:t>
      </w:r>
    </w:p>
    <w:p w14:paraId="4F19861B">
      <w:pPr>
        <w:rPr>
          <w:rFonts w:hint="default"/>
          <w:color w:val="auto"/>
          <w:lang w:val="en-US" w:eastAsia="zh-CN"/>
        </w:rPr>
      </w:pPr>
      <w:r>
        <w:rPr>
          <w:rFonts w:hint="default"/>
          <w:color w:val="auto"/>
          <w:lang w:val="en-US" w:eastAsia="zh-CN"/>
        </w:rPr>
        <w:t>炸药库占地面积3.5亩，炸药库房最大存储量为5000kg、雷管库房最大存储量为10000发。库房地面平整无缝，设有消防水池，备有消防沙，库区备有灭火器等消防器材，库区外边设有值班室，建立了《爆</w:t>
      </w:r>
      <w:r>
        <w:rPr>
          <w:rFonts w:hint="default"/>
          <w:b w:val="0"/>
          <w:bCs w:val="0"/>
          <w:color w:val="auto"/>
          <w:lang w:val="en-US" w:eastAsia="zh-CN"/>
        </w:rPr>
        <w:t>破器材存放管理制度》等，有专人24h值守。该炸药库经当地公安部门批准，江西省赣华安全科技有限公司</w:t>
      </w:r>
      <w:r>
        <w:rPr>
          <w:rFonts w:hint="eastAsia"/>
          <w:b w:val="0"/>
          <w:bCs w:val="0"/>
          <w:color w:val="auto"/>
          <w:lang w:val="en-US" w:eastAsia="zh-CN"/>
        </w:rPr>
        <w:t>于2025年5月</w:t>
      </w:r>
      <w:r>
        <w:rPr>
          <w:rFonts w:hint="default"/>
          <w:b w:val="0"/>
          <w:bCs w:val="0"/>
          <w:color w:val="auto"/>
          <w:lang w:val="en-US" w:eastAsia="zh-CN"/>
        </w:rPr>
        <w:t>对炸药库进行</w:t>
      </w:r>
      <w:r>
        <w:rPr>
          <w:rFonts w:hint="eastAsia"/>
          <w:b w:val="0"/>
          <w:bCs w:val="0"/>
          <w:color w:val="auto"/>
          <w:lang w:val="en-US" w:eastAsia="zh-CN"/>
        </w:rPr>
        <w:t>了</w:t>
      </w:r>
      <w:r>
        <w:rPr>
          <w:rFonts w:hint="default"/>
          <w:b w:val="0"/>
          <w:bCs w:val="0"/>
          <w:color w:val="auto"/>
          <w:lang w:val="en-US" w:eastAsia="zh-CN"/>
        </w:rPr>
        <w:t>安全现状评价，</w:t>
      </w:r>
      <w:r>
        <w:rPr>
          <w:rFonts w:hint="default"/>
          <w:color w:val="auto"/>
          <w:lang w:val="en-US" w:eastAsia="zh-CN"/>
        </w:rPr>
        <w:t>其选址、建设、安全防护、安全管理措施符合国家安全管理要求。</w:t>
      </w:r>
      <w:r>
        <w:rPr>
          <w:rFonts w:hint="eastAsia"/>
          <w:color w:val="auto"/>
          <w:lang w:val="en-US" w:eastAsia="zh-CN"/>
        </w:rPr>
        <w:t>企业</w:t>
      </w:r>
      <w:r>
        <w:rPr>
          <w:rFonts w:hint="default"/>
          <w:color w:val="auto"/>
          <w:lang w:val="en-US" w:eastAsia="zh-CN"/>
        </w:rPr>
        <w:t>已办理《爆破作业单位许可证》。</w:t>
      </w:r>
    </w:p>
    <w:p w14:paraId="6CC953CB">
      <w:pPr>
        <w:pStyle w:val="4"/>
        <w:bidi w:val="0"/>
        <w:rPr>
          <w:rFonts w:hint="eastAsia"/>
          <w:color w:val="auto"/>
          <w:lang w:val="en-US" w:eastAsia="zh-CN"/>
        </w:rPr>
      </w:pPr>
      <w:bookmarkStart w:id="207" w:name="_Toc18450"/>
      <w:bookmarkStart w:id="208" w:name="_Toc2908"/>
      <w:bookmarkStart w:id="209" w:name="_Toc469"/>
      <w:bookmarkStart w:id="210" w:name="_Toc7720"/>
      <w:r>
        <w:rPr>
          <w:rFonts w:hint="default"/>
          <w:color w:val="auto"/>
          <w:lang w:val="en-US" w:eastAsia="zh-CN"/>
        </w:rPr>
        <w:t>2.4.1</w:t>
      </w:r>
      <w:r>
        <w:rPr>
          <w:rFonts w:hint="eastAsia"/>
          <w:color w:val="auto"/>
          <w:lang w:val="en-US" w:eastAsia="zh-CN"/>
        </w:rPr>
        <w:t xml:space="preserve">3 </w:t>
      </w:r>
      <w:r>
        <w:rPr>
          <w:rFonts w:hint="default"/>
          <w:color w:val="auto"/>
          <w:lang w:val="en-US" w:eastAsia="zh-CN"/>
        </w:rPr>
        <w:t>安全避险</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bookmarkEnd w:id="207"/>
      <w:bookmarkEnd w:id="208"/>
      <w:bookmarkEnd w:id="209"/>
      <w:bookmarkEnd w:id="210"/>
    </w:p>
    <w:p w14:paraId="76C66DF1">
      <w:pPr>
        <w:rPr>
          <w:rFonts w:hint="default"/>
          <w:color w:val="auto"/>
          <w:lang w:val="en-US" w:eastAsia="zh-CN"/>
        </w:rPr>
      </w:pPr>
      <w:r>
        <w:rPr>
          <w:rFonts w:hint="eastAsia"/>
          <w:color w:val="auto"/>
        </w:rPr>
        <w:t>2013年5月江西朝盛矿业有限公司委托上海鹏旭信息科技有限公司设计、施工了地下矿山安全避险“六大系统”，并于2014年3月27日由宁都县安监局备案</w:t>
      </w:r>
      <w:r>
        <w:rPr>
          <w:rFonts w:hint="default"/>
          <w:color w:val="auto"/>
          <w:lang w:val="en-US" w:eastAsia="zh-CN"/>
        </w:rPr>
        <w:t>。</w:t>
      </w:r>
    </w:p>
    <w:p w14:paraId="7BC392DB">
      <w:pPr>
        <w:rPr>
          <w:rFonts w:hint="default"/>
          <w:b/>
          <w:bCs/>
          <w:color w:val="auto"/>
          <w:lang w:val="en-US" w:eastAsia="zh-CN"/>
        </w:rPr>
      </w:pPr>
      <w:r>
        <w:rPr>
          <w:rFonts w:hint="default"/>
          <w:b/>
          <w:bCs/>
          <w:color w:val="auto"/>
          <w:lang w:val="en-US" w:eastAsia="zh-CN"/>
        </w:rPr>
        <w:t>一、监测监控系统</w:t>
      </w:r>
    </w:p>
    <w:p w14:paraId="3032938F">
      <w:pPr>
        <w:rPr>
          <w:rFonts w:hint="default"/>
          <w:color w:val="auto"/>
          <w:lang w:val="en-US" w:eastAsia="zh-CN"/>
        </w:rPr>
      </w:pPr>
      <w:r>
        <w:rPr>
          <w:rFonts w:hint="default"/>
          <w:color w:val="auto"/>
          <w:lang w:val="en-US" w:eastAsia="zh-CN"/>
        </w:rPr>
        <w:t>（1）视频监控：</w:t>
      </w:r>
      <w:r>
        <w:rPr>
          <w:rFonts w:hint="eastAsia"/>
          <w:color w:val="auto"/>
          <w:lang w:val="en-US" w:eastAsia="zh-CN"/>
        </w:rPr>
        <w:t>副</w:t>
      </w:r>
      <w:r>
        <w:rPr>
          <w:rFonts w:hint="default"/>
          <w:color w:val="auto"/>
          <w:lang w:val="en-US" w:eastAsia="zh-CN"/>
        </w:rPr>
        <w:t>斜井井口、</w:t>
      </w:r>
      <w:r>
        <w:rPr>
          <w:rFonts w:hint="eastAsia"/>
          <w:color w:val="auto"/>
          <w:lang w:val="en-US" w:eastAsia="zh-CN"/>
        </w:rPr>
        <w:t>副</w:t>
      </w:r>
      <w:r>
        <w:rPr>
          <w:rFonts w:hint="default"/>
          <w:color w:val="auto"/>
          <w:lang w:val="en-US" w:eastAsia="zh-CN"/>
        </w:rPr>
        <w:t>斜井绞车房、</w:t>
      </w:r>
      <w:r>
        <w:rPr>
          <w:rFonts w:hint="eastAsia"/>
          <w:color w:val="auto"/>
          <w:lang w:val="en-US" w:eastAsia="zh-CN"/>
        </w:rPr>
        <w:t>副</w:t>
      </w:r>
      <w:r>
        <w:rPr>
          <w:rFonts w:hint="default"/>
          <w:color w:val="auto"/>
          <w:lang w:val="en-US" w:eastAsia="zh-CN"/>
        </w:rPr>
        <w:t>斜井+160m中段吊桥附近、</w:t>
      </w:r>
      <w:r>
        <w:rPr>
          <w:rFonts w:hint="eastAsia"/>
          <w:color w:val="auto"/>
          <w:lang w:val="en-US" w:eastAsia="zh-CN"/>
        </w:rPr>
        <w:t>副</w:t>
      </w:r>
      <w:r>
        <w:rPr>
          <w:rFonts w:hint="default"/>
          <w:color w:val="auto"/>
          <w:lang w:val="en-US" w:eastAsia="zh-CN"/>
        </w:rPr>
        <w:t>斜井+130m中段吊桥附近、</w:t>
      </w:r>
      <w:r>
        <w:rPr>
          <w:rFonts w:hint="eastAsia"/>
          <w:color w:val="auto"/>
          <w:lang w:val="en-US" w:eastAsia="zh-CN"/>
        </w:rPr>
        <w:t>副</w:t>
      </w:r>
      <w:r>
        <w:rPr>
          <w:rFonts w:hint="default"/>
          <w:color w:val="auto"/>
          <w:lang w:val="en-US" w:eastAsia="zh-CN"/>
        </w:rPr>
        <w:t>斜井+100m中段井底车场、</w:t>
      </w:r>
      <w:r>
        <w:rPr>
          <w:rFonts w:hint="eastAsia"/>
          <w:color w:val="auto"/>
          <w:lang w:val="en-US" w:eastAsia="zh-CN"/>
        </w:rPr>
        <w:t>北风</w:t>
      </w:r>
      <w:r>
        <w:rPr>
          <w:rFonts w:hint="default"/>
          <w:color w:val="auto"/>
          <w:lang w:val="en-US" w:eastAsia="zh-CN"/>
        </w:rPr>
        <w:t>井口等地点安装了视频监控设施。共安装视频摄像头15个。</w:t>
      </w:r>
    </w:p>
    <w:p w14:paraId="45D3ED7A">
      <w:pPr>
        <w:rPr>
          <w:rFonts w:hint="default"/>
          <w:color w:val="auto"/>
          <w:lang w:val="en-US" w:eastAsia="zh-CN"/>
        </w:rPr>
      </w:pPr>
      <w:r>
        <w:rPr>
          <w:rFonts w:hint="default"/>
          <w:color w:val="auto"/>
          <w:lang w:val="en-US" w:eastAsia="zh-CN"/>
        </w:rPr>
        <w:t>（2）有毒有害气体监测：矿山共安装一氧化碳传感器2台，地点为+160m中段进风巷（采场附近）和+130m中段掘进面回风巷；同时配置了6台CD4型多功能便携式气体检测仪，具备报警参数设置和声光报警功能，用于井下一氧化碳、氧气、甲烷、硫化氢浓度测量。人员携带便携式气体检测仪从进风巷进入工作面，一旦报警应立即撤离。</w:t>
      </w:r>
    </w:p>
    <w:p w14:paraId="783CFDDC">
      <w:pPr>
        <w:rPr>
          <w:rFonts w:hint="default"/>
          <w:color w:val="auto"/>
          <w:lang w:val="en-US" w:eastAsia="zh-CN"/>
        </w:rPr>
      </w:pPr>
      <w:r>
        <w:rPr>
          <w:rFonts w:hint="default"/>
          <w:color w:val="auto"/>
          <w:lang w:val="en-US" w:eastAsia="zh-CN"/>
        </w:rPr>
        <w:t>（3）通风系统及设备开停监测：共设置多功能基站5个、风机开停传感器2个、风速传感器4个、风压传感器1个。</w:t>
      </w:r>
    </w:p>
    <w:p w14:paraId="0E3BBE78">
      <w:pPr>
        <w:rPr>
          <w:rFonts w:hint="default"/>
          <w:b/>
          <w:bCs/>
          <w:color w:val="auto"/>
          <w:lang w:val="en-US" w:eastAsia="zh-CN"/>
        </w:rPr>
      </w:pPr>
      <w:r>
        <w:rPr>
          <w:rFonts w:hint="default"/>
          <w:b/>
          <w:bCs/>
          <w:color w:val="auto"/>
          <w:lang w:val="en-US" w:eastAsia="zh-CN"/>
        </w:rPr>
        <w:t>二、人员定位系统</w:t>
      </w:r>
    </w:p>
    <w:p w14:paraId="6B56FF5E">
      <w:pPr>
        <w:rPr>
          <w:rFonts w:hint="default"/>
          <w:color w:val="auto"/>
          <w:lang w:val="en-US" w:eastAsia="zh-CN"/>
        </w:rPr>
      </w:pPr>
      <w:r>
        <w:rPr>
          <w:rFonts w:hint="default"/>
          <w:color w:val="auto"/>
          <w:lang w:val="en-US" w:eastAsia="zh-CN"/>
        </w:rPr>
        <w:t>根据矿区生产规模、开拓方式（斜井+斜坡道）及井下作业人员数量等情况，矿山按国家规范要求建设了人员定位系统，下井人员均需佩戴身份识别卡。同时矿山建立完善了人员出入井管理制度，严格执行了出入井登记、挂牌制度的同时，加强人员入井管理。</w:t>
      </w:r>
    </w:p>
    <w:p w14:paraId="5B0AA613">
      <w:pPr>
        <w:rPr>
          <w:rFonts w:hint="default"/>
          <w:color w:val="auto"/>
          <w:lang w:val="en-US" w:eastAsia="zh-CN"/>
        </w:rPr>
      </w:pPr>
      <w:r>
        <w:rPr>
          <w:rFonts w:hint="default"/>
          <w:color w:val="auto"/>
          <w:lang w:val="en-US" w:eastAsia="zh-CN"/>
        </w:rPr>
        <w:t>矿山采用人员区域定位系统。多功能中心基站和数据采集仪的设置原则是在各中段运输巷每200～300m设置一个及在入井口、进入危险区域入口、进入废弃巷道入口、禁止进入区域入口等区域。</w:t>
      </w:r>
    </w:p>
    <w:p w14:paraId="51BA7E3A">
      <w:pPr>
        <w:rPr>
          <w:rFonts w:hint="default"/>
          <w:color w:val="auto"/>
          <w:lang w:val="en-US" w:eastAsia="zh-CN"/>
        </w:rPr>
      </w:pPr>
      <w:r>
        <w:rPr>
          <w:rFonts w:hint="default"/>
          <w:color w:val="auto"/>
          <w:lang w:val="en-US" w:eastAsia="zh-CN"/>
        </w:rPr>
        <w:t>矿山多功能中心基站设置情况为：</w:t>
      </w:r>
      <w:r>
        <w:rPr>
          <w:rFonts w:hint="eastAsia"/>
          <w:color w:val="auto"/>
          <w:lang w:val="en-US" w:eastAsia="zh-CN"/>
        </w:rPr>
        <w:t>副斜井</w:t>
      </w:r>
      <w:r>
        <w:rPr>
          <w:rFonts w:hint="default"/>
          <w:color w:val="auto"/>
          <w:lang w:val="en-US" w:eastAsia="zh-CN"/>
        </w:rPr>
        <w:t>、</w:t>
      </w:r>
      <w:r>
        <w:rPr>
          <w:rFonts w:hint="eastAsia"/>
          <w:color w:val="auto"/>
          <w:lang w:val="en-US" w:eastAsia="zh-CN"/>
        </w:rPr>
        <w:t>主</w:t>
      </w:r>
      <w:r>
        <w:rPr>
          <w:rFonts w:hint="default"/>
          <w:color w:val="auto"/>
          <w:lang w:val="en-US" w:eastAsia="zh-CN"/>
        </w:rPr>
        <w:t>斜坡道井口各1个；+160m中段：</w:t>
      </w:r>
      <w:r>
        <w:rPr>
          <w:rFonts w:hint="eastAsia"/>
          <w:color w:val="auto"/>
          <w:lang w:val="en-US" w:eastAsia="zh-CN"/>
        </w:rPr>
        <w:t>副斜井</w:t>
      </w:r>
      <w:r>
        <w:rPr>
          <w:rFonts w:hint="default"/>
          <w:color w:val="auto"/>
          <w:lang w:val="en-US" w:eastAsia="zh-CN"/>
        </w:rPr>
        <w:t>井底车场、</w:t>
      </w:r>
      <w:r>
        <w:rPr>
          <w:rFonts w:hint="eastAsia"/>
          <w:color w:val="auto"/>
          <w:lang w:val="en-US" w:eastAsia="zh-CN"/>
        </w:rPr>
        <w:t>主</w:t>
      </w:r>
      <w:r>
        <w:rPr>
          <w:rFonts w:hint="default"/>
          <w:color w:val="auto"/>
          <w:lang w:val="en-US" w:eastAsia="zh-CN"/>
        </w:rPr>
        <w:t>斜坡道井底各1个；+130m中段：</w:t>
      </w:r>
      <w:r>
        <w:rPr>
          <w:rFonts w:hint="eastAsia"/>
          <w:color w:val="auto"/>
          <w:lang w:val="en-US" w:eastAsia="zh-CN"/>
        </w:rPr>
        <w:t>副斜井</w:t>
      </w:r>
      <w:r>
        <w:rPr>
          <w:rFonts w:hint="default"/>
          <w:color w:val="auto"/>
          <w:lang w:val="en-US" w:eastAsia="zh-CN"/>
        </w:rPr>
        <w:t>井底车场、</w:t>
      </w:r>
      <w:r>
        <w:rPr>
          <w:rFonts w:hint="eastAsia"/>
          <w:color w:val="auto"/>
          <w:lang w:val="en-US" w:eastAsia="zh-CN"/>
        </w:rPr>
        <w:t>主</w:t>
      </w:r>
      <w:r>
        <w:rPr>
          <w:rFonts w:hint="default"/>
          <w:color w:val="auto"/>
          <w:lang w:val="en-US" w:eastAsia="zh-CN"/>
        </w:rPr>
        <w:t>斜坡道变电硐室附近各1个；+100m中段：</w:t>
      </w:r>
      <w:r>
        <w:rPr>
          <w:rFonts w:hint="eastAsia"/>
          <w:color w:val="auto"/>
          <w:lang w:val="en-US" w:eastAsia="zh-CN"/>
        </w:rPr>
        <w:t>副</w:t>
      </w:r>
      <w:r>
        <w:rPr>
          <w:rFonts w:hint="default"/>
          <w:color w:val="auto"/>
          <w:lang w:val="en-US" w:eastAsia="zh-CN"/>
        </w:rPr>
        <w:t>斜井井底车场1个；共设置10个多功能中心基站。</w:t>
      </w:r>
    </w:p>
    <w:p w14:paraId="42DEE69D">
      <w:pPr>
        <w:rPr>
          <w:rFonts w:hint="default"/>
          <w:color w:val="auto"/>
          <w:lang w:val="en-US" w:eastAsia="zh-CN"/>
        </w:rPr>
      </w:pPr>
      <w:r>
        <w:rPr>
          <w:rFonts w:hint="default"/>
          <w:color w:val="auto"/>
          <w:lang w:val="en-US" w:eastAsia="zh-CN"/>
        </w:rPr>
        <w:t>人员定位卡：</w:t>
      </w:r>
      <w:r>
        <w:rPr>
          <w:rFonts w:hint="eastAsia"/>
          <w:color w:val="auto"/>
          <w:lang w:val="en-US" w:eastAsia="zh-CN"/>
        </w:rPr>
        <w:t>宁都硫铁矿地下开采改建工程井下最多同时作业人数为32人，矿山目前配备了标识卡60张</w:t>
      </w:r>
      <w:r>
        <w:rPr>
          <w:rFonts w:hint="default"/>
          <w:color w:val="auto"/>
          <w:lang w:val="en-US" w:eastAsia="zh-CN"/>
        </w:rPr>
        <w:t>。</w:t>
      </w:r>
    </w:p>
    <w:p w14:paraId="52BEB0BC">
      <w:pPr>
        <w:rPr>
          <w:rFonts w:hint="default"/>
          <w:b/>
          <w:bCs/>
          <w:color w:val="auto"/>
          <w:lang w:val="en-US" w:eastAsia="zh-CN"/>
        </w:rPr>
      </w:pPr>
      <w:r>
        <w:rPr>
          <w:rFonts w:hint="default"/>
          <w:b/>
          <w:bCs/>
          <w:color w:val="auto"/>
          <w:lang w:val="en-US" w:eastAsia="zh-CN"/>
        </w:rPr>
        <w:t>三、通讯联络系统</w:t>
      </w:r>
    </w:p>
    <w:p w14:paraId="39F7F555">
      <w:pPr>
        <w:rPr>
          <w:rFonts w:hint="default"/>
          <w:color w:val="auto"/>
          <w:lang w:val="en-US" w:eastAsia="zh-CN"/>
        </w:rPr>
      </w:pPr>
      <w:r>
        <w:rPr>
          <w:rFonts w:hint="default"/>
          <w:color w:val="auto"/>
          <w:lang w:val="en-US" w:eastAsia="zh-CN"/>
        </w:rPr>
        <w:t>矿山总调度室内设有个性化智能调度台，HH-4096DIP型数字程控调度交换机整机及附件。矿区在</w:t>
      </w:r>
      <w:r>
        <w:rPr>
          <w:rFonts w:hint="eastAsia"/>
          <w:color w:val="auto"/>
          <w:lang w:val="en-US" w:eastAsia="zh-CN"/>
        </w:rPr>
        <w:t>副</w:t>
      </w:r>
      <w:r>
        <w:rPr>
          <w:rFonts w:hint="default"/>
          <w:color w:val="auto"/>
          <w:lang w:val="en-US" w:eastAsia="zh-CN"/>
        </w:rPr>
        <w:t>斜井、</w:t>
      </w:r>
      <w:r>
        <w:rPr>
          <w:rFonts w:hint="eastAsia"/>
          <w:color w:val="auto"/>
          <w:lang w:val="en-US" w:eastAsia="zh-CN"/>
        </w:rPr>
        <w:t>主</w:t>
      </w:r>
      <w:r>
        <w:rPr>
          <w:rFonts w:hint="default"/>
          <w:color w:val="auto"/>
          <w:lang w:val="en-US" w:eastAsia="zh-CN"/>
        </w:rPr>
        <w:t>斜坡道井口值班房均安装了TC-108L电话程控交换机，井下电话均为HBZ（G）-1A矿用本安型电话机，分别安装在各绞车房、井下各中段信号房、休息室及井口值班室、矿办公室等场所，构成了矿区内部通信、监控系统。系统通过建立工业环网达到双回路，传输线缆采用MGXTSV-4B1型号光缆及MHYV2</w:t>
      </w:r>
      <w:r>
        <w:rPr>
          <w:rFonts w:hint="eastAsia"/>
          <w:color w:val="auto"/>
          <w:lang w:val="en-US" w:eastAsia="zh-CN"/>
        </w:rPr>
        <w:t>×</w:t>
      </w:r>
      <w:r>
        <w:rPr>
          <w:rFonts w:hint="default"/>
          <w:color w:val="auto"/>
          <w:lang w:val="en-US" w:eastAsia="zh-CN"/>
        </w:rPr>
        <w:t>2</w:t>
      </w:r>
      <w:r>
        <w:rPr>
          <w:rFonts w:hint="eastAsia"/>
          <w:color w:val="auto"/>
          <w:lang w:val="en-US" w:eastAsia="zh-CN"/>
        </w:rPr>
        <w:t>×</w:t>
      </w:r>
      <w:r>
        <w:rPr>
          <w:rFonts w:hint="default"/>
          <w:color w:val="auto"/>
          <w:lang w:val="en-US" w:eastAsia="zh-CN"/>
        </w:rPr>
        <w:t>0.5的电话线，分别从</w:t>
      </w:r>
      <w:r>
        <w:rPr>
          <w:rFonts w:hint="eastAsia"/>
          <w:color w:val="auto"/>
          <w:lang w:val="en-US" w:eastAsia="zh-CN"/>
        </w:rPr>
        <w:t>副</w:t>
      </w:r>
      <w:r>
        <w:rPr>
          <w:rFonts w:hint="default"/>
          <w:color w:val="auto"/>
          <w:lang w:val="en-US" w:eastAsia="zh-CN"/>
        </w:rPr>
        <w:t>斜井和</w:t>
      </w:r>
      <w:r>
        <w:rPr>
          <w:rFonts w:hint="eastAsia"/>
          <w:color w:val="auto"/>
          <w:lang w:val="en-US" w:eastAsia="zh-CN"/>
        </w:rPr>
        <w:t>主</w:t>
      </w:r>
      <w:r>
        <w:rPr>
          <w:rFonts w:hint="default"/>
          <w:color w:val="auto"/>
          <w:lang w:val="en-US" w:eastAsia="zh-CN"/>
        </w:rPr>
        <w:t>斜坡道进入井下，并形成回路。</w:t>
      </w:r>
    </w:p>
    <w:p w14:paraId="1FED6F07">
      <w:pPr>
        <w:rPr>
          <w:rFonts w:hint="default"/>
          <w:b/>
          <w:bCs/>
          <w:color w:val="auto"/>
          <w:lang w:val="en-US" w:eastAsia="zh-CN"/>
        </w:rPr>
      </w:pPr>
      <w:r>
        <w:rPr>
          <w:rFonts w:hint="default"/>
          <w:b/>
          <w:bCs/>
          <w:color w:val="auto"/>
          <w:lang w:val="en-US" w:eastAsia="zh-CN"/>
        </w:rPr>
        <w:t>四、压风自救系统</w:t>
      </w:r>
    </w:p>
    <w:p w14:paraId="09C0E49B">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矿山最大班下井人员为32人。按规定，每人供风量应不小于0.3m</w:t>
      </w:r>
      <w:r>
        <w:rPr>
          <w:rFonts w:hint="default"/>
          <w:color w:val="auto"/>
          <w:vertAlign w:val="superscript"/>
          <w:lang w:val="en-US" w:eastAsia="zh-CN"/>
        </w:rPr>
        <w:t>3</w:t>
      </w:r>
      <w:r>
        <w:rPr>
          <w:rFonts w:hint="default"/>
          <w:color w:val="auto"/>
          <w:lang w:val="en-US" w:eastAsia="zh-CN"/>
        </w:rPr>
        <w:t>/min。故需风量</w:t>
      </w:r>
      <w:r>
        <w:rPr>
          <w:rFonts w:hint="eastAsia" w:ascii="Times New Roman" w:eastAsia="宋体"/>
          <w:color w:val="auto"/>
          <w:lang w:val="en-US" w:eastAsia="zh-CN"/>
        </w:rPr>
        <w:t>≥</w:t>
      </w:r>
      <w:r>
        <w:rPr>
          <w:rFonts w:hint="default"/>
          <w:color w:val="auto"/>
          <w:lang w:val="en-US" w:eastAsia="zh-CN"/>
        </w:rPr>
        <w:t>1.151.2</w:t>
      </w:r>
      <w:r>
        <w:rPr>
          <w:rFonts w:hint="eastAsia" w:ascii="Times New Roman" w:eastAsia="宋体"/>
          <w:color w:val="auto"/>
          <w:lang w:val="en-US" w:eastAsia="zh-CN"/>
        </w:rPr>
        <w:t>×</w:t>
      </w:r>
      <w:r>
        <w:rPr>
          <w:rFonts w:hint="default"/>
          <w:color w:val="auto"/>
          <w:lang w:val="en-US" w:eastAsia="zh-CN"/>
        </w:rPr>
        <w:t>0.3</w:t>
      </w:r>
      <w:r>
        <w:rPr>
          <w:rFonts w:hint="eastAsia" w:ascii="Times New Roman" w:eastAsia="宋体"/>
          <w:color w:val="auto"/>
          <w:lang w:val="en-US" w:eastAsia="zh-CN"/>
        </w:rPr>
        <w:t>×</w:t>
      </w:r>
      <w:r>
        <w:rPr>
          <w:rFonts w:hint="default"/>
          <w:color w:val="auto"/>
          <w:lang w:val="en-US" w:eastAsia="zh-CN"/>
        </w:rPr>
        <w:t>32=13.25m</w:t>
      </w:r>
      <w:r>
        <w:rPr>
          <w:rFonts w:hint="default"/>
          <w:color w:val="auto"/>
          <w:vertAlign w:val="superscript"/>
          <w:lang w:val="en-US" w:eastAsia="zh-CN"/>
        </w:rPr>
        <w:t>3</w:t>
      </w:r>
      <w:r>
        <w:rPr>
          <w:rFonts w:hint="default"/>
          <w:color w:val="auto"/>
          <w:lang w:val="en-US" w:eastAsia="zh-CN"/>
        </w:rPr>
        <w:t>/min。</w:t>
      </w:r>
    </w:p>
    <w:p w14:paraId="09A4CEF9">
      <w:pPr>
        <w:rPr>
          <w:rFonts w:hint="default"/>
          <w:color w:val="auto"/>
          <w:lang w:val="en-US" w:eastAsia="zh-CN"/>
        </w:rPr>
      </w:pPr>
      <w:r>
        <w:rPr>
          <w:rFonts w:hint="default"/>
          <w:color w:val="auto"/>
          <w:lang w:val="en-US" w:eastAsia="zh-CN"/>
        </w:rPr>
        <w:t>2</w:t>
      </w:r>
      <w:r>
        <w:rPr>
          <w:rFonts w:hint="eastAsia" w:ascii="Times New Roman" w:eastAsia="宋体"/>
          <w:color w:val="auto"/>
          <w:lang w:val="en-US" w:eastAsia="zh-CN"/>
        </w:rPr>
        <w:t xml:space="preserve">. </w:t>
      </w:r>
      <w:r>
        <w:rPr>
          <w:rFonts w:hint="default"/>
          <w:color w:val="auto"/>
          <w:lang w:val="en-US" w:eastAsia="zh-CN"/>
        </w:rPr>
        <w:t>矿山在地面空压机房安装4台DSR-100A</w:t>
      </w:r>
      <w:r>
        <w:rPr>
          <w:rFonts w:hint="eastAsia" w:ascii="Times New Roman" w:eastAsia="宋体"/>
          <w:color w:val="auto"/>
          <w:lang w:val="en-US" w:eastAsia="zh-CN"/>
        </w:rPr>
        <w:t>（额定流量13.3</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/min</w:t>
      </w:r>
      <w:r>
        <w:rPr>
          <w:rFonts w:hint="eastAsia" w:ascii="Times New Roman" w:eastAsia="宋体"/>
          <w:color w:val="auto"/>
          <w:lang w:val="en-US" w:eastAsia="zh-CN"/>
        </w:rPr>
        <w:t>）</w:t>
      </w:r>
      <w:r>
        <w:rPr>
          <w:rFonts w:hint="default"/>
          <w:color w:val="auto"/>
          <w:lang w:val="en-US" w:eastAsia="zh-CN"/>
        </w:rPr>
        <w:t>型空压机，其中：3台工作，1台备用，总排气量为</w:t>
      </w:r>
      <w:r>
        <w:rPr>
          <w:rFonts w:hint="eastAsia" w:ascii="Times New Roman" w:eastAsia="宋体"/>
          <w:color w:val="auto"/>
          <w:lang w:val="en-US" w:eastAsia="zh-CN"/>
        </w:rPr>
        <w:t>≥</w:t>
      </w:r>
      <w:r>
        <w:rPr>
          <w:rFonts w:hint="default"/>
          <w:color w:val="auto"/>
          <w:lang w:val="en-US" w:eastAsia="zh-CN"/>
        </w:rPr>
        <w:t>34.84m</w:t>
      </w:r>
      <w:r>
        <w:rPr>
          <w:rFonts w:hint="default"/>
          <w:color w:val="auto"/>
          <w:vertAlign w:val="superscript"/>
          <w:lang w:val="en-US" w:eastAsia="zh-CN"/>
        </w:rPr>
        <w:t>3</w:t>
      </w:r>
      <w:r>
        <w:rPr>
          <w:rFonts w:hint="default"/>
          <w:color w:val="auto"/>
          <w:lang w:val="en-US" w:eastAsia="zh-CN"/>
        </w:rPr>
        <w:t>/min。能满足生产和救灾的需要。</w:t>
      </w:r>
    </w:p>
    <w:p w14:paraId="328EBEC4">
      <w:pPr>
        <w:rPr>
          <w:rFonts w:hint="default"/>
          <w:color w:val="auto"/>
          <w:lang w:val="en-US" w:eastAsia="zh-CN"/>
        </w:rPr>
      </w:pPr>
      <w:r>
        <w:rPr>
          <w:rFonts w:hint="default"/>
          <w:color w:val="auto"/>
          <w:lang w:val="en-US" w:eastAsia="zh-CN"/>
        </w:rPr>
        <w:t>3</w:t>
      </w:r>
      <w:r>
        <w:rPr>
          <w:rFonts w:hint="eastAsia" w:ascii="Times New Roman" w:eastAsia="宋体"/>
          <w:color w:val="auto"/>
          <w:lang w:val="en-US" w:eastAsia="zh-CN"/>
        </w:rPr>
        <w:t xml:space="preserve">. </w:t>
      </w:r>
      <w:r>
        <w:rPr>
          <w:rFonts w:hint="default"/>
          <w:color w:val="auto"/>
          <w:lang w:val="en-US" w:eastAsia="zh-CN"/>
        </w:rPr>
        <w:t>压气输送线路：空压机房沿副斜井、中段运输巷、回风巷等敷设至各采场及掘进工作面各用气地点。压气输送管路主管路</w:t>
      </w:r>
      <w:r>
        <w:rPr>
          <w:rFonts w:hint="eastAsia" w:ascii="Times New Roman" w:eastAsia="宋体"/>
          <w:color w:val="auto"/>
          <w:lang w:val="en-US" w:eastAsia="zh-CN"/>
        </w:rPr>
        <w:t>采用</w:t>
      </w:r>
      <w:r>
        <w:rPr>
          <w:rFonts w:hint="default"/>
          <w:color w:val="auto"/>
          <w:lang w:val="en-US" w:eastAsia="zh-CN"/>
        </w:rPr>
        <w:t>DN150、DN65焊接钢管，送到各用风和避灾地点用DN50钢管。</w:t>
      </w:r>
    </w:p>
    <w:p w14:paraId="7A2D92AE">
      <w:pPr>
        <w:rPr>
          <w:rFonts w:hint="default"/>
          <w:color w:val="auto"/>
          <w:lang w:val="en-US" w:eastAsia="zh-CN"/>
        </w:rPr>
      </w:pPr>
      <w:r>
        <w:rPr>
          <w:rFonts w:hint="default"/>
          <w:color w:val="auto"/>
          <w:lang w:val="en-US" w:eastAsia="zh-CN"/>
        </w:rPr>
        <w:t>4</w:t>
      </w:r>
      <w:r>
        <w:rPr>
          <w:rFonts w:hint="eastAsia" w:ascii="Times New Roman" w:eastAsia="宋体"/>
          <w:color w:val="auto"/>
          <w:lang w:val="en-US" w:eastAsia="zh-CN"/>
        </w:rPr>
        <w:t xml:space="preserve">. </w:t>
      </w:r>
      <w:r>
        <w:rPr>
          <w:rFonts w:hint="default"/>
          <w:color w:val="auto"/>
          <w:lang w:val="en-US" w:eastAsia="zh-CN"/>
        </w:rPr>
        <w:t>压风管道应按照《金属非金属地下矿山压风自救系统建设规范》的有关要求，安设好供气阀门。生产中段的压风管道上每隔200m～300m应安设一组供气阀门。独头掘进巷道距掘进工作面不大于100m处的压风管道上应安设一组供气阀门，向外每隔200m～300m应安设一组供气阀门。在各中段采掘工作面和爆破时撤离人员集中地点的压风管道上分别安设一组供气阀门。</w:t>
      </w:r>
    </w:p>
    <w:p w14:paraId="5C50E2D6">
      <w:pPr>
        <w:rPr>
          <w:rFonts w:hint="default"/>
          <w:color w:val="auto"/>
          <w:lang w:val="en-US" w:eastAsia="zh-CN"/>
        </w:rPr>
      </w:pPr>
      <w:r>
        <w:rPr>
          <w:rFonts w:hint="default"/>
          <w:color w:val="auto"/>
          <w:lang w:val="en-US" w:eastAsia="zh-CN"/>
        </w:rPr>
        <w:t>5</w:t>
      </w:r>
      <w:r>
        <w:rPr>
          <w:rFonts w:hint="eastAsia" w:ascii="Times New Roman" w:eastAsia="宋体"/>
          <w:color w:val="auto"/>
          <w:lang w:val="en-US" w:eastAsia="zh-CN"/>
        </w:rPr>
        <w:t xml:space="preserve">. </w:t>
      </w:r>
      <w:r>
        <w:rPr>
          <w:rFonts w:hint="default"/>
          <w:color w:val="auto"/>
          <w:lang w:val="en-US" w:eastAsia="zh-CN"/>
        </w:rPr>
        <w:t>压风自救系统专用安全设施包括送气到各用气地点的金属管道，按规定安装供气阀门、压风呼吸器等。</w:t>
      </w:r>
    </w:p>
    <w:p w14:paraId="21EE41CC">
      <w:pPr>
        <w:rPr>
          <w:rFonts w:hint="default"/>
          <w:b/>
          <w:bCs/>
          <w:color w:val="auto"/>
          <w:lang w:val="en-US" w:eastAsia="zh-CN"/>
        </w:rPr>
      </w:pPr>
      <w:r>
        <w:rPr>
          <w:rFonts w:hint="default"/>
          <w:b/>
          <w:bCs/>
          <w:color w:val="auto"/>
          <w:lang w:val="en-US" w:eastAsia="zh-CN"/>
        </w:rPr>
        <w:t>五、供水施救系统</w:t>
      </w:r>
    </w:p>
    <w:p w14:paraId="5BD35EE7">
      <w:pPr>
        <w:rPr>
          <w:rFonts w:hint="default"/>
          <w:color w:val="auto"/>
          <w:lang w:val="en-US" w:eastAsia="zh-CN"/>
        </w:rPr>
      </w:pPr>
      <w:r>
        <w:rPr>
          <w:rFonts w:hint="default"/>
          <w:color w:val="auto"/>
          <w:lang w:val="en-US" w:eastAsia="zh-CN"/>
        </w:rPr>
        <w:t>供水施救系统，在矿山发生灾变时，为井下提供生活饮用水的系统，包括水源、过滤装置、供水管路、供水阀门等。</w:t>
      </w:r>
    </w:p>
    <w:p w14:paraId="4F829A79">
      <w:pPr>
        <w:rPr>
          <w:rFonts w:hint="default"/>
          <w:color w:val="auto"/>
          <w:lang w:val="en-US" w:eastAsia="zh-CN"/>
        </w:rPr>
      </w:pPr>
      <w:r>
        <w:rPr>
          <w:rFonts w:hint="default"/>
          <w:color w:val="auto"/>
          <w:lang w:val="en-US" w:eastAsia="zh-CN"/>
        </w:rPr>
        <w:t>井下供水施救系统，其水源为距矿山办公和生活区1.5km的茶山迳溪水。水源水利用消防洒水管道供至井下各用水点，经过减压阀、过滤装置，到达井下需要饮用水的地点。</w:t>
      </w:r>
    </w:p>
    <w:p w14:paraId="2CE24A81">
      <w:pPr>
        <w:rPr>
          <w:rFonts w:hint="default"/>
          <w:color w:val="auto"/>
          <w:lang w:val="en-US" w:eastAsia="zh-CN"/>
        </w:rPr>
      </w:pPr>
      <w:r>
        <w:rPr>
          <w:rFonts w:hint="default"/>
          <w:color w:val="auto"/>
          <w:lang w:val="en-US" w:eastAsia="zh-CN"/>
        </w:rPr>
        <w:t>在设有供水管道的各条大巷、副斜井、中段运输巷、回风巷等，每隔50m～100m设置一个DN25供水接口，或在消火栓处配置给水栓异径接头（DN50</w:t>
      </w:r>
      <w:r>
        <w:rPr>
          <w:rFonts w:hint="eastAsia"/>
          <w:color w:val="auto"/>
          <w:lang w:val="en-US" w:eastAsia="zh-CN"/>
        </w:rPr>
        <w:t>×</w:t>
      </w:r>
      <w:r>
        <w:rPr>
          <w:rFonts w:hint="default"/>
          <w:color w:val="auto"/>
          <w:lang w:val="en-US" w:eastAsia="zh-CN"/>
        </w:rPr>
        <w:t>25），使消火栓平时可具有给水栓功能，独头掘进巷道距掘进工作面不大于100m处的供水管道上安设一组供水阀门。所有矿井采区避灾线路上应敷设供水管路，所有采掘工作面和其他人员较集中的地点、井下各作业地点及采区避灾路线上及避难硐室（场所）处应设置供水管路及供水阀门，保证各采掘作业地点在灾变期间能够实现提供应急供水的要求。</w:t>
      </w:r>
    </w:p>
    <w:p w14:paraId="69317C96">
      <w:pPr>
        <w:rPr>
          <w:rFonts w:hint="default"/>
          <w:b/>
          <w:bCs/>
          <w:color w:val="auto"/>
          <w:lang w:val="en-US" w:eastAsia="zh-CN"/>
        </w:rPr>
      </w:pPr>
      <w:r>
        <w:rPr>
          <w:rFonts w:hint="default"/>
          <w:b/>
          <w:bCs/>
          <w:color w:val="auto"/>
          <w:lang w:val="en-US" w:eastAsia="zh-CN"/>
        </w:rPr>
        <w:t>六、紧急避险系统</w:t>
      </w:r>
    </w:p>
    <w:p w14:paraId="792265ED">
      <w:pPr>
        <w:rPr>
          <w:rFonts w:hint="default"/>
          <w:color w:val="auto"/>
          <w:lang w:val="en-US" w:eastAsia="zh-CN"/>
        </w:rPr>
      </w:pPr>
      <w:r>
        <w:rPr>
          <w:rFonts w:hint="default"/>
          <w:color w:val="auto"/>
          <w:lang w:val="en-US" w:eastAsia="zh-CN"/>
        </w:rPr>
        <w:t>1. 自救器</w:t>
      </w:r>
    </w:p>
    <w:p w14:paraId="06FEAFCC">
      <w:pPr>
        <w:rPr>
          <w:rFonts w:hint="default"/>
          <w:color w:val="auto"/>
          <w:lang w:val="en-US" w:eastAsia="zh-CN"/>
        </w:rPr>
      </w:pPr>
      <w:r>
        <w:rPr>
          <w:rFonts w:hint="default"/>
          <w:color w:val="auto"/>
          <w:lang w:val="en-US" w:eastAsia="zh-CN"/>
        </w:rPr>
        <w:t>按额定防护时间不少于45min的要求采用YZ-45型压缩氧自救器。</w:t>
      </w:r>
    </w:p>
    <w:p w14:paraId="0D2F1342">
      <w:pPr>
        <w:rPr>
          <w:rFonts w:hint="default"/>
          <w:color w:val="auto"/>
          <w:lang w:val="en-US" w:eastAsia="zh-CN"/>
        </w:rPr>
      </w:pPr>
      <w:r>
        <w:rPr>
          <w:rFonts w:hint="default"/>
          <w:color w:val="auto"/>
          <w:lang w:val="en-US" w:eastAsia="zh-CN"/>
        </w:rPr>
        <w:t>自救器数量：根据入井人员配备，并按入井总人数的10%配备备用救援自救器以及的要求，该矿应配置自救器40只，所有入井人员必须随身携带自救器。</w:t>
      </w:r>
    </w:p>
    <w:p w14:paraId="7AF5390C">
      <w:pPr>
        <w:rPr>
          <w:rFonts w:hint="default"/>
          <w:color w:val="auto"/>
          <w:lang w:val="en-US" w:eastAsia="zh-CN"/>
        </w:rPr>
      </w:pPr>
      <w:r>
        <w:rPr>
          <w:rFonts w:hint="default"/>
          <w:color w:val="auto"/>
          <w:lang w:val="en-US" w:eastAsia="zh-CN"/>
        </w:rPr>
        <w:t>2. 井下避灾路线</w:t>
      </w:r>
    </w:p>
    <w:p w14:paraId="7C7ADA80">
      <w:pPr>
        <w:rPr>
          <w:rFonts w:hint="default"/>
          <w:color w:val="auto"/>
          <w:lang w:val="en-US" w:eastAsia="zh-CN"/>
        </w:rPr>
      </w:pPr>
      <w:r>
        <w:rPr>
          <w:rFonts w:hint="default"/>
          <w:color w:val="auto"/>
          <w:lang w:val="en-US" w:eastAsia="zh-CN"/>
        </w:rPr>
        <w:t>宁都硫铁矿采用斜井+斜坡道开拓。南风井、副斜井、主斜坡、北风井都直通地表，都作为应急安全出口，各中段人行天井和风井作应急安全出口。井下各中段均有二个以上安全出口通达上部中段和地表。</w:t>
      </w:r>
    </w:p>
    <w:p w14:paraId="4EDAF083">
      <w:pPr>
        <w:rPr>
          <w:rFonts w:hint="default"/>
          <w:color w:val="auto"/>
          <w:lang w:val="en-US" w:eastAsia="zh-CN"/>
        </w:rPr>
      </w:pPr>
      <w:r>
        <w:rPr>
          <w:rFonts w:hint="default"/>
          <w:color w:val="auto"/>
          <w:lang w:val="en-US" w:eastAsia="zh-CN"/>
        </w:rPr>
        <w:t>3. 事故应急预案</w:t>
      </w:r>
    </w:p>
    <w:p w14:paraId="03F3093A">
      <w:pPr>
        <w:rPr>
          <w:rFonts w:hint="eastAsia"/>
          <w:color w:val="auto"/>
          <w:lang w:val="en-US" w:eastAsia="zh-CN"/>
        </w:rPr>
      </w:pPr>
      <w:r>
        <w:rPr>
          <w:rFonts w:hint="default"/>
          <w:color w:val="auto"/>
          <w:lang w:val="en-US" w:eastAsia="zh-CN"/>
        </w:rPr>
        <w:t>按照规定要求，矿山</w:t>
      </w:r>
      <w:r>
        <w:rPr>
          <w:rFonts w:hint="eastAsia"/>
          <w:color w:val="auto"/>
          <w:lang w:val="en-US" w:eastAsia="zh-CN"/>
        </w:rPr>
        <w:t>已</w:t>
      </w:r>
      <w:r>
        <w:rPr>
          <w:rFonts w:hint="default"/>
          <w:color w:val="auto"/>
          <w:lang w:val="en-US" w:eastAsia="zh-CN"/>
        </w:rPr>
        <w:t>编制</w:t>
      </w:r>
      <w:r>
        <w:rPr>
          <w:rFonts w:hint="eastAsia"/>
          <w:color w:val="auto"/>
          <w:lang w:val="en-US" w:eastAsia="zh-CN"/>
        </w:rPr>
        <w:t>了</w:t>
      </w:r>
      <w:r>
        <w:rPr>
          <w:rFonts w:hint="default"/>
          <w:color w:val="auto"/>
          <w:lang w:val="en-US" w:eastAsia="zh-CN"/>
        </w:rPr>
        <w:t>矿山事故应急预案</w:t>
      </w:r>
      <w:r>
        <w:rPr>
          <w:rFonts w:hint="eastAsia"/>
          <w:color w:val="auto"/>
          <w:lang w:val="en-US" w:eastAsia="zh-CN"/>
        </w:rPr>
        <w:t>，</w:t>
      </w:r>
      <w:r>
        <w:rPr>
          <w:rFonts w:hint="default"/>
          <w:color w:val="auto"/>
          <w:lang w:val="en-US" w:eastAsia="zh-CN"/>
        </w:rPr>
        <w:t>并做好</w:t>
      </w:r>
      <w:r>
        <w:rPr>
          <w:rFonts w:hint="eastAsia"/>
          <w:color w:val="auto"/>
          <w:lang w:val="en-US" w:eastAsia="zh-CN"/>
        </w:rPr>
        <w:t>了</w:t>
      </w:r>
      <w:r>
        <w:rPr>
          <w:rFonts w:hint="default"/>
          <w:color w:val="auto"/>
          <w:lang w:val="en-US" w:eastAsia="zh-CN"/>
        </w:rPr>
        <w:t>井下避灾路线的标识。</w:t>
      </w:r>
    </w:p>
    <w:p w14:paraId="06717A7B">
      <w:pPr>
        <w:pStyle w:val="4"/>
        <w:bidi w:val="0"/>
        <w:rPr>
          <w:rFonts w:hint="default"/>
          <w:color w:val="auto"/>
          <w:lang w:val="en-US" w:eastAsia="zh-CN"/>
        </w:rPr>
      </w:pPr>
      <w:bookmarkStart w:id="211" w:name="_Toc10529"/>
      <w:bookmarkStart w:id="212" w:name="_Toc24624"/>
      <w:bookmarkStart w:id="213" w:name="_Toc25130"/>
      <w:bookmarkStart w:id="214" w:name="_Toc27330"/>
      <w:r>
        <w:rPr>
          <w:rFonts w:hint="default"/>
          <w:color w:val="auto"/>
          <w:lang w:val="en-US" w:eastAsia="zh-CN"/>
        </w:rPr>
        <w:t>2.4.1</w:t>
      </w:r>
      <w:r>
        <w:rPr>
          <w:rFonts w:hint="eastAsia"/>
          <w:color w:val="auto"/>
          <w:lang w:val="en-US" w:eastAsia="zh-CN"/>
        </w:rPr>
        <w:t xml:space="preserve">4 </w:t>
      </w:r>
      <w:r>
        <w:rPr>
          <w:rFonts w:hint="default"/>
          <w:color w:val="auto"/>
          <w:lang w:val="en-US" w:eastAsia="zh-CN"/>
        </w:rPr>
        <w:t>压风及供水系统</w:t>
      </w:r>
      <w:bookmarkEnd w:id="211"/>
      <w:bookmarkEnd w:id="212"/>
      <w:bookmarkEnd w:id="213"/>
      <w:bookmarkEnd w:id="214"/>
    </w:p>
    <w:p w14:paraId="2EBF150A">
      <w:pPr>
        <w:rPr>
          <w:rFonts w:hint="eastAsia"/>
          <w:color w:val="auto"/>
          <w:lang w:val="en-US" w:eastAsia="zh-CN"/>
        </w:rPr>
      </w:pPr>
      <w:r>
        <w:rPr>
          <w:rFonts w:hint="eastAsia"/>
          <w:color w:val="auto"/>
          <w:lang w:val="en-US" w:eastAsia="zh-CN"/>
        </w:rPr>
        <w:t>一、压</w:t>
      </w:r>
      <w:r>
        <w:rPr>
          <w:rFonts w:hint="default"/>
          <w:color w:val="auto"/>
          <w:lang w:val="en-US" w:eastAsia="zh-CN"/>
        </w:rPr>
        <w:t>风</w:t>
      </w:r>
      <w:r>
        <w:rPr>
          <w:rFonts w:hint="eastAsia"/>
          <w:color w:val="auto"/>
          <w:lang w:val="en-US" w:eastAsia="zh-CN"/>
        </w:rPr>
        <w:t>系统</w:t>
      </w:r>
    </w:p>
    <w:p w14:paraId="197867AA">
      <w:pPr>
        <w:rPr>
          <w:rFonts w:hint="default"/>
          <w:color w:val="auto"/>
          <w:lang w:val="en-US" w:eastAsia="zh-CN"/>
        </w:rPr>
      </w:pPr>
      <w:r>
        <w:rPr>
          <w:rFonts w:hint="default"/>
          <w:color w:val="auto"/>
          <w:lang w:val="en-US" w:eastAsia="zh-CN"/>
        </w:rPr>
        <w:t>矿山现有3台DSR-100A型空压机，布置在主斜坡道井口旁，可利用，需新增1台DSR-100A型空压机备用</w:t>
      </w:r>
      <w:r>
        <w:rPr>
          <w:rFonts w:hint="eastAsia"/>
          <w:color w:val="auto"/>
          <w:lang w:val="en-US" w:eastAsia="zh-CN"/>
        </w:rPr>
        <w:t>，</w:t>
      </w:r>
      <w:r>
        <w:rPr>
          <w:rFonts w:hint="default"/>
          <w:color w:val="auto"/>
          <w:lang w:val="en-US" w:eastAsia="zh-CN"/>
        </w:rPr>
        <w:t>供风管道沿主斜坡道铺设。压风管主管管径为DN150、采掘工作面支管管径为DN50</w:t>
      </w:r>
      <w:r>
        <w:rPr>
          <w:rFonts w:hint="eastAsia"/>
          <w:color w:val="auto"/>
          <w:lang w:val="en-US" w:eastAsia="zh-CN"/>
        </w:rPr>
        <w:t>。</w:t>
      </w:r>
    </w:p>
    <w:p w14:paraId="11FB3FB2">
      <w:pPr>
        <w:rPr>
          <w:rFonts w:hint="default"/>
          <w:color w:val="auto"/>
          <w:lang w:val="en-US" w:eastAsia="zh-CN"/>
        </w:rPr>
      </w:pPr>
      <w:r>
        <w:rPr>
          <w:rFonts w:hint="default"/>
          <w:color w:val="auto"/>
          <w:lang w:val="en-US" w:eastAsia="zh-CN"/>
        </w:rPr>
        <w:t>经江西华安检测技术有限公司检测，</w:t>
      </w:r>
      <w:r>
        <w:rPr>
          <w:rFonts w:hint="eastAsia"/>
          <w:color w:val="auto"/>
          <w:lang w:val="en-US" w:eastAsia="zh-CN"/>
        </w:rPr>
        <w:t>目前</w:t>
      </w:r>
      <w:r>
        <w:rPr>
          <w:rFonts w:hint="default"/>
          <w:color w:val="auto"/>
          <w:lang w:val="en-US" w:eastAsia="zh-CN"/>
        </w:rPr>
        <w:t>主斜坡道井口空压机房内3台空气压缩机检测检验结论为合格。</w:t>
      </w:r>
    </w:p>
    <w:p w14:paraId="069A24C9">
      <w:pPr>
        <w:rPr>
          <w:rFonts w:hint="default"/>
          <w:color w:val="auto"/>
          <w:lang w:val="en-US" w:eastAsia="zh-CN"/>
        </w:rPr>
      </w:pPr>
      <w:r>
        <w:rPr>
          <w:rFonts w:hint="default"/>
          <w:color w:val="auto"/>
          <w:lang w:val="en-US" w:eastAsia="zh-CN"/>
        </w:rPr>
        <w:t>二、</w:t>
      </w:r>
      <w:r>
        <w:rPr>
          <w:rFonts w:hint="eastAsia"/>
          <w:color w:val="auto"/>
          <w:lang w:val="en-US" w:eastAsia="zh-CN"/>
        </w:rPr>
        <w:t>供水</w:t>
      </w:r>
      <w:r>
        <w:rPr>
          <w:rFonts w:hint="default"/>
          <w:color w:val="auto"/>
          <w:lang w:val="en-US" w:eastAsia="zh-CN"/>
        </w:rPr>
        <w:t>系统</w:t>
      </w:r>
    </w:p>
    <w:p w14:paraId="7D3DA340">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矿井用水量</w:t>
      </w:r>
    </w:p>
    <w:p w14:paraId="2827A5B7">
      <w:pPr>
        <w:rPr>
          <w:rFonts w:hint="default"/>
          <w:color w:val="auto"/>
          <w:lang w:val="en-US" w:eastAsia="zh-CN"/>
        </w:rPr>
      </w:pPr>
      <w:r>
        <w:rPr>
          <w:rFonts w:hint="default"/>
          <w:color w:val="auto"/>
          <w:lang w:val="en-US" w:eastAsia="zh-CN"/>
        </w:rPr>
        <w:t>宁都硫铁矿用水量包括工业场地用水量、居住区生活用水量、井下消防用水量和井下洒水用水量。</w:t>
      </w:r>
    </w:p>
    <w:p w14:paraId="47E629FD">
      <w:pPr>
        <w:rPr>
          <w:rFonts w:hint="default"/>
          <w:color w:val="auto"/>
          <w:lang w:val="en-US" w:eastAsia="zh-CN"/>
        </w:rPr>
      </w:pPr>
      <w:r>
        <w:rPr>
          <w:rFonts w:hint="eastAsia"/>
          <w:color w:val="auto"/>
          <w:lang w:val="en-US" w:eastAsia="zh-CN"/>
        </w:rPr>
        <w:t>（</w:t>
      </w:r>
      <w:r>
        <w:rPr>
          <w:rFonts w:hint="default"/>
          <w:color w:val="auto"/>
          <w:lang w:val="en-US" w:eastAsia="zh-CN"/>
        </w:rPr>
        <w:t>1）工业场地用水量</w:t>
      </w:r>
    </w:p>
    <w:p w14:paraId="526B03B8">
      <w:pPr>
        <w:rPr>
          <w:rFonts w:hint="default"/>
          <w:color w:val="auto"/>
          <w:lang w:val="en-US" w:eastAsia="zh-CN"/>
        </w:rPr>
      </w:pPr>
      <w:r>
        <w:rPr>
          <w:rFonts w:hint="default"/>
          <w:color w:val="auto"/>
          <w:lang w:val="en-US" w:eastAsia="zh-CN"/>
        </w:rPr>
        <w:t>工业场地用水量标准及使用时间如下：</w:t>
      </w:r>
    </w:p>
    <w:p w14:paraId="690A3064">
      <w:pPr>
        <w:rPr>
          <w:rFonts w:hint="default"/>
          <w:color w:val="auto"/>
          <w:lang w:val="en-US" w:eastAsia="zh-CN"/>
        </w:rPr>
      </w:pPr>
      <w:r>
        <w:rPr>
          <w:rFonts w:hint="default"/>
          <w:color w:val="auto"/>
          <w:lang w:val="en-US" w:eastAsia="zh-CN"/>
        </w:rPr>
        <w:t>生活饮用水：40L/人</w:t>
      </w:r>
      <w:r>
        <w:rPr>
          <w:rFonts w:ascii="仿宋" w:hAnsi="仿宋" w:eastAsia="仿宋" w:cs="仿宋"/>
          <w:color w:val="auto"/>
          <w:spacing w:val="-4"/>
          <w:sz w:val="27"/>
          <w:szCs w:val="27"/>
        </w:rPr>
        <w:t>·</w:t>
      </w:r>
      <w:r>
        <w:rPr>
          <w:rFonts w:hint="default"/>
          <w:color w:val="auto"/>
          <w:lang w:val="en-US" w:eastAsia="zh-CN"/>
        </w:rPr>
        <w:t>班</w:t>
      </w:r>
    </w:p>
    <w:p w14:paraId="144A6744">
      <w:pPr>
        <w:rPr>
          <w:rFonts w:hint="default"/>
          <w:color w:val="auto"/>
          <w:lang w:val="en-US" w:eastAsia="zh-CN"/>
        </w:rPr>
      </w:pPr>
      <w:r>
        <w:rPr>
          <w:rFonts w:hint="default"/>
          <w:color w:val="auto"/>
          <w:lang w:val="en-US" w:eastAsia="zh-CN"/>
        </w:rPr>
        <w:t>食堂用水：20L/人</w:t>
      </w:r>
      <w:r>
        <w:rPr>
          <w:rFonts w:ascii="仿宋" w:hAnsi="仿宋" w:eastAsia="仿宋" w:cs="仿宋"/>
          <w:color w:val="auto"/>
          <w:spacing w:val="-4"/>
          <w:sz w:val="27"/>
          <w:szCs w:val="27"/>
        </w:rPr>
        <w:t>·</w:t>
      </w:r>
      <w:r>
        <w:rPr>
          <w:rFonts w:hint="default"/>
          <w:color w:val="auto"/>
          <w:lang w:val="en-US" w:eastAsia="zh-CN"/>
        </w:rPr>
        <w:t>餐</w:t>
      </w:r>
    </w:p>
    <w:p w14:paraId="2D2D1282">
      <w:pPr>
        <w:rPr>
          <w:rFonts w:hint="default"/>
          <w:color w:val="auto"/>
          <w:lang w:val="en-US" w:eastAsia="zh-CN"/>
        </w:rPr>
      </w:pPr>
      <w:r>
        <w:rPr>
          <w:rFonts w:hint="default"/>
          <w:color w:val="auto"/>
          <w:lang w:val="en-US" w:eastAsia="zh-CN"/>
        </w:rPr>
        <w:t>淋浴用水：每个淋浴器按540L/h计，延续时间每班1h。</w:t>
      </w:r>
    </w:p>
    <w:p w14:paraId="02BD5069">
      <w:pPr>
        <w:rPr>
          <w:rFonts w:hint="default"/>
          <w:color w:val="auto"/>
          <w:lang w:val="en-US" w:eastAsia="zh-CN"/>
        </w:rPr>
      </w:pPr>
      <w:r>
        <w:rPr>
          <w:rFonts w:hint="default"/>
          <w:color w:val="auto"/>
          <w:lang w:val="en-US" w:eastAsia="zh-CN"/>
        </w:rPr>
        <w:t>洗衣房用水：80L/kg干衣</w:t>
      </w:r>
    </w:p>
    <w:p w14:paraId="3F252F93">
      <w:pPr>
        <w:rPr>
          <w:rFonts w:hint="default"/>
          <w:color w:val="auto"/>
          <w:lang w:val="en-US" w:eastAsia="zh-CN"/>
        </w:rPr>
      </w:pPr>
      <w:r>
        <w:rPr>
          <w:rFonts w:hint="default"/>
          <w:color w:val="auto"/>
          <w:lang w:val="en-US" w:eastAsia="zh-CN"/>
        </w:rPr>
        <w:t>居住区生活用水：150L/人</w:t>
      </w:r>
      <w:r>
        <w:rPr>
          <w:rFonts w:ascii="仿宋" w:hAnsi="仿宋" w:eastAsia="仿宋" w:cs="仿宋"/>
          <w:color w:val="auto"/>
          <w:spacing w:val="-4"/>
          <w:sz w:val="27"/>
          <w:szCs w:val="27"/>
        </w:rPr>
        <w:t>·</w:t>
      </w:r>
      <w:r>
        <w:rPr>
          <w:rFonts w:hint="default"/>
          <w:color w:val="auto"/>
          <w:lang w:val="en-US" w:eastAsia="zh-CN"/>
        </w:rPr>
        <w:t>日，用水时间24h。</w:t>
      </w:r>
    </w:p>
    <w:p w14:paraId="18095074">
      <w:pPr>
        <w:bidi w:val="0"/>
        <w:rPr>
          <w:rFonts w:hint="eastAsia"/>
          <w:color w:val="auto"/>
          <w:lang w:val="en-US" w:eastAsia="zh-CN"/>
        </w:rPr>
      </w:pPr>
      <w:r>
        <w:rPr>
          <w:rFonts w:hint="eastAsia"/>
          <w:color w:val="auto"/>
          <w:lang w:val="en-US" w:eastAsia="zh-CN"/>
        </w:rPr>
        <w:t>（</w:t>
      </w:r>
      <w:r>
        <w:rPr>
          <w:rFonts w:hint="eastAsia" w:ascii="Times New Roman" w:eastAsia="宋体"/>
          <w:color w:val="auto"/>
          <w:lang w:val="en-US" w:eastAsia="zh-CN"/>
        </w:rPr>
        <w:t>2</w:t>
      </w:r>
      <w:r>
        <w:rPr>
          <w:rFonts w:hint="default"/>
          <w:color w:val="auto"/>
          <w:lang w:val="en-US" w:eastAsia="zh-CN"/>
        </w:rPr>
        <w:t>）</w:t>
      </w:r>
      <w:r>
        <w:rPr>
          <w:rFonts w:hint="eastAsia" w:ascii="Times New Roman" w:eastAsia="宋体"/>
          <w:color w:val="auto"/>
          <w:lang w:val="en-US" w:eastAsia="zh-CN"/>
        </w:rPr>
        <w:t>消防用水量</w:t>
      </w:r>
    </w:p>
    <w:p w14:paraId="0A1E97E3">
      <w:pPr>
        <w:rPr>
          <w:rFonts w:hint="eastAsia"/>
          <w:color w:val="auto"/>
          <w:lang w:val="en-US" w:eastAsia="zh-CN"/>
        </w:rPr>
      </w:pPr>
      <w:r>
        <w:rPr>
          <w:rFonts w:hint="eastAsia" w:ascii="Times New Roman" w:eastAsia="宋体"/>
          <w:color w:val="auto"/>
          <w:lang w:val="en-US" w:eastAsia="zh-CN"/>
        </w:rPr>
        <w:t>工业场地消防用水和井下消防用水按同一时间内一次考虑。工业场地消防用水量162m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/次（15L/s，火灾延续时间3h），井下一次火灾消防用水量为108m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/次。</w:t>
      </w:r>
    </w:p>
    <w:p w14:paraId="62CB7912">
      <w:pPr>
        <w:rPr>
          <w:rFonts w:hint="eastAsia"/>
          <w:color w:val="auto"/>
          <w:lang w:val="en-US" w:eastAsia="zh-CN"/>
        </w:rPr>
      </w:pPr>
      <w:r>
        <w:rPr>
          <w:rFonts w:hint="eastAsia"/>
          <w:color w:val="auto"/>
          <w:lang w:val="en-US" w:eastAsia="zh-CN"/>
        </w:rPr>
        <w:t>（</w:t>
      </w:r>
      <w:r>
        <w:rPr>
          <w:rFonts w:hint="eastAsia" w:ascii="Times New Roman" w:eastAsia="宋体"/>
          <w:color w:val="auto"/>
          <w:lang w:val="en-US" w:eastAsia="zh-CN"/>
        </w:rPr>
        <w:t>3）井下洒水用水量</w:t>
      </w:r>
    </w:p>
    <w:p w14:paraId="21E07451">
      <w:pPr>
        <w:rPr>
          <w:rFonts w:hint="eastAsia"/>
          <w:color w:val="auto"/>
          <w:lang w:val="en-US" w:eastAsia="zh-CN"/>
        </w:rPr>
      </w:pPr>
      <w:r>
        <w:rPr>
          <w:rFonts w:hint="eastAsia" w:ascii="Times New Roman" w:eastAsia="宋体"/>
          <w:color w:val="auto"/>
          <w:lang w:val="en-US" w:eastAsia="zh-CN"/>
        </w:rPr>
        <w:t>井下洒水用水量为157.5m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/d。</w:t>
      </w:r>
    </w:p>
    <w:p w14:paraId="74949044">
      <w:pPr>
        <w:rPr>
          <w:rFonts w:hint="eastAsia"/>
          <w:color w:val="auto"/>
          <w:lang w:val="en-US" w:eastAsia="zh-CN"/>
        </w:rPr>
      </w:pPr>
      <w:r>
        <w:rPr>
          <w:rFonts w:hint="eastAsia"/>
          <w:color w:val="auto"/>
          <w:lang w:val="en-US" w:eastAsia="zh-CN"/>
        </w:rPr>
        <w:t>（</w:t>
      </w:r>
      <w:r>
        <w:rPr>
          <w:rFonts w:hint="eastAsia" w:ascii="Times New Roman" w:eastAsia="宋体"/>
          <w:color w:val="auto"/>
          <w:lang w:val="en-US" w:eastAsia="zh-CN"/>
        </w:rPr>
        <w:t>4）矿井用水量</w:t>
      </w:r>
    </w:p>
    <w:p w14:paraId="0DD26146">
      <w:pPr>
        <w:rPr>
          <w:rFonts w:hint="eastAsia"/>
          <w:color w:val="auto"/>
          <w:lang w:val="en-US" w:eastAsia="zh-CN"/>
        </w:rPr>
      </w:pPr>
      <w:r>
        <w:rPr>
          <w:rFonts w:hint="eastAsia" w:ascii="Times New Roman" w:eastAsia="宋体"/>
          <w:color w:val="auto"/>
          <w:lang w:val="en-US" w:eastAsia="zh-CN"/>
        </w:rPr>
        <w:t>宁都硫铁矿</w:t>
      </w:r>
      <w:r>
        <w:rPr>
          <w:rFonts w:hint="eastAsia"/>
          <w:color w:val="auto"/>
          <w:lang w:val="en-US" w:eastAsia="zh-CN"/>
        </w:rPr>
        <w:t>一次</w:t>
      </w:r>
      <w:r>
        <w:rPr>
          <w:rFonts w:hint="eastAsia" w:ascii="Times New Roman" w:eastAsia="宋体"/>
          <w:color w:val="auto"/>
          <w:lang w:val="en-US" w:eastAsia="zh-CN"/>
        </w:rPr>
        <w:t>最大用水量合计为425.44m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w:t>
      </w:r>
    </w:p>
    <w:p w14:paraId="044861A3">
      <w:pPr>
        <w:rPr>
          <w:rFonts w:hint="eastAsia"/>
          <w:color w:val="auto"/>
          <w:lang w:val="en-US" w:eastAsia="zh-CN"/>
        </w:rPr>
      </w:pPr>
      <w:r>
        <w:rPr>
          <w:rFonts w:hint="eastAsia" w:ascii="Times New Roman" w:eastAsia="宋体"/>
          <w:color w:val="auto"/>
          <w:lang w:val="en-US" w:eastAsia="zh-CN"/>
        </w:rPr>
        <w:t>2. 水源</w:t>
      </w:r>
    </w:p>
    <w:p w14:paraId="5ADA2021">
      <w:pPr>
        <w:rPr>
          <w:rFonts w:hint="default"/>
          <w:color w:val="auto"/>
          <w:lang w:val="en-US" w:eastAsia="zh-CN"/>
        </w:rPr>
      </w:pPr>
      <w:r>
        <w:rPr>
          <w:rFonts w:hint="eastAsia" w:ascii="Times New Roman" w:eastAsia="宋体"/>
          <w:color w:val="auto"/>
          <w:lang w:val="en-US" w:eastAsia="zh-CN"/>
        </w:rPr>
        <w:t>生活用水水源为距矿山办公和生活区约1.5km的茶山迳溪水；生产用水来自副斜井井口附近的污水处理厂的水，矿山供水条件稳定能满足矿区开采生产、生活的需要。</w:t>
      </w:r>
    </w:p>
    <w:p w14:paraId="7EB9A121">
      <w:pPr>
        <w:rPr>
          <w:rFonts w:hint="default"/>
          <w:color w:val="auto"/>
          <w:lang w:val="en-US" w:eastAsia="zh-CN"/>
        </w:rPr>
      </w:pPr>
      <w:r>
        <w:rPr>
          <w:rFonts w:hint="eastAsia" w:ascii="Times New Roman" w:eastAsia="宋体"/>
          <w:color w:val="auto"/>
          <w:lang w:val="en-US" w:eastAsia="zh-CN"/>
        </w:rPr>
        <w:t xml:space="preserve">3. </w:t>
      </w:r>
      <w:r>
        <w:rPr>
          <w:rFonts w:hint="default"/>
          <w:color w:val="auto"/>
          <w:lang w:val="en-US" w:eastAsia="zh-CN"/>
        </w:rPr>
        <w:t>供水系统</w:t>
      </w:r>
    </w:p>
    <w:p w14:paraId="50A006B4">
      <w:pPr>
        <w:rPr>
          <w:rFonts w:hint="default"/>
          <w:color w:val="auto"/>
          <w:lang w:val="en-US" w:eastAsia="zh-CN"/>
        </w:rPr>
      </w:pPr>
      <w:r>
        <w:rPr>
          <w:rFonts w:hint="default"/>
          <w:color w:val="auto"/>
          <w:lang w:val="en-US" w:eastAsia="zh-CN"/>
        </w:rPr>
        <w:t>矿井生产、生活及消防供水系统：</w:t>
      </w:r>
    </w:p>
    <w:p w14:paraId="62ADECCA">
      <w:pPr>
        <w:rPr>
          <w:rFonts w:hint="default"/>
          <w:color w:val="auto"/>
          <w:lang w:val="en-US" w:eastAsia="zh-CN"/>
        </w:rPr>
      </w:pPr>
      <w:r>
        <w:rPr>
          <w:rFonts w:hint="default"/>
          <w:color w:val="auto"/>
          <w:lang w:val="en-US" w:eastAsia="zh-CN"/>
        </w:rPr>
        <w:t>距矿山办公和生活区约1.5km的茶山迳溪水→消毒→加压泵→生活水池→管道输送→矿井生活用水点。</w:t>
      </w:r>
    </w:p>
    <w:p w14:paraId="30E3DF97">
      <w:pPr>
        <w:rPr>
          <w:rFonts w:hint="default"/>
          <w:color w:val="auto"/>
          <w:lang w:val="en-US" w:eastAsia="zh-CN"/>
        </w:rPr>
      </w:pPr>
      <w:r>
        <w:rPr>
          <w:rFonts w:hint="eastAsia" w:ascii="Times New Roman" w:eastAsia="宋体"/>
          <w:color w:val="auto"/>
          <w:lang w:val="en-US" w:eastAsia="zh-CN"/>
        </w:rPr>
        <w:t>副斜井</w:t>
      </w:r>
      <w:r>
        <w:rPr>
          <w:rFonts w:hint="default"/>
          <w:color w:val="auto"/>
          <w:lang w:val="en-US" w:eastAsia="zh-CN"/>
        </w:rPr>
        <w:t>井口附近污水处理厂的水→沉淀消毒→加压泵→高位水池→矿井地面、井下生产用水点及矿井各消防用水点。</w:t>
      </w:r>
    </w:p>
    <w:p w14:paraId="6F72B7AF">
      <w:pPr>
        <w:rPr>
          <w:rFonts w:hint="default"/>
          <w:color w:val="auto"/>
          <w:lang w:val="en-US" w:eastAsia="zh-CN"/>
        </w:rPr>
      </w:pPr>
      <w:r>
        <w:rPr>
          <w:rFonts w:hint="default"/>
          <w:color w:val="auto"/>
          <w:lang w:val="en-US" w:eastAsia="zh-CN"/>
        </w:rPr>
        <w:t>矿井生产及消防用水取自</w:t>
      </w:r>
      <w:r>
        <w:rPr>
          <w:rFonts w:hint="eastAsia" w:ascii="Times New Roman" w:eastAsia="宋体"/>
          <w:color w:val="auto"/>
          <w:lang w:val="en-US" w:eastAsia="zh-CN"/>
        </w:rPr>
        <w:t>副斜井</w:t>
      </w:r>
      <w:r>
        <w:rPr>
          <w:rFonts w:hint="default"/>
          <w:color w:val="auto"/>
          <w:lang w:val="en-US" w:eastAsia="zh-CN"/>
        </w:rPr>
        <w:t>井口附近的污水处理厂的水，经加压泵（150QJ20-60/10型、Q=20m</w:t>
      </w:r>
      <w:r>
        <w:rPr>
          <w:rFonts w:hint="default"/>
          <w:color w:val="auto"/>
          <w:vertAlign w:val="superscript"/>
          <w:lang w:val="en-US" w:eastAsia="zh-CN"/>
        </w:rPr>
        <w:t>3</w:t>
      </w:r>
      <w:r>
        <w:rPr>
          <w:rFonts w:hint="default"/>
          <w:color w:val="auto"/>
          <w:lang w:val="en-US" w:eastAsia="zh-CN"/>
        </w:rPr>
        <w:t>/h、H=60m；7.5kW、380V、2台、1用1备）提升至高位水池，再供至矿井井下生产及矿井各消防用水点，高位水池总有效容积300m</w:t>
      </w:r>
      <w:r>
        <w:rPr>
          <w:rFonts w:hint="default"/>
          <w:color w:val="auto"/>
          <w:vertAlign w:val="superscript"/>
          <w:lang w:val="en-US" w:eastAsia="zh-CN"/>
        </w:rPr>
        <w:t>3</w:t>
      </w:r>
      <w:r>
        <w:rPr>
          <w:rFonts w:hint="default"/>
          <w:color w:val="auto"/>
          <w:lang w:val="en-US" w:eastAsia="zh-CN"/>
        </w:rPr>
        <w:t>（高位水池标高为+293m，取点水标高+245m），其中消防贮水量200m</w:t>
      </w:r>
      <w:r>
        <w:rPr>
          <w:rFonts w:hint="default"/>
          <w:color w:val="auto"/>
          <w:vertAlign w:val="superscript"/>
          <w:lang w:val="en-US" w:eastAsia="zh-CN"/>
        </w:rPr>
        <w:t>3</w:t>
      </w:r>
      <w:r>
        <w:rPr>
          <w:rFonts w:hint="default"/>
          <w:color w:val="auto"/>
          <w:lang w:val="en-US" w:eastAsia="zh-CN"/>
        </w:rPr>
        <w:t>，设有不作他用的措施，其余为生产调节水量，同时应加强生活用水的水质保护。</w:t>
      </w:r>
    </w:p>
    <w:p w14:paraId="04C57A54">
      <w:pPr>
        <w:rPr>
          <w:rFonts w:hint="default"/>
          <w:color w:val="auto"/>
          <w:lang w:val="en-US" w:eastAsia="zh-CN"/>
        </w:rPr>
      </w:pPr>
      <w:r>
        <w:rPr>
          <w:rFonts w:hint="default"/>
          <w:color w:val="auto"/>
          <w:lang w:val="en-US" w:eastAsia="zh-CN"/>
        </w:rPr>
        <w:t>工业场地用水，采用硬聚氯乙烯给水管（UPVC），供至工业场地、浴室、厕所、招待所等处，配水管主管管径为</w:t>
      </w:r>
      <w:r>
        <w:rPr>
          <w:rFonts w:hint="eastAsia" w:ascii="Times New Roman" w:eastAsia="宋体"/>
          <w:color w:val="auto"/>
          <w:lang w:val="en-US" w:eastAsia="zh-CN"/>
        </w:rPr>
        <w:t>D</w:t>
      </w:r>
      <w:r>
        <w:rPr>
          <w:rFonts w:hint="default"/>
          <w:color w:val="auto"/>
          <w:lang w:val="en-US" w:eastAsia="zh-CN"/>
        </w:rPr>
        <w:t>110，干管采用环状和枝状相结合布置方式，配水到食堂、浴室等处用水点。支管根据各用水点用水量及消火栓水量确定。在浴室上部设置不锈钢热水水箱（10m</w:t>
      </w:r>
      <w:r>
        <w:rPr>
          <w:rFonts w:hint="default"/>
          <w:color w:val="auto"/>
          <w:vertAlign w:val="superscript"/>
          <w:lang w:val="en-US" w:eastAsia="zh-CN"/>
        </w:rPr>
        <w:t>3</w:t>
      </w:r>
      <w:r>
        <w:rPr>
          <w:rFonts w:hint="default"/>
          <w:color w:val="auto"/>
          <w:lang w:val="en-US" w:eastAsia="zh-CN"/>
        </w:rPr>
        <w:t>）储存热水用水量。</w:t>
      </w:r>
    </w:p>
    <w:p w14:paraId="68D44CC6">
      <w:pPr>
        <w:pStyle w:val="4"/>
        <w:bidi w:val="0"/>
        <w:rPr>
          <w:rFonts w:hint="eastAsia"/>
          <w:color w:val="auto"/>
          <w:lang w:val="en-US" w:eastAsia="zh-CN"/>
        </w:rPr>
      </w:pPr>
      <w:bookmarkStart w:id="215" w:name="_Toc11407"/>
      <w:bookmarkStart w:id="216" w:name="_Toc25191"/>
      <w:bookmarkStart w:id="217" w:name="_Toc22693"/>
      <w:bookmarkStart w:id="218" w:name="_Toc31060"/>
      <w:r>
        <w:rPr>
          <w:rFonts w:hint="eastAsia"/>
          <w:color w:val="auto"/>
          <w:lang w:val="en-US" w:eastAsia="zh-CN"/>
        </w:rPr>
        <w:t>2.4.15 主要设备选型</w:t>
      </w:r>
      <w:bookmarkEnd w:id="215"/>
      <w:bookmarkEnd w:id="216"/>
      <w:bookmarkEnd w:id="217"/>
      <w:bookmarkEnd w:id="218"/>
    </w:p>
    <w:p w14:paraId="592D6BC6">
      <w:pPr>
        <w:rPr>
          <w:rFonts w:hint="eastAsia"/>
          <w:color w:val="auto"/>
          <w:lang w:val="en-US" w:eastAsia="zh-CN"/>
        </w:rPr>
      </w:pPr>
      <w:r>
        <w:rPr>
          <w:rFonts w:hint="eastAsia"/>
          <w:color w:val="auto"/>
          <w:lang w:val="en-US" w:eastAsia="zh-CN"/>
        </w:rPr>
        <w:t>1. 提升运输设备</w:t>
      </w:r>
    </w:p>
    <w:p w14:paraId="0D326AA5">
      <w:pPr>
        <w:rPr>
          <w:rFonts w:hint="eastAsia"/>
          <w:color w:val="auto"/>
          <w:lang w:val="en-US" w:eastAsia="zh-CN"/>
        </w:rPr>
      </w:pPr>
      <w:r>
        <w:rPr>
          <w:rFonts w:hint="eastAsia"/>
          <w:color w:val="auto"/>
          <w:lang w:val="en-US" w:eastAsia="zh-CN"/>
        </w:rPr>
        <w:t>主斜坡道采用UQ-12矿用自卸车运输。副斜井作为安全通道，电缆和水管沿副斜井铺设。</w:t>
      </w:r>
    </w:p>
    <w:p w14:paraId="413F6CBB">
      <w:pPr>
        <w:rPr>
          <w:rFonts w:hint="eastAsia"/>
          <w:color w:val="auto"/>
          <w:lang w:val="en-US" w:eastAsia="zh-CN"/>
        </w:rPr>
      </w:pPr>
      <w:r>
        <w:rPr>
          <w:rFonts w:hint="eastAsia"/>
          <w:color w:val="auto"/>
          <w:lang w:val="en-US" w:eastAsia="zh-CN"/>
        </w:rPr>
        <w:t>2. 中段运输设备</w:t>
      </w:r>
    </w:p>
    <w:p w14:paraId="7B86B46D">
      <w:pPr>
        <w:rPr>
          <w:rFonts w:hint="eastAsia"/>
          <w:color w:val="auto"/>
          <w:lang w:val="en-US" w:eastAsia="zh-CN"/>
        </w:rPr>
      </w:pPr>
      <w:r>
        <w:rPr>
          <w:rFonts w:hint="eastAsia"/>
          <w:color w:val="auto"/>
          <w:lang w:val="en-US" w:eastAsia="zh-CN"/>
        </w:rPr>
        <w:t>中段运输采用UQ-12矿用自卸车无轨矿车。</w:t>
      </w:r>
    </w:p>
    <w:p w14:paraId="4A6F4500">
      <w:pPr>
        <w:rPr>
          <w:rFonts w:hint="eastAsia"/>
          <w:color w:val="auto"/>
          <w:lang w:val="en-US" w:eastAsia="zh-CN"/>
        </w:rPr>
      </w:pPr>
      <w:r>
        <w:rPr>
          <w:rFonts w:hint="eastAsia"/>
          <w:color w:val="auto"/>
          <w:lang w:val="en-US" w:eastAsia="zh-CN"/>
        </w:rPr>
        <w:t>3. 通风设备</w:t>
      </w:r>
    </w:p>
    <w:p w14:paraId="6A151EB3">
      <w:pPr>
        <w:rPr>
          <w:rFonts w:hint="eastAsia"/>
          <w:color w:val="auto"/>
          <w:lang w:val="en-US" w:eastAsia="zh-CN"/>
        </w:rPr>
      </w:pPr>
      <w:r>
        <w:rPr>
          <w:rFonts w:hint="eastAsia"/>
          <w:color w:val="auto"/>
          <w:lang w:val="en-US" w:eastAsia="zh-CN"/>
        </w:rPr>
        <w:t>南风井口利用现有一台FKZ-6-N</w:t>
      </w:r>
      <w:r>
        <w:rPr>
          <w:rFonts w:hint="eastAsia"/>
          <w:color w:val="auto"/>
          <w:vertAlign w:val="subscript"/>
          <w:lang w:val="en-US" w:eastAsia="zh-CN"/>
        </w:rPr>
        <w:t>o</w:t>
      </w:r>
      <w:r>
        <w:rPr>
          <w:rFonts w:hint="eastAsia"/>
          <w:color w:val="auto"/>
          <w:lang w:val="en-US" w:eastAsia="zh-CN"/>
        </w:rPr>
        <w:t>19/200型防爆轴流通风机、电机Y355M-6、200kW、380V，另配备一台相同型号和规格的电动机，设备应有矿用产品安全标志。</w:t>
      </w:r>
    </w:p>
    <w:p w14:paraId="77943CB3">
      <w:pPr>
        <w:rPr>
          <w:rFonts w:hint="eastAsia"/>
          <w:color w:val="auto"/>
          <w:lang w:val="en-US" w:eastAsia="zh-CN"/>
        </w:rPr>
      </w:pPr>
      <w:r>
        <w:rPr>
          <w:rFonts w:hint="eastAsia"/>
          <w:color w:val="auto"/>
          <w:lang w:val="en-US" w:eastAsia="zh-CN"/>
        </w:rPr>
        <w:t>北风井风机：开采11-7号勘探线之间的矿体时，将南风井</w:t>
      </w:r>
      <w:r>
        <w:rPr>
          <w:rFonts w:hint="default"/>
          <w:b w:val="0"/>
          <w:bCs w:val="0"/>
          <w:color w:val="auto"/>
          <w:lang w:val="en-US" w:eastAsia="zh-CN"/>
        </w:rPr>
        <w:t>（</w:t>
      </w:r>
      <w:r>
        <w:rPr>
          <w:rFonts w:hint="eastAsia"/>
          <w:color w:val="auto"/>
          <w:lang w:val="en-US" w:eastAsia="zh-CN"/>
        </w:rPr>
        <w:t>的一台FKZ-6-N</w:t>
      </w:r>
      <w:r>
        <w:rPr>
          <w:rFonts w:hint="eastAsia"/>
          <w:color w:val="auto"/>
          <w:vertAlign w:val="subscript"/>
          <w:lang w:val="en-US" w:eastAsia="zh-CN"/>
        </w:rPr>
        <w:t>o</w:t>
      </w:r>
      <w:r>
        <w:rPr>
          <w:rFonts w:hint="eastAsia"/>
          <w:color w:val="auto"/>
          <w:lang w:val="en-US" w:eastAsia="zh-CN"/>
        </w:rPr>
        <w:t>19/200型防爆轴流通风机和两台Y355M-6、200kW、380V电机转移至北风井。</w:t>
      </w:r>
    </w:p>
    <w:p w14:paraId="5664036B">
      <w:pPr>
        <w:rPr>
          <w:rFonts w:hint="eastAsia"/>
          <w:color w:val="auto"/>
          <w:lang w:val="en-US" w:eastAsia="zh-CN"/>
        </w:rPr>
      </w:pPr>
      <w:r>
        <w:rPr>
          <w:rFonts w:hint="eastAsia"/>
          <w:color w:val="auto"/>
          <w:lang w:val="en-US" w:eastAsia="zh-CN"/>
        </w:rPr>
        <w:t>4. 排水设备</w:t>
      </w:r>
    </w:p>
    <w:p w14:paraId="48F43C8C">
      <w:pPr>
        <w:rPr>
          <w:rFonts w:hint="eastAsia"/>
          <w:color w:val="auto"/>
          <w:lang w:val="en-US" w:eastAsia="zh-CN"/>
        </w:rPr>
      </w:pPr>
      <w:r>
        <w:rPr>
          <w:rFonts w:hint="eastAsia"/>
          <w:color w:val="auto"/>
          <w:lang w:val="en-US" w:eastAsia="zh-CN"/>
        </w:rPr>
        <w:t>根据矿井开拓情况，采用一级排水，即+100m中段转排至+260m排水平窿，然后自流至酸水处理厂。</w:t>
      </w:r>
    </w:p>
    <w:p w14:paraId="31D95293">
      <w:pPr>
        <w:rPr>
          <w:rFonts w:hint="eastAsia"/>
          <w:color w:val="auto"/>
          <w:lang w:val="en-US" w:eastAsia="zh-CN"/>
        </w:rPr>
      </w:pPr>
      <w:r>
        <w:rPr>
          <w:rFonts w:hint="eastAsia"/>
          <w:color w:val="auto"/>
          <w:lang w:val="en-US" w:eastAsia="zh-CN"/>
        </w:rPr>
        <w:t>+100m中段水泵房利用现有4台DF155-30×7型耐酸水泵，其中：2台工作、1台备用、1台检修，能满足排水要求，水泵配套电动机160kW、380V，排水管路2趟D219×9耐腐蚀性钢塑复合钢管，吸水管路D273×9耐腐蚀性钢塑塑造复合钢管均能满足排水要求。</w:t>
      </w:r>
    </w:p>
    <w:p w14:paraId="1CEFA6E6">
      <w:pPr>
        <w:rPr>
          <w:rFonts w:hint="eastAsia"/>
          <w:color w:val="auto"/>
          <w:lang w:val="en-US" w:eastAsia="zh-CN"/>
        </w:rPr>
      </w:pPr>
      <w:r>
        <w:rPr>
          <w:rFonts w:hint="eastAsia"/>
          <w:color w:val="auto"/>
          <w:lang w:val="en-US" w:eastAsia="zh-CN"/>
        </w:rPr>
        <w:t>5. 压风机</w:t>
      </w:r>
    </w:p>
    <w:p w14:paraId="084EF372">
      <w:pPr>
        <w:rPr>
          <w:rFonts w:hint="eastAsia"/>
          <w:color w:val="auto"/>
          <w:lang w:val="en-US" w:eastAsia="zh-CN"/>
        </w:rPr>
      </w:pPr>
      <w:r>
        <w:rPr>
          <w:rFonts w:hint="eastAsia"/>
          <w:color w:val="auto"/>
          <w:lang w:val="en-US" w:eastAsia="zh-CN"/>
        </w:rPr>
        <w:t>在地面斜坡道井口附近设有空压机站，考虑经济合理性，矿山现有三台DSR-100A型空压机可利用，另需增加1台DSR-100A型空压机作为备用。其中：3台工作、1台备用。</w:t>
      </w:r>
    </w:p>
    <w:p w14:paraId="274C91F9">
      <w:pPr>
        <w:pStyle w:val="4"/>
        <w:bidi w:val="0"/>
        <w:rPr>
          <w:rFonts w:hint="eastAsia"/>
          <w:color w:val="auto"/>
          <w:lang w:val="en-US" w:eastAsia="zh-CN"/>
        </w:rPr>
      </w:pPr>
      <w:bookmarkStart w:id="219" w:name="_Toc12722"/>
      <w:bookmarkStart w:id="220" w:name="_Toc18465"/>
      <w:bookmarkStart w:id="221" w:name="_Toc16523"/>
      <w:bookmarkStart w:id="222" w:name="_Toc12733"/>
      <w:r>
        <w:rPr>
          <w:rFonts w:hint="eastAsia"/>
          <w:color w:val="auto"/>
          <w:lang w:val="en-US" w:eastAsia="zh-CN"/>
        </w:rPr>
        <w:t>2.4.16 充填系统</w:t>
      </w:r>
      <w:bookmarkEnd w:id="219"/>
    </w:p>
    <w:p w14:paraId="7676E50A">
      <w:pPr>
        <w:rPr>
          <w:rFonts w:hint="default"/>
          <w:color w:val="auto"/>
          <w:lang w:val="en-US" w:eastAsia="zh-CN"/>
        </w:rPr>
      </w:pPr>
      <w:r>
        <w:rPr>
          <w:rFonts w:hint="default"/>
          <w:color w:val="auto"/>
          <w:lang w:val="en-US" w:eastAsia="zh-CN"/>
        </w:rPr>
        <w:t>根据行业发展形势以及矿山安全生产要求，宁都硫铁矿</w:t>
      </w:r>
      <w:r>
        <w:rPr>
          <w:rFonts w:hint="eastAsia"/>
          <w:color w:val="auto"/>
          <w:lang w:val="en-US" w:eastAsia="zh-CN"/>
        </w:rPr>
        <w:t>计划</w:t>
      </w:r>
      <w:r>
        <w:rPr>
          <w:rFonts w:hint="default"/>
          <w:color w:val="auto"/>
          <w:lang w:val="en-US" w:eastAsia="zh-CN"/>
        </w:rPr>
        <w:t>建立尾砂胶结充填系统，利用选厂尾砂，在井口地面建立充填站，充填站</w:t>
      </w:r>
      <w:r>
        <w:rPr>
          <w:rFonts w:hint="eastAsia"/>
          <w:color w:val="auto"/>
          <w:lang w:val="en-US" w:eastAsia="zh-CN"/>
        </w:rPr>
        <w:t>计划</w:t>
      </w:r>
      <w:r>
        <w:rPr>
          <w:rFonts w:hint="default"/>
          <w:color w:val="auto"/>
          <w:lang w:val="en-US" w:eastAsia="zh-CN"/>
        </w:rPr>
        <w:t>充填能力20m</w:t>
      </w:r>
      <w:r>
        <w:rPr>
          <w:rFonts w:hint="default"/>
          <w:color w:val="auto"/>
          <w:vertAlign w:val="superscript"/>
          <w:lang w:val="en-US" w:eastAsia="zh-CN"/>
        </w:rPr>
        <w:t>3</w:t>
      </w:r>
      <w:r>
        <w:rPr>
          <w:rFonts w:hint="default"/>
          <w:color w:val="auto"/>
          <w:lang w:val="en-US" w:eastAsia="zh-CN"/>
        </w:rPr>
        <w:t>/h。</w:t>
      </w:r>
    </w:p>
    <w:p w14:paraId="40508A4A">
      <w:pPr>
        <w:pStyle w:val="4"/>
        <w:bidi w:val="0"/>
        <w:rPr>
          <w:rFonts w:hint="default"/>
          <w:color w:val="auto"/>
          <w:lang w:val="en-US" w:eastAsia="zh-CN"/>
        </w:rPr>
      </w:pPr>
      <w:bookmarkStart w:id="223" w:name="_Toc22729"/>
      <w:r>
        <w:rPr>
          <w:rFonts w:hint="eastAsia"/>
          <w:color w:val="auto"/>
          <w:lang w:val="en-US" w:eastAsia="zh-CN"/>
        </w:rPr>
        <w:t xml:space="preserve">2.4.17 </w:t>
      </w:r>
      <w:r>
        <w:rPr>
          <w:rFonts w:hint="default"/>
          <w:color w:val="auto"/>
          <w:lang w:val="en-US" w:eastAsia="zh-CN"/>
        </w:rPr>
        <w:t>安全出口</w:t>
      </w:r>
      <w:bookmarkEnd w:id="220"/>
      <w:bookmarkEnd w:id="221"/>
      <w:bookmarkEnd w:id="222"/>
      <w:bookmarkEnd w:id="223"/>
    </w:p>
    <w:p w14:paraId="4584F9B5">
      <w:pPr>
        <w:bidi w:val="0"/>
        <w:rPr>
          <w:rFonts w:hint="default"/>
          <w:color w:val="auto"/>
          <w:lang w:val="en-US" w:eastAsia="zh-CN"/>
        </w:rPr>
      </w:pPr>
      <w:r>
        <w:rPr>
          <w:rFonts w:hint="default"/>
          <w:color w:val="auto"/>
          <w:lang w:val="en-US" w:eastAsia="zh-CN"/>
        </w:rPr>
        <w:t>南风井、副斜井、主斜坡道、北风井都直通地表，都作为应急安全出口，各中段人行天井和风井作应急安全出口。井下各中段均有二个以上安全出口通达上部中段和地表。</w:t>
      </w:r>
    </w:p>
    <w:p w14:paraId="5A7C0589">
      <w:pPr>
        <w:pStyle w:val="4"/>
        <w:bidi w:val="0"/>
        <w:rPr>
          <w:rFonts w:hint="default"/>
          <w:color w:val="auto"/>
          <w:lang w:val="en-US" w:eastAsia="zh-CN"/>
        </w:rPr>
      </w:pPr>
      <w:bookmarkStart w:id="224" w:name="_Toc12659"/>
      <w:bookmarkStart w:id="225" w:name="_Toc3995"/>
      <w:bookmarkStart w:id="226" w:name="_Toc24762"/>
      <w:bookmarkStart w:id="227" w:name="_Toc15772"/>
      <w:r>
        <w:rPr>
          <w:rFonts w:hint="default"/>
          <w:color w:val="auto"/>
          <w:lang w:val="en-US" w:eastAsia="zh-CN"/>
        </w:rPr>
        <w:t>2.4.1</w:t>
      </w:r>
      <w:r>
        <w:rPr>
          <w:rFonts w:hint="eastAsia"/>
          <w:color w:val="auto"/>
          <w:lang w:val="en-US" w:eastAsia="zh-CN"/>
        </w:rPr>
        <w:t xml:space="preserve">8 </w:t>
      </w:r>
      <w:r>
        <w:rPr>
          <w:rFonts w:hint="default"/>
          <w:color w:val="auto"/>
          <w:lang w:val="en-US" w:eastAsia="zh-CN"/>
        </w:rPr>
        <w:t>安全管理</w:t>
      </w:r>
      <w:bookmarkEnd w:id="224"/>
      <w:bookmarkEnd w:id="225"/>
      <w:bookmarkEnd w:id="226"/>
      <w:bookmarkEnd w:id="227"/>
    </w:p>
    <w:p w14:paraId="21361C1F">
      <w:pPr>
        <w:rPr>
          <w:rFonts w:hint="default"/>
          <w:color w:val="auto"/>
          <w:lang w:val="en-US" w:eastAsia="zh-CN"/>
        </w:rPr>
      </w:pPr>
      <w:r>
        <w:rPr>
          <w:rFonts w:hint="eastAsia"/>
          <w:color w:val="auto"/>
          <w:lang w:val="en-US" w:eastAsia="zh-CN"/>
        </w:rPr>
        <w:t>一、</w:t>
      </w:r>
      <w:r>
        <w:rPr>
          <w:rFonts w:hint="default"/>
          <w:color w:val="auto"/>
          <w:lang w:val="en-US" w:eastAsia="zh-CN"/>
        </w:rPr>
        <w:t>安全机构设置</w:t>
      </w:r>
    </w:p>
    <w:p w14:paraId="13A8366B">
      <w:pPr>
        <w:rPr>
          <w:rFonts w:hint="default"/>
          <w:color w:val="auto"/>
          <w:lang w:val="en-US" w:eastAsia="zh-CN"/>
        </w:rPr>
      </w:pPr>
      <w:r>
        <w:rPr>
          <w:rFonts w:hint="default"/>
          <w:color w:val="auto"/>
          <w:lang w:val="en-US" w:eastAsia="zh-CN"/>
        </w:rPr>
        <w:t>202</w:t>
      </w:r>
      <w:r>
        <w:rPr>
          <w:rFonts w:hint="eastAsia"/>
          <w:color w:val="auto"/>
          <w:lang w:val="en-US" w:eastAsia="zh-CN"/>
        </w:rPr>
        <w:t>5</w:t>
      </w:r>
      <w:r>
        <w:rPr>
          <w:rFonts w:hint="default"/>
          <w:color w:val="auto"/>
          <w:lang w:val="en-US" w:eastAsia="zh-CN"/>
        </w:rPr>
        <w:t>年</w:t>
      </w:r>
      <w:r>
        <w:rPr>
          <w:rFonts w:hint="eastAsia"/>
          <w:color w:val="auto"/>
          <w:lang w:val="en-US" w:eastAsia="zh-CN"/>
        </w:rPr>
        <w:t>4</w:t>
      </w:r>
      <w:r>
        <w:rPr>
          <w:rFonts w:hint="default"/>
          <w:color w:val="auto"/>
          <w:lang w:val="en-US" w:eastAsia="zh-CN"/>
        </w:rPr>
        <w:t>月</w:t>
      </w:r>
      <w:r>
        <w:rPr>
          <w:rFonts w:hint="eastAsia"/>
          <w:color w:val="auto"/>
          <w:lang w:val="en-US" w:eastAsia="zh-CN"/>
        </w:rPr>
        <w:t>1</w:t>
      </w:r>
      <w:r>
        <w:rPr>
          <w:rFonts w:hint="default"/>
          <w:color w:val="auto"/>
          <w:lang w:val="en-US" w:eastAsia="zh-CN"/>
        </w:rPr>
        <w:t>日</w:t>
      </w:r>
      <w:r>
        <w:rPr>
          <w:rFonts w:hint="eastAsia"/>
          <w:color w:val="auto"/>
          <w:lang w:val="en-US" w:eastAsia="zh-CN"/>
        </w:rPr>
        <w:t>，江西</w:t>
      </w:r>
      <w:r>
        <w:rPr>
          <w:rFonts w:hint="default"/>
          <w:color w:val="auto"/>
          <w:lang w:val="en-US" w:eastAsia="zh-CN"/>
        </w:rPr>
        <w:t>朝盛矿业</w:t>
      </w:r>
      <w:r>
        <w:rPr>
          <w:rFonts w:hint="eastAsia"/>
          <w:color w:val="auto"/>
          <w:lang w:val="en-US" w:eastAsia="zh-CN"/>
        </w:rPr>
        <w:t>有限</w:t>
      </w:r>
      <w:r>
        <w:rPr>
          <w:rFonts w:hint="default"/>
          <w:color w:val="auto"/>
          <w:lang w:val="en-US" w:eastAsia="zh-CN"/>
        </w:rPr>
        <w:t>公司对宁都硫铁矿安全生产</w:t>
      </w:r>
      <w:r>
        <w:rPr>
          <w:rFonts w:hint="eastAsia"/>
          <w:color w:val="auto"/>
          <w:lang w:val="en-US" w:eastAsia="zh-CN"/>
        </w:rPr>
        <w:t>管理机构</w:t>
      </w:r>
      <w:r>
        <w:rPr>
          <w:rFonts w:hint="default"/>
          <w:color w:val="auto"/>
          <w:lang w:val="en-US" w:eastAsia="zh-CN"/>
        </w:rPr>
        <w:t>进行了调整，并发文《关于调整公司硫铁矿安全生产管理机构的通知》（朝盛字</w:t>
      </w:r>
      <w:r>
        <w:rPr>
          <w:rFonts w:hint="eastAsia" w:ascii="宋体" w:hAnsi="宋体" w:eastAsia="宋体" w:cs="宋体"/>
          <w:color w:val="auto"/>
          <w:lang w:val="en-US" w:eastAsia="zh-CN"/>
        </w:rPr>
        <w:t>[</w:t>
      </w:r>
      <w:r>
        <w:rPr>
          <w:rFonts w:hint="default"/>
          <w:color w:val="auto"/>
          <w:lang w:val="en-US" w:eastAsia="zh-CN"/>
        </w:rPr>
        <w:t>202</w:t>
      </w:r>
      <w:r>
        <w:rPr>
          <w:rFonts w:hint="eastAsia"/>
          <w:color w:val="auto"/>
          <w:lang w:val="en-US" w:eastAsia="zh-CN"/>
        </w:rPr>
        <w:t>5</w:t>
      </w:r>
      <w:r>
        <w:rPr>
          <w:rFonts w:hint="eastAsia" w:ascii="宋体" w:hAnsi="宋体" w:eastAsia="宋体" w:cs="宋体"/>
          <w:color w:val="auto"/>
          <w:lang w:val="en-US" w:eastAsia="zh-CN"/>
        </w:rPr>
        <w:t>]</w:t>
      </w:r>
      <w:r>
        <w:rPr>
          <w:rFonts w:hint="eastAsia"/>
          <w:color w:val="auto"/>
          <w:lang w:val="en-US" w:eastAsia="zh-CN"/>
        </w:rPr>
        <w:t>13</w:t>
      </w:r>
      <w:r>
        <w:rPr>
          <w:rFonts w:hint="default"/>
          <w:color w:val="auto"/>
          <w:lang w:val="en-US" w:eastAsia="zh-CN"/>
        </w:rPr>
        <w:t>号）。</w:t>
      </w:r>
    </w:p>
    <w:p w14:paraId="7D1441E1">
      <w:pPr>
        <w:rPr>
          <w:rFonts w:hint="default"/>
          <w:color w:val="auto"/>
          <w:lang w:val="en-US" w:eastAsia="zh-CN"/>
        </w:rPr>
      </w:pPr>
      <w:r>
        <w:rPr>
          <w:rFonts w:hint="default"/>
          <w:color w:val="auto"/>
          <w:lang w:val="en-US" w:eastAsia="zh-CN"/>
        </w:rPr>
        <w:t>公司各厂、各部门</w:t>
      </w:r>
      <w:r>
        <w:rPr>
          <w:rFonts w:hint="eastAsia"/>
          <w:color w:val="auto"/>
          <w:lang w:val="en-US" w:eastAsia="zh-CN"/>
        </w:rPr>
        <w:t>：</w:t>
      </w:r>
    </w:p>
    <w:p w14:paraId="1C03F415">
      <w:pPr>
        <w:rPr>
          <w:rFonts w:hint="default"/>
          <w:color w:val="auto"/>
          <w:lang w:val="en-US" w:eastAsia="zh-CN"/>
        </w:rPr>
      </w:pPr>
      <w:r>
        <w:rPr>
          <w:rFonts w:hint="default"/>
          <w:color w:val="auto"/>
          <w:lang w:val="en-US" w:eastAsia="zh-CN"/>
        </w:rPr>
        <w:t>鉴于人事变动，为确保安全生产工作顺利进行，经研究决定</w:t>
      </w:r>
      <w:r>
        <w:rPr>
          <w:rFonts w:hint="eastAsia"/>
          <w:color w:val="auto"/>
          <w:lang w:val="en-US" w:eastAsia="zh-CN"/>
        </w:rPr>
        <w:t>：</w:t>
      </w:r>
      <w:r>
        <w:rPr>
          <w:rFonts w:hint="default"/>
          <w:color w:val="auto"/>
          <w:lang w:val="en-US" w:eastAsia="zh-CN"/>
        </w:rPr>
        <w:t>调整公司硫铁矿安全生产管理机构，现就有关事项通知如下</w:t>
      </w:r>
      <w:r>
        <w:rPr>
          <w:rFonts w:hint="eastAsia"/>
          <w:color w:val="auto"/>
          <w:lang w:val="en-US" w:eastAsia="zh-CN"/>
        </w:rPr>
        <w:t>：</w:t>
      </w:r>
    </w:p>
    <w:p w14:paraId="63EADF40">
      <w:pPr>
        <w:rPr>
          <w:rFonts w:hint="default"/>
          <w:color w:val="auto"/>
          <w:lang w:val="en-US" w:eastAsia="zh-CN"/>
        </w:rPr>
      </w:pPr>
      <w:r>
        <w:rPr>
          <w:rFonts w:hint="default"/>
          <w:color w:val="auto"/>
          <w:lang w:val="en-US" w:eastAsia="zh-CN"/>
        </w:rPr>
        <w:t>一、</w:t>
      </w:r>
      <w:r>
        <w:rPr>
          <w:rFonts w:hint="eastAsia"/>
          <w:color w:val="auto"/>
          <w:lang w:val="en-US" w:eastAsia="zh-CN"/>
        </w:rPr>
        <w:t>矿山主要负责人：</w:t>
      </w:r>
      <w:r>
        <w:rPr>
          <w:rFonts w:hint="default"/>
          <w:color w:val="auto"/>
          <w:lang w:val="en-US" w:eastAsia="zh-CN"/>
        </w:rPr>
        <w:t>罗晓明</w:t>
      </w:r>
    </w:p>
    <w:p w14:paraId="3CAAC754">
      <w:pPr>
        <w:rPr>
          <w:rFonts w:hint="default"/>
          <w:color w:val="auto"/>
          <w:lang w:val="en-US" w:eastAsia="zh-CN"/>
        </w:rPr>
      </w:pPr>
      <w:r>
        <w:rPr>
          <w:rFonts w:hint="default"/>
          <w:color w:val="auto"/>
          <w:lang w:val="en-US" w:eastAsia="zh-CN"/>
        </w:rPr>
        <w:t>二、</w:t>
      </w:r>
      <w:r>
        <w:rPr>
          <w:rFonts w:hint="eastAsia"/>
          <w:color w:val="auto"/>
          <w:lang w:val="en-US" w:eastAsia="zh-CN"/>
        </w:rPr>
        <w:t>五值矿长</w:t>
      </w:r>
    </w:p>
    <w:p w14:paraId="2676473D">
      <w:pPr>
        <w:rPr>
          <w:rFonts w:hint="default"/>
          <w:color w:val="auto"/>
          <w:lang w:val="en-US" w:eastAsia="zh-CN"/>
        </w:rPr>
      </w:pPr>
      <w:r>
        <w:rPr>
          <w:rFonts w:hint="default"/>
          <w:color w:val="auto"/>
          <w:lang w:val="en-US" w:eastAsia="zh-CN"/>
        </w:rPr>
        <w:t>矿长</w:t>
      </w:r>
      <w:r>
        <w:rPr>
          <w:rFonts w:hint="eastAsia"/>
          <w:color w:val="auto"/>
          <w:lang w:val="en-US" w:eastAsia="zh-CN"/>
        </w:rPr>
        <w:t>：</w:t>
      </w:r>
      <w:r>
        <w:rPr>
          <w:rFonts w:hint="default"/>
          <w:color w:val="auto"/>
          <w:lang w:val="en-US" w:eastAsia="zh-CN"/>
        </w:rPr>
        <w:t>罗晓明</w:t>
      </w:r>
    </w:p>
    <w:p w14:paraId="56F380CA">
      <w:pPr>
        <w:rPr>
          <w:rFonts w:hint="eastAsia"/>
          <w:color w:val="auto"/>
          <w:lang w:val="en-US" w:eastAsia="zh-CN"/>
        </w:rPr>
      </w:pPr>
      <w:r>
        <w:rPr>
          <w:rFonts w:hint="default"/>
          <w:color w:val="auto"/>
          <w:lang w:val="en-US" w:eastAsia="zh-CN"/>
        </w:rPr>
        <w:t>生产</w:t>
      </w:r>
      <w:r>
        <w:rPr>
          <w:rFonts w:hint="eastAsia"/>
          <w:color w:val="auto"/>
          <w:lang w:val="en-US" w:eastAsia="zh-CN"/>
        </w:rPr>
        <w:t>副</w:t>
      </w:r>
      <w:r>
        <w:rPr>
          <w:rFonts w:hint="default"/>
          <w:color w:val="auto"/>
          <w:lang w:val="en-US" w:eastAsia="zh-CN"/>
        </w:rPr>
        <w:t>矿长</w:t>
      </w:r>
      <w:r>
        <w:rPr>
          <w:rFonts w:hint="eastAsia"/>
          <w:color w:val="auto"/>
          <w:lang w:val="en-US" w:eastAsia="zh-CN"/>
        </w:rPr>
        <w:t>：周国栋</w:t>
      </w:r>
    </w:p>
    <w:p w14:paraId="4BA192D5">
      <w:pPr>
        <w:rPr>
          <w:rFonts w:hint="default"/>
          <w:color w:val="auto"/>
          <w:lang w:val="en-US" w:eastAsia="zh-CN"/>
        </w:rPr>
      </w:pPr>
      <w:r>
        <w:rPr>
          <w:rFonts w:hint="default"/>
          <w:color w:val="auto"/>
          <w:lang w:val="en-US" w:eastAsia="zh-CN"/>
        </w:rPr>
        <w:t>安全</w:t>
      </w:r>
      <w:r>
        <w:rPr>
          <w:rFonts w:hint="eastAsia"/>
          <w:color w:val="auto"/>
          <w:lang w:val="en-US" w:eastAsia="zh-CN"/>
        </w:rPr>
        <w:t>副</w:t>
      </w:r>
      <w:r>
        <w:rPr>
          <w:rFonts w:hint="default"/>
          <w:color w:val="auto"/>
          <w:lang w:val="en-US" w:eastAsia="zh-CN"/>
        </w:rPr>
        <w:t>矿长</w:t>
      </w:r>
      <w:r>
        <w:rPr>
          <w:rFonts w:hint="eastAsia"/>
          <w:color w:val="auto"/>
          <w:lang w:val="en-US" w:eastAsia="zh-CN"/>
        </w:rPr>
        <w:t>：滕义杰</w:t>
      </w:r>
    </w:p>
    <w:p w14:paraId="3424BB4E">
      <w:pPr>
        <w:rPr>
          <w:rFonts w:hint="default"/>
          <w:color w:val="auto"/>
          <w:lang w:val="en-US" w:eastAsia="zh-CN"/>
        </w:rPr>
      </w:pPr>
      <w:r>
        <w:rPr>
          <w:rFonts w:hint="default"/>
          <w:color w:val="auto"/>
          <w:lang w:val="en-US" w:eastAsia="zh-CN"/>
        </w:rPr>
        <w:t>机电</w:t>
      </w:r>
      <w:r>
        <w:rPr>
          <w:rFonts w:hint="eastAsia"/>
          <w:color w:val="auto"/>
          <w:lang w:val="en-US" w:eastAsia="zh-CN"/>
        </w:rPr>
        <w:t>副</w:t>
      </w:r>
      <w:r>
        <w:rPr>
          <w:rFonts w:hint="default"/>
          <w:color w:val="auto"/>
          <w:lang w:val="en-US" w:eastAsia="zh-CN"/>
        </w:rPr>
        <w:t>矿长</w:t>
      </w:r>
      <w:r>
        <w:rPr>
          <w:rFonts w:hint="eastAsia"/>
          <w:color w:val="auto"/>
          <w:lang w:val="en-US" w:eastAsia="zh-CN"/>
        </w:rPr>
        <w:t>：</w:t>
      </w:r>
      <w:r>
        <w:rPr>
          <w:rFonts w:hint="default"/>
          <w:color w:val="auto"/>
          <w:lang w:val="en-US" w:eastAsia="zh-CN"/>
        </w:rPr>
        <w:t>李伟</w:t>
      </w:r>
    </w:p>
    <w:p w14:paraId="029B3602">
      <w:pPr>
        <w:rPr>
          <w:rFonts w:hint="default"/>
          <w:color w:val="auto"/>
          <w:lang w:val="en-US" w:eastAsia="zh-CN"/>
        </w:rPr>
      </w:pPr>
      <w:r>
        <w:rPr>
          <w:rFonts w:hint="eastAsia"/>
          <w:color w:val="auto"/>
          <w:lang w:val="en-US" w:eastAsia="zh-CN"/>
        </w:rPr>
        <w:t>技术副矿长：</w:t>
      </w:r>
      <w:r>
        <w:rPr>
          <w:rFonts w:hint="default"/>
          <w:color w:val="auto"/>
          <w:lang w:val="en-US" w:eastAsia="zh-CN"/>
        </w:rPr>
        <w:t>席伍生</w:t>
      </w:r>
    </w:p>
    <w:p w14:paraId="027748E4">
      <w:pPr>
        <w:rPr>
          <w:rFonts w:hint="default"/>
          <w:color w:val="auto"/>
          <w:lang w:val="en-US" w:eastAsia="zh-CN"/>
        </w:rPr>
      </w:pPr>
      <w:r>
        <w:rPr>
          <w:rFonts w:hint="default"/>
          <w:color w:val="auto"/>
          <w:lang w:val="en-US" w:eastAsia="zh-CN"/>
        </w:rPr>
        <w:t>三、矿山部下设安全科、生产技术科</w:t>
      </w:r>
    </w:p>
    <w:p w14:paraId="647B689C">
      <w:pPr>
        <w:rPr>
          <w:rFonts w:hint="default"/>
          <w:color w:val="auto"/>
          <w:lang w:val="en-US" w:eastAsia="zh-CN"/>
        </w:rPr>
      </w:pPr>
      <w:r>
        <w:rPr>
          <w:rFonts w:hint="default"/>
          <w:color w:val="auto"/>
          <w:lang w:val="en-US" w:eastAsia="zh-CN"/>
        </w:rPr>
        <w:t>专职安全员</w:t>
      </w:r>
      <w:r>
        <w:rPr>
          <w:rFonts w:hint="eastAsia"/>
          <w:color w:val="auto"/>
          <w:lang w:val="en-US" w:eastAsia="zh-CN"/>
        </w:rPr>
        <w:t>：曾衍辉、</w:t>
      </w:r>
      <w:r>
        <w:rPr>
          <w:rFonts w:hint="default"/>
          <w:color w:val="auto"/>
          <w:lang w:val="en-US" w:eastAsia="zh-CN"/>
        </w:rPr>
        <w:t>曾宪兵、王家斌</w:t>
      </w:r>
      <w:r>
        <w:rPr>
          <w:rFonts w:hint="eastAsia"/>
          <w:color w:val="auto"/>
          <w:lang w:val="en-US" w:eastAsia="zh-CN"/>
        </w:rPr>
        <w:t>。</w:t>
      </w:r>
    </w:p>
    <w:p w14:paraId="48628F6C">
      <w:pPr>
        <w:rPr>
          <w:rFonts w:hint="default"/>
          <w:color w:val="auto"/>
          <w:lang w:val="en-US" w:eastAsia="zh-CN"/>
        </w:rPr>
      </w:pPr>
      <w:r>
        <w:rPr>
          <w:rFonts w:hint="eastAsia"/>
          <w:color w:val="auto"/>
          <w:lang w:val="en-US" w:eastAsia="zh-CN"/>
        </w:rPr>
        <w:t>矿山主要负责人、安全管理人员、特种作业人员均持证上岗，具有地质、采矿、机电、测量专业技术人员。</w:t>
      </w:r>
    </w:p>
    <w:p w14:paraId="1B8D722F">
      <w:pPr>
        <w:rPr>
          <w:rFonts w:hint="default"/>
          <w:color w:val="auto"/>
          <w:lang w:val="en-US" w:eastAsia="zh-CN"/>
        </w:rPr>
      </w:pPr>
      <w:r>
        <w:rPr>
          <w:rFonts w:hint="eastAsia"/>
          <w:color w:val="auto"/>
          <w:lang w:val="en-US" w:eastAsia="zh-CN"/>
        </w:rPr>
        <w:t>二、</w:t>
      </w:r>
      <w:r>
        <w:rPr>
          <w:rFonts w:hint="default"/>
          <w:color w:val="auto"/>
          <w:lang w:val="en-US" w:eastAsia="zh-CN"/>
        </w:rPr>
        <w:t>教育培训情况</w:t>
      </w:r>
    </w:p>
    <w:p w14:paraId="4199657E">
      <w:pPr>
        <w:rPr>
          <w:rFonts w:hint="default"/>
          <w:color w:val="auto"/>
          <w:lang w:val="en-US" w:eastAsia="zh-CN"/>
        </w:rPr>
      </w:pPr>
      <w:r>
        <w:rPr>
          <w:rFonts w:hint="default"/>
          <w:color w:val="auto"/>
          <w:lang w:val="en-US" w:eastAsia="zh-CN"/>
        </w:rPr>
        <w:t>矿山制定并执行了安全教育制度，开展了安全培训与教育工作。</w:t>
      </w:r>
    </w:p>
    <w:p w14:paraId="7B74C59E">
      <w:pPr>
        <w:rPr>
          <w:rFonts w:hint="default"/>
          <w:color w:val="auto"/>
          <w:lang w:val="en-US" w:eastAsia="zh-CN"/>
        </w:rPr>
      </w:pPr>
      <w:r>
        <w:rPr>
          <w:rFonts w:hint="default"/>
          <w:color w:val="auto"/>
          <w:lang w:val="en-US" w:eastAsia="zh-CN"/>
        </w:rPr>
        <w:t>（1）矿山主要负责人、安全生产管理人员己参加省厅培训。</w:t>
      </w:r>
    </w:p>
    <w:p w14:paraId="4691A75E">
      <w:pPr>
        <w:rPr>
          <w:rFonts w:hint="default"/>
          <w:color w:val="auto"/>
          <w:lang w:val="en-US" w:eastAsia="zh-CN"/>
        </w:rPr>
      </w:pPr>
      <w:r>
        <w:rPr>
          <w:rFonts w:hint="default"/>
          <w:color w:val="auto"/>
          <w:lang w:val="en-US" w:eastAsia="zh-CN"/>
        </w:rPr>
        <w:t>（2）按要求对新工人进行了三级安全教育。</w:t>
      </w:r>
    </w:p>
    <w:p w14:paraId="74CD6ABD">
      <w:pPr>
        <w:rPr>
          <w:rFonts w:hint="default"/>
          <w:color w:val="auto"/>
          <w:lang w:val="en-US" w:eastAsia="zh-CN"/>
        </w:rPr>
      </w:pPr>
      <w:r>
        <w:rPr>
          <w:rFonts w:hint="default"/>
          <w:color w:val="auto"/>
          <w:lang w:val="en-US" w:eastAsia="zh-CN"/>
        </w:rPr>
        <w:t>（3）全员安全教育培训，由江西朝盛矿业有限公司对其从业人员进行全员培训教育。</w:t>
      </w:r>
    </w:p>
    <w:p w14:paraId="760FDDC0">
      <w:pPr>
        <w:rPr>
          <w:rFonts w:hint="default"/>
          <w:color w:val="auto"/>
          <w:lang w:val="en-US" w:eastAsia="zh-CN"/>
        </w:rPr>
      </w:pPr>
      <w:r>
        <w:rPr>
          <w:rFonts w:hint="default"/>
          <w:color w:val="auto"/>
          <w:lang w:val="en-US" w:eastAsia="zh-CN"/>
        </w:rPr>
        <w:t>（4）特种作业人员经主管部门专业技术培训。矿井提升、排水、电工、检查工、爆破员、电氧焊、通风工等工种均持证上岗。</w:t>
      </w:r>
    </w:p>
    <w:p w14:paraId="2BF734A5">
      <w:pPr>
        <w:rPr>
          <w:rFonts w:hint="default"/>
          <w:color w:val="auto"/>
          <w:lang w:val="en-US" w:eastAsia="zh-CN"/>
        </w:rPr>
      </w:pPr>
      <w:r>
        <w:rPr>
          <w:rFonts w:hint="default"/>
          <w:color w:val="auto"/>
          <w:lang w:val="en-US" w:eastAsia="zh-CN"/>
        </w:rPr>
        <w:t>江西朝盛矿业有限公司宁都硫铁矿建立了三级安全教育培训制度，202</w:t>
      </w:r>
      <w:r>
        <w:rPr>
          <w:rFonts w:hint="eastAsia"/>
          <w:color w:val="auto"/>
          <w:lang w:val="en-US" w:eastAsia="zh-CN"/>
        </w:rPr>
        <w:t>5</w:t>
      </w:r>
      <w:r>
        <w:rPr>
          <w:rFonts w:hint="default"/>
          <w:color w:val="auto"/>
          <w:lang w:val="en-US" w:eastAsia="zh-CN"/>
        </w:rPr>
        <w:t>年</w:t>
      </w:r>
      <w:r>
        <w:rPr>
          <w:rFonts w:hint="eastAsia"/>
          <w:color w:val="auto"/>
          <w:lang w:val="en-US" w:eastAsia="zh-CN"/>
        </w:rPr>
        <w:t>1</w:t>
      </w:r>
      <w:r>
        <w:rPr>
          <w:rFonts w:hint="default"/>
          <w:color w:val="auto"/>
          <w:lang w:val="en-US" w:eastAsia="zh-CN"/>
        </w:rPr>
        <w:t>月</w:t>
      </w:r>
      <w:r>
        <w:rPr>
          <w:rFonts w:hint="eastAsia"/>
          <w:color w:val="auto"/>
          <w:lang w:val="en-US" w:eastAsia="zh-CN"/>
        </w:rPr>
        <w:t>制定了《</w:t>
      </w:r>
      <w:r>
        <w:rPr>
          <w:rFonts w:hint="default"/>
          <w:color w:val="auto"/>
          <w:lang w:val="en-US" w:eastAsia="zh-CN"/>
        </w:rPr>
        <w:t>江西朝盛矿业有限公司宁都硫铁矿2025年度安全教育培训计划</w:t>
      </w:r>
      <w:r>
        <w:rPr>
          <w:rFonts w:hint="eastAsia"/>
          <w:color w:val="auto"/>
          <w:lang w:val="en-US" w:eastAsia="zh-CN"/>
        </w:rPr>
        <w:t>》</w:t>
      </w:r>
      <w:r>
        <w:rPr>
          <w:rFonts w:hint="default"/>
          <w:color w:val="auto"/>
          <w:lang w:val="en-US" w:eastAsia="zh-CN"/>
        </w:rPr>
        <w:t>。</w:t>
      </w:r>
    </w:p>
    <w:p w14:paraId="31296756">
      <w:pPr>
        <w:rPr>
          <w:rFonts w:hint="default"/>
          <w:color w:val="auto"/>
          <w:lang w:val="en-US" w:eastAsia="zh-CN"/>
        </w:rPr>
      </w:pPr>
      <w:r>
        <w:rPr>
          <w:rFonts w:hint="eastAsia"/>
          <w:color w:val="auto"/>
          <w:lang w:val="en-US" w:eastAsia="zh-CN"/>
        </w:rPr>
        <w:t>三、</w:t>
      </w:r>
      <w:r>
        <w:rPr>
          <w:rFonts w:hint="default"/>
          <w:color w:val="auto"/>
          <w:lang w:val="en-US" w:eastAsia="zh-CN"/>
        </w:rPr>
        <w:t>安全生产责任制、安全生产管理制度及安全生产操作规程</w:t>
      </w:r>
    </w:p>
    <w:p w14:paraId="5327DCAD">
      <w:pPr>
        <w:rPr>
          <w:rFonts w:hint="default"/>
          <w:color w:val="auto"/>
          <w:lang w:val="en-US" w:eastAsia="zh-CN"/>
        </w:rPr>
      </w:pPr>
      <w:r>
        <w:rPr>
          <w:rFonts w:hint="default"/>
          <w:color w:val="auto"/>
          <w:lang w:val="en-US" w:eastAsia="zh-CN"/>
        </w:rPr>
        <w:t>矿山已制定的安全生产规章制度主要有：</w:t>
      </w:r>
    </w:p>
    <w:p w14:paraId="1E468C8A">
      <w:pPr>
        <w:rPr>
          <w:rFonts w:hint="default"/>
          <w:color w:val="auto"/>
          <w:lang w:val="en-US" w:eastAsia="zh-CN"/>
        </w:rPr>
      </w:pPr>
      <w:r>
        <w:rPr>
          <w:rFonts w:hint="default"/>
          <w:color w:val="auto"/>
          <w:lang w:val="en-US" w:eastAsia="zh-CN"/>
        </w:rPr>
        <w:t>（1）各级安全生产责任制，包括总经理安全生产岗位责任制、副总经理安全生产岗位责任制、矿长（矿山部经理）安全生产岗位责任制、副矿长（矿山部副经理）安全生产责任制、技术负责人（总工程师）安全生产责任制、安全管理人员安全生产责任制、班组长安全生产责任制、通风工安全生产责任制、绞车工安全生产责任制、排水工安全生产责任制、安检工安全生产责任制、电机车工安全生产责任制、值班长（井长）安全生产责任制及员工安全生产责任制等。</w:t>
      </w:r>
    </w:p>
    <w:p w14:paraId="3B28C376">
      <w:pPr>
        <w:rPr>
          <w:rFonts w:hint="default"/>
          <w:color w:val="auto"/>
          <w:lang w:val="en-US" w:eastAsia="zh-CN"/>
        </w:rPr>
      </w:pPr>
      <w:r>
        <w:rPr>
          <w:rFonts w:hint="default"/>
          <w:color w:val="auto"/>
          <w:lang w:val="en-US" w:eastAsia="zh-CN"/>
        </w:rPr>
        <w:t>（2）安全生产制度，包括安全目标管理制度、安全例会制度、安全检查制度、安全教育培训制度、设备安全管理制度、危险源管理制度、事故隐患整改制度、地压监测管理制度、安全技术措施审批制度、劳动防护用品管理制度、生产安全事故管理制度、应急管理制度、安全生产奖惩制度及安全生产档案管理制度等。</w:t>
      </w:r>
    </w:p>
    <w:p w14:paraId="44F62587">
      <w:pPr>
        <w:rPr>
          <w:rFonts w:hint="default"/>
          <w:color w:val="auto"/>
          <w:lang w:val="en-US" w:eastAsia="zh-CN"/>
        </w:rPr>
      </w:pPr>
      <w:r>
        <w:rPr>
          <w:rFonts w:hint="default"/>
          <w:color w:val="auto"/>
          <w:lang w:val="en-US" w:eastAsia="zh-CN"/>
        </w:rPr>
        <w:t>（3）制定了各工种安全技术操作规程，主要有凿岩工安全技术操作规程、爆破工安全技术操作规程、排险工安全技术操作规程、通风工安全技术操作规程、绞车工安全技术操作规程、信号挂钩工安全技术操作规程、排水工安全技术操作规程、管道工安全技术操作规程、装矿工安全技术操作规程、放矿工安全技术操作规程、电机车工安全技术操作规程、电工（焊工）安全技术操作规程、汽车运矿工安全技术操作规程、探放水工安全技术操作规程等。</w:t>
      </w:r>
    </w:p>
    <w:p w14:paraId="790C1660">
      <w:pPr>
        <w:rPr>
          <w:rFonts w:hint="default"/>
          <w:color w:val="auto"/>
          <w:lang w:val="en-US" w:eastAsia="zh-CN"/>
        </w:rPr>
      </w:pPr>
      <w:r>
        <w:rPr>
          <w:rFonts w:hint="eastAsia"/>
          <w:color w:val="auto"/>
          <w:lang w:val="en-US" w:eastAsia="zh-CN"/>
        </w:rPr>
        <w:t>四、</w:t>
      </w:r>
      <w:r>
        <w:rPr>
          <w:rFonts w:hint="default"/>
          <w:color w:val="auto"/>
          <w:lang w:val="en-US" w:eastAsia="zh-CN"/>
        </w:rPr>
        <w:t>安全生产检查和隐患排查体系建设</w:t>
      </w:r>
    </w:p>
    <w:p w14:paraId="5519CF66">
      <w:pPr>
        <w:rPr>
          <w:rFonts w:hint="default"/>
          <w:color w:val="auto"/>
          <w:lang w:val="en-US" w:eastAsia="zh-CN"/>
        </w:rPr>
      </w:pPr>
      <w:r>
        <w:rPr>
          <w:rFonts w:hint="default"/>
          <w:color w:val="auto"/>
          <w:lang w:val="en-US" w:eastAsia="zh-CN"/>
        </w:rPr>
        <w:t>矿山生产期间，能正常开展矿级、工区（车间）级、班组级安全检查工作；定期进行了井下安全巡查工作。电器设备、特种设备、矿山通风除矿山自检外，还聘请了有检测资质的机构进行检测，并出具了合格检测报告。</w:t>
      </w:r>
    </w:p>
    <w:p w14:paraId="62D0C147">
      <w:pPr>
        <w:rPr>
          <w:rFonts w:hint="default"/>
          <w:color w:val="auto"/>
          <w:lang w:val="en-US" w:eastAsia="zh-CN"/>
        </w:rPr>
      </w:pPr>
      <w:r>
        <w:rPr>
          <w:rFonts w:hint="default"/>
          <w:color w:val="auto"/>
          <w:lang w:val="en-US" w:eastAsia="zh-CN"/>
        </w:rPr>
        <w:t>依据《国务院安委会办公室关于建立安全隐患排查治理体系的通知》（安委办〔2012〕1号）、《安全生产事故隐患排查治理暂行规定》（安全监管总局令2007年第16号），《安全生产事故隐患排查治理体系建设实施指南》，矿山已建立隐患排查治理体系，制定《隐患排查治理体系管理制度》、《隐患排查治理责任制》、《隐患排查治理责任追究与奖励制度》、《隐患排查分级记录表》等隐患排查治理文件，并严格执行。隐患排查内容包括：检查主体、检查频次、检查对象（场所及设备设施）、检查内容、检查对照标准、隐患等级等，并对排查出的事故隐患进行登记。明确自查、自改、自报机构责任人及联络人，每月向宁都县应急局报送隐患排查治理情况，同时每半月应按省应急管理厅相关要求在网络监管平台进行上报。矿山每年组织专家依照《江西省金属非金属矿山生产安全事故隐患排查分级实施指南》对矿山进行隐患排查和专家会诊工作，对排查出的事故隐患严格按照</w:t>
      </w:r>
      <w:r>
        <w:rPr>
          <w:rFonts w:hint="eastAsia"/>
          <w:color w:val="auto"/>
          <w:lang w:val="en-US" w:eastAsia="zh-CN"/>
        </w:rPr>
        <w:t>“</w:t>
      </w:r>
      <w:r>
        <w:rPr>
          <w:rFonts w:hint="default"/>
          <w:color w:val="auto"/>
          <w:lang w:val="en-US" w:eastAsia="zh-CN"/>
        </w:rPr>
        <w:t>五落实</w:t>
      </w:r>
      <w:r>
        <w:rPr>
          <w:rFonts w:hint="eastAsia"/>
          <w:color w:val="auto"/>
          <w:lang w:val="en-US" w:eastAsia="zh-CN"/>
        </w:rPr>
        <w:t>”</w:t>
      </w:r>
      <w:r>
        <w:rPr>
          <w:rFonts w:hint="default"/>
          <w:color w:val="auto"/>
          <w:lang w:val="en-US" w:eastAsia="zh-CN"/>
        </w:rPr>
        <w:t>的要求实进行整改，整改率为100%，属于重大事故隐患的，在24小时内向所在地应急部门报告。</w:t>
      </w:r>
    </w:p>
    <w:p w14:paraId="785CC8F3">
      <w:pPr>
        <w:rPr>
          <w:rFonts w:hint="default"/>
          <w:color w:val="auto"/>
          <w:lang w:val="en-US" w:eastAsia="zh-CN"/>
        </w:rPr>
      </w:pPr>
      <w:r>
        <w:rPr>
          <w:rFonts w:hint="eastAsia"/>
          <w:color w:val="auto"/>
          <w:lang w:val="en-US" w:eastAsia="zh-CN"/>
        </w:rPr>
        <w:t>五、</w:t>
      </w:r>
      <w:r>
        <w:rPr>
          <w:rFonts w:hint="default"/>
          <w:color w:val="auto"/>
          <w:lang w:val="en-US" w:eastAsia="zh-CN"/>
        </w:rPr>
        <w:t>安全生产风险分级管控</w:t>
      </w:r>
    </w:p>
    <w:p w14:paraId="7644AA69">
      <w:pPr>
        <w:rPr>
          <w:rFonts w:hint="default"/>
          <w:color w:val="auto"/>
          <w:lang w:val="en-US" w:eastAsia="zh-CN"/>
        </w:rPr>
      </w:pPr>
      <w:r>
        <w:rPr>
          <w:rFonts w:hint="default"/>
          <w:color w:val="auto"/>
          <w:lang w:val="en-US" w:eastAsia="zh-CN"/>
        </w:rPr>
        <w:t>根据赣安办字〔2016〕55号《江西省安委会办公室关于印发江西省安全风险分级管控体系建设通用指南的通知》精神，2019年5月18日江西朝盛矿业有限公司宁都硫铁矿下发了《关于发布江西朝盛矿业有限公司宁都硫铁矿安全风险分级管控实施方案的通知》，成立了以矿长为组长的领导小组。制定了《危险有害因素辨识及风险评价计划》，明确了负责人及责任部门，进行分解落实，直至班组、岗位。</w:t>
      </w:r>
    </w:p>
    <w:p w14:paraId="58769848">
      <w:pPr>
        <w:rPr>
          <w:rFonts w:hint="default"/>
          <w:color w:val="auto"/>
          <w:lang w:val="en-US" w:eastAsia="zh-CN"/>
        </w:rPr>
      </w:pPr>
      <w:r>
        <w:rPr>
          <w:rFonts w:hint="default"/>
          <w:color w:val="auto"/>
          <w:lang w:val="en-US" w:eastAsia="zh-CN"/>
        </w:rPr>
        <w:t>目前，江西朝盛矿业有限公司宁都硫铁矿风险评估小组通过对本单位危险有害因素进行辨识评价后，填写了相应的</w:t>
      </w:r>
      <w:r>
        <w:rPr>
          <w:rFonts w:hint="eastAsia"/>
          <w:color w:val="auto"/>
          <w:lang w:val="en-US" w:eastAsia="zh-CN"/>
        </w:rPr>
        <w:t>“</w:t>
      </w:r>
      <w:r>
        <w:rPr>
          <w:rFonts w:hint="default"/>
          <w:color w:val="auto"/>
          <w:lang w:val="en-US" w:eastAsia="zh-CN"/>
        </w:rPr>
        <w:t>作业活动清单</w:t>
      </w:r>
      <w:r>
        <w:rPr>
          <w:rFonts w:hint="eastAsia"/>
          <w:color w:val="auto"/>
          <w:lang w:val="en-US" w:eastAsia="zh-CN"/>
        </w:rPr>
        <w:t>”</w:t>
      </w:r>
      <w:r>
        <w:rPr>
          <w:rFonts w:hint="default"/>
          <w:color w:val="auto"/>
          <w:lang w:val="en-US" w:eastAsia="zh-CN"/>
        </w:rPr>
        <w:t>、</w:t>
      </w:r>
      <w:r>
        <w:rPr>
          <w:rFonts w:hint="eastAsia"/>
          <w:color w:val="auto"/>
          <w:lang w:val="en-US" w:eastAsia="zh-CN"/>
        </w:rPr>
        <w:t>“</w:t>
      </w:r>
      <w:r>
        <w:rPr>
          <w:rFonts w:hint="default"/>
          <w:color w:val="auto"/>
          <w:lang w:val="en-US" w:eastAsia="zh-CN"/>
        </w:rPr>
        <w:t>设备设施清单</w:t>
      </w:r>
      <w:r>
        <w:rPr>
          <w:rFonts w:hint="eastAsia"/>
          <w:color w:val="auto"/>
          <w:lang w:val="en-US" w:eastAsia="zh-CN"/>
        </w:rPr>
        <w:t>”</w:t>
      </w:r>
      <w:r>
        <w:rPr>
          <w:rFonts w:hint="default"/>
          <w:color w:val="auto"/>
          <w:lang w:val="en-US" w:eastAsia="zh-CN"/>
        </w:rPr>
        <w:t>，编制了风险管控责任清单和风险管控措施清单并绘制了江西朝盛矿业有限公司宁都硫铁矿风险点四色分布图。</w:t>
      </w:r>
    </w:p>
    <w:p w14:paraId="258301BE">
      <w:pPr>
        <w:rPr>
          <w:rFonts w:hint="default"/>
          <w:color w:val="auto"/>
          <w:lang w:val="en-US" w:eastAsia="zh-CN"/>
        </w:rPr>
      </w:pPr>
      <w:r>
        <w:rPr>
          <w:rFonts w:hint="default"/>
          <w:color w:val="auto"/>
          <w:lang w:val="en-US" w:eastAsia="zh-CN"/>
        </w:rPr>
        <w:t>建议江西朝盛矿业有限公司宁都硫铁矿进一步完善风险分级管控体系建设，进一步做好风险管控过程的相关记录，将风险管控纳入安全生产责任制进行考核，确保实现</w:t>
      </w:r>
      <w:r>
        <w:rPr>
          <w:rFonts w:hint="eastAsia"/>
          <w:color w:val="auto"/>
          <w:lang w:val="en-US" w:eastAsia="zh-CN"/>
        </w:rPr>
        <w:t>“</w:t>
      </w:r>
      <w:r>
        <w:rPr>
          <w:rFonts w:hint="default"/>
          <w:color w:val="auto"/>
          <w:lang w:val="en-US" w:eastAsia="zh-CN"/>
        </w:rPr>
        <w:t>全员、全过程、全方位、全天候</w:t>
      </w:r>
      <w:r>
        <w:rPr>
          <w:rFonts w:hint="eastAsia"/>
          <w:color w:val="auto"/>
          <w:lang w:val="en-US" w:eastAsia="zh-CN"/>
        </w:rPr>
        <w:t>”</w:t>
      </w:r>
      <w:r>
        <w:rPr>
          <w:rFonts w:hint="default"/>
          <w:color w:val="auto"/>
          <w:lang w:val="en-US" w:eastAsia="zh-CN"/>
        </w:rPr>
        <w:t>的风险管控。</w:t>
      </w:r>
    </w:p>
    <w:p w14:paraId="3749FCE0">
      <w:pPr>
        <w:rPr>
          <w:rFonts w:hint="default"/>
          <w:color w:val="auto"/>
          <w:lang w:val="en-US" w:eastAsia="zh-CN"/>
        </w:rPr>
      </w:pPr>
      <w:r>
        <w:rPr>
          <w:rFonts w:hint="eastAsia"/>
          <w:color w:val="auto"/>
          <w:lang w:val="en-US" w:eastAsia="zh-CN"/>
        </w:rPr>
        <w:t>六、</w:t>
      </w:r>
      <w:r>
        <w:rPr>
          <w:rFonts w:hint="default"/>
          <w:color w:val="auto"/>
          <w:lang w:val="en-US" w:eastAsia="zh-CN"/>
        </w:rPr>
        <w:t>安全生产责任险</w:t>
      </w:r>
    </w:p>
    <w:p w14:paraId="124FCA50">
      <w:pPr>
        <w:rPr>
          <w:rFonts w:hint="default"/>
          <w:color w:val="auto"/>
          <w:lang w:val="en-US" w:eastAsia="zh-CN"/>
        </w:rPr>
      </w:pPr>
      <w:r>
        <w:rPr>
          <w:rFonts w:hint="default"/>
          <w:color w:val="auto"/>
          <w:lang w:val="en-US" w:eastAsia="zh-CN"/>
        </w:rPr>
        <w:t>企业按要求参保了安全生产责任保险和</w:t>
      </w:r>
      <w:r>
        <w:rPr>
          <w:rFonts w:hint="eastAsia"/>
          <w:color w:val="auto"/>
          <w:lang w:val="en-US" w:eastAsia="zh-CN"/>
        </w:rPr>
        <w:t>为</w:t>
      </w:r>
      <w:r>
        <w:rPr>
          <w:rFonts w:hint="default"/>
          <w:color w:val="auto"/>
          <w:lang w:val="en-US" w:eastAsia="zh-CN"/>
        </w:rPr>
        <w:t>全体员工购买了工伤保险。</w:t>
      </w:r>
    </w:p>
    <w:p w14:paraId="44648816">
      <w:pPr>
        <w:rPr>
          <w:rFonts w:hint="default"/>
          <w:color w:val="auto"/>
          <w:lang w:val="en-US" w:eastAsia="zh-CN"/>
        </w:rPr>
      </w:pPr>
      <w:r>
        <w:rPr>
          <w:rFonts w:hint="eastAsia"/>
          <w:color w:val="auto"/>
          <w:lang w:val="en-US" w:eastAsia="zh-CN"/>
        </w:rPr>
        <w:t>七、</w:t>
      </w:r>
      <w:r>
        <w:rPr>
          <w:rFonts w:hint="default"/>
          <w:color w:val="auto"/>
          <w:lang w:val="en-US" w:eastAsia="zh-CN"/>
        </w:rPr>
        <w:t>安全投入</w:t>
      </w:r>
    </w:p>
    <w:p w14:paraId="49533E35">
      <w:pPr>
        <w:rPr>
          <w:rFonts w:hint="default"/>
          <w:color w:val="auto"/>
          <w:lang w:val="en-US" w:eastAsia="zh-CN"/>
        </w:rPr>
      </w:pPr>
      <w:r>
        <w:rPr>
          <w:rFonts w:hint="default"/>
          <w:color w:val="auto"/>
          <w:lang w:val="en-US" w:eastAsia="zh-CN"/>
        </w:rPr>
        <w:t>矿山严格按照规定足额提取并投入安全专项经费，专款专用，用于矿山安全生产设施的改造和隐患整改，努力改善矿山安全生产条件。根据国家有关规定，矿山按原矿产量1</w:t>
      </w:r>
      <w:r>
        <w:rPr>
          <w:rFonts w:hint="eastAsia"/>
          <w:color w:val="auto"/>
          <w:lang w:val="en-US" w:eastAsia="zh-CN"/>
        </w:rPr>
        <w:t>5</w:t>
      </w:r>
      <w:r>
        <w:rPr>
          <w:rFonts w:hint="default"/>
          <w:color w:val="auto"/>
          <w:lang w:val="en-US" w:eastAsia="zh-CN"/>
        </w:rPr>
        <w:t>元/t的比例提取安全专项经费，以保证安全生产费用的投入。</w:t>
      </w:r>
    </w:p>
    <w:p w14:paraId="389A0953">
      <w:pPr>
        <w:rPr>
          <w:rFonts w:hint="default"/>
          <w:color w:val="auto"/>
          <w:lang w:val="en-US" w:eastAsia="zh-CN"/>
        </w:rPr>
      </w:pPr>
      <w:r>
        <w:rPr>
          <w:rFonts w:hint="default"/>
          <w:color w:val="auto"/>
          <w:lang w:val="en-US" w:eastAsia="zh-CN"/>
        </w:rPr>
        <w:t>202</w:t>
      </w:r>
      <w:r>
        <w:rPr>
          <w:rFonts w:hint="eastAsia"/>
          <w:color w:val="auto"/>
          <w:lang w:val="en-US" w:eastAsia="zh-CN"/>
        </w:rPr>
        <w:t>5</w:t>
      </w:r>
      <w:r>
        <w:rPr>
          <w:rFonts w:hint="default"/>
          <w:color w:val="auto"/>
          <w:lang w:val="en-US" w:eastAsia="zh-CN"/>
        </w:rPr>
        <w:t>年度预计提取安全生产费用3</w:t>
      </w:r>
      <w:r>
        <w:rPr>
          <w:rFonts w:hint="eastAsia"/>
          <w:color w:val="auto"/>
          <w:lang w:val="en-US" w:eastAsia="zh-CN"/>
        </w:rPr>
        <w:t>6</w:t>
      </w:r>
      <w:r>
        <w:rPr>
          <w:rFonts w:hint="default"/>
          <w:color w:val="auto"/>
          <w:lang w:val="en-US" w:eastAsia="zh-CN"/>
        </w:rPr>
        <w:t>0万元，用于安全工程、安全管理、设备设施维护、</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r>
        <w:rPr>
          <w:rFonts w:hint="default"/>
          <w:color w:val="auto"/>
          <w:lang w:val="en-US" w:eastAsia="zh-CN"/>
        </w:rPr>
        <w:t>维护、职业健康、隐患整治、应急演练和应急物资等项目。费用能专款专用，专项管理。</w:t>
      </w:r>
    </w:p>
    <w:p w14:paraId="45221970">
      <w:pPr>
        <w:rPr>
          <w:rFonts w:hint="default"/>
          <w:color w:val="auto"/>
          <w:lang w:val="en-US" w:eastAsia="zh-CN"/>
        </w:rPr>
      </w:pPr>
      <w:r>
        <w:rPr>
          <w:rFonts w:hint="eastAsia"/>
          <w:color w:val="auto"/>
          <w:lang w:val="en-US" w:eastAsia="zh-CN"/>
        </w:rPr>
        <w:t>八、</w:t>
      </w:r>
      <w:r>
        <w:rPr>
          <w:rFonts w:hint="default"/>
          <w:color w:val="auto"/>
          <w:lang w:val="en-US" w:eastAsia="zh-CN"/>
        </w:rPr>
        <w:t>安全生产事故</w:t>
      </w:r>
    </w:p>
    <w:p w14:paraId="04140B2C">
      <w:pPr>
        <w:rPr>
          <w:rFonts w:hint="default"/>
          <w:color w:val="auto"/>
          <w:lang w:val="en-US" w:eastAsia="zh-CN"/>
        </w:rPr>
      </w:pPr>
      <w:r>
        <w:rPr>
          <w:rFonts w:hint="default"/>
          <w:color w:val="auto"/>
          <w:lang w:val="en-US" w:eastAsia="zh-CN"/>
        </w:rPr>
        <w:t>矿山近三年未发生工亡事故。</w:t>
      </w:r>
    </w:p>
    <w:p w14:paraId="2AD29AC0">
      <w:pPr>
        <w:rPr>
          <w:rFonts w:hint="default"/>
          <w:color w:val="auto"/>
          <w:lang w:val="en-US" w:eastAsia="zh-CN"/>
        </w:rPr>
      </w:pPr>
      <w:r>
        <w:rPr>
          <w:rFonts w:hint="eastAsia"/>
          <w:color w:val="auto"/>
          <w:lang w:val="en-US" w:eastAsia="zh-CN"/>
        </w:rPr>
        <w:t>九、</w:t>
      </w:r>
      <w:r>
        <w:rPr>
          <w:rFonts w:hint="default"/>
          <w:color w:val="auto"/>
          <w:lang w:val="en-US" w:eastAsia="zh-CN"/>
        </w:rPr>
        <w:t>生产安全事故应急救援预案</w:t>
      </w:r>
    </w:p>
    <w:p w14:paraId="317B0695">
      <w:pPr>
        <w:rPr>
          <w:rFonts w:hint="default"/>
          <w:color w:val="auto"/>
          <w:lang w:val="en-US" w:eastAsia="zh-CN"/>
        </w:rPr>
      </w:pPr>
      <w:r>
        <w:rPr>
          <w:rFonts w:hint="default"/>
          <w:color w:val="auto"/>
          <w:lang w:val="en-US" w:eastAsia="zh-CN"/>
        </w:rPr>
        <w:t>矿山已编制《江西朝盛矿业有限公司宁都硫铁矿生产安全事故应急预案》，并已在赣州市应急管理局备案，备案号：3607002022038。</w:t>
      </w:r>
    </w:p>
    <w:p w14:paraId="13A65FF5">
      <w:pPr>
        <w:rPr>
          <w:rFonts w:hint="default"/>
          <w:b w:val="0"/>
          <w:bCs w:val="0"/>
          <w:color w:val="auto"/>
          <w:lang w:val="en-US" w:eastAsia="zh-CN"/>
        </w:rPr>
      </w:pPr>
      <w:r>
        <w:rPr>
          <w:rFonts w:hint="default"/>
          <w:b w:val="0"/>
          <w:bCs w:val="0"/>
          <w:color w:val="auto"/>
          <w:lang w:val="en-US" w:eastAsia="zh-CN"/>
        </w:rPr>
        <w:t>202</w:t>
      </w:r>
      <w:r>
        <w:rPr>
          <w:rFonts w:hint="eastAsia"/>
          <w:b w:val="0"/>
          <w:bCs w:val="0"/>
          <w:color w:val="auto"/>
          <w:lang w:val="en-US" w:eastAsia="zh-CN"/>
        </w:rPr>
        <w:t>5</w:t>
      </w:r>
      <w:r>
        <w:rPr>
          <w:rFonts w:hint="default"/>
          <w:b w:val="0"/>
          <w:bCs w:val="0"/>
          <w:color w:val="auto"/>
          <w:lang w:val="en-US" w:eastAsia="zh-CN"/>
        </w:rPr>
        <w:t>年8月</w:t>
      </w:r>
      <w:r>
        <w:rPr>
          <w:rFonts w:hint="eastAsia"/>
          <w:b w:val="0"/>
          <w:bCs w:val="0"/>
          <w:color w:val="auto"/>
          <w:lang w:val="en-US" w:eastAsia="zh-CN"/>
        </w:rPr>
        <w:t>9</w:t>
      </w:r>
      <w:r>
        <w:rPr>
          <w:rFonts w:hint="default"/>
          <w:b w:val="0"/>
          <w:bCs w:val="0"/>
          <w:color w:val="auto"/>
          <w:lang w:val="en-US" w:eastAsia="zh-CN"/>
        </w:rPr>
        <w:t>日，矿山与赣州市综合应急救援支队签订了《矿山救护服务协议》，有效期至202</w:t>
      </w:r>
      <w:r>
        <w:rPr>
          <w:rFonts w:hint="eastAsia"/>
          <w:b w:val="0"/>
          <w:bCs w:val="0"/>
          <w:color w:val="auto"/>
          <w:lang w:val="en-US" w:eastAsia="zh-CN"/>
        </w:rPr>
        <w:t>6</w:t>
      </w:r>
      <w:r>
        <w:rPr>
          <w:rFonts w:hint="default"/>
          <w:b w:val="0"/>
          <w:bCs w:val="0"/>
          <w:color w:val="auto"/>
          <w:lang w:val="en-US" w:eastAsia="zh-CN"/>
        </w:rPr>
        <w:t>年8月</w:t>
      </w:r>
      <w:r>
        <w:rPr>
          <w:rFonts w:hint="eastAsia"/>
          <w:b w:val="0"/>
          <w:bCs w:val="0"/>
          <w:color w:val="auto"/>
          <w:lang w:val="en-US" w:eastAsia="zh-CN"/>
        </w:rPr>
        <w:t>8</w:t>
      </w:r>
      <w:r>
        <w:rPr>
          <w:rFonts w:hint="default"/>
          <w:b w:val="0"/>
          <w:bCs w:val="0"/>
          <w:color w:val="auto"/>
          <w:lang w:val="en-US" w:eastAsia="zh-CN"/>
        </w:rPr>
        <w:t>日。</w:t>
      </w:r>
    </w:p>
    <w:p w14:paraId="36C4096D">
      <w:pPr>
        <w:rPr>
          <w:rFonts w:hint="default"/>
          <w:color w:val="auto"/>
          <w:lang w:val="en-US" w:eastAsia="zh-CN"/>
        </w:rPr>
      </w:pPr>
      <w:r>
        <w:rPr>
          <w:rFonts w:hint="default"/>
          <w:color w:val="auto"/>
          <w:lang w:val="en-US" w:eastAsia="zh-CN"/>
        </w:rPr>
        <w:t>矿山于</w:t>
      </w:r>
      <w:r>
        <w:rPr>
          <w:rFonts w:hint="default"/>
          <w:b w:val="0"/>
          <w:bCs w:val="0"/>
          <w:color w:val="auto"/>
          <w:lang w:val="en-US" w:eastAsia="zh-CN"/>
        </w:rPr>
        <w:t>202</w:t>
      </w:r>
      <w:r>
        <w:rPr>
          <w:rFonts w:hint="eastAsia"/>
          <w:b w:val="0"/>
          <w:bCs w:val="0"/>
          <w:color w:val="auto"/>
          <w:lang w:val="en-US" w:eastAsia="zh-CN"/>
        </w:rPr>
        <w:t>5</w:t>
      </w:r>
      <w:r>
        <w:rPr>
          <w:rFonts w:hint="default"/>
          <w:b w:val="0"/>
          <w:bCs w:val="0"/>
          <w:color w:val="auto"/>
          <w:lang w:val="en-US" w:eastAsia="zh-CN"/>
        </w:rPr>
        <w:t>年</w:t>
      </w:r>
      <w:r>
        <w:rPr>
          <w:rFonts w:hint="eastAsia"/>
          <w:b w:val="0"/>
          <w:bCs w:val="0"/>
          <w:color w:val="auto"/>
          <w:lang w:val="en-US" w:eastAsia="zh-CN"/>
        </w:rPr>
        <w:t>5</w:t>
      </w:r>
      <w:r>
        <w:rPr>
          <w:rFonts w:hint="default"/>
          <w:b w:val="0"/>
          <w:bCs w:val="0"/>
          <w:color w:val="auto"/>
          <w:lang w:val="en-US" w:eastAsia="zh-CN"/>
        </w:rPr>
        <w:t>月</w:t>
      </w:r>
      <w:r>
        <w:rPr>
          <w:rFonts w:hint="eastAsia"/>
          <w:b w:val="0"/>
          <w:bCs w:val="0"/>
          <w:color w:val="auto"/>
          <w:lang w:val="en-US" w:eastAsia="zh-CN"/>
        </w:rPr>
        <w:t>10日</w:t>
      </w:r>
      <w:r>
        <w:rPr>
          <w:rFonts w:hint="default"/>
          <w:color w:val="auto"/>
          <w:lang w:val="en-US" w:eastAsia="zh-CN"/>
        </w:rPr>
        <w:t>进行了突发灾害性天气停产撤人应急演练方案，演练前制定了方案，确定了方式，做到精心组织、实战演练、找出差距，不断总结提高，加强了应急队伍的建设，完善了安全生产保障体系。</w:t>
      </w:r>
    </w:p>
    <w:p w14:paraId="7B083201">
      <w:pPr>
        <w:rPr>
          <w:rFonts w:hint="default"/>
          <w:color w:val="auto"/>
          <w:lang w:val="en-US" w:eastAsia="zh-CN"/>
        </w:rPr>
      </w:pPr>
      <w:r>
        <w:rPr>
          <w:rFonts w:hint="eastAsia"/>
          <w:color w:val="auto"/>
          <w:lang w:val="en-US" w:eastAsia="zh-CN"/>
        </w:rPr>
        <w:t>十、</w:t>
      </w:r>
      <w:r>
        <w:rPr>
          <w:rFonts w:hint="default"/>
          <w:color w:val="auto"/>
          <w:lang w:val="en-US" w:eastAsia="zh-CN"/>
        </w:rPr>
        <w:t>安全生产标准化建设及班组安全建设</w:t>
      </w:r>
    </w:p>
    <w:p w14:paraId="5A72196D">
      <w:pPr>
        <w:rPr>
          <w:rFonts w:hint="default"/>
          <w:color w:val="auto"/>
          <w:lang w:val="en-US" w:eastAsia="zh-CN"/>
        </w:rPr>
      </w:pPr>
      <w:r>
        <w:rPr>
          <w:rFonts w:hint="default"/>
          <w:color w:val="auto"/>
          <w:lang w:val="en-US" w:eastAsia="zh-CN"/>
        </w:rPr>
        <w:t>矿山2014年3月18日通过了安全生产标准化三级考评，首次取得省应急管理厅颁发的证书（编号为：赣AQBK三00133</w:t>
      </w:r>
      <w:r>
        <w:rPr>
          <w:rFonts w:hint="eastAsia" w:ascii="宋体" w:hAnsi="宋体" w:eastAsia="宋体" w:cs="宋体"/>
          <w:color w:val="auto"/>
          <w:lang w:val="en-US" w:eastAsia="zh-CN"/>
        </w:rPr>
        <w:t>[</w:t>
      </w:r>
      <w:r>
        <w:rPr>
          <w:rFonts w:hint="default"/>
          <w:color w:val="auto"/>
          <w:lang w:val="en-US" w:eastAsia="zh-CN"/>
        </w:rPr>
        <w:t>2014</w:t>
      </w:r>
      <w:r>
        <w:rPr>
          <w:rFonts w:hint="eastAsia" w:ascii="宋体" w:hAnsi="宋体" w:eastAsia="宋体" w:cs="宋体"/>
          <w:color w:val="auto"/>
          <w:lang w:val="en-US" w:eastAsia="zh-CN"/>
        </w:rPr>
        <w:t>]</w:t>
      </w:r>
      <w:r>
        <w:rPr>
          <w:rFonts w:hint="default"/>
          <w:color w:val="auto"/>
          <w:lang w:val="en-US" w:eastAsia="zh-CN"/>
        </w:rPr>
        <w:t>）。矿山已于2020年8月11日第三次取得省应急管理厅颁发的安全生产标准化三级证书（编号为：赣AQBK三</w:t>
      </w:r>
      <w:r>
        <w:rPr>
          <w:rFonts w:hint="eastAsia" w:ascii="宋体" w:hAnsi="宋体" w:eastAsia="宋体" w:cs="宋体"/>
          <w:color w:val="auto"/>
          <w:lang w:val="en-US" w:eastAsia="zh-CN"/>
        </w:rPr>
        <w:t>[</w:t>
      </w:r>
      <w:r>
        <w:rPr>
          <w:rFonts w:hint="default"/>
          <w:color w:val="auto"/>
          <w:lang w:val="en-US" w:eastAsia="zh-CN"/>
        </w:rPr>
        <w:t>2020</w:t>
      </w:r>
      <w:r>
        <w:rPr>
          <w:rFonts w:hint="eastAsia" w:ascii="宋体" w:hAnsi="宋体" w:eastAsia="宋体" w:cs="宋体"/>
          <w:color w:val="auto"/>
          <w:lang w:val="en-US" w:eastAsia="zh-CN"/>
        </w:rPr>
        <w:t>]</w:t>
      </w:r>
      <w:r>
        <w:rPr>
          <w:rFonts w:hint="default"/>
          <w:color w:val="auto"/>
          <w:lang w:val="en-US" w:eastAsia="zh-CN"/>
        </w:rPr>
        <w:t>053）</w:t>
      </w:r>
      <w:r>
        <w:rPr>
          <w:rFonts w:hint="eastAsia"/>
          <w:color w:val="auto"/>
          <w:lang w:val="en-US" w:eastAsia="zh-CN"/>
        </w:rPr>
        <w:t>，目前矿山安标化工作仍处于运行中。</w:t>
      </w:r>
    </w:p>
    <w:p w14:paraId="7CD3AD7C">
      <w:pPr>
        <w:rPr>
          <w:rFonts w:hint="default"/>
          <w:color w:val="auto"/>
          <w:lang w:val="en-US" w:eastAsia="zh-CN"/>
        </w:rPr>
      </w:pPr>
      <w:r>
        <w:rPr>
          <w:rFonts w:hint="default"/>
          <w:color w:val="auto"/>
          <w:lang w:val="en-US" w:eastAsia="zh-CN"/>
        </w:rPr>
        <w:t>矿山开展了班组建设工作，班组安全活动有危险辨识与风险评价、班组安全教育与培训，班组安全学习、班组检查等。班（组）长参加了相关部门组织的非煤矿山企业班（组）长安全生产培训。</w:t>
      </w:r>
    </w:p>
    <w:p w14:paraId="473B484B">
      <w:pPr>
        <w:rPr>
          <w:rFonts w:hint="default"/>
          <w:color w:val="auto"/>
          <w:lang w:val="en-US" w:eastAsia="zh-CN"/>
        </w:rPr>
      </w:pPr>
      <w:r>
        <w:rPr>
          <w:rFonts w:hint="eastAsia"/>
          <w:color w:val="auto"/>
          <w:lang w:val="en-US" w:eastAsia="zh-CN"/>
        </w:rPr>
        <w:t>十一、</w:t>
      </w:r>
      <w:r>
        <w:rPr>
          <w:rFonts w:hint="default"/>
          <w:color w:val="auto"/>
          <w:lang w:val="en-US" w:eastAsia="zh-CN"/>
        </w:rPr>
        <w:t>班组建设</w:t>
      </w:r>
    </w:p>
    <w:p w14:paraId="3117F22A">
      <w:pPr>
        <w:rPr>
          <w:rFonts w:hint="default"/>
          <w:color w:val="auto"/>
          <w:lang w:val="en-US" w:eastAsia="zh-CN"/>
        </w:rPr>
      </w:pPr>
      <w:r>
        <w:rPr>
          <w:rFonts w:hint="default"/>
          <w:color w:val="auto"/>
          <w:lang w:val="en-US" w:eastAsia="zh-CN"/>
        </w:rPr>
        <w:t>矿山开展了班组标准化建设，有班组建设方案、记录，有班组活动室。</w:t>
      </w:r>
    </w:p>
    <w:p w14:paraId="127CC61F">
      <w:pPr>
        <w:rPr>
          <w:rFonts w:hint="default"/>
          <w:color w:val="auto"/>
          <w:lang w:val="en-US" w:eastAsia="zh-CN"/>
        </w:rPr>
      </w:pPr>
      <w:r>
        <w:rPr>
          <w:rFonts w:hint="eastAsia"/>
          <w:color w:val="auto"/>
          <w:lang w:val="en-US" w:eastAsia="zh-CN"/>
        </w:rPr>
        <w:t>十二、</w:t>
      </w:r>
      <w:r>
        <w:rPr>
          <w:rFonts w:hint="default"/>
          <w:color w:val="auto"/>
          <w:lang w:val="en-US" w:eastAsia="zh-CN"/>
        </w:rPr>
        <w:t>安全生产资料建档管理</w:t>
      </w:r>
    </w:p>
    <w:p w14:paraId="0FBDC3E9">
      <w:pPr>
        <w:rPr>
          <w:rFonts w:hint="default"/>
          <w:color w:val="auto"/>
          <w:lang w:val="en-US" w:eastAsia="zh-CN"/>
        </w:rPr>
      </w:pPr>
      <w:r>
        <w:rPr>
          <w:rFonts w:hint="default"/>
          <w:color w:val="auto"/>
          <w:lang w:val="en-US" w:eastAsia="zh-CN"/>
        </w:rPr>
        <w:t>江西朝盛矿业有限公司宁都硫铁矿注重安全生产资料的整理归档管理工作，有兼职人员负责资料管理。及时整理安全会议记录、生产技术报表、事故事件报表、安全生产标准化创建资料、评审报告记录、工程图纸及时更新归档、行业协会文件、省市县应急管理部门文件，分类存放。配有资料存放柜，为资料管理配置了必要的设施，保持一定的资金资源需求。</w:t>
      </w:r>
    </w:p>
    <w:p w14:paraId="1804374A">
      <w:pPr>
        <w:pStyle w:val="3"/>
        <w:bidi w:val="0"/>
        <w:rPr>
          <w:rFonts w:hint="default"/>
          <w:color w:val="auto"/>
          <w:lang w:val="en-US" w:eastAsia="zh-CN"/>
        </w:rPr>
      </w:pPr>
      <w:bookmarkStart w:id="228" w:name="_Toc24567"/>
      <w:bookmarkStart w:id="229" w:name="_Toc24782"/>
      <w:r>
        <w:rPr>
          <w:rFonts w:hint="eastAsia"/>
          <w:color w:val="auto"/>
          <w:lang w:val="en-US" w:eastAsia="zh-CN"/>
        </w:rPr>
        <w:t>2.5 隐蔽致灾因素普查</w:t>
      </w:r>
      <w:bookmarkEnd w:id="228"/>
      <w:bookmarkEnd w:id="229"/>
    </w:p>
    <w:p w14:paraId="544B33DC">
      <w:pPr>
        <w:bidi w:val="0"/>
        <w:rPr>
          <w:rFonts w:hint="default"/>
          <w:color w:val="auto"/>
          <w:lang w:val="en-US" w:eastAsia="zh-CN"/>
        </w:rPr>
      </w:pPr>
      <w:r>
        <w:rPr>
          <w:rFonts w:hint="default"/>
          <w:color w:val="auto"/>
          <w:lang w:val="en-US" w:eastAsia="zh-CN"/>
        </w:rPr>
        <w:t>江西朝盛矿业有限公司2011年12月委托江西理工大学对该矿进行了地压研究，通过2013年4月～2013年9月底为期半年时间的地表沉降监测、井下地压监测和地压调查资料的分析，完成了《江西朝盛矿业有限公司地压调查研究（中期报告）》，该报告得出如下结论：</w:t>
      </w:r>
      <w:r>
        <w:rPr>
          <w:rFonts w:hint="eastAsia" w:ascii="Times New Roman" w:eastAsia="宋体"/>
          <w:color w:val="auto"/>
          <w:lang w:val="en-US" w:eastAsia="zh-CN"/>
        </w:rPr>
        <w:t>（1）</w:t>
      </w:r>
      <w:r>
        <w:rPr>
          <w:rFonts w:hint="default"/>
          <w:color w:val="auto"/>
          <w:lang w:val="en-US" w:eastAsia="zh-CN"/>
        </w:rPr>
        <w:t>根据井下地压现象调查情况，除有两处巷道发生片帮冒顶外，其它地方未见地压显现，说明矿山局部（围岩破碎、构筑发育的地方）存在松散地压，但未出现变形地压，表明矿山在已有的采掘工程条件下，地下岩层是稳定的。</w:t>
      </w:r>
      <w:r>
        <w:rPr>
          <w:rFonts w:hint="eastAsia" w:ascii="Times New Roman" w:eastAsia="宋体"/>
          <w:color w:val="auto"/>
          <w:lang w:val="en-US" w:eastAsia="zh-CN"/>
        </w:rPr>
        <w:t>（2）</w:t>
      </w:r>
      <w:r>
        <w:rPr>
          <w:rFonts w:hint="default"/>
          <w:color w:val="auto"/>
          <w:lang w:val="en-US" w:eastAsia="zh-CN"/>
        </w:rPr>
        <w:t>通过对+160m和+130m中段的采掘工程的收敛和岩体应力监测，未发现有明显的变形地压，表明目前矿岩承受的压力在其强度范围内。</w:t>
      </w:r>
      <w:r>
        <w:rPr>
          <w:rFonts w:hint="eastAsia" w:ascii="Times New Roman" w:eastAsia="宋体"/>
          <w:color w:val="auto"/>
          <w:lang w:val="en-US" w:eastAsia="zh-CN"/>
        </w:rPr>
        <w:t>（3）</w:t>
      </w:r>
      <w:r>
        <w:rPr>
          <w:rFonts w:hint="default"/>
          <w:color w:val="auto"/>
          <w:lang w:val="en-US" w:eastAsia="zh-CN"/>
        </w:rPr>
        <w:t>地表沉降观测结果说明在这段时间内（2013年5月～2013年9月）地表未发生沉降，表明在矿山现有的采掘工程条件下，公路及地面建筑物是安全的。</w:t>
      </w:r>
      <w:r>
        <w:rPr>
          <w:rFonts w:hint="eastAsia" w:ascii="Times New Roman" w:eastAsia="宋体"/>
          <w:color w:val="auto"/>
          <w:lang w:val="en-US" w:eastAsia="zh-CN"/>
        </w:rPr>
        <w:t>（4）</w:t>
      </w:r>
      <w:r>
        <w:rPr>
          <w:rFonts w:hint="default"/>
          <w:color w:val="auto"/>
          <w:lang w:val="en-US" w:eastAsia="zh-CN"/>
        </w:rPr>
        <w:t>以上结论是在矿山现有采掘工程条件下得出的，即是在+160m、+130m和+100m中段未进行大面积采矿的情况下得出的，对于将来+160m、+130m和+100m中段进行大面积采矿的情况下，矿山是否会发生大面积地压、是否会引起地面沉降，还需进一步监测、调查分析研究。</w:t>
      </w:r>
    </w:p>
    <w:p w14:paraId="680ED8EC">
      <w:pPr>
        <w:bidi w:val="0"/>
        <w:rPr>
          <w:rFonts w:hint="eastAsia"/>
          <w:color w:val="auto"/>
          <w:lang w:val="en-US" w:eastAsia="zh-CN"/>
        </w:rPr>
      </w:pPr>
      <w:r>
        <w:rPr>
          <w:rFonts w:hint="eastAsia" w:ascii="Times New Roman" w:eastAsia="宋体"/>
          <w:color w:val="auto"/>
          <w:lang w:val="en-US" w:eastAsia="zh-CN"/>
        </w:rPr>
        <w:t>为了保障矿山安全生产，江西朝盛矿业有限公司委托南昌工程学院对该矿地质灾害进行了研究，2024年1月19日，南昌工程学院江西水利土木特种加固与安全监控工程研究中心编制了《江西朝盛矿业有限公司宁都硫铁矿地下矿山隐蔽致灾因素普查治理报告》，报告对该矿采空区致灾、水文致灾、地压致灾、火灾致灾因素都进行了分析，给出了结论与建议：</w:t>
      </w:r>
    </w:p>
    <w:p w14:paraId="5B19EDA5">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eastAsia" w:ascii="Times New Roman" w:eastAsia="宋体"/>
          <w:color w:val="auto"/>
          <w:lang w:val="en-US" w:eastAsia="zh-CN"/>
        </w:rPr>
        <w:t>采空区致灾因素</w:t>
      </w:r>
    </w:p>
    <w:p w14:paraId="3EA71A48">
      <w:pPr>
        <w:bidi w:val="0"/>
        <w:rPr>
          <w:rFonts w:hint="default"/>
          <w:color w:val="auto"/>
          <w:lang w:val="en-US" w:eastAsia="zh-CN"/>
        </w:rPr>
      </w:pPr>
      <w:r>
        <w:rPr>
          <w:rFonts w:hint="default"/>
          <w:color w:val="auto"/>
          <w:lang w:val="en-US" w:eastAsia="zh-CN"/>
        </w:rPr>
        <w:t>目前井下废碴均不出窿，地表不设排土场，全部废碴用于回填到现有采空区内。矿区内采空区合计127760m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w:t>
      </w:r>
      <w:r>
        <w:rPr>
          <w:rFonts w:hint="default"/>
          <w:color w:val="auto"/>
          <w:lang w:val="en-US" w:eastAsia="zh-CN"/>
        </w:rPr>
        <w:t>已回填约30780m</w:t>
      </w:r>
      <w:r>
        <w:rPr>
          <w:rFonts w:hint="eastAsia" w:ascii="Times New Roman" w:eastAsia="宋体"/>
          <w:color w:val="auto"/>
          <w:vertAlign w:val="superscript"/>
          <w:lang w:val="en-US" w:eastAsia="zh-CN"/>
        </w:rPr>
        <w:t>3</w:t>
      </w:r>
      <w:r>
        <w:rPr>
          <w:rFonts w:hint="eastAsia" w:ascii="Times New Roman" w:eastAsia="宋体"/>
          <w:color w:val="auto"/>
          <w:vertAlign w:val="baseline"/>
          <w:lang w:val="en-US" w:eastAsia="zh-CN"/>
        </w:rPr>
        <w:t>，</w:t>
      </w:r>
      <w:r>
        <w:rPr>
          <w:rFonts w:hint="default"/>
          <w:color w:val="auto"/>
          <w:lang w:val="en-US" w:eastAsia="zh-CN"/>
        </w:rPr>
        <w:t>未回填采空区约96980m</w:t>
      </w:r>
      <w:r>
        <w:rPr>
          <w:rFonts w:hint="eastAsia" w:ascii="Times New Roman" w:eastAsia="宋体"/>
          <w:color w:val="auto"/>
          <w:vertAlign w:val="superscript"/>
          <w:lang w:val="en-US" w:eastAsia="zh-CN"/>
        </w:rPr>
        <w:t>3</w:t>
      </w:r>
      <w:r>
        <w:rPr>
          <w:rFonts w:hint="default"/>
          <w:color w:val="auto"/>
          <w:lang w:val="en-US" w:eastAsia="zh-CN"/>
        </w:rPr>
        <w:t>，回填率达24.1%。</w:t>
      </w:r>
    </w:p>
    <w:p w14:paraId="57752BCB">
      <w:pPr>
        <w:bidi w:val="0"/>
        <w:rPr>
          <w:rFonts w:hint="default"/>
          <w:color w:val="auto"/>
          <w:lang w:val="en-US" w:eastAsia="zh-CN"/>
        </w:rPr>
      </w:pPr>
      <w:r>
        <w:rPr>
          <w:rFonts w:hint="eastAsia" w:ascii="Times New Roman" w:eastAsia="宋体"/>
          <w:color w:val="auto"/>
          <w:lang w:val="en-US" w:eastAsia="zh-CN"/>
        </w:rPr>
        <w:t>（1）</w:t>
      </w:r>
      <w:r>
        <w:rPr>
          <w:rFonts w:hint="default"/>
          <w:color w:val="auto"/>
          <w:lang w:val="en-US" w:eastAsia="zh-CN"/>
        </w:rPr>
        <w:t>采掘过程在采场和采空区易出现垮落、片帮和冒顶。建议减缓矿床开采过程中地质应力的增加。</w:t>
      </w:r>
    </w:p>
    <w:p w14:paraId="55A4F0BD">
      <w:pPr>
        <w:bidi w:val="0"/>
        <w:rPr>
          <w:rFonts w:hint="default"/>
          <w:color w:val="auto"/>
          <w:lang w:val="en-US" w:eastAsia="zh-CN"/>
        </w:rPr>
      </w:pPr>
      <w:r>
        <w:rPr>
          <w:rFonts w:hint="eastAsia" w:ascii="Times New Roman" w:eastAsia="宋体"/>
          <w:color w:val="auto"/>
          <w:lang w:val="en-US" w:eastAsia="zh-CN"/>
        </w:rPr>
        <w:t>（2）</w:t>
      </w:r>
      <w:r>
        <w:rPr>
          <w:rFonts w:hint="default"/>
          <w:color w:val="auto"/>
          <w:lang w:val="en-US" w:eastAsia="zh-CN"/>
        </w:rPr>
        <w:t>宁都至兴国主</w:t>
      </w:r>
      <w:r>
        <w:rPr>
          <w:rFonts w:hint="eastAsia" w:ascii="Times New Roman" w:eastAsia="宋体"/>
          <w:color w:val="auto"/>
          <w:lang w:val="en-US" w:eastAsia="zh-CN"/>
        </w:rPr>
        <w:t>干</w:t>
      </w:r>
      <w:r>
        <w:rPr>
          <w:rFonts w:hint="default"/>
          <w:color w:val="auto"/>
          <w:lang w:val="en-US" w:eastAsia="zh-CN"/>
        </w:rPr>
        <w:t>公路由东北向西南方向穿过矿区，且矿区内地表下30m～80m，2～8号勘探线之间构造裂隙带附近溶洞较为发育公路可能出现局部崩落情形</w:t>
      </w:r>
      <w:r>
        <w:rPr>
          <w:rFonts w:hint="eastAsia" w:ascii="Times New Roman" w:eastAsia="宋体"/>
          <w:color w:val="auto"/>
          <w:lang w:val="en-US" w:eastAsia="zh-CN"/>
        </w:rPr>
        <w:t>，</w:t>
      </w:r>
      <w:r>
        <w:rPr>
          <w:rFonts w:hint="default"/>
          <w:color w:val="auto"/>
          <w:lang w:val="en-US" w:eastAsia="zh-CN"/>
        </w:rPr>
        <w:t>建议优先充填、及时充填。</w:t>
      </w:r>
    </w:p>
    <w:p w14:paraId="493B92DC">
      <w:pPr>
        <w:bidi w:val="0"/>
        <w:rPr>
          <w:rFonts w:hint="default"/>
          <w:color w:val="auto"/>
          <w:lang w:val="en-US" w:eastAsia="zh-CN"/>
        </w:rPr>
      </w:pPr>
      <w:r>
        <w:rPr>
          <w:rFonts w:hint="eastAsia" w:ascii="Times New Roman" w:eastAsia="宋体"/>
          <w:color w:val="auto"/>
          <w:lang w:val="en-US" w:eastAsia="zh-CN"/>
        </w:rPr>
        <w:t>（3）</w:t>
      </w:r>
      <w:r>
        <w:rPr>
          <w:rFonts w:hint="default"/>
          <w:color w:val="auto"/>
          <w:lang w:val="en-US" w:eastAsia="zh-CN"/>
        </w:rPr>
        <w:t>采用瞬变电磁物探法共探测9条测线，测线长共9.631公里</w:t>
      </w:r>
      <w:r>
        <w:rPr>
          <w:rFonts w:hint="eastAsia" w:ascii="Times New Roman" w:eastAsia="宋体"/>
          <w:color w:val="auto"/>
          <w:lang w:val="en-US" w:eastAsia="zh-CN"/>
        </w:rPr>
        <w:t>，</w:t>
      </w:r>
      <w:r>
        <w:rPr>
          <w:rFonts w:hint="default"/>
          <w:color w:val="auto"/>
          <w:lang w:val="en-US" w:eastAsia="zh-CN"/>
        </w:rPr>
        <w:t>共508个物理点，其中检查点25个，丢点4个。通过对现场进行实地的勘探工作，获得了大量的可靠物探资料。测线上共有59区域均存在低阻异常，局部等值线弯曲畸变，其中富水区异常33处、采空区异常15处、采空填充区异常11处。L7测线水平里程180m～375m区域内视电阻率等值线紊乱，推测可能存在断层。建议定期排查。</w:t>
      </w:r>
    </w:p>
    <w:p w14:paraId="3749B4FE">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根据国内外现有的采空区处理方法，结合宁都硫铁矿的水文地质条件、开采现状、采空区现在及稳定性等实际情况，建议进一步开展矿区岩石力学性能研究</w:t>
      </w:r>
      <w:r>
        <w:rPr>
          <w:rFonts w:hint="eastAsia" w:ascii="Times New Roman" w:eastAsia="宋体"/>
          <w:color w:val="auto"/>
          <w:lang w:val="en-US" w:eastAsia="zh-CN"/>
        </w:rPr>
        <w:t>；</w:t>
      </w:r>
      <w:r>
        <w:rPr>
          <w:rFonts w:hint="default"/>
          <w:color w:val="auto"/>
          <w:lang w:val="en-US" w:eastAsia="zh-CN"/>
        </w:rPr>
        <w:t>建立完善的监测监控系统，实现对采空区稳定性、位移、作业人员等的动态监测监控</w:t>
      </w:r>
      <w:r>
        <w:rPr>
          <w:rFonts w:hint="eastAsia" w:ascii="Times New Roman" w:eastAsia="宋体"/>
          <w:color w:val="auto"/>
          <w:lang w:val="en-US" w:eastAsia="zh-CN"/>
        </w:rPr>
        <w:t>；</w:t>
      </w:r>
      <w:r>
        <w:rPr>
          <w:rFonts w:hint="default"/>
          <w:color w:val="auto"/>
          <w:lang w:val="en-US" w:eastAsia="zh-CN"/>
        </w:rPr>
        <w:t>采用监测仪器或仪表，对开采范围内地表沉降量进行观测，特别是矿部、居民区、公路等要设固定监测点。</w:t>
      </w:r>
    </w:p>
    <w:p w14:paraId="09A14897">
      <w:pPr>
        <w:bidi w:val="0"/>
        <w:rPr>
          <w:rFonts w:hint="default"/>
          <w:color w:val="auto"/>
          <w:lang w:val="en-US" w:eastAsia="zh-CN"/>
        </w:rPr>
      </w:pPr>
      <w:r>
        <w:rPr>
          <w:rFonts w:hint="eastAsia" w:ascii="Times New Roman" w:eastAsia="宋体"/>
          <w:color w:val="auto"/>
          <w:lang w:val="en-US" w:eastAsia="zh-CN"/>
        </w:rPr>
        <w:t>（5）</w:t>
      </w:r>
      <w:r>
        <w:rPr>
          <w:rFonts w:hint="default"/>
          <w:color w:val="auto"/>
          <w:lang w:val="en-US" w:eastAsia="zh-CN"/>
        </w:rPr>
        <w:t>当后期出现大面积开采时，应优化设计，预留矿柱。当采空区回采矿柱时，应做好安全预案，建议及时充填。</w:t>
      </w:r>
    </w:p>
    <w:p w14:paraId="152E4BD5">
      <w:pPr>
        <w:bidi w:val="0"/>
        <w:rPr>
          <w:rFonts w:hint="eastAsia"/>
          <w:color w:val="auto"/>
          <w:lang w:val="en-US" w:eastAsia="zh-CN"/>
        </w:rPr>
      </w:pPr>
      <w:r>
        <w:rPr>
          <w:rFonts w:hint="eastAsia" w:ascii="Times New Roman" w:eastAsia="宋体"/>
          <w:color w:val="auto"/>
          <w:lang w:val="en-US" w:eastAsia="zh-CN"/>
        </w:rPr>
        <w:t>2. 水文致灾因素</w:t>
      </w:r>
    </w:p>
    <w:p w14:paraId="0B15466A">
      <w:pPr>
        <w:bidi w:val="0"/>
        <w:rPr>
          <w:rFonts w:hint="default"/>
          <w:color w:val="auto"/>
          <w:lang w:val="en-US" w:eastAsia="zh-CN"/>
        </w:rPr>
      </w:pPr>
      <w:r>
        <w:rPr>
          <w:rFonts w:hint="eastAsia" w:ascii="Times New Roman" w:eastAsia="宋体"/>
          <w:color w:val="auto"/>
          <w:lang w:val="en-US" w:eastAsia="zh-CN"/>
        </w:rPr>
        <w:t>（1）</w:t>
      </w:r>
      <w:r>
        <w:rPr>
          <w:rFonts w:hint="default"/>
          <w:color w:val="auto"/>
          <w:lang w:val="en-US" w:eastAsia="zh-CN"/>
        </w:rPr>
        <w:t>矿区地表水系较发育，地下水与地表水有一定的水力联系</w:t>
      </w:r>
      <w:r>
        <w:rPr>
          <w:rFonts w:hint="eastAsia" w:ascii="Times New Roman" w:eastAsia="宋体"/>
          <w:color w:val="auto"/>
          <w:lang w:val="en-US" w:eastAsia="zh-CN"/>
        </w:rPr>
        <w:t>，</w:t>
      </w:r>
      <w:r>
        <w:rPr>
          <w:rFonts w:hint="default"/>
          <w:color w:val="auto"/>
          <w:lang w:val="en-US" w:eastAsia="zh-CN"/>
        </w:rPr>
        <w:t>地形地貌条件有利于地表水、地下水的积聚，对矿床开采有较大的不利影响。矿床主要以基岩裂隙水为直接充水水源，富水性弱，矿区水文地质勘探类型是以基岩裂隙充水为主的在标高</w:t>
      </w:r>
      <w:r>
        <w:rPr>
          <w:rFonts w:hint="eastAsia" w:ascii="Times New Roman" w:eastAsia="宋体"/>
          <w:color w:val="auto"/>
          <w:lang w:val="en-US" w:eastAsia="zh-CN"/>
        </w:rPr>
        <w:t>+</w:t>
      </w:r>
      <w:r>
        <w:rPr>
          <w:rFonts w:hint="default"/>
          <w:color w:val="auto"/>
          <w:lang w:val="en-US" w:eastAsia="zh-CN"/>
        </w:rPr>
        <w:t>160m以上水文地质条件中等</w:t>
      </w:r>
      <w:r>
        <w:rPr>
          <w:rFonts w:hint="eastAsia" w:ascii="Times New Roman" w:eastAsia="宋体"/>
          <w:color w:val="auto"/>
          <w:lang w:val="en-US" w:eastAsia="zh-CN"/>
        </w:rPr>
        <w:t>；</w:t>
      </w:r>
      <w:r>
        <w:rPr>
          <w:rFonts w:hint="default"/>
          <w:color w:val="auto"/>
          <w:lang w:val="en-US" w:eastAsia="zh-CN"/>
        </w:rPr>
        <w:t>在标高160m以下水文地质条件简单的矿床。</w:t>
      </w:r>
    </w:p>
    <w:p w14:paraId="44E45C20">
      <w:pPr>
        <w:bidi w:val="0"/>
        <w:rPr>
          <w:rFonts w:hint="default"/>
          <w:color w:val="auto"/>
          <w:lang w:val="en-US" w:eastAsia="zh-CN"/>
        </w:rPr>
      </w:pPr>
      <w:r>
        <w:rPr>
          <w:rFonts w:hint="eastAsia" w:ascii="Times New Roman" w:eastAsia="宋体"/>
          <w:color w:val="auto"/>
          <w:lang w:val="en-US" w:eastAsia="zh-CN"/>
        </w:rPr>
        <w:t>（2）</w:t>
      </w:r>
      <w:r>
        <w:rPr>
          <w:rFonts w:hint="default"/>
          <w:color w:val="auto"/>
          <w:lang w:val="en-US" w:eastAsia="zh-CN"/>
        </w:rPr>
        <w:t>矿山所在地区气候温和，日照充足，雨量充沛。每年2～5月为雨季</w:t>
      </w:r>
      <w:r>
        <w:rPr>
          <w:rFonts w:hint="eastAsia" w:ascii="Times New Roman" w:eastAsia="宋体"/>
          <w:color w:val="auto"/>
          <w:lang w:val="en-US" w:eastAsia="zh-CN"/>
        </w:rPr>
        <w:t>，</w:t>
      </w:r>
      <w:r>
        <w:rPr>
          <w:rFonts w:hint="default"/>
          <w:color w:val="auto"/>
          <w:lang w:val="en-US" w:eastAsia="zh-CN"/>
        </w:rPr>
        <w:t>历年日最大降雨量达218.8mm</w:t>
      </w:r>
      <w:r>
        <w:rPr>
          <w:rFonts w:hint="eastAsia" w:ascii="Times New Roman" w:eastAsia="宋体"/>
          <w:color w:val="auto"/>
          <w:lang w:val="en-US" w:eastAsia="zh-CN"/>
        </w:rPr>
        <w:t>，</w:t>
      </w:r>
      <w:r>
        <w:rPr>
          <w:rFonts w:hint="default"/>
          <w:color w:val="auto"/>
          <w:lang w:val="en-US" w:eastAsia="zh-CN"/>
        </w:rPr>
        <w:t>20年一遇最大降雨量2020.4mm，最小降雨量1051.5mm。地表突然大量降雨有可能会渗透井下可能产生掘进工作面透水。</w:t>
      </w:r>
    </w:p>
    <w:p w14:paraId="1BAA2CE0">
      <w:pPr>
        <w:bidi w:val="0"/>
        <w:rPr>
          <w:rFonts w:hint="default"/>
          <w:color w:val="auto"/>
          <w:lang w:val="en-US" w:eastAsia="zh-CN"/>
        </w:rPr>
      </w:pPr>
      <w:r>
        <w:rPr>
          <w:rFonts w:hint="eastAsia" w:ascii="Times New Roman" w:eastAsia="宋体"/>
          <w:color w:val="auto"/>
          <w:lang w:val="en-US" w:eastAsia="zh-CN"/>
        </w:rPr>
        <w:t>（3）</w:t>
      </w:r>
      <w:r>
        <w:rPr>
          <w:rFonts w:hint="default"/>
          <w:color w:val="auto"/>
          <w:lang w:val="en-US" w:eastAsia="zh-CN"/>
        </w:rPr>
        <w:t>矿区1～5号勘探线线西端有牛七坑水库，库区为花岗岩，矿体连续，现有开采系统留设有防水矿柱，其通过坝址区东侧，未见异常。在正常运行和管理情况下，风险可控。</w:t>
      </w:r>
    </w:p>
    <w:p w14:paraId="0B786D2E">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上覆灰岩溶洞较发育，通过独立的或联系的裂隙和溶洞为通道，本区喀斯特溶洞垂直发育深度多介于地表以下30m～80m范围内。矿区2012年水文调查时钻孔77个，已全部进行了钻孔封闭且下部无采矿区</w:t>
      </w:r>
      <w:r>
        <w:rPr>
          <w:rFonts w:hint="eastAsia" w:ascii="Times New Roman" w:eastAsia="宋体"/>
          <w:color w:val="auto"/>
          <w:lang w:val="en-US" w:eastAsia="zh-CN"/>
        </w:rPr>
        <w:t>，</w:t>
      </w:r>
      <w:r>
        <w:rPr>
          <w:rFonts w:hint="default"/>
          <w:color w:val="auto"/>
          <w:lang w:val="en-US" w:eastAsia="zh-CN"/>
        </w:rPr>
        <w:t>矿床开采不受影响。</w:t>
      </w:r>
    </w:p>
    <w:p w14:paraId="6009105A">
      <w:pPr>
        <w:bidi w:val="0"/>
        <w:rPr>
          <w:rFonts w:hint="default"/>
          <w:color w:val="auto"/>
          <w:lang w:val="en-US" w:eastAsia="zh-CN"/>
        </w:rPr>
      </w:pPr>
      <w:r>
        <w:rPr>
          <w:rFonts w:hint="eastAsia" w:ascii="Times New Roman" w:eastAsia="宋体"/>
          <w:color w:val="auto"/>
          <w:lang w:val="en-US" w:eastAsia="zh-CN"/>
        </w:rPr>
        <w:t>（5）</w:t>
      </w:r>
      <w:r>
        <w:rPr>
          <w:rFonts w:hint="default"/>
          <w:color w:val="auto"/>
          <w:lang w:val="en-US" w:eastAsia="zh-CN"/>
        </w:rPr>
        <w:t>巷道中大部分岩石岩性为砂岩，其岩石坚硬，裂隙较不发育</w:t>
      </w:r>
      <w:r>
        <w:rPr>
          <w:rFonts w:hint="eastAsia" w:ascii="Times New Roman" w:eastAsia="宋体"/>
          <w:color w:val="auto"/>
          <w:lang w:val="en-US" w:eastAsia="zh-CN"/>
        </w:rPr>
        <w:t>，</w:t>
      </w:r>
      <w:r>
        <w:rPr>
          <w:rFonts w:hint="default"/>
          <w:color w:val="auto"/>
          <w:lang w:val="en-US" w:eastAsia="zh-CN"/>
        </w:rPr>
        <w:t>多不滴水，滴水段仅占约6%～12%，其中220中段与190中段潮湿段与滴水段稍多，滴水段约占10%～12%，160中段与130中段滴水段较少，占6%～8%。坑道局部揭露断层破碎带及涌水裂隙</w:t>
      </w:r>
      <w:r>
        <w:rPr>
          <w:rFonts w:hint="eastAsia" w:ascii="Times New Roman" w:eastAsia="宋体"/>
          <w:color w:val="auto"/>
          <w:lang w:val="en-US" w:eastAsia="zh-CN"/>
        </w:rPr>
        <w:t>，</w:t>
      </w:r>
      <w:r>
        <w:rPr>
          <w:rFonts w:hint="default"/>
          <w:color w:val="auto"/>
          <w:lang w:val="en-US" w:eastAsia="zh-CN"/>
        </w:rPr>
        <w:t>均有支护</w:t>
      </w:r>
      <w:r>
        <w:rPr>
          <w:rFonts w:hint="eastAsia" w:ascii="Times New Roman" w:eastAsia="宋体"/>
          <w:color w:val="auto"/>
          <w:lang w:val="en-US" w:eastAsia="zh-CN"/>
        </w:rPr>
        <w:t>，</w:t>
      </w:r>
      <w:r>
        <w:rPr>
          <w:rFonts w:hint="default"/>
          <w:color w:val="auto"/>
          <w:lang w:val="en-US" w:eastAsia="zh-CN"/>
        </w:rPr>
        <w:t>其多呈中～强滴水</w:t>
      </w:r>
      <w:r>
        <w:rPr>
          <w:rFonts w:hint="eastAsia" w:ascii="Times New Roman" w:eastAsia="宋体"/>
          <w:color w:val="auto"/>
          <w:lang w:val="en-US" w:eastAsia="zh-CN"/>
        </w:rPr>
        <w:t>，</w:t>
      </w:r>
      <w:r>
        <w:rPr>
          <w:rFonts w:hint="default"/>
          <w:color w:val="auto"/>
          <w:lang w:val="en-US" w:eastAsia="zh-CN"/>
        </w:rPr>
        <w:t>部分地段涌水，涌水量0.08～0.95L/s。通过ZK1303抽水试验可知，断裂构造带含水性较强，其渗透系数为0.0306～0.1339m/d。</w:t>
      </w:r>
    </w:p>
    <w:p w14:paraId="0E4319C8">
      <w:pPr>
        <w:bidi w:val="0"/>
        <w:rPr>
          <w:rFonts w:hint="default"/>
          <w:color w:val="auto"/>
          <w:lang w:val="en-US" w:eastAsia="zh-CN"/>
        </w:rPr>
      </w:pPr>
      <w:r>
        <w:rPr>
          <w:rFonts w:hint="eastAsia" w:ascii="Times New Roman" w:eastAsia="宋体"/>
          <w:color w:val="auto"/>
          <w:lang w:val="en-US" w:eastAsia="zh-CN"/>
        </w:rPr>
        <w:t>（6）</w:t>
      </w:r>
      <w:r>
        <w:rPr>
          <w:rFonts w:hint="default"/>
          <w:color w:val="auto"/>
          <w:lang w:val="en-US" w:eastAsia="zh-CN"/>
        </w:rPr>
        <w:t>结合矿区水文资料，建议建立健全的地面防水系统和排水系统</w:t>
      </w:r>
      <w:r>
        <w:rPr>
          <w:rFonts w:hint="eastAsia" w:ascii="Times New Roman" w:eastAsia="宋体"/>
          <w:color w:val="auto"/>
          <w:lang w:val="en-US" w:eastAsia="zh-CN"/>
        </w:rPr>
        <w:t>；</w:t>
      </w:r>
      <w:r>
        <w:rPr>
          <w:rFonts w:hint="default"/>
          <w:color w:val="auto"/>
          <w:lang w:val="en-US" w:eastAsia="zh-CN"/>
        </w:rPr>
        <w:t>加强地表可能出现塌陷区的应急管理，多种旱地作物，以减少地表水渗入量</w:t>
      </w:r>
      <w:r>
        <w:rPr>
          <w:rFonts w:hint="eastAsia" w:ascii="Times New Roman" w:eastAsia="宋体"/>
          <w:color w:val="auto"/>
          <w:lang w:val="en-US" w:eastAsia="zh-CN"/>
        </w:rPr>
        <w:t>；</w:t>
      </w:r>
      <w:r>
        <w:rPr>
          <w:rFonts w:hint="default"/>
          <w:color w:val="auto"/>
          <w:lang w:val="en-US" w:eastAsia="zh-CN"/>
        </w:rPr>
        <w:t>定期对溶洞区域开展物探监测，坚持</w:t>
      </w:r>
      <w:r>
        <w:rPr>
          <w:rFonts w:hint="eastAsia" w:ascii="Times New Roman" w:eastAsia="宋体"/>
          <w:color w:val="auto"/>
          <w:lang w:val="en-US" w:eastAsia="zh-CN"/>
        </w:rPr>
        <w:t>“</w:t>
      </w:r>
      <w:r>
        <w:rPr>
          <w:rFonts w:hint="default"/>
          <w:color w:val="auto"/>
          <w:lang w:val="en-US" w:eastAsia="zh-CN"/>
        </w:rPr>
        <w:t>有疑必探</w:t>
      </w:r>
      <w:r>
        <w:rPr>
          <w:rFonts w:hint="eastAsia" w:ascii="Times New Roman" w:eastAsia="宋体"/>
          <w:color w:val="auto"/>
          <w:lang w:val="en-US" w:eastAsia="zh-CN"/>
        </w:rPr>
        <w:t>，</w:t>
      </w:r>
      <w:r>
        <w:rPr>
          <w:rFonts w:hint="default"/>
          <w:color w:val="auto"/>
          <w:lang w:val="en-US" w:eastAsia="zh-CN"/>
        </w:rPr>
        <w:t>先探后掘</w:t>
      </w:r>
      <w:r>
        <w:rPr>
          <w:rFonts w:hint="eastAsia" w:ascii="Times New Roman" w:eastAsia="宋体"/>
          <w:color w:val="auto"/>
          <w:lang w:val="en-US" w:eastAsia="zh-CN"/>
        </w:rPr>
        <w:t>”</w:t>
      </w:r>
      <w:r>
        <w:rPr>
          <w:rFonts w:hint="default"/>
          <w:color w:val="auto"/>
          <w:lang w:val="en-US" w:eastAsia="zh-CN"/>
        </w:rPr>
        <w:t>的原则</w:t>
      </w:r>
      <w:r>
        <w:rPr>
          <w:rFonts w:hint="eastAsia" w:ascii="Times New Roman" w:eastAsia="宋体"/>
          <w:color w:val="auto"/>
          <w:lang w:val="en-US" w:eastAsia="zh-CN"/>
        </w:rPr>
        <w:t>；</w:t>
      </w:r>
      <w:r>
        <w:rPr>
          <w:rFonts w:hint="default"/>
          <w:color w:val="auto"/>
          <w:lang w:val="en-US" w:eastAsia="zh-CN"/>
        </w:rPr>
        <w:t>采空区和巷道做好</w:t>
      </w:r>
      <w:r>
        <w:rPr>
          <w:rFonts w:hint="eastAsia" w:ascii="Times New Roman" w:eastAsia="宋体"/>
          <w:color w:val="auto"/>
          <w:lang w:val="en-US" w:eastAsia="zh-CN"/>
        </w:rPr>
        <w:t>“</w:t>
      </w:r>
      <w:r>
        <w:rPr>
          <w:rFonts w:hint="default"/>
          <w:color w:val="auto"/>
          <w:lang w:val="en-US" w:eastAsia="zh-CN"/>
        </w:rPr>
        <w:t>堵、疏、排、截</w:t>
      </w:r>
      <w:r>
        <w:rPr>
          <w:rFonts w:hint="eastAsia" w:ascii="Times New Roman" w:eastAsia="宋体"/>
          <w:color w:val="auto"/>
          <w:lang w:val="en-US" w:eastAsia="zh-CN"/>
        </w:rPr>
        <w:t>”</w:t>
      </w:r>
      <w:r>
        <w:rPr>
          <w:rFonts w:hint="default"/>
          <w:color w:val="auto"/>
          <w:lang w:val="en-US" w:eastAsia="zh-CN"/>
        </w:rPr>
        <w:t>等治理预案</w:t>
      </w:r>
      <w:r>
        <w:rPr>
          <w:rFonts w:hint="eastAsia" w:ascii="Times New Roman" w:eastAsia="宋体"/>
          <w:color w:val="auto"/>
          <w:lang w:val="en-US" w:eastAsia="zh-CN"/>
        </w:rPr>
        <w:t>；</w:t>
      </w:r>
      <w:r>
        <w:rPr>
          <w:rFonts w:hint="default"/>
          <w:color w:val="auto"/>
          <w:lang w:val="en-US" w:eastAsia="zh-CN"/>
        </w:rPr>
        <w:t>定期检查封堵的钻孔。</w:t>
      </w:r>
    </w:p>
    <w:p w14:paraId="359ABEBD">
      <w:pPr>
        <w:bidi w:val="0"/>
        <w:rPr>
          <w:rFonts w:hint="eastAsia"/>
          <w:color w:val="auto"/>
          <w:lang w:val="en-US" w:eastAsia="zh-CN"/>
        </w:rPr>
      </w:pPr>
      <w:r>
        <w:rPr>
          <w:rFonts w:hint="eastAsia" w:ascii="Times New Roman" w:eastAsia="宋体"/>
          <w:color w:val="auto"/>
          <w:lang w:val="en-US" w:eastAsia="zh-CN"/>
        </w:rPr>
        <w:t>3. 地压致灾因素</w:t>
      </w:r>
    </w:p>
    <w:p w14:paraId="27F526E6">
      <w:pPr>
        <w:bidi w:val="0"/>
        <w:rPr>
          <w:rFonts w:hint="default"/>
          <w:color w:val="auto"/>
          <w:lang w:val="en-US" w:eastAsia="zh-CN"/>
        </w:rPr>
      </w:pPr>
      <w:r>
        <w:rPr>
          <w:rFonts w:hint="eastAsia" w:ascii="Times New Roman" w:eastAsia="宋体"/>
          <w:color w:val="auto"/>
          <w:lang w:val="en-US" w:eastAsia="zh-CN"/>
        </w:rPr>
        <w:t>（1）</w:t>
      </w:r>
      <w:r>
        <w:rPr>
          <w:rFonts w:hint="default"/>
          <w:color w:val="auto"/>
          <w:lang w:val="en-US" w:eastAsia="zh-CN"/>
        </w:rPr>
        <w:t>矿区含矿层及顶、底板围岩系石英砂岩等，埋藏较深，坚硬致密，裂隙不发育，完整性好。岩石普系硬度系数4.9～26.9，强度属中等硬度至最坚硬岩石，具有良好的稳定性。矿体</w:t>
      </w:r>
      <w:r>
        <w:rPr>
          <w:rFonts w:hint="eastAsia" w:ascii="Times New Roman" w:eastAsia="宋体"/>
          <w:color w:val="auto"/>
          <w:lang w:val="en-US" w:eastAsia="zh-CN"/>
        </w:rPr>
        <w:t>（</w:t>
      </w:r>
      <w:r>
        <w:rPr>
          <w:rFonts w:hint="default"/>
          <w:color w:val="auto"/>
          <w:lang w:val="en-US" w:eastAsia="zh-CN"/>
        </w:rPr>
        <w:t>层</w:t>
      </w:r>
      <w:r>
        <w:rPr>
          <w:rFonts w:hint="eastAsia" w:ascii="Times New Roman" w:eastAsia="宋体"/>
          <w:color w:val="auto"/>
          <w:lang w:val="en-US" w:eastAsia="zh-CN"/>
        </w:rPr>
        <w:t>）</w:t>
      </w:r>
      <w:r>
        <w:rPr>
          <w:rFonts w:hint="default"/>
          <w:color w:val="auto"/>
          <w:lang w:val="en-US" w:eastAsia="zh-CN"/>
        </w:rPr>
        <w:t>上部第四系由泥、砂、砾石等组成，松散，岩石极不稳定</w:t>
      </w:r>
      <w:r>
        <w:rPr>
          <w:rFonts w:hint="eastAsia" w:ascii="Times New Roman" w:eastAsia="宋体"/>
          <w:color w:val="auto"/>
          <w:lang w:val="en-US" w:eastAsia="zh-CN"/>
        </w:rPr>
        <w:t>；</w:t>
      </w:r>
      <w:r>
        <w:rPr>
          <w:rFonts w:hint="default"/>
          <w:color w:val="auto"/>
          <w:lang w:val="en-US" w:eastAsia="zh-CN"/>
        </w:rPr>
        <w:t>壶天灰岩上部溶洞发育，形成一个规模较大的喀斯特溶洞带，溶洞中大多为未胶结的砾石、泥砂充填，极不稳定。</w:t>
      </w:r>
    </w:p>
    <w:p w14:paraId="0E42E030">
      <w:pPr>
        <w:bidi w:val="0"/>
        <w:rPr>
          <w:rFonts w:hint="default"/>
          <w:color w:val="auto"/>
          <w:lang w:val="en-US" w:eastAsia="zh-CN"/>
        </w:rPr>
      </w:pPr>
      <w:r>
        <w:rPr>
          <w:rFonts w:hint="eastAsia" w:ascii="Times New Roman" w:eastAsia="宋体"/>
          <w:color w:val="auto"/>
          <w:lang w:val="en-US" w:eastAsia="zh-CN"/>
        </w:rPr>
        <w:t>（2）</w:t>
      </w:r>
      <w:r>
        <w:rPr>
          <w:rFonts w:hint="default"/>
          <w:color w:val="auto"/>
          <w:lang w:val="en-US" w:eastAsia="zh-CN"/>
        </w:rPr>
        <w:t>根据《江西朝盛矿业矿业有限公司宁都硫铁矿井上井下对照图》结合现场观察与分析，矿区范围内的山体、农村建筑物、农田道路以及池塘均未发生滑坡、开裂、沉陷以及沉陷等致害的地压活动。</w:t>
      </w:r>
    </w:p>
    <w:p w14:paraId="11EE53E1">
      <w:pPr>
        <w:bidi w:val="0"/>
        <w:rPr>
          <w:rFonts w:hint="default"/>
          <w:color w:val="auto"/>
          <w:lang w:val="en-US" w:eastAsia="zh-CN"/>
        </w:rPr>
      </w:pPr>
      <w:r>
        <w:rPr>
          <w:rFonts w:hint="eastAsia" w:ascii="Times New Roman" w:eastAsia="宋体"/>
          <w:color w:val="auto"/>
          <w:lang w:val="en-US" w:eastAsia="zh-CN"/>
        </w:rPr>
        <w:t>（3）</w:t>
      </w:r>
      <w:r>
        <w:rPr>
          <w:rFonts w:hint="default"/>
          <w:color w:val="auto"/>
          <w:lang w:val="en-US" w:eastAsia="zh-CN"/>
        </w:rPr>
        <w:t>本矿区采用ANSYS，FLAC3D数值计算软件对矿山进行了数值模拟计算，对矿山的地压稳定性及岩层稳定控制进行了研究，得到了矿区沉降、变形、应力分布、塑性区分布。结果表明，各方案顶板最大拉应力均小于顶板砂岩的允许最大抗拉强度2.48MPa</w:t>
      </w:r>
      <w:r>
        <w:rPr>
          <w:rFonts w:hint="eastAsia" w:ascii="Times New Roman" w:eastAsia="宋体"/>
          <w:color w:val="auto"/>
          <w:lang w:val="en-US" w:eastAsia="zh-CN"/>
        </w:rPr>
        <w:t>，</w:t>
      </w:r>
      <w:r>
        <w:rPr>
          <w:rFonts w:hint="default"/>
          <w:color w:val="auto"/>
          <w:lang w:val="en-US" w:eastAsia="zh-CN"/>
        </w:rPr>
        <w:t>各方案顶板都处于稳定状态</w:t>
      </w:r>
      <w:r>
        <w:rPr>
          <w:rFonts w:hint="eastAsia" w:ascii="Times New Roman" w:eastAsia="宋体"/>
          <w:color w:val="auto"/>
          <w:lang w:val="en-US" w:eastAsia="zh-CN"/>
        </w:rPr>
        <w:t>；</w:t>
      </w:r>
      <w:r>
        <w:rPr>
          <w:rFonts w:hint="default"/>
          <w:color w:val="auto"/>
          <w:lang w:val="en-US" w:eastAsia="zh-CN"/>
        </w:rPr>
        <w:t>方案点柱最大压应力都远小于点柱极限抗压强度且各方案点柱所受最大压应力相差不大</w:t>
      </w:r>
      <w:r>
        <w:rPr>
          <w:rFonts w:hint="eastAsia" w:ascii="Times New Roman" w:eastAsia="宋体"/>
          <w:color w:val="auto"/>
          <w:lang w:val="en-US" w:eastAsia="zh-CN"/>
        </w:rPr>
        <w:t>；</w:t>
      </w:r>
      <w:r>
        <w:rPr>
          <w:rFonts w:hint="default"/>
          <w:color w:val="auto"/>
          <w:lang w:val="en-US" w:eastAsia="zh-CN"/>
        </w:rPr>
        <w:t>矿体开挖以后周边围岩及矿柱都会出现位移，且当位移量超过一定值时，采场将失稳。顶板位移大于顶柱位移，但顶板位移较小，采场不易失稳</w:t>
      </w:r>
      <w:r>
        <w:rPr>
          <w:rFonts w:hint="eastAsia" w:ascii="Times New Roman" w:eastAsia="宋体"/>
          <w:color w:val="auto"/>
          <w:lang w:val="en-US" w:eastAsia="zh-CN"/>
        </w:rPr>
        <w:t>；</w:t>
      </w:r>
      <w:r>
        <w:rPr>
          <w:rFonts w:hint="default"/>
          <w:color w:val="auto"/>
          <w:lang w:val="en-US" w:eastAsia="zh-CN"/>
        </w:rPr>
        <w:t>顶板及顶柱基本未出现塑性变形，只有极个别方案出现零星塑性区，并不影响顶板的稳定性。综合数值分析结果，目前采场稳定性较好，风险可控。</w:t>
      </w:r>
    </w:p>
    <w:p w14:paraId="602D7F69">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采用光弹应力计进行应力观测，可以真实的反应矿山地下应力的变化趋势，为地压研究提供基础。试验表明，巷道围岩总体不会随着时间的增长而发生明显变形，大部分岩层所受巷道压力受力很小，压力未达到岩石的破坏强度，巷道围岩处于相对稳定状态</w:t>
      </w:r>
      <w:r>
        <w:rPr>
          <w:rFonts w:hint="eastAsia" w:ascii="Times New Roman" w:eastAsia="宋体"/>
          <w:color w:val="auto"/>
          <w:lang w:val="en-US" w:eastAsia="zh-CN"/>
        </w:rPr>
        <w:t>。</w:t>
      </w:r>
    </w:p>
    <w:p w14:paraId="65EE6943">
      <w:pPr>
        <w:bidi w:val="0"/>
        <w:rPr>
          <w:rFonts w:hint="default"/>
          <w:color w:val="auto"/>
          <w:lang w:val="en-US" w:eastAsia="zh-CN"/>
        </w:rPr>
      </w:pPr>
      <w:r>
        <w:rPr>
          <w:rFonts w:hint="eastAsia" w:ascii="Times New Roman" w:eastAsia="宋体"/>
          <w:color w:val="auto"/>
          <w:lang w:val="en-US" w:eastAsia="zh-CN"/>
        </w:rPr>
        <w:t>（5）</w:t>
      </w:r>
      <w:r>
        <w:rPr>
          <w:rFonts w:hint="default"/>
          <w:color w:val="auto"/>
          <w:lang w:val="en-US" w:eastAsia="zh-CN"/>
        </w:rPr>
        <w:t>地表监测点的布置区域与数值模拟开挖之后产生的下降盆地区域基本相似，监测得到的下降量与数值模拟开挖后产生的</w:t>
      </w:r>
      <w:r>
        <w:rPr>
          <w:rFonts w:hint="eastAsia" w:ascii="Times New Roman" w:eastAsia="宋体"/>
          <w:color w:val="auto"/>
          <w:lang w:val="en-US" w:eastAsia="zh-CN"/>
        </w:rPr>
        <w:t>Z</w:t>
      </w:r>
      <w:r>
        <w:rPr>
          <w:rFonts w:hint="default"/>
          <w:color w:val="auto"/>
          <w:lang w:val="en-US" w:eastAsia="zh-CN"/>
        </w:rPr>
        <w:t>方向的沉降量沉降级别相差不大，说明矿山的整体稳定性较好，风险可控。</w:t>
      </w:r>
    </w:p>
    <w:p w14:paraId="5AEA46E0">
      <w:pPr>
        <w:bidi w:val="0"/>
        <w:rPr>
          <w:rFonts w:hint="default"/>
          <w:color w:val="auto"/>
          <w:lang w:val="en-US" w:eastAsia="zh-CN"/>
        </w:rPr>
      </w:pPr>
      <w:r>
        <w:rPr>
          <w:rFonts w:hint="eastAsia" w:ascii="Times New Roman" w:eastAsia="宋体"/>
          <w:color w:val="auto"/>
          <w:lang w:val="en-US" w:eastAsia="zh-CN"/>
        </w:rPr>
        <w:t>（6）</w:t>
      </w:r>
      <w:r>
        <w:rPr>
          <w:rFonts w:hint="default"/>
          <w:color w:val="auto"/>
          <w:lang w:val="en-US" w:eastAsia="zh-CN"/>
        </w:rPr>
        <w:t>为了保证采掘生产安全，在井下开拓巷道和采矿工程时，应加强治理及安全防范，建议在第四系覆盖层岩石破碎段巷道的支护，及时对巷道和作业采场顶板松石的清理</w:t>
      </w:r>
      <w:r>
        <w:rPr>
          <w:rFonts w:hint="eastAsia" w:ascii="Times New Roman" w:eastAsia="宋体"/>
          <w:color w:val="auto"/>
          <w:lang w:val="en-US" w:eastAsia="zh-CN"/>
        </w:rPr>
        <w:t>；</w:t>
      </w:r>
      <w:r>
        <w:rPr>
          <w:rFonts w:hint="default"/>
          <w:color w:val="auto"/>
          <w:lang w:val="en-US" w:eastAsia="zh-CN"/>
        </w:rPr>
        <w:t>坚持地表沉降和地压的定期观测</w:t>
      </w:r>
      <w:r>
        <w:rPr>
          <w:rFonts w:hint="eastAsia" w:ascii="Times New Roman" w:eastAsia="宋体"/>
          <w:color w:val="auto"/>
          <w:lang w:val="en-US" w:eastAsia="zh-CN"/>
        </w:rPr>
        <w:t>；</w:t>
      </w:r>
      <w:r>
        <w:rPr>
          <w:rFonts w:hint="default"/>
          <w:color w:val="auto"/>
          <w:lang w:val="en-US" w:eastAsia="zh-CN"/>
        </w:rPr>
        <w:t>开展尾矿充填固结研究</w:t>
      </w:r>
      <w:r>
        <w:rPr>
          <w:rFonts w:hint="eastAsia" w:ascii="Times New Roman" w:eastAsia="宋体"/>
          <w:color w:val="auto"/>
          <w:lang w:val="en-US" w:eastAsia="zh-CN"/>
        </w:rPr>
        <w:t>；</w:t>
      </w:r>
      <w:r>
        <w:rPr>
          <w:rFonts w:hint="default"/>
          <w:color w:val="auto"/>
          <w:lang w:val="en-US" w:eastAsia="zh-CN"/>
        </w:rPr>
        <w:t>采矿区矿柱回采应关注地压变化。</w:t>
      </w:r>
    </w:p>
    <w:p w14:paraId="2A103F88">
      <w:pPr>
        <w:bidi w:val="0"/>
        <w:rPr>
          <w:rFonts w:hint="eastAsia"/>
          <w:color w:val="auto"/>
          <w:lang w:val="en-US" w:eastAsia="zh-CN"/>
        </w:rPr>
      </w:pPr>
      <w:r>
        <w:rPr>
          <w:rFonts w:hint="eastAsia" w:ascii="Times New Roman" w:eastAsia="宋体"/>
          <w:color w:val="auto"/>
          <w:lang w:val="en-US" w:eastAsia="zh-CN"/>
        </w:rPr>
        <w:t>4. 火灾致灾因素</w:t>
      </w:r>
    </w:p>
    <w:p w14:paraId="7050C603">
      <w:pPr>
        <w:bidi w:val="0"/>
        <w:rPr>
          <w:rFonts w:hint="default"/>
          <w:color w:val="auto"/>
          <w:lang w:val="en-US" w:eastAsia="zh-CN"/>
        </w:rPr>
      </w:pPr>
      <w:r>
        <w:rPr>
          <w:rFonts w:hint="eastAsia" w:ascii="Times New Roman" w:eastAsia="宋体"/>
          <w:color w:val="auto"/>
          <w:lang w:val="en-US" w:eastAsia="zh-CN"/>
        </w:rPr>
        <w:t>（1）</w:t>
      </w:r>
      <w:r>
        <w:rPr>
          <w:rFonts w:hint="default"/>
          <w:color w:val="auto"/>
          <w:lang w:val="en-US" w:eastAsia="zh-CN"/>
        </w:rPr>
        <w:t>矿区铜磁黄铁矿床含硫，在采矿过程中硫化矿石易氧化，温度升高易发生自燃，作业人员开采后采用水泥砂浆包裹表面，可有效防止氧化。</w:t>
      </w:r>
    </w:p>
    <w:p w14:paraId="58098054">
      <w:pPr>
        <w:bidi w:val="0"/>
        <w:rPr>
          <w:rFonts w:hint="default"/>
          <w:color w:val="auto"/>
          <w:lang w:val="en-US" w:eastAsia="zh-CN"/>
        </w:rPr>
      </w:pPr>
      <w:r>
        <w:rPr>
          <w:rFonts w:hint="eastAsia" w:ascii="Times New Roman" w:eastAsia="宋体"/>
          <w:color w:val="auto"/>
          <w:lang w:val="en-US" w:eastAsia="zh-CN"/>
        </w:rPr>
        <w:t>（2）</w:t>
      </w:r>
      <w:r>
        <w:rPr>
          <w:rFonts w:hint="default"/>
          <w:color w:val="auto"/>
          <w:lang w:val="en-US" w:eastAsia="zh-CN"/>
        </w:rPr>
        <w:t>矿区采空区和巷道整体稳定性较好，对通过断层或破碎带较为发育的巷道，及时进行钢筋混凝土支护、喷锚支护、锚网喷浆支护等手段，不宜采用木支护手段。</w:t>
      </w:r>
    </w:p>
    <w:p w14:paraId="57C58732">
      <w:pPr>
        <w:bidi w:val="0"/>
        <w:rPr>
          <w:rFonts w:hint="default"/>
          <w:color w:val="auto"/>
          <w:lang w:val="en-US" w:eastAsia="zh-CN"/>
        </w:rPr>
      </w:pPr>
      <w:r>
        <w:rPr>
          <w:rFonts w:hint="eastAsia" w:ascii="Times New Roman" w:eastAsia="宋体"/>
          <w:color w:val="auto"/>
          <w:lang w:val="en-US" w:eastAsia="zh-CN"/>
        </w:rPr>
        <w:t>（3）</w:t>
      </w:r>
      <w:r>
        <w:rPr>
          <w:rFonts w:hint="default"/>
          <w:color w:val="auto"/>
          <w:lang w:val="en-US" w:eastAsia="zh-CN"/>
        </w:rPr>
        <w:t>井下未设爆破器材库，并下所需爆破器材由专人从矿山地表爆破器材库按需领用。井下供电采用符合国家标准的阻燃电缆，风筒采用阻燃风筒。矿区多处设有防火警示牌、干粉灭火器、消防供水系统。在严格的管控下，矿区不易发生森林火灾和硐室火灾。</w:t>
      </w:r>
    </w:p>
    <w:p w14:paraId="22D877E0">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建议加强宣传、管理和监督</w:t>
      </w:r>
      <w:r>
        <w:rPr>
          <w:rFonts w:hint="eastAsia" w:ascii="Times New Roman" w:eastAsia="宋体"/>
          <w:color w:val="auto"/>
          <w:lang w:val="en-US" w:eastAsia="zh-CN"/>
        </w:rPr>
        <w:t>；</w:t>
      </w:r>
      <w:r>
        <w:rPr>
          <w:rFonts w:hint="default"/>
          <w:color w:val="auto"/>
          <w:lang w:val="en-US" w:eastAsia="zh-CN"/>
        </w:rPr>
        <w:t>做好降温预案</w:t>
      </w:r>
      <w:r>
        <w:rPr>
          <w:rFonts w:hint="eastAsia" w:ascii="Times New Roman" w:eastAsia="宋体"/>
          <w:color w:val="auto"/>
          <w:lang w:val="en-US" w:eastAsia="zh-CN"/>
        </w:rPr>
        <w:t>；</w:t>
      </w:r>
      <w:r>
        <w:rPr>
          <w:rFonts w:hint="default"/>
          <w:color w:val="auto"/>
          <w:lang w:val="en-US" w:eastAsia="zh-CN"/>
        </w:rPr>
        <w:t>严格明火、动火作业管理</w:t>
      </w:r>
      <w:r>
        <w:rPr>
          <w:rFonts w:hint="eastAsia" w:ascii="Times New Roman" w:eastAsia="宋体"/>
          <w:color w:val="auto"/>
          <w:lang w:val="en-US" w:eastAsia="zh-CN"/>
        </w:rPr>
        <w:t>；</w:t>
      </w:r>
      <w:r>
        <w:rPr>
          <w:rFonts w:hint="default"/>
          <w:color w:val="auto"/>
          <w:lang w:val="en-US" w:eastAsia="zh-CN"/>
        </w:rPr>
        <w:t>定期检查电气设备和线路，防止用电引起火灾</w:t>
      </w:r>
      <w:r>
        <w:rPr>
          <w:rFonts w:hint="eastAsia" w:ascii="Times New Roman" w:eastAsia="宋体"/>
          <w:color w:val="auto"/>
          <w:lang w:val="en-US" w:eastAsia="zh-CN"/>
        </w:rPr>
        <w:t>；</w:t>
      </w:r>
      <w:r>
        <w:rPr>
          <w:rFonts w:hint="default"/>
          <w:color w:val="auto"/>
          <w:lang w:val="en-US" w:eastAsia="zh-CN"/>
        </w:rPr>
        <w:t>易燃易爆物品专人专班管理。</w:t>
      </w:r>
    </w:p>
    <w:p w14:paraId="756218B4">
      <w:pPr>
        <w:bidi w:val="0"/>
        <w:rPr>
          <w:rFonts w:hint="default"/>
          <w:color w:val="auto"/>
          <w:lang w:val="en-US" w:eastAsia="zh-CN"/>
        </w:rPr>
      </w:pPr>
      <w:r>
        <w:rPr>
          <w:rFonts w:hint="eastAsia" w:ascii="Times New Roman" w:eastAsia="宋体"/>
          <w:color w:val="auto"/>
          <w:lang w:val="en-US" w:eastAsia="zh-CN"/>
        </w:rPr>
        <w:t>2024年10月12日，国家矿山安全监察局发布2024年第2号公告：国家矿山安全监察局批准《矿山隐蔽致灾因素普查规范 第1部分：总则》等3项矿山安全行业标准。《矿山隐蔽致灾因素普查规范 第1部分：总则》规定：矿山应每3年开展一次隐蔽致灾因素普查工作。建议后续矿山继续按照新规范做好隐蔽致灾因素的普查工作。</w:t>
      </w:r>
    </w:p>
    <w:p w14:paraId="244E7D08">
      <w:pPr>
        <w:bidi w:val="0"/>
        <w:rPr>
          <w:rFonts w:hint="default"/>
          <w:color w:val="auto"/>
          <w:lang w:val="en-US" w:eastAsia="zh-CN"/>
        </w:rPr>
      </w:pPr>
      <w:r>
        <w:rPr>
          <w:rFonts w:hint="default"/>
          <w:color w:val="auto"/>
          <w:lang w:val="en-US" w:eastAsia="zh-CN"/>
        </w:rPr>
        <w:br w:type="page"/>
      </w:r>
    </w:p>
    <w:p w14:paraId="077C4094">
      <w:pPr>
        <w:pStyle w:val="2"/>
        <w:bidi w:val="0"/>
        <w:ind w:left="0" w:leftChars="0" w:firstLine="0" w:firstLineChars="0"/>
        <w:rPr>
          <w:rFonts w:hint="default"/>
          <w:color w:val="auto"/>
          <w:lang w:val="en-US" w:eastAsia="zh-CN"/>
        </w:rPr>
      </w:pPr>
      <w:bookmarkStart w:id="230" w:name="_Toc21525"/>
      <w:bookmarkStart w:id="231" w:name="_Toc2891"/>
      <w:bookmarkStart w:id="232" w:name="_Toc8810"/>
      <w:bookmarkStart w:id="233" w:name="_Toc288"/>
      <w:r>
        <w:rPr>
          <w:rFonts w:hint="default"/>
          <w:color w:val="auto"/>
          <w:lang w:val="en-US" w:eastAsia="zh-CN"/>
        </w:rPr>
        <w:t>定性定量评价</w:t>
      </w:r>
      <w:bookmarkEnd w:id="230"/>
      <w:bookmarkEnd w:id="231"/>
      <w:bookmarkEnd w:id="232"/>
      <w:bookmarkEnd w:id="233"/>
    </w:p>
    <w:p w14:paraId="42740F59">
      <w:pPr>
        <w:pStyle w:val="3"/>
        <w:bidi w:val="0"/>
        <w:rPr>
          <w:rFonts w:hint="default"/>
          <w:color w:val="auto"/>
          <w:lang w:val="en-US" w:eastAsia="zh-CN"/>
        </w:rPr>
      </w:pPr>
      <w:bookmarkStart w:id="234" w:name="_Toc5725"/>
      <w:bookmarkStart w:id="235" w:name="_Toc15217"/>
      <w:bookmarkStart w:id="236" w:name="_Toc7909"/>
      <w:bookmarkStart w:id="237" w:name="_Toc32718"/>
      <w:r>
        <w:rPr>
          <w:rFonts w:hint="default"/>
          <w:color w:val="auto"/>
          <w:lang w:val="en-US" w:eastAsia="zh-CN"/>
        </w:rPr>
        <w:t>3.1 评价单元划分及评价方法选择</w:t>
      </w:r>
      <w:bookmarkEnd w:id="234"/>
      <w:bookmarkEnd w:id="235"/>
      <w:bookmarkEnd w:id="236"/>
      <w:bookmarkEnd w:id="237"/>
    </w:p>
    <w:p w14:paraId="7E1D99F1">
      <w:pPr>
        <w:rPr>
          <w:rFonts w:hint="default"/>
          <w:color w:val="auto"/>
          <w:lang w:val="en-US" w:eastAsia="zh-CN"/>
        </w:rPr>
      </w:pPr>
      <w:r>
        <w:rPr>
          <w:rFonts w:hint="default"/>
          <w:color w:val="auto"/>
          <w:lang w:val="en-US" w:eastAsia="zh-CN"/>
        </w:rPr>
        <w:t>按照评价单元划分原则和方法，考虑该建设工程项目中危险、有害因素的危害程度以及矿山开采的特殊工艺，划分评价单元</w:t>
      </w:r>
      <w:r>
        <w:rPr>
          <w:rFonts w:hint="eastAsia"/>
          <w:color w:val="auto"/>
          <w:lang w:val="en-US" w:eastAsia="zh-CN"/>
        </w:rPr>
        <w:t>；</w:t>
      </w:r>
      <w:r>
        <w:rPr>
          <w:rFonts w:hint="default"/>
          <w:color w:val="auto"/>
          <w:lang w:val="en-US" w:eastAsia="zh-CN"/>
        </w:rPr>
        <w:t>并针对不同评价单元选择安全检查表法、预先危险性分析法、专家评议法、事故树分析法等评价方法进行评价。评价单元划分及评价方法选择，见表3</w:t>
      </w:r>
      <w:r>
        <w:rPr>
          <w:rFonts w:hint="eastAsia"/>
          <w:color w:val="auto"/>
          <w:lang w:val="en-US" w:eastAsia="zh-CN"/>
        </w:rPr>
        <w:t>.1</w:t>
      </w:r>
      <w:r>
        <w:rPr>
          <w:rFonts w:hint="default"/>
          <w:color w:val="auto"/>
          <w:lang w:val="en-US" w:eastAsia="zh-CN"/>
        </w:rPr>
        <w:t>-1。</w:t>
      </w:r>
    </w:p>
    <w:p w14:paraId="17A94B9B">
      <w:pPr>
        <w:ind w:left="0" w:leftChars="0" w:firstLine="0" w:firstLineChars="0"/>
        <w:jc w:val="center"/>
        <w:rPr>
          <w:rFonts w:hint="eastAsia"/>
          <w:color w:val="auto"/>
          <w:lang w:val="en-US" w:eastAsia="zh-CN"/>
        </w:rPr>
      </w:pPr>
      <w:r>
        <w:rPr>
          <w:rFonts w:hint="eastAsia"/>
          <w:color w:val="auto"/>
          <w:lang w:val="en-US" w:eastAsia="zh-CN"/>
        </w:rPr>
        <w:t>表3.1-1 评价方法选择一览表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3461"/>
        <w:gridCol w:w="4308"/>
      </w:tblGrid>
      <w:tr w14:paraId="7ACA0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519" w:type="dxa"/>
            <w:vAlign w:val="center"/>
          </w:tcPr>
          <w:p w14:paraId="2D0EB6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4"/>
                <w:szCs w:val="24"/>
                <w:vertAlign w:val="baseline"/>
                <w:lang w:val="en-US" w:eastAsia="zh-CN"/>
              </w:rPr>
            </w:pPr>
            <w:r>
              <w:rPr>
                <w:rFonts w:hint="eastAsia"/>
                <w:b/>
                <w:bCs/>
                <w:color w:val="auto"/>
                <w:sz w:val="24"/>
                <w:szCs w:val="24"/>
                <w:vertAlign w:val="baseline"/>
                <w:lang w:val="en-US" w:eastAsia="zh-CN"/>
              </w:rPr>
              <w:t>序号</w:t>
            </w:r>
          </w:p>
        </w:tc>
        <w:tc>
          <w:tcPr>
            <w:tcW w:w="3461" w:type="dxa"/>
            <w:vAlign w:val="center"/>
          </w:tcPr>
          <w:p w14:paraId="4EF5D3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4"/>
                <w:szCs w:val="24"/>
                <w:vertAlign w:val="baseline"/>
                <w:lang w:val="en-US" w:eastAsia="zh-CN"/>
              </w:rPr>
            </w:pPr>
            <w:r>
              <w:rPr>
                <w:rFonts w:hint="eastAsia"/>
                <w:b/>
                <w:bCs/>
                <w:color w:val="auto"/>
                <w:sz w:val="24"/>
                <w:szCs w:val="24"/>
                <w:vertAlign w:val="baseline"/>
                <w:lang w:val="en-US" w:eastAsia="zh-CN"/>
              </w:rPr>
              <w:t>评价单元</w:t>
            </w:r>
          </w:p>
        </w:tc>
        <w:tc>
          <w:tcPr>
            <w:tcW w:w="4308" w:type="dxa"/>
            <w:vAlign w:val="center"/>
          </w:tcPr>
          <w:p w14:paraId="7D2D78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 w:val="24"/>
                <w:szCs w:val="24"/>
                <w:vertAlign w:val="baseline"/>
                <w:lang w:val="en-US" w:eastAsia="zh-CN"/>
              </w:rPr>
            </w:pPr>
            <w:r>
              <w:rPr>
                <w:rFonts w:hint="eastAsia"/>
                <w:b/>
                <w:bCs/>
                <w:color w:val="auto"/>
                <w:sz w:val="24"/>
                <w:szCs w:val="24"/>
                <w:vertAlign w:val="baseline"/>
                <w:lang w:val="en-US" w:eastAsia="zh-CN"/>
              </w:rPr>
              <w:t>评价方法</w:t>
            </w:r>
          </w:p>
        </w:tc>
      </w:tr>
      <w:tr w14:paraId="7EF67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519" w:type="dxa"/>
            <w:vAlign w:val="center"/>
          </w:tcPr>
          <w:p w14:paraId="7CD422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1</w:t>
            </w:r>
          </w:p>
        </w:tc>
        <w:tc>
          <w:tcPr>
            <w:tcW w:w="3461" w:type="dxa"/>
            <w:vAlign w:val="center"/>
          </w:tcPr>
          <w:p w14:paraId="42E473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总平面布置</w:t>
            </w:r>
          </w:p>
        </w:tc>
        <w:tc>
          <w:tcPr>
            <w:tcW w:w="4308" w:type="dxa"/>
            <w:vAlign w:val="center"/>
          </w:tcPr>
          <w:p w14:paraId="0C602C33">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default"/>
                <w:color w:val="auto"/>
                <w:sz w:val="24"/>
                <w:szCs w:val="24"/>
                <w:vertAlign w:val="baseline"/>
                <w:lang w:val="en-US" w:eastAsia="zh-CN"/>
              </w:rPr>
            </w:pPr>
            <w:r>
              <w:rPr>
                <w:rFonts w:hint="default"/>
                <w:color w:val="auto"/>
                <w:sz w:val="24"/>
                <w:szCs w:val="24"/>
                <w:lang w:val="en-US" w:eastAsia="zh-CN"/>
              </w:rPr>
              <w:t>安全检查表法</w:t>
            </w:r>
          </w:p>
        </w:tc>
      </w:tr>
      <w:tr w14:paraId="012DF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19" w:type="dxa"/>
            <w:vAlign w:val="center"/>
          </w:tcPr>
          <w:p w14:paraId="3A8414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2</w:t>
            </w:r>
          </w:p>
        </w:tc>
        <w:tc>
          <w:tcPr>
            <w:tcW w:w="3461" w:type="dxa"/>
            <w:vAlign w:val="center"/>
          </w:tcPr>
          <w:p w14:paraId="6CD2CA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开拓</w:t>
            </w:r>
            <w:r>
              <w:rPr>
                <w:rFonts w:hint="eastAsia" w:ascii="宋体" w:hAnsi="宋体" w:cs="宋体"/>
                <w:color w:val="auto"/>
                <w:sz w:val="24"/>
                <w:szCs w:val="24"/>
                <w:lang w:val="en-US" w:eastAsia="zh-CN"/>
              </w:rPr>
              <w:t>系统</w:t>
            </w:r>
          </w:p>
        </w:tc>
        <w:tc>
          <w:tcPr>
            <w:tcW w:w="4308" w:type="dxa"/>
            <w:vAlign w:val="center"/>
          </w:tcPr>
          <w:p w14:paraId="6321C3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45C7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19" w:type="dxa"/>
            <w:vAlign w:val="center"/>
          </w:tcPr>
          <w:p w14:paraId="54ABA4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3</w:t>
            </w:r>
          </w:p>
        </w:tc>
        <w:tc>
          <w:tcPr>
            <w:tcW w:w="3461" w:type="dxa"/>
            <w:vAlign w:val="center"/>
          </w:tcPr>
          <w:p w14:paraId="40812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运输</w:t>
            </w:r>
            <w:r>
              <w:rPr>
                <w:rFonts w:hint="eastAsia" w:ascii="宋体" w:hAnsi="宋体" w:cs="宋体"/>
                <w:color w:val="auto"/>
                <w:sz w:val="24"/>
                <w:szCs w:val="24"/>
                <w:lang w:val="en-US" w:eastAsia="zh-CN"/>
              </w:rPr>
              <w:t>系统</w:t>
            </w:r>
          </w:p>
        </w:tc>
        <w:tc>
          <w:tcPr>
            <w:tcW w:w="4308" w:type="dxa"/>
            <w:vAlign w:val="center"/>
          </w:tcPr>
          <w:p w14:paraId="392C68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42FA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519" w:type="dxa"/>
            <w:vAlign w:val="center"/>
          </w:tcPr>
          <w:p w14:paraId="1C6BC3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4</w:t>
            </w:r>
          </w:p>
        </w:tc>
        <w:tc>
          <w:tcPr>
            <w:tcW w:w="3461" w:type="dxa"/>
            <w:vAlign w:val="center"/>
          </w:tcPr>
          <w:p w14:paraId="7653A3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采掘</w:t>
            </w:r>
            <w:r>
              <w:rPr>
                <w:rFonts w:hint="eastAsia" w:ascii="宋体" w:hAnsi="宋体" w:cs="宋体"/>
                <w:color w:val="auto"/>
                <w:sz w:val="24"/>
                <w:szCs w:val="24"/>
                <w:lang w:val="en-US" w:eastAsia="zh-CN"/>
              </w:rPr>
              <w:t>系统</w:t>
            </w:r>
          </w:p>
        </w:tc>
        <w:tc>
          <w:tcPr>
            <w:tcW w:w="4308" w:type="dxa"/>
            <w:vAlign w:val="center"/>
          </w:tcPr>
          <w:p w14:paraId="05B7CB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08CF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519" w:type="dxa"/>
            <w:vAlign w:val="center"/>
          </w:tcPr>
          <w:p w14:paraId="448651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5</w:t>
            </w:r>
          </w:p>
        </w:tc>
        <w:tc>
          <w:tcPr>
            <w:tcW w:w="3461" w:type="dxa"/>
            <w:vAlign w:val="center"/>
          </w:tcPr>
          <w:p w14:paraId="4F742F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通风</w:t>
            </w:r>
            <w:r>
              <w:rPr>
                <w:rFonts w:hint="eastAsia" w:ascii="宋体" w:hAnsi="宋体" w:cs="宋体"/>
                <w:color w:val="auto"/>
                <w:sz w:val="24"/>
                <w:szCs w:val="24"/>
                <w:lang w:val="en-US" w:eastAsia="zh-CN"/>
              </w:rPr>
              <w:t>系统</w:t>
            </w:r>
          </w:p>
        </w:tc>
        <w:tc>
          <w:tcPr>
            <w:tcW w:w="4308" w:type="dxa"/>
            <w:vAlign w:val="center"/>
          </w:tcPr>
          <w:p w14:paraId="4CAEB6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39C94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19" w:type="dxa"/>
            <w:vAlign w:val="center"/>
          </w:tcPr>
          <w:p w14:paraId="4FF013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6</w:t>
            </w:r>
          </w:p>
        </w:tc>
        <w:tc>
          <w:tcPr>
            <w:tcW w:w="3461" w:type="dxa"/>
            <w:vAlign w:val="center"/>
          </w:tcPr>
          <w:p w14:paraId="03926F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供配电</w:t>
            </w:r>
            <w:r>
              <w:rPr>
                <w:rFonts w:hint="eastAsia" w:ascii="宋体" w:hAnsi="宋体" w:cs="宋体"/>
                <w:color w:val="auto"/>
                <w:sz w:val="24"/>
                <w:szCs w:val="24"/>
                <w:lang w:val="en-US" w:eastAsia="zh-CN"/>
              </w:rPr>
              <w:t>系统</w:t>
            </w:r>
          </w:p>
        </w:tc>
        <w:tc>
          <w:tcPr>
            <w:tcW w:w="4308" w:type="dxa"/>
            <w:vAlign w:val="center"/>
          </w:tcPr>
          <w:p w14:paraId="2CA364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439E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519" w:type="dxa"/>
            <w:vAlign w:val="center"/>
          </w:tcPr>
          <w:p w14:paraId="26B86E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7</w:t>
            </w:r>
          </w:p>
        </w:tc>
        <w:tc>
          <w:tcPr>
            <w:tcW w:w="3461" w:type="dxa"/>
            <w:vAlign w:val="center"/>
          </w:tcPr>
          <w:p w14:paraId="3E7F2F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防排水与防灭火</w:t>
            </w:r>
            <w:r>
              <w:rPr>
                <w:rFonts w:hint="eastAsia" w:ascii="宋体" w:hAnsi="宋体" w:cs="宋体"/>
                <w:color w:val="auto"/>
                <w:sz w:val="24"/>
                <w:szCs w:val="24"/>
                <w:lang w:val="en-US" w:eastAsia="zh-CN"/>
              </w:rPr>
              <w:t>系统</w:t>
            </w:r>
          </w:p>
        </w:tc>
        <w:tc>
          <w:tcPr>
            <w:tcW w:w="4308" w:type="dxa"/>
            <w:vAlign w:val="center"/>
          </w:tcPr>
          <w:p w14:paraId="011673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预先危险性分析法、安全检查表法</w:t>
            </w:r>
          </w:p>
        </w:tc>
      </w:tr>
      <w:tr w14:paraId="22BA7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519" w:type="dxa"/>
            <w:vAlign w:val="center"/>
          </w:tcPr>
          <w:p w14:paraId="2E07CB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8</w:t>
            </w:r>
          </w:p>
        </w:tc>
        <w:tc>
          <w:tcPr>
            <w:tcW w:w="3461" w:type="dxa"/>
            <w:vAlign w:val="center"/>
          </w:tcPr>
          <w:p w14:paraId="6FE791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安全避险“六大系统”单元</w:t>
            </w:r>
          </w:p>
        </w:tc>
        <w:tc>
          <w:tcPr>
            <w:tcW w:w="4308" w:type="dxa"/>
            <w:vAlign w:val="center"/>
          </w:tcPr>
          <w:p w14:paraId="26BC03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安全检查表法</w:t>
            </w:r>
          </w:p>
        </w:tc>
      </w:tr>
      <w:tr w14:paraId="65BE5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519" w:type="dxa"/>
            <w:vAlign w:val="center"/>
          </w:tcPr>
          <w:p w14:paraId="6FC435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auto"/>
                <w:sz w:val="24"/>
                <w:szCs w:val="24"/>
                <w:vertAlign w:val="baseline"/>
                <w:lang w:val="en-US" w:eastAsia="zh-CN"/>
              </w:rPr>
            </w:pPr>
            <w:r>
              <w:rPr>
                <w:rFonts w:hint="eastAsia"/>
                <w:color w:val="auto"/>
                <w:sz w:val="24"/>
                <w:szCs w:val="24"/>
                <w:vertAlign w:val="baseline"/>
                <w:lang w:val="en-US" w:eastAsia="zh-CN"/>
              </w:rPr>
              <w:t>9</w:t>
            </w:r>
          </w:p>
        </w:tc>
        <w:tc>
          <w:tcPr>
            <w:tcW w:w="3461" w:type="dxa"/>
            <w:vAlign w:val="center"/>
          </w:tcPr>
          <w:p w14:paraId="60BBAA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安全管理</w:t>
            </w:r>
          </w:p>
        </w:tc>
        <w:tc>
          <w:tcPr>
            <w:tcW w:w="4308" w:type="dxa"/>
            <w:vAlign w:val="center"/>
          </w:tcPr>
          <w:p w14:paraId="42CB1E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安全检查表法</w:t>
            </w:r>
          </w:p>
        </w:tc>
      </w:tr>
    </w:tbl>
    <w:p w14:paraId="5324667E">
      <w:pPr>
        <w:pStyle w:val="3"/>
        <w:bidi w:val="0"/>
        <w:rPr>
          <w:rFonts w:hint="default"/>
          <w:color w:val="auto"/>
          <w:lang w:val="en-US" w:eastAsia="zh-CN"/>
        </w:rPr>
      </w:pPr>
      <w:bookmarkStart w:id="238" w:name="_Toc4539"/>
      <w:bookmarkStart w:id="239" w:name="_Toc4840"/>
      <w:bookmarkStart w:id="240" w:name="_Toc30838"/>
      <w:bookmarkStart w:id="241" w:name="_Toc18316"/>
      <w:r>
        <w:rPr>
          <w:rFonts w:hint="default"/>
          <w:color w:val="auto"/>
          <w:lang w:val="en-US" w:eastAsia="zh-CN"/>
        </w:rPr>
        <w:t>3.2 总平面布置单元</w:t>
      </w:r>
      <w:bookmarkEnd w:id="238"/>
      <w:bookmarkEnd w:id="239"/>
      <w:bookmarkEnd w:id="240"/>
      <w:bookmarkEnd w:id="241"/>
    </w:p>
    <w:p w14:paraId="58E486BB">
      <w:pPr>
        <w:pStyle w:val="4"/>
        <w:bidi w:val="0"/>
        <w:rPr>
          <w:rFonts w:hint="default"/>
          <w:color w:val="auto"/>
          <w:lang w:val="en-US" w:eastAsia="zh-CN"/>
        </w:rPr>
      </w:pPr>
      <w:bookmarkStart w:id="242" w:name="_Toc7095"/>
      <w:bookmarkStart w:id="243" w:name="_Toc1032"/>
      <w:bookmarkStart w:id="244" w:name="_Toc10303"/>
      <w:bookmarkStart w:id="245" w:name="_Toc23304"/>
      <w:r>
        <w:rPr>
          <w:rFonts w:hint="default"/>
          <w:color w:val="auto"/>
          <w:lang w:val="en-US" w:eastAsia="zh-CN"/>
        </w:rPr>
        <w:t>3.2.1 安全检查表</w:t>
      </w:r>
      <w:bookmarkEnd w:id="242"/>
      <w:bookmarkEnd w:id="243"/>
      <w:bookmarkEnd w:id="244"/>
      <w:bookmarkEnd w:id="245"/>
    </w:p>
    <w:p w14:paraId="5B673427">
      <w:pPr>
        <w:rPr>
          <w:rFonts w:hint="default"/>
          <w:color w:val="auto"/>
          <w:lang w:val="en-US" w:eastAsia="zh-CN"/>
        </w:rPr>
      </w:pPr>
      <w:r>
        <w:rPr>
          <w:rFonts w:hint="default"/>
          <w:color w:val="auto"/>
          <w:lang w:val="en-US" w:eastAsia="zh-CN"/>
        </w:rPr>
        <w:t>根据矿山所处的</w:t>
      </w:r>
      <w:r>
        <w:rPr>
          <w:rFonts w:hint="eastAsia"/>
          <w:color w:val="auto"/>
          <w:lang w:val="en-US" w:eastAsia="zh-CN"/>
        </w:rPr>
        <w:t>水文</w:t>
      </w:r>
      <w:r>
        <w:rPr>
          <w:rFonts w:hint="default"/>
          <w:color w:val="auto"/>
          <w:lang w:val="en-US" w:eastAsia="zh-CN"/>
        </w:rPr>
        <w:t>和工程地质条件，按照《金属非金属矿山安全规程》</w:t>
      </w:r>
      <w:r>
        <w:rPr>
          <w:rFonts w:hint="eastAsia"/>
          <w:color w:val="auto"/>
          <w:lang w:val="en-US" w:eastAsia="zh-CN"/>
        </w:rPr>
        <w:t>（</w:t>
      </w:r>
      <w:r>
        <w:rPr>
          <w:rFonts w:hint="default"/>
          <w:color w:val="auto"/>
          <w:lang w:val="en-US" w:eastAsia="zh-CN"/>
        </w:rPr>
        <w:t>GB16423-2020</w:t>
      </w:r>
      <w:r>
        <w:rPr>
          <w:rFonts w:hint="eastAsia"/>
          <w:color w:val="auto"/>
          <w:lang w:val="en-US" w:eastAsia="zh-CN"/>
        </w:rPr>
        <w:t>）</w:t>
      </w:r>
      <w:r>
        <w:rPr>
          <w:rFonts w:hint="default"/>
          <w:color w:val="auto"/>
          <w:lang w:val="en-US" w:eastAsia="zh-CN"/>
        </w:rPr>
        <w:t>、《工业企业总平面设计规范》</w:t>
      </w:r>
      <w:r>
        <w:rPr>
          <w:rFonts w:hint="eastAsia"/>
          <w:color w:val="auto"/>
          <w:lang w:val="en-US" w:eastAsia="zh-CN"/>
        </w:rPr>
        <w:t>（</w:t>
      </w:r>
      <w:r>
        <w:rPr>
          <w:rFonts w:hint="default"/>
          <w:color w:val="auto"/>
          <w:lang w:val="en-US" w:eastAsia="zh-CN"/>
        </w:rPr>
        <w:t>GB50187-2012</w:t>
      </w:r>
      <w:r>
        <w:rPr>
          <w:rFonts w:hint="eastAsia"/>
          <w:color w:val="auto"/>
          <w:lang w:val="en-US" w:eastAsia="zh-CN"/>
        </w:rPr>
        <w:t>）</w:t>
      </w:r>
      <w:r>
        <w:rPr>
          <w:rFonts w:hint="default"/>
          <w:color w:val="auto"/>
          <w:lang w:val="en-US" w:eastAsia="zh-CN"/>
        </w:rPr>
        <w:t>的要求，通过安全检查表法对总平面布置单元进行评价，具体评价见表3</w:t>
      </w:r>
      <w:r>
        <w:rPr>
          <w:rFonts w:hint="eastAsia"/>
          <w:color w:val="auto"/>
          <w:lang w:val="en-US" w:eastAsia="zh-CN"/>
        </w:rPr>
        <w:t>.2</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19297D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ascii="Times New Roman" w:hAnsi="Times New Roman" w:eastAsia="宋体" w:cs="Times New Roman"/>
          <w:color w:val="auto"/>
          <w:lang w:val="en-US" w:eastAsia="zh-CN"/>
        </w:rPr>
        <w:t>3</w:t>
      </w:r>
      <w:r>
        <w:rPr>
          <w:rFonts w:hint="eastAsia" w:cs="Times New Roman"/>
          <w:color w:val="auto"/>
          <w:lang w:val="en-US" w:eastAsia="zh-CN"/>
        </w:rPr>
        <w:t>.2</w:t>
      </w:r>
      <w:r>
        <w:rPr>
          <w:rFonts w:hint="eastAsia" w:ascii="Times New Roman" w:hAnsi="Times New Roman" w:eastAsia="宋体" w:cs="Times New Roman"/>
          <w:color w:val="auto"/>
          <w:lang w:val="en-US" w:eastAsia="zh-CN"/>
        </w:rPr>
        <w:t>-</w:t>
      </w:r>
      <w:r>
        <w:rPr>
          <w:rFonts w:hint="eastAsia" w:cs="Times New Roman"/>
          <w:color w:val="auto"/>
          <w:lang w:val="en-US" w:eastAsia="zh-CN"/>
        </w:rPr>
        <w:t>1</w:t>
      </w:r>
      <w:r>
        <w:rPr>
          <w:rFonts w:hint="eastAsia" w:ascii="Times New Roman" w:hAnsi="Times New Roman" w:eastAsia="宋体" w:cs="Times New Roman"/>
          <w:color w:val="auto"/>
          <w:lang w:val="en-US" w:eastAsia="zh-CN"/>
        </w:rPr>
        <w:t xml:space="preserve"> 总平面布置单元</w:t>
      </w:r>
      <w:r>
        <w:rPr>
          <w:rFonts w:ascii="Times New Roman" w:hAnsi="Times New Roman" w:eastAsia="宋体" w:cs="Times New Roman"/>
          <w:color w:val="auto"/>
          <w:lang w:val="en-US" w:eastAsia="zh-CN"/>
        </w:rPr>
        <w:t>安全检查表</w:t>
      </w:r>
    </w:p>
    <w:tbl>
      <w:tblPr>
        <w:tblStyle w:val="17"/>
        <w:tblW w:w="964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6"/>
        <w:gridCol w:w="2887"/>
        <w:gridCol w:w="2434"/>
        <w:gridCol w:w="2783"/>
        <w:gridCol w:w="1036"/>
      </w:tblGrid>
      <w:tr w14:paraId="2DEB42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3" w:hRule="atLeast"/>
          <w:jc w:val="center"/>
        </w:trPr>
        <w:tc>
          <w:tcPr>
            <w:tcW w:w="506" w:type="dxa"/>
            <w:tcBorders>
              <w:left w:val="single" w:color="000000" w:sz="2" w:space="0"/>
              <w:right w:val="single" w:color="000000" w:sz="2" w:space="0"/>
            </w:tcBorders>
            <w:vAlign w:val="center"/>
          </w:tcPr>
          <w:p w14:paraId="3FDB4B1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2887" w:type="dxa"/>
            <w:tcBorders>
              <w:left w:val="single" w:color="000000" w:sz="2" w:space="0"/>
              <w:right w:val="single" w:color="000000" w:sz="2" w:space="0"/>
            </w:tcBorders>
            <w:vAlign w:val="center"/>
          </w:tcPr>
          <w:p w14:paraId="045B35B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2434" w:type="dxa"/>
            <w:tcBorders>
              <w:left w:val="single" w:color="000000" w:sz="2" w:space="0"/>
              <w:right w:val="single" w:color="000000" w:sz="2" w:space="0"/>
            </w:tcBorders>
            <w:vAlign w:val="center"/>
          </w:tcPr>
          <w:p w14:paraId="7B50AC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2783" w:type="dxa"/>
            <w:tcBorders>
              <w:left w:val="single" w:color="000000" w:sz="2" w:space="0"/>
              <w:right w:val="single" w:color="000000" w:sz="2" w:space="0"/>
            </w:tcBorders>
            <w:vAlign w:val="center"/>
          </w:tcPr>
          <w:p w14:paraId="6923011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1036" w:type="dxa"/>
            <w:tcBorders>
              <w:left w:val="single" w:color="000000" w:sz="2" w:space="0"/>
              <w:right w:val="single" w:color="000000" w:sz="2" w:space="0"/>
            </w:tcBorders>
            <w:vAlign w:val="center"/>
          </w:tcPr>
          <w:p w14:paraId="769F533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50A5D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0" w:hRule="atLeast"/>
          <w:jc w:val="center"/>
        </w:trPr>
        <w:tc>
          <w:tcPr>
            <w:tcW w:w="506" w:type="dxa"/>
            <w:tcBorders>
              <w:top w:val="single" w:color="000000" w:sz="2" w:space="0"/>
              <w:left w:val="single" w:color="000000" w:sz="2" w:space="0"/>
              <w:right w:val="single" w:color="000000" w:sz="2" w:space="0"/>
            </w:tcBorders>
            <w:vAlign w:val="center"/>
          </w:tcPr>
          <w:p w14:paraId="4273A8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ascii="Times New Roman" w:hAnsi="Times New Roman" w:eastAsia="宋体" w:cs="Times New Roman"/>
                <w:snapToGrid w:val="0"/>
                <w:color w:val="auto"/>
                <w:kern w:val="0"/>
                <w:sz w:val="21"/>
                <w:szCs w:val="21"/>
                <w:lang w:val="en-US" w:bidi="ar-SA"/>
              </w:rPr>
              <w:t>1</w:t>
            </w:r>
          </w:p>
        </w:tc>
        <w:tc>
          <w:tcPr>
            <w:tcW w:w="2887" w:type="dxa"/>
            <w:tcBorders>
              <w:top w:val="single" w:color="000000" w:sz="2" w:space="0"/>
              <w:left w:val="single" w:color="000000" w:sz="2" w:space="0"/>
              <w:right w:val="single" w:color="000000" w:sz="2" w:space="0"/>
            </w:tcBorders>
            <w:vAlign w:val="center"/>
          </w:tcPr>
          <w:p w14:paraId="41CE0BB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矿山企业的办公区、生活区、工业场地、地面建筑等，不应设在危崖、塌陷区、崩落区，不应设在受尘毒、污风影响区域内，不应受洪水、泥石流、爆破威胁。</w:t>
            </w:r>
          </w:p>
        </w:tc>
        <w:tc>
          <w:tcPr>
            <w:tcW w:w="2434" w:type="dxa"/>
            <w:tcBorders>
              <w:top w:val="single" w:color="000000" w:sz="2" w:space="0"/>
              <w:left w:val="single" w:color="000000" w:sz="2" w:space="0"/>
              <w:right w:val="single" w:color="000000" w:sz="2" w:space="0"/>
            </w:tcBorders>
            <w:vAlign w:val="center"/>
          </w:tcPr>
          <w:p w14:paraId="6AE3F0D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ascii="Times New Roman" w:hAnsi="Times New Roman" w:eastAsia="宋体" w:cs="Times New Roman"/>
                <w:snapToGrid w:val="0"/>
                <w:color w:val="auto"/>
                <w:kern w:val="0"/>
                <w:sz w:val="21"/>
                <w:szCs w:val="21"/>
                <w:lang w:val="en-US" w:bidi="ar-SA"/>
              </w:rPr>
              <w:t>第</w:t>
            </w:r>
            <w:r>
              <w:rPr>
                <w:rFonts w:hint="eastAsia" w:ascii="Times New Roman" w:hAnsi="Times New Roman" w:eastAsia="宋体" w:cs="Times New Roman"/>
                <w:snapToGrid w:val="0"/>
                <w:color w:val="auto"/>
                <w:kern w:val="0"/>
                <w:sz w:val="21"/>
                <w:szCs w:val="21"/>
                <w:lang w:val="en-US" w:eastAsia="zh-CN" w:bidi="ar-SA"/>
              </w:rPr>
              <w:t>4</w:t>
            </w:r>
            <w:r>
              <w:rPr>
                <w:rFonts w:ascii="Times New Roman" w:hAnsi="Times New Roman" w:eastAsia="宋体" w:cs="Times New Roman"/>
                <w:snapToGrid w:val="0"/>
                <w:color w:val="auto"/>
                <w:kern w:val="0"/>
                <w:sz w:val="21"/>
                <w:szCs w:val="21"/>
                <w:lang w:val="en-US" w:bidi="ar-SA"/>
              </w:rPr>
              <w:t>.</w:t>
            </w:r>
            <w:r>
              <w:rPr>
                <w:rFonts w:hint="eastAsia" w:ascii="Times New Roman" w:hAnsi="Times New Roman" w:eastAsia="宋体" w:cs="Times New Roman"/>
                <w:snapToGrid w:val="0"/>
                <w:color w:val="auto"/>
                <w:kern w:val="0"/>
                <w:sz w:val="21"/>
                <w:szCs w:val="21"/>
                <w:lang w:val="en-US" w:eastAsia="zh-CN" w:bidi="ar-SA"/>
              </w:rPr>
              <w:t>6</w:t>
            </w:r>
            <w:r>
              <w:rPr>
                <w:rFonts w:ascii="Times New Roman" w:hAnsi="Times New Roman" w:eastAsia="宋体" w:cs="Times New Roman"/>
                <w:snapToGrid w:val="0"/>
                <w:color w:val="auto"/>
                <w:kern w:val="0"/>
                <w:sz w:val="21"/>
                <w:szCs w:val="21"/>
                <w:lang w:val="en-US" w:bidi="ar-SA"/>
              </w:rPr>
              <w:t>.</w:t>
            </w:r>
            <w:r>
              <w:rPr>
                <w:rFonts w:hint="eastAsia" w:ascii="Times New Roman" w:hAnsi="Times New Roman" w:eastAsia="宋体" w:cs="Times New Roman"/>
                <w:snapToGrid w:val="0"/>
                <w:color w:val="auto"/>
                <w:kern w:val="0"/>
                <w:sz w:val="21"/>
                <w:szCs w:val="21"/>
                <w:lang w:val="en-US" w:eastAsia="zh-CN" w:bidi="ar-SA"/>
              </w:rPr>
              <w:t>1</w:t>
            </w:r>
            <w:r>
              <w:rPr>
                <w:rFonts w:ascii="Times New Roman" w:hAnsi="Times New Roman" w:eastAsia="宋体" w:cs="Times New Roman"/>
                <w:snapToGrid w:val="0"/>
                <w:color w:val="auto"/>
                <w:kern w:val="0"/>
                <w:sz w:val="21"/>
                <w:szCs w:val="21"/>
                <w:lang w:val="en-US" w:bidi="ar-SA"/>
              </w:rPr>
              <w:t>条</w:t>
            </w:r>
          </w:p>
        </w:tc>
        <w:tc>
          <w:tcPr>
            <w:tcW w:w="2783" w:type="dxa"/>
            <w:tcBorders>
              <w:top w:val="single" w:color="000000" w:sz="2" w:space="0"/>
              <w:left w:val="single" w:color="000000" w:sz="2" w:space="0"/>
              <w:right w:val="single" w:color="000000" w:sz="2" w:space="0"/>
            </w:tcBorders>
            <w:vAlign w:val="center"/>
          </w:tcPr>
          <w:p w14:paraId="36F005F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办公区</w:t>
            </w:r>
            <w:r>
              <w:rPr>
                <w:rFonts w:hint="eastAsia" w:cs="Times New Roman"/>
                <w:snapToGrid w:val="0"/>
                <w:color w:val="auto"/>
                <w:spacing w:val="2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生活区、地面建筑、</w:t>
            </w:r>
            <w:r>
              <w:rPr>
                <w:rFonts w:hint="eastAsia" w:cs="Times New Roman"/>
                <w:snapToGrid w:val="0"/>
                <w:color w:val="auto"/>
                <w:spacing w:val="6"/>
                <w:kern w:val="0"/>
                <w:sz w:val="21"/>
                <w:szCs w:val="21"/>
                <w:lang w:val="en-US" w:eastAsia="zh-CN" w:bidi="ar-SA"/>
              </w:rPr>
              <w:t>部分</w:t>
            </w:r>
            <w:r>
              <w:rPr>
                <w:rFonts w:hint="eastAsia" w:ascii="Times New Roman" w:hAnsi="Times New Roman" w:eastAsia="宋体" w:cs="Times New Roman"/>
                <w:snapToGrid w:val="0"/>
                <w:color w:val="auto"/>
                <w:spacing w:val="6"/>
                <w:kern w:val="0"/>
                <w:sz w:val="21"/>
                <w:szCs w:val="21"/>
                <w:lang w:val="en-US" w:bidi="ar-SA"/>
              </w:rPr>
              <w:t>工业场地</w:t>
            </w:r>
            <w:r>
              <w:rPr>
                <w:rFonts w:hint="eastAsia" w:cs="Times New Roman"/>
                <w:snapToGrid w:val="0"/>
                <w:color w:val="auto"/>
                <w:spacing w:val="6"/>
                <w:kern w:val="0"/>
                <w:sz w:val="21"/>
                <w:szCs w:val="21"/>
                <w:lang w:val="en-US" w:eastAsia="zh-CN" w:bidi="ar-SA"/>
              </w:rPr>
              <w:t>位于岩石移动线内</w:t>
            </w:r>
            <w:r>
              <w:rPr>
                <w:rFonts w:hint="eastAsia" w:cs="Times New Roman"/>
                <w:snapToGrid w:val="0"/>
                <w:color w:val="auto"/>
                <w:spacing w:val="26"/>
                <w:kern w:val="0"/>
                <w:sz w:val="21"/>
                <w:szCs w:val="21"/>
                <w:lang w:val="en-US" w:eastAsia="zh-CN" w:bidi="ar-SA"/>
              </w:rPr>
              <w:t>。</w:t>
            </w:r>
            <w:r>
              <w:rPr>
                <w:rFonts w:hint="eastAsia"/>
                <w:snapToGrid w:val="0"/>
                <w:color w:val="auto"/>
                <w:spacing w:val="26"/>
                <w:kern w:val="0"/>
                <w:sz w:val="21"/>
                <w:szCs w:val="21"/>
              </w:rPr>
              <w:t>2025年7月，</w:t>
            </w:r>
            <w:r>
              <w:rPr>
                <w:rFonts w:hint="eastAsia"/>
                <w:snapToGrid w:val="0"/>
                <w:color w:val="auto"/>
                <w:spacing w:val="26"/>
                <w:kern w:val="0"/>
                <w:sz w:val="21"/>
                <w:szCs w:val="21"/>
                <w:lang w:val="en-US" w:eastAsia="zh-CN"/>
              </w:rPr>
              <w:t>企业委托</w:t>
            </w:r>
            <w:r>
              <w:rPr>
                <w:rFonts w:hint="eastAsia"/>
                <w:snapToGrid w:val="0"/>
                <w:color w:val="auto"/>
                <w:spacing w:val="26"/>
                <w:kern w:val="0"/>
                <w:sz w:val="21"/>
                <w:szCs w:val="21"/>
              </w:rPr>
              <w:t>南昌工程学院江西水利土木特种加固与安全监控工程研究中心编制了《江西朝盛矿业有限公宁都硫铁矿地下矿山开采对地表建（构）筑物、S451公路影响论证报告》，得出结论：当对+160m中段及以下矿体开采时，沉降值相对较小，矿区地表整体保持稳定状态。</w:t>
            </w:r>
          </w:p>
        </w:tc>
        <w:tc>
          <w:tcPr>
            <w:tcW w:w="1036" w:type="dxa"/>
            <w:tcBorders>
              <w:top w:val="single" w:color="000000" w:sz="2" w:space="0"/>
              <w:left w:val="single" w:color="000000" w:sz="2" w:space="0"/>
              <w:right w:val="single" w:color="000000" w:sz="2" w:space="0"/>
            </w:tcBorders>
            <w:vAlign w:val="center"/>
          </w:tcPr>
          <w:p w14:paraId="797F5BA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ascii="Times New Roman" w:hAnsi="Times New Roman" w:eastAsia="宋体" w:cs="Times New Roman"/>
                <w:snapToGrid w:val="0"/>
                <w:color w:val="auto"/>
                <w:spacing w:val="3"/>
                <w:kern w:val="0"/>
                <w:sz w:val="21"/>
                <w:szCs w:val="21"/>
                <w:lang w:val="en-US" w:bidi="ar-SA"/>
              </w:rPr>
              <w:t>符合</w:t>
            </w:r>
          </w:p>
        </w:tc>
      </w:tr>
      <w:tr w14:paraId="7EBBBE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2" w:hRule="atLeast"/>
          <w:jc w:val="center"/>
        </w:trPr>
        <w:tc>
          <w:tcPr>
            <w:tcW w:w="506" w:type="dxa"/>
            <w:tcBorders>
              <w:top w:val="single" w:color="000000" w:sz="2" w:space="0"/>
              <w:left w:val="single" w:color="000000" w:sz="2" w:space="0"/>
              <w:right w:val="single" w:color="000000" w:sz="2" w:space="0"/>
            </w:tcBorders>
            <w:vAlign w:val="center"/>
          </w:tcPr>
          <w:p w14:paraId="1890538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ascii="Times New Roman" w:hAnsi="Times New Roman" w:eastAsia="宋体" w:cs="Times New Roman"/>
                <w:snapToGrid w:val="0"/>
                <w:color w:val="auto"/>
                <w:kern w:val="0"/>
                <w:sz w:val="21"/>
                <w:szCs w:val="21"/>
                <w:lang w:val="en-US" w:bidi="ar-SA"/>
              </w:rPr>
              <w:t>2</w:t>
            </w:r>
          </w:p>
        </w:tc>
        <w:tc>
          <w:tcPr>
            <w:tcW w:w="2887" w:type="dxa"/>
            <w:tcBorders>
              <w:top w:val="single" w:color="000000" w:sz="2" w:space="0"/>
              <w:left w:val="single" w:color="000000" w:sz="2" w:space="0"/>
              <w:right w:val="single" w:color="000000" w:sz="2" w:space="0"/>
            </w:tcBorders>
            <w:vAlign w:val="center"/>
          </w:tcPr>
          <w:p w14:paraId="41FBC18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矿山企业的加油站、加气站应设置在安全地点。</w:t>
            </w:r>
          </w:p>
        </w:tc>
        <w:tc>
          <w:tcPr>
            <w:tcW w:w="2434" w:type="dxa"/>
            <w:tcBorders>
              <w:top w:val="single" w:color="000000" w:sz="2" w:space="0"/>
              <w:left w:val="single" w:color="000000" w:sz="2" w:space="0"/>
              <w:right w:val="single" w:color="000000" w:sz="2" w:space="0"/>
            </w:tcBorders>
            <w:vAlign w:val="center"/>
          </w:tcPr>
          <w:p w14:paraId="132A4D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ascii="Times New Roman" w:hAnsi="Times New Roman" w:eastAsia="宋体" w:cs="Times New Roman"/>
                <w:snapToGrid w:val="0"/>
                <w:color w:val="auto"/>
                <w:kern w:val="0"/>
                <w:sz w:val="21"/>
                <w:szCs w:val="21"/>
                <w:lang w:val="en-US" w:bidi="ar-SA"/>
              </w:rPr>
              <w:t>第</w:t>
            </w:r>
            <w:r>
              <w:rPr>
                <w:rFonts w:hint="eastAsia" w:ascii="Times New Roman" w:hAnsi="Times New Roman" w:eastAsia="宋体" w:cs="Times New Roman"/>
                <w:snapToGrid w:val="0"/>
                <w:color w:val="auto"/>
                <w:kern w:val="0"/>
                <w:sz w:val="21"/>
                <w:szCs w:val="21"/>
                <w:lang w:val="en-US" w:eastAsia="zh-CN" w:bidi="ar-SA"/>
              </w:rPr>
              <w:t>4</w:t>
            </w:r>
            <w:r>
              <w:rPr>
                <w:rFonts w:ascii="Times New Roman" w:hAnsi="Times New Roman" w:eastAsia="宋体" w:cs="Times New Roman"/>
                <w:snapToGrid w:val="0"/>
                <w:color w:val="auto"/>
                <w:kern w:val="0"/>
                <w:sz w:val="21"/>
                <w:szCs w:val="21"/>
                <w:lang w:val="en-US" w:bidi="ar-SA"/>
              </w:rPr>
              <w:t>.</w:t>
            </w:r>
            <w:r>
              <w:rPr>
                <w:rFonts w:hint="eastAsia" w:ascii="Times New Roman" w:hAnsi="Times New Roman" w:eastAsia="宋体" w:cs="Times New Roman"/>
                <w:snapToGrid w:val="0"/>
                <w:color w:val="auto"/>
                <w:kern w:val="0"/>
                <w:sz w:val="21"/>
                <w:szCs w:val="21"/>
                <w:lang w:val="en-US" w:eastAsia="zh-CN" w:bidi="ar-SA"/>
              </w:rPr>
              <w:t>6</w:t>
            </w:r>
            <w:r>
              <w:rPr>
                <w:rFonts w:ascii="Times New Roman" w:hAnsi="Times New Roman" w:eastAsia="宋体" w:cs="Times New Roman"/>
                <w:snapToGrid w:val="0"/>
                <w:color w:val="auto"/>
                <w:kern w:val="0"/>
                <w:sz w:val="21"/>
                <w:szCs w:val="21"/>
                <w:lang w:val="en-US" w:bidi="ar-SA"/>
              </w:rPr>
              <w:t>.</w:t>
            </w:r>
            <w:r>
              <w:rPr>
                <w:rFonts w:hint="eastAsia" w:ascii="Times New Roman" w:hAnsi="Times New Roman" w:eastAsia="宋体" w:cs="Times New Roman"/>
                <w:snapToGrid w:val="0"/>
                <w:color w:val="auto"/>
                <w:kern w:val="0"/>
                <w:sz w:val="21"/>
                <w:szCs w:val="21"/>
                <w:lang w:val="en-US" w:eastAsia="zh-CN" w:bidi="ar-SA"/>
              </w:rPr>
              <w:t>2</w:t>
            </w:r>
            <w:r>
              <w:rPr>
                <w:rFonts w:ascii="Times New Roman" w:hAnsi="Times New Roman" w:eastAsia="宋体" w:cs="Times New Roman"/>
                <w:snapToGrid w:val="0"/>
                <w:color w:val="auto"/>
                <w:kern w:val="0"/>
                <w:sz w:val="21"/>
                <w:szCs w:val="21"/>
                <w:lang w:val="en-US" w:bidi="ar-SA"/>
              </w:rPr>
              <w:t>条</w:t>
            </w:r>
          </w:p>
        </w:tc>
        <w:tc>
          <w:tcPr>
            <w:tcW w:w="2783" w:type="dxa"/>
            <w:tcBorders>
              <w:top w:val="single" w:color="000000" w:sz="2" w:space="0"/>
              <w:left w:val="single" w:color="000000" w:sz="2" w:space="0"/>
              <w:right w:val="single" w:color="000000" w:sz="2" w:space="0"/>
            </w:tcBorders>
            <w:vAlign w:val="center"/>
          </w:tcPr>
          <w:p w14:paraId="4913A55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spacing w:val="26"/>
                <w:kern w:val="0"/>
                <w:sz w:val="21"/>
                <w:szCs w:val="21"/>
                <w:lang w:val="en-US" w:eastAsia="zh-CN" w:bidi="ar-SA"/>
              </w:rPr>
              <w:t>矿山无加油站、加气站</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right w:val="single" w:color="000000" w:sz="2" w:space="0"/>
            </w:tcBorders>
            <w:vAlign w:val="center"/>
          </w:tcPr>
          <w:p w14:paraId="2C20C9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spacing w:val="3"/>
                <w:kern w:val="0"/>
                <w:sz w:val="21"/>
                <w:szCs w:val="21"/>
                <w:lang w:val="en-US" w:eastAsia="zh-CN" w:bidi="ar-SA"/>
              </w:rPr>
              <w:t>缺项</w:t>
            </w:r>
          </w:p>
        </w:tc>
      </w:tr>
      <w:tr w14:paraId="75B7AA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3"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1BF039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ascii="Times New Roman" w:hAnsi="Times New Roman" w:eastAsia="宋体" w:cs="Times New Roman"/>
                <w:snapToGrid w:val="0"/>
                <w:color w:val="auto"/>
                <w:kern w:val="0"/>
                <w:sz w:val="21"/>
                <w:szCs w:val="21"/>
                <w:lang w:val="en-US" w:bidi="ar-SA"/>
              </w:rPr>
              <w:t>3</w:t>
            </w:r>
          </w:p>
        </w:tc>
        <w:tc>
          <w:tcPr>
            <w:tcW w:w="2887" w:type="dxa"/>
            <w:tcBorders>
              <w:top w:val="single" w:color="000000" w:sz="2" w:space="0"/>
              <w:left w:val="single" w:color="000000" w:sz="2" w:space="0"/>
              <w:bottom w:val="single" w:color="000000" w:sz="2" w:space="0"/>
              <w:right w:val="single" w:color="000000" w:sz="2" w:space="0"/>
            </w:tcBorders>
            <w:vAlign w:val="center"/>
          </w:tcPr>
          <w:p w14:paraId="3C5EF0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地下开采时，应圈定岩体移动范围或岩体移动监测范围;地表主要建构筑物、主要井筒应布置在地表岩体移动范围之外，或者留保安矿柱消除其影响。</w:t>
            </w:r>
          </w:p>
        </w:tc>
        <w:tc>
          <w:tcPr>
            <w:tcW w:w="2434" w:type="dxa"/>
            <w:tcBorders>
              <w:top w:val="single" w:color="000000" w:sz="2" w:space="0"/>
              <w:left w:val="single" w:color="000000" w:sz="2" w:space="0"/>
              <w:bottom w:val="single" w:color="000000" w:sz="2" w:space="0"/>
              <w:right w:val="single" w:color="000000" w:sz="2" w:space="0"/>
            </w:tcBorders>
            <w:vAlign w:val="center"/>
          </w:tcPr>
          <w:p w14:paraId="038C98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ascii="Times New Roman" w:hAnsi="Times New Roman" w:eastAsia="宋体" w:cs="Times New Roman"/>
                <w:snapToGrid w:val="0"/>
                <w:color w:val="auto"/>
                <w:kern w:val="0"/>
                <w:sz w:val="21"/>
                <w:szCs w:val="21"/>
                <w:lang w:val="en-US" w:bidi="ar-SA"/>
              </w:rPr>
              <w:t>第</w:t>
            </w:r>
            <w:r>
              <w:rPr>
                <w:rFonts w:hint="eastAsia" w:ascii="Times New Roman" w:hAnsi="Times New Roman" w:eastAsia="宋体" w:cs="Times New Roman"/>
                <w:snapToGrid w:val="0"/>
                <w:color w:val="auto"/>
                <w:kern w:val="0"/>
                <w:sz w:val="21"/>
                <w:szCs w:val="21"/>
                <w:lang w:val="en-US" w:eastAsia="zh-CN" w:bidi="ar-SA"/>
              </w:rPr>
              <w:t>6.3.1.2</w:t>
            </w:r>
            <w:r>
              <w:rPr>
                <w:rFonts w:ascii="Times New Roman" w:hAnsi="Times New Roman" w:eastAsia="宋体" w:cs="Times New Roman"/>
                <w:snapToGrid w:val="0"/>
                <w:color w:val="auto"/>
                <w:kern w:val="0"/>
                <w:sz w:val="21"/>
                <w:szCs w:val="21"/>
                <w:lang w:val="en-US" w:bidi="ar-SA"/>
              </w:rPr>
              <w:t>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72736E4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根据总平面布置图，井筒均布置在地表岩体移动范围之外</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72F39D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0A0E61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3F1500E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4</w:t>
            </w:r>
          </w:p>
        </w:tc>
        <w:tc>
          <w:tcPr>
            <w:tcW w:w="2887" w:type="dxa"/>
            <w:tcBorders>
              <w:top w:val="single" w:color="000000" w:sz="2" w:space="0"/>
              <w:left w:val="single" w:color="000000" w:sz="2" w:space="0"/>
              <w:bottom w:val="single" w:color="000000" w:sz="2" w:space="0"/>
              <w:right w:val="single" w:color="000000" w:sz="2" w:space="0"/>
            </w:tcBorders>
            <w:vAlign w:val="center"/>
          </w:tcPr>
          <w:p w14:paraId="49CC573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地表主要建构筑物、主要开拓工程入口应布置在不受地表滑坡、滚石、泥石流、雪崩等危险因素影响的安全地带，无法避开时，应采取可靠的安全措施。</w:t>
            </w:r>
          </w:p>
        </w:tc>
        <w:tc>
          <w:tcPr>
            <w:tcW w:w="2434" w:type="dxa"/>
            <w:tcBorders>
              <w:top w:val="single" w:color="000000" w:sz="2" w:space="0"/>
              <w:left w:val="single" w:color="000000" w:sz="2" w:space="0"/>
              <w:bottom w:val="single" w:color="000000" w:sz="2" w:space="0"/>
              <w:right w:val="single" w:color="000000" w:sz="2" w:space="0"/>
            </w:tcBorders>
            <w:vAlign w:val="center"/>
          </w:tcPr>
          <w:p w14:paraId="39D6EC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1"/>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ascii="Times New Roman" w:hAnsi="Times New Roman" w:eastAsia="宋体" w:cs="Times New Roman"/>
                <w:snapToGrid w:val="0"/>
                <w:color w:val="auto"/>
                <w:kern w:val="0"/>
                <w:sz w:val="21"/>
                <w:szCs w:val="21"/>
                <w:lang w:val="en-US" w:bidi="ar-SA"/>
              </w:rPr>
              <w:t>第</w:t>
            </w:r>
            <w:r>
              <w:rPr>
                <w:rFonts w:hint="eastAsia" w:ascii="Times New Roman" w:hAnsi="Times New Roman" w:eastAsia="宋体" w:cs="Times New Roman"/>
                <w:snapToGrid w:val="0"/>
                <w:color w:val="auto"/>
                <w:kern w:val="0"/>
                <w:sz w:val="21"/>
                <w:szCs w:val="21"/>
                <w:lang w:val="en-US" w:eastAsia="zh-CN" w:bidi="ar-SA"/>
              </w:rPr>
              <w:t>6.3.1.3</w:t>
            </w:r>
            <w:r>
              <w:rPr>
                <w:rFonts w:ascii="Times New Roman" w:hAnsi="Times New Roman" w:eastAsia="宋体" w:cs="Times New Roman"/>
                <w:snapToGrid w:val="0"/>
                <w:color w:val="auto"/>
                <w:kern w:val="0"/>
                <w:sz w:val="21"/>
                <w:szCs w:val="21"/>
                <w:lang w:val="en-US" w:bidi="ar-SA"/>
              </w:rPr>
              <w:t>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04485F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bidi="ar-SA"/>
              </w:rPr>
            </w:pPr>
            <w:r>
              <w:rPr>
                <w:rFonts w:hint="eastAsia" w:cs="Times New Roman"/>
                <w:snapToGrid w:val="0"/>
                <w:color w:val="auto"/>
                <w:spacing w:val="26"/>
                <w:kern w:val="0"/>
                <w:sz w:val="21"/>
                <w:szCs w:val="21"/>
                <w:lang w:val="en-US" w:eastAsia="zh-CN" w:bidi="ar-SA"/>
              </w:rPr>
              <w:t>地表主要建构筑物、主要开拓工程入口均布置在安全地带。</w:t>
            </w:r>
          </w:p>
        </w:tc>
        <w:tc>
          <w:tcPr>
            <w:tcW w:w="1036" w:type="dxa"/>
            <w:tcBorders>
              <w:top w:val="single" w:color="000000" w:sz="2" w:space="0"/>
              <w:left w:val="single" w:color="000000" w:sz="2" w:space="0"/>
              <w:bottom w:val="single" w:color="000000" w:sz="2" w:space="0"/>
              <w:right w:val="single" w:color="000000" w:sz="2" w:space="0"/>
            </w:tcBorders>
            <w:vAlign w:val="center"/>
          </w:tcPr>
          <w:p w14:paraId="7E7646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0400A1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1E2C791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5</w:t>
            </w:r>
          </w:p>
        </w:tc>
        <w:tc>
          <w:tcPr>
            <w:tcW w:w="2887" w:type="dxa"/>
            <w:tcBorders>
              <w:top w:val="single" w:color="000000" w:sz="2" w:space="0"/>
              <w:left w:val="single" w:color="000000" w:sz="2" w:space="0"/>
              <w:bottom w:val="single" w:color="000000" w:sz="2" w:space="0"/>
              <w:right w:val="single" w:color="000000" w:sz="2" w:space="0"/>
            </w:tcBorders>
            <w:vAlign w:val="center"/>
          </w:tcPr>
          <w:p w14:paraId="519063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主变电所设置应符合下列规定:</w:t>
            </w:r>
          </w:p>
          <w:p w14:paraId="0C085FE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--设置在爆破警戒线以外</w:t>
            </w:r>
            <w:r>
              <w:rPr>
                <w:rFonts w:hint="eastAsia" w:ascii="Times New Roman" w:hAnsi="Times New Roman" w:eastAsia="宋体" w:cs="Times New Roman"/>
                <w:snapToGrid w:val="0"/>
                <w:color w:val="auto"/>
                <w:spacing w:val="6"/>
                <w:kern w:val="0"/>
                <w:sz w:val="21"/>
                <w:szCs w:val="21"/>
                <w:lang w:val="en-US" w:eastAsia="zh-CN" w:bidi="ar-SA"/>
              </w:rPr>
              <w:t>；</w:t>
            </w:r>
          </w:p>
          <w:p w14:paraId="4BF35A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--距离准轨铁路不小于40m</w:t>
            </w:r>
            <w:r>
              <w:rPr>
                <w:rFonts w:hint="eastAsia" w:ascii="Times New Roman" w:hAnsi="Times New Roman" w:eastAsia="宋体" w:cs="Times New Roman"/>
                <w:snapToGrid w:val="0"/>
                <w:color w:val="auto"/>
                <w:spacing w:val="6"/>
                <w:kern w:val="0"/>
                <w:sz w:val="21"/>
                <w:szCs w:val="21"/>
                <w:lang w:val="en-US" w:eastAsia="zh-CN" w:bidi="ar-SA"/>
              </w:rPr>
              <w:t>；</w:t>
            </w:r>
          </w:p>
          <w:p w14:paraId="5FD2FD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远离污秽及火灾、爆炸危险环境和噪声、震动环境</w:t>
            </w:r>
            <w:r>
              <w:rPr>
                <w:rFonts w:hint="eastAsia" w:ascii="Times New Roman" w:hAnsi="Times New Roman" w:eastAsia="宋体" w:cs="Times New Roman"/>
                <w:snapToGrid w:val="0"/>
                <w:color w:val="auto"/>
                <w:spacing w:val="6"/>
                <w:kern w:val="0"/>
                <w:sz w:val="21"/>
                <w:szCs w:val="21"/>
                <w:lang w:val="en-US" w:eastAsia="zh-CN" w:bidi="ar-SA"/>
              </w:rPr>
              <w:t>；</w:t>
            </w:r>
          </w:p>
          <w:p w14:paraId="742880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--避开断层、滑坡、沉陷区等不良地质地带以及受雪崩影响地带</w:t>
            </w:r>
            <w:r>
              <w:rPr>
                <w:rFonts w:hint="eastAsia" w:ascii="Times New Roman" w:hAnsi="Times New Roman" w:eastAsia="宋体" w:cs="Times New Roman"/>
                <w:snapToGrid w:val="0"/>
                <w:color w:val="auto"/>
                <w:spacing w:val="6"/>
                <w:kern w:val="0"/>
                <w:sz w:val="21"/>
                <w:szCs w:val="21"/>
                <w:lang w:val="en-US" w:eastAsia="zh-CN" w:bidi="ar-SA"/>
              </w:rPr>
              <w:t>；</w:t>
            </w:r>
          </w:p>
          <w:p w14:paraId="616F8D9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--地面标高应高于当地最高洪水位0.5m以上。</w:t>
            </w:r>
          </w:p>
        </w:tc>
        <w:tc>
          <w:tcPr>
            <w:tcW w:w="2434" w:type="dxa"/>
            <w:tcBorders>
              <w:top w:val="single" w:color="000000" w:sz="2" w:space="0"/>
              <w:left w:val="single" w:color="000000" w:sz="2" w:space="0"/>
              <w:bottom w:val="single" w:color="000000" w:sz="2" w:space="0"/>
              <w:right w:val="single" w:color="000000" w:sz="2" w:space="0"/>
            </w:tcBorders>
            <w:vAlign w:val="center"/>
          </w:tcPr>
          <w:p w14:paraId="3EF740F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ascii="Times New Roman" w:hAnsi="Times New Roman" w:eastAsia="宋体" w:cs="Times New Roman"/>
                <w:snapToGrid w:val="0"/>
                <w:color w:val="auto"/>
                <w:kern w:val="0"/>
                <w:sz w:val="21"/>
                <w:szCs w:val="21"/>
                <w:lang w:val="en-US" w:bidi="ar-SA"/>
              </w:rPr>
              <w:t>第</w:t>
            </w:r>
            <w:r>
              <w:rPr>
                <w:rFonts w:hint="eastAsia" w:ascii="Times New Roman" w:hAnsi="Times New Roman" w:eastAsia="宋体" w:cs="Times New Roman"/>
                <w:snapToGrid w:val="0"/>
                <w:color w:val="auto"/>
                <w:kern w:val="0"/>
                <w:sz w:val="21"/>
                <w:szCs w:val="21"/>
                <w:lang w:val="en-US" w:eastAsia="zh-CN" w:bidi="ar-SA"/>
              </w:rPr>
              <w:t>5.6.1.1</w:t>
            </w:r>
            <w:r>
              <w:rPr>
                <w:rFonts w:ascii="Times New Roman" w:hAnsi="Times New Roman" w:eastAsia="宋体" w:cs="Times New Roman"/>
                <w:snapToGrid w:val="0"/>
                <w:color w:val="auto"/>
                <w:kern w:val="0"/>
                <w:sz w:val="21"/>
                <w:szCs w:val="21"/>
                <w:lang w:val="en-US" w:bidi="ar-SA"/>
              </w:rPr>
              <w:t>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6A8C3A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主变电所</w:t>
            </w:r>
            <w:r>
              <w:rPr>
                <w:rFonts w:hint="eastAsia" w:cs="Times New Roman"/>
                <w:snapToGrid w:val="0"/>
                <w:color w:val="auto"/>
                <w:spacing w:val="6"/>
                <w:kern w:val="0"/>
                <w:sz w:val="21"/>
                <w:szCs w:val="21"/>
                <w:lang w:val="en-US" w:eastAsia="zh-CN" w:bidi="ar-SA"/>
              </w:rPr>
              <w:t>符合上述规定</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0593BF6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44DA1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5323AE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6</w:t>
            </w:r>
          </w:p>
        </w:tc>
        <w:tc>
          <w:tcPr>
            <w:tcW w:w="2887" w:type="dxa"/>
            <w:tcBorders>
              <w:top w:val="single" w:color="000000" w:sz="2" w:space="0"/>
              <w:left w:val="single" w:color="000000" w:sz="2" w:space="0"/>
              <w:bottom w:val="single" w:color="000000" w:sz="2" w:space="0"/>
              <w:right w:val="single" w:color="000000" w:sz="2" w:space="0"/>
            </w:tcBorders>
            <w:vAlign w:val="center"/>
          </w:tcPr>
          <w:p w14:paraId="1C312E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厂址应满足适宜的地形坡度</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尽量避开自然地形复杂、自然坡度大的地段</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应避免将盆地、积水洼地作为厂址。</w:t>
            </w:r>
          </w:p>
        </w:tc>
        <w:tc>
          <w:tcPr>
            <w:tcW w:w="2434" w:type="dxa"/>
            <w:tcBorders>
              <w:top w:val="single" w:color="000000" w:sz="2" w:space="0"/>
              <w:left w:val="single" w:color="000000" w:sz="2" w:space="0"/>
              <w:bottom w:val="single" w:color="000000" w:sz="2" w:space="0"/>
              <w:right w:val="single" w:color="000000" w:sz="2" w:space="0"/>
            </w:tcBorders>
            <w:vAlign w:val="center"/>
          </w:tcPr>
          <w:p w14:paraId="27B8239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）第3.0.10条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0E9CAC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厂址</w:t>
            </w:r>
            <w:r>
              <w:rPr>
                <w:rFonts w:hint="eastAsia" w:cs="Times New Roman"/>
                <w:snapToGrid w:val="0"/>
                <w:color w:val="auto"/>
                <w:spacing w:val="6"/>
                <w:kern w:val="0"/>
                <w:sz w:val="21"/>
                <w:szCs w:val="21"/>
                <w:lang w:val="en-US" w:eastAsia="zh-CN" w:bidi="ar-SA"/>
              </w:rPr>
              <w:t>选择满足上述要求。</w:t>
            </w:r>
          </w:p>
        </w:tc>
        <w:tc>
          <w:tcPr>
            <w:tcW w:w="1036" w:type="dxa"/>
            <w:tcBorders>
              <w:top w:val="single" w:color="000000" w:sz="2" w:space="0"/>
              <w:left w:val="single" w:color="000000" w:sz="2" w:space="0"/>
              <w:bottom w:val="single" w:color="000000" w:sz="2" w:space="0"/>
              <w:right w:val="single" w:color="000000" w:sz="2" w:space="0"/>
            </w:tcBorders>
            <w:vAlign w:val="center"/>
          </w:tcPr>
          <w:p w14:paraId="3F7BCE2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2B6486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7F8E1F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7</w:t>
            </w:r>
          </w:p>
        </w:tc>
        <w:tc>
          <w:tcPr>
            <w:tcW w:w="2887" w:type="dxa"/>
            <w:tcBorders>
              <w:top w:val="single" w:color="000000" w:sz="2" w:space="0"/>
              <w:left w:val="single" w:color="000000" w:sz="2" w:space="0"/>
              <w:bottom w:val="single" w:color="000000" w:sz="2" w:space="0"/>
              <w:right w:val="single" w:color="000000" w:sz="2" w:space="0"/>
            </w:tcBorders>
            <w:vAlign w:val="center"/>
          </w:tcPr>
          <w:p w14:paraId="1BD3AF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厂址应位于不受洪水、潮水或内涝威胁的地带，并应符合下列规定:</w:t>
            </w:r>
          </w:p>
          <w:p w14:paraId="5C66C24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1</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当厂址不可避免不受洪水、潮水、或内涝威胁的地带时，必须采取防洪排涝措施;</w:t>
            </w:r>
          </w:p>
          <w:p w14:paraId="0A7123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凡受江、河、潮、海洪水、潮水或山洪威胁的工业企业，防洪标准应符合现行国家标准《防洪标准》GB50201的有关规定。</w:t>
            </w:r>
          </w:p>
        </w:tc>
        <w:tc>
          <w:tcPr>
            <w:tcW w:w="2434" w:type="dxa"/>
            <w:tcBorders>
              <w:top w:val="single" w:color="000000" w:sz="2" w:space="0"/>
              <w:left w:val="single" w:color="000000" w:sz="2" w:space="0"/>
              <w:bottom w:val="single" w:color="000000" w:sz="2" w:space="0"/>
              <w:right w:val="single" w:color="000000" w:sz="2" w:space="0"/>
            </w:tcBorders>
            <w:vAlign w:val="center"/>
          </w:tcPr>
          <w:p w14:paraId="022790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）第3.0.12条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4325ABC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厂址</w:t>
            </w:r>
            <w:r>
              <w:rPr>
                <w:rFonts w:hint="eastAsia" w:cs="Times New Roman"/>
                <w:snapToGrid w:val="0"/>
                <w:color w:val="auto"/>
                <w:spacing w:val="6"/>
                <w:kern w:val="0"/>
                <w:sz w:val="21"/>
                <w:szCs w:val="21"/>
                <w:lang w:val="en-US" w:eastAsia="zh-CN" w:bidi="ar-SA"/>
              </w:rPr>
              <w:t>位置符合上述规定</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1785D3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15B3F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03C681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8</w:t>
            </w:r>
          </w:p>
        </w:tc>
        <w:tc>
          <w:tcPr>
            <w:tcW w:w="2887" w:type="dxa"/>
            <w:tcBorders>
              <w:top w:val="single" w:color="000000" w:sz="2" w:space="0"/>
              <w:left w:val="single" w:color="000000" w:sz="2" w:space="0"/>
              <w:bottom w:val="single" w:color="000000" w:sz="2" w:space="0"/>
              <w:right w:val="single" w:color="000000" w:sz="2" w:space="0"/>
            </w:tcBorders>
            <w:vAlign w:val="center"/>
          </w:tcPr>
          <w:p w14:paraId="145BDE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下列地段和地区不应选为厂址:</w:t>
            </w:r>
          </w:p>
          <w:p w14:paraId="2C8761E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1</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发震断层和抗震设防烈度为9度及高于9度的地震区</w:t>
            </w:r>
            <w:r>
              <w:rPr>
                <w:rFonts w:hint="eastAsia" w:ascii="Times New Roman" w:hAnsi="Times New Roman" w:eastAsia="宋体" w:cs="Times New Roman"/>
                <w:snapToGrid w:val="0"/>
                <w:color w:val="auto"/>
                <w:spacing w:val="6"/>
                <w:kern w:val="0"/>
                <w:sz w:val="21"/>
                <w:szCs w:val="21"/>
                <w:lang w:val="en-US" w:eastAsia="zh-CN" w:bidi="ar-SA"/>
              </w:rPr>
              <w:t>；</w:t>
            </w:r>
          </w:p>
          <w:p w14:paraId="68CB2A3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有泥石流、滑坡、流沙、溶洞等直接危害的地段;</w:t>
            </w:r>
          </w:p>
          <w:p w14:paraId="57E6791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3</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采矿陷落</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错动</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区地表界限内;</w:t>
            </w:r>
          </w:p>
          <w:p w14:paraId="29C810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4.</w:t>
            </w:r>
            <w:r>
              <w:rPr>
                <w:rFonts w:hint="eastAsia" w:ascii="Times New Roman" w:hAnsi="Times New Roman" w:eastAsia="宋体" w:cs="Times New Roman"/>
                <w:snapToGrid w:val="0"/>
                <w:color w:val="auto"/>
                <w:spacing w:val="6"/>
                <w:kern w:val="0"/>
                <w:sz w:val="21"/>
                <w:szCs w:val="21"/>
                <w:lang w:val="en-US" w:bidi="ar-SA"/>
              </w:rPr>
              <w:t>爆破危险界限内</w:t>
            </w:r>
            <w:r>
              <w:rPr>
                <w:rFonts w:hint="eastAsia" w:ascii="Times New Roman" w:hAnsi="Times New Roman" w:eastAsia="宋体" w:cs="Times New Roman"/>
                <w:snapToGrid w:val="0"/>
                <w:color w:val="auto"/>
                <w:spacing w:val="6"/>
                <w:kern w:val="0"/>
                <w:sz w:val="21"/>
                <w:szCs w:val="21"/>
                <w:lang w:val="en-US" w:eastAsia="zh-CN" w:bidi="ar-SA"/>
              </w:rPr>
              <w:t>；</w:t>
            </w:r>
          </w:p>
          <w:p w14:paraId="7465BC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5</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坝或堤决溃后可能淹没的地区</w:t>
            </w:r>
            <w:r>
              <w:rPr>
                <w:rFonts w:hint="eastAsia" w:ascii="Times New Roman" w:hAnsi="Times New Roman" w:eastAsia="宋体" w:cs="Times New Roman"/>
                <w:snapToGrid w:val="0"/>
                <w:color w:val="auto"/>
                <w:spacing w:val="6"/>
                <w:kern w:val="0"/>
                <w:sz w:val="21"/>
                <w:szCs w:val="21"/>
                <w:lang w:val="en-US" w:eastAsia="zh-CN" w:bidi="ar-SA"/>
              </w:rPr>
              <w:t>；</w:t>
            </w:r>
          </w:p>
          <w:p w14:paraId="53847D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6.有严重放射性物质污染影响区；</w:t>
            </w:r>
          </w:p>
          <w:p w14:paraId="0BC01F1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7.生活居住区、文教区、水源保护区、名胜古迹、风景游览区、温泉、疗养区、自然保护区和其它需要特别保护的区域;</w:t>
            </w:r>
          </w:p>
          <w:p w14:paraId="6E7CDF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8.对飞机起落、电台通讯、电视转播、雷达导航和重要的天文、气象、地震观察以及军事设施等规定有影响的范围内;</w:t>
            </w:r>
          </w:p>
          <w:p w14:paraId="71A7AC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9.很严重的自重湿陷性黄土地段,厚度大的新近堆积黄土地段和高压缩性的饱和黄土地段等地质条件恶劣地段;</w:t>
            </w:r>
          </w:p>
          <w:p w14:paraId="1A18D92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10.具有开采价值的矿藏区;</w:t>
            </w:r>
          </w:p>
          <w:p w14:paraId="0E6E367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11.受海啸或湖涌危害的地区。</w:t>
            </w:r>
          </w:p>
        </w:tc>
        <w:tc>
          <w:tcPr>
            <w:tcW w:w="2434" w:type="dxa"/>
            <w:tcBorders>
              <w:top w:val="single" w:color="000000" w:sz="2" w:space="0"/>
              <w:left w:val="single" w:color="000000" w:sz="2" w:space="0"/>
              <w:bottom w:val="single" w:color="000000" w:sz="2" w:space="0"/>
              <w:right w:val="single" w:color="000000" w:sz="2" w:space="0"/>
            </w:tcBorders>
            <w:vAlign w:val="center"/>
          </w:tcPr>
          <w:p w14:paraId="466E6CA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）第3.0.14条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27833CF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办公区</w:t>
            </w:r>
            <w:r>
              <w:rPr>
                <w:rFonts w:hint="eastAsia" w:cs="Times New Roman"/>
                <w:snapToGrid w:val="0"/>
                <w:color w:val="auto"/>
                <w:spacing w:val="2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生活区、地面建筑、</w:t>
            </w:r>
            <w:r>
              <w:rPr>
                <w:rFonts w:hint="eastAsia" w:cs="Times New Roman"/>
                <w:snapToGrid w:val="0"/>
                <w:color w:val="auto"/>
                <w:spacing w:val="6"/>
                <w:kern w:val="0"/>
                <w:sz w:val="21"/>
                <w:szCs w:val="21"/>
                <w:lang w:val="en-US" w:eastAsia="zh-CN" w:bidi="ar-SA"/>
              </w:rPr>
              <w:t>部分</w:t>
            </w:r>
            <w:r>
              <w:rPr>
                <w:rFonts w:hint="eastAsia" w:ascii="Times New Roman" w:hAnsi="Times New Roman" w:eastAsia="宋体" w:cs="Times New Roman"/>
                <w:snapToGrid w:val="0"/>
                <w:color w:val="auto"/>
                <w:spacing w:val="6"/>
                <w:kern w:val="0"/>
                <w:sz w:val="21"/>
                <w:szCs w:val="21"/>
                <w:lang w:val="en-US" w:bidi="ar-SA"/>
              </w:rPr>
              <w:t>工业场地</w:t>
            </w:r>
            <w:r>
              <w:rPr>
                <w:rFonts w:hint="eastAsia" w:cs="Times New Roman"/>
                <w:snapToGrid w:val="0"/>
                <w:color w:val="auto"/>
                <w:spacing w:val="6"/>
                <w:kern w:val="0"/>
                <w:sz w:val="21"/>
                <w:szCs w:val="21"/>
                <w:lang w:val="en-US" w:eastAsia="zh-CN" w:bidi="ar-SA"/>
              </w:rPr>
              <w:t>位于岩石移动线内</w:t>
            </w:r>
            <w:r>
              <w:rPr>
                <w:rFonts w:hint="eastAsia" w:cs="Times New Roman"/>
                <w:snapToGrid w:val="0"/>
                <w:color w:val="auto"/>
                <w:spacing w:val="26"/>
                <w:kern w:val="0"/>
                <w:sz w:val="21"/>
                <w:szCs w:val="21"/>
                <w:lang w:val="en-US" w:eastAsia="zh-CN" w:bidi="ar-SA"/>
              </w:rPr>
              <w:t>。</w:t>
            </w:r>
            <w:r>
              <w:rPr>
                <w:rFonts w:hint="eastAsia"/>
                <w:snapToGrid w:val="0"/>
                <w:color w:val="auto"/>
                <w:spacing w:val="26"/>
                <w:kern w:val="0"/>
                <w:sz w:val="21"/>
                <w:szCs w:val="21"/>
              </w:rPr>
              <w:t>2025年7月，</w:t>
            </w:r>
            <w:r>
              <w:rPr>
                <w:rFonts w:hint="eastAsia"/>
                <w:snapToGrid w:val="0"/>
                <w:color w:val="auto"/>
                <w:spacing w:val="26"/>
                <w:kern w:val="0"/>
                <w:sz w:val="21"/>
                <w:szCs w:val="21"/>
                <w:lang w:val="en-US" w:eastAsia="zh-CN"/>
              </w:rPr>
              <w:t>企业委托</w:t>
            </w:r>
            <w:r>
              <w:rPr>
                <w:rFonts w:hint="eastAsia"/>
                <w:snapToGrid w:val="0"/>
                <w:color w:val="auto"/>
                <w:spacing w:val="26"/>
                <w:kern w:val="0"/>
                <w:sz w:val="21"/>
                <w:szCs w:val="21"/>
              </w:rPr>
              <w:t>南昌工程学院江西水利土木特种加固与安全监控工程研究中心编制了《江西朝盛矿业有限公宁都硫铁矿地下矿山开采对地表建（构）筑物、S451公路影响论证报告》，得出结论：当对+160m中段及以下矿体开采时，沉降值相对较小，矿区地表整体保持稳定状态。</w:t>
            </w:r>
          </w:p>
        </w:tc>
        <w:tc>
          <w:tcPr>
            <w:tcW w:w="1036" w:type="dxa"/>
            <w:tcBorders>
              <w:top w:val="single" w:color="000000" w:sz="2" w:space="0"/>
              <w:left w:val="single" w:color="000000" w:sz="2" w:space="0"/>
              <w:bottom w:val="single" w:color="000000" w:sz="2" w:space="0"/>
              <w:right w:val="single" w:color="000000" w:sz="2" w:space="0"/>
            </w:tcBorders>
            <w:vAlign w:val="center"/>
          </w:tcPr>
          <w:p w14:paraId="1A072F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leftChars="0" w:right="0" w:rightChars="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3"/>
                <w:kern w:val="0"/>
                <w:sz w:val="21"/>
                <w:szCs w:val="21"/>
                <w:lang w:val="en-US" w:bidi="ar-SA"/>
              </w:rPr>
              <w:t>符合</w:t>
            </w:r>
          </w:p>
        </w:tc>
      </w:tr>
      <w:tr w14:paraId="2DBFE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382F1E7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9</w:t>
            </w:r>
          </w:p>
        </w:tc>
        <w:tc>
          <w:tcPr>
            <w:tcW w:w="2887" w:type="dxa"/>
            <w:tcBorders>
              <w:top w:val="single" w:color="000000" w:sz="2" w:space="0"/>
              <w:left w:val="single" w:color="000000" w:sz="2" w:space="0"/>
              <w:bottom w:val="single" w:color="000000" w:sz="2" w:space="0"/>
              <w:right w:val="single" w:color="000000" w:sz="2" w:space="0"/>
            </w:tcBorders>
            <w:vAlign w:val="center"/>
          </w:tcPr>
          <w:p w14:paraId="360E733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高位水池应布置在地质良好、不因渗漏溢流引起坍塌的地段。</w:t>
            </w:r>
          </w:p>
        </w:tc>
        <w:tc>
          <w:tcPr>
            <w:tcW w:w="2434" w:type="dxa"/>
            <w:tcBorders>
              <w:top w:val="single" w:color="000000" w:sz="2" w:space="0"/>
              <w:left w:val="single" w:color="000000" w:sz="2" w:space="0"/>
              <w:bottom w:val="single" w:color="000000" w:sz="2" w:space="0"/>
              <w:right w:val="single" w:color="000000" w:sz="2" w:space="0"/>
            </w:tcBorders>
            <w:vAlign w:val="center"/>
          </w:tcPr>
          <w:p w14:paraId="26E774B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）第4.4.2条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29A0BE0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cs="Times New Roman"/>
                <w:snapToGrid w:val="0"/>
                <w:color w:val="auto"/>
                <w:spacing w:val="6"/>
                <w:kern w:val="0"/>
                <w:sz w:val="21"/>
                <w:szCs w:val="21"/>
                <w:lang w:val="en-US" w:eastAsia="zh-CN" w:bidi="ar-SA"/>
              </w:rPr>
              <w:t>布置在地质良好、不因渗漏溢流引起坍塌的地段</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1706EA8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1A2D94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03F5163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10</w:t>
            </w:r>
          </w:p>
        </w:tc>
        <w:tc>
          <w:tcPr>
            <w:tcW w:w="2887" w:type="dxa"/>
            <w:tcBorders>
              <w:top w:val="single" w:color="000000" w:sz="2" w:space="0"/>
              <w:left w:val="single" w:color="000000" w:sz="2" w:space="0"/>
              <w:bottom w:val="single" w:color="000000" w:sz="2" w:space="0"/>
              <w:right w:val="single" w:color="000000" w:sz="2" w:space="0"/>
            </w:tcBorders>
            <w:vAlign w:val="center"/>
          </w:tcPr>
          <w:p w14:paraId="197B7BE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总变电站位置的选择，应符合下列要求:</w:t>
            </w:r>
          </w:p>
          <w:p w14:paraId="187CB22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1.应靠近厂区边缘、且输电线路进出方便的地段;</w:t>
            </w:r>
          </w:p>
          <w:p w14:paraId="13C45E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2.不得受粉尘、水雾、腐蚀性气体等污染源的影响，并应位于散发粉尘、腐蚀性气体污染源全年最小频率风向的下风侧和散发水雾场所冬季盛行风向的上风侧；</w:t>
            </w:r>
          </w:p>
          <w:p w14:paraId="4A11CF0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3.不得布置在有强烈振动设施的场地附近;</w:t>
            </w:r>
          </w:p>
          <w:p w14:paraId="2C788E3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4.应有运输变压器的道路;</w:t>
            </w:r>
          </w:p>
          <w:p w14:paraId="4B040B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5.宜布置在地势较高地段。</w:t>
            </w:r>
          </w:p>
        </w:tc>
        <w:tc>
          <w:tcPr>
            <w:tcW w:w="2434" w:type="dxa"/>
            <w:tcBorders>
              <w:top w:val="single" w:color="000000" w:sz="2" w:space="0"/>
              <w:left w:val="single" w:color="000000" w:sz="2" w:space="0"/>
              <w:bottom w:val="single" w:color="000000" w:sz="2" w:space="0"/>
              <w:right w:val="single" w:color="000000" w:sz="2" w:space="0"/>
            </w:tcBorders>
            <w:vAlign w:val="center"/>
          </w:tcPr>
          <w:p w14:paraId="0C47F0F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）第4.4.5条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36F238F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总变电站位置</w:t>
            </w:r>
            <w:r>
              <w:rPr>
                <w:rFonts w:hint="eastAsia" w:cs="Times New Roman"/>
                <w:snapToGrid w:val="0"/>
                <w:color w:val="auto"/>
                <w:spacing w:val="6"/>
                <w:kern w:val="0"/>
                <w:sz w:val="21"/>
                <w:szCs w:val="21"/>
                <w:lang w:val="en-US" w:eastAsia="zh-CN" w:bidi="ar-SA"/>
              </w:rPr>
              <w:t>符合上述要求</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1FA2C6A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r w14:paraId="200ED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6"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46C60A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11</w:t>
            </w:r>
          </w:p>
        </w:tc>
        <w:tc>
          <w:tcPr>
            <w:tcW w:w="2887" w:type="dxa"/>
            <w:tcBorders>
              <w:top w:val="single" w:color="000000" w:sz="2" w:space="0"/>
              <w:left w:val="single" w:color="000000" w:sz="2" w:space="0"/>
              <w:bottom w:val="single" w:color="000000" w:sz="2" w:space="0"/>
              <w:right w:val="single" w:color="000000" w:sz="2" w:space="0"/>
            </w:tcBorders>
            <w:vAlign w:val="center"/>
          </w:tcPr>
          <w:p w14:paraId="5B7E5D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废料场应充分利用沟谷、荒地、劣地。废料年排出量不大的中小型工业企业，有条件时，应与邻近企业协作或利用城镇现有的废料场。</w:t>
            </w:r>
          </w:p>
        </w:tc>
        <w:tc>
          <w:tcPr>
            <w:tcW w:w="2434" w:type="dxa"/>
            <w:tcBorders>
              <w:top w:val="single" w:color="000000" w:sz="2" w:space="0"/>
              <w:left w:val="single" w:color="000000" w:sz="2" w:space="0"/>
              <w:bottom w:val="single" w:color="000000" w:sz="2" w:space="0"/>
              <w:right w:val="single" w:color="000000" w:sz="2" w:space="0"/>
            </w:tcBorders>
            <w:vAlign w:val="center"/>
          </w:tcPr>
          <w:p w14:paraId="628095D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）第4.6.3条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2767041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eastAsia="zh-CN" w:bidi="ar-SA"/>
              </w:rPr>
            </w:pPr>
            <w:r>
              <w:rPr>
                <w:rFonts w:hint="eastAsia" w:cs="Times New Roman"/>
                <w:snapToGrid w:val="0"/>
                <w:color w:val="auto"/>
                <w:spacing w:val="26"/>
                <w:kern w:val="0"/>
                <w:sz w:val="21"/>
                <w:szCs w:val="21"/>
                <w:lang w:val="en-US" w:eastAsia="zh-CN" w:bidi="ar-SA"/>
              </w:rPr>
              <w:t>本次取消废石场</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562E0A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bidi="ar-SA"/>
              </w:rPr>
              <w:t>缺项</w:t>
            </w:r>
          </w:p>
        </w:tc>
      </w:tr>
      <w:tr w14:paraId="2F9D0A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jc w:val="center"/>
        </w:trPr>
        <w:tc>
          <w:tcPr>
            <w:tcW w:w="506" w:type="dxa"/>
            <w:tcBorders>
              <w:top w:val="single" w:color="000000" w:sz="2" w:space="0"/>
              <w:left w:val="single" w:color="000000" w:sz="2" w:space="0"/>
              <w:bottom w:val="single" w:color="000000" w:sz="2" w:space="0"/>
              <w:right w:val="single" w:color="000000" w:sz="2" w:space="0"/>
            </w:tcBorders>
            <w:vAlign w:val="center"/>
          </w:tcPr>
          <w:p w14:paraId="0A76D2E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12</w:t>
            </w:r>
          </w:p>
        </w:tc>
        <w:tc>
          <w:tcPr>
            <w:tcW w:w="2887" w:type="dxa"/>
            <w:tcBorders>
              <w:top w:val="single" w:color="000000" w:sz="2" w:space="0"/>
              <w:left w:val="single" w:color="000000" w:sz="2" w:space="0"/>
              <w:bottom w:val="single" w:color="000000" w:sz="2" w:space="0"/>
              <w:right w:val="single" w:color="000000" w:sz="2" w:space="0"/>
            </w:tcBorders>
            <w:vAlign w:val="center"/>
          </w:tcPr>
          <w:p w14:paraId="57D6C4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压缩空气站的布置应符合下列要求:</w:t>
            </w:r>
          </w:p>
          <w:p w14:paraId="6C0AED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1.应位于空气洁净的地段，应避免靠近散发爆炸性、腐蚀性和有害气体及粉尘等场所，并应位于散发爆炸性、腐蚀性和有害气体及粉尘等场所全年最小频率风向的下风侧；</w:t>
            </w:r>
          </w:p>
          <w:p w14:paraId="4F2E6D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2.压缩空气站的朝向,应结合地形、气象条件,使站内有良好的通风和采光。贮气罐宜布置在站房的北侧;</w:t>
            </w:r>
          </w:p>
          <w:p w14:paraId="7F79B5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3.压缩空气站的布置，尚应符合本规范第5.2.4和第5.2.5条的规定。</w:t>
            </w:r>
          </w:p>
        </w:tc>
        <w:tc>
          <w:tcPr>
            <w:tcW w:w="2434" w:type="dxa"/>
            <w:tcBorders>
              <w:top w:val="single" w:color="000000" w:sz="2" w:space="0"/>
              <w:left w:val="single" w:color="000000" w:sz="2" w:space="0"/>
              <w:bottom w:val="single" w:color="000000" w:sz="2" w:space="0"/>
              <w:right w:val="single" w:color="000000" w:sz="2" w:space="0"/>
            </w:tcBorders>
            <w:vAlign w:val="center"/>
          </w:tcPr>
          <w:p w14:paraId="25DD077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《工业企业总平面设计规范》</w:t>
            </w:r>
            <w:r>
              <w:rPr>
                <w:rFonts w:hint="eastAsia" w:ascii="Times New Roman" w:hAnsi="Times New Roman" w:eastAsia="宋体" w:cs="Times New Roman"/>
                <w:snapToGrid w:val="0"/>
                <w:color w:val="auto"/>
                <w:spacing w:val="8"/>
                <w:kern w:val="0"/>
                <w:sz w:val="21"/>
                <w:szCs w:val="21"/>
                <w:lang w:val="en-US" w:eastAsia="zh-CN" w:bidi="ar-SA"/>
              </w:rPr>
              <w:t>（</w:t>
            </w:r>
            <w:r>
              <w:rPr>
                <w:rFonts w:hint="default" w:ascii="Times New Roman" w:hAnsi="Times New Roman" w:eastAsia="宋体" w:cs="Times New Roman"/>
                <w:snapToGrid w:val="0"/>
                <w:color w:val="auto"/>
                <w:spacing w:val="8"/>
                <w:kern w:val="0"/>
                <w:sz w:val="21"/>
                <w:szCs w:val="21"/>
                <w:lang w:val="en-US" w:eastAsia="zh-CN" w:bidi="ar-SA"/>
              </w:rPr>
              <w:t>GB50187-2012</w:t>
            </w:r>
            <w:r>
              <w:rPr>
                <w:rFonts w:hint="eastAsia" w:ascii="Times New Roman" w:hAnsi="Times New Roman" w:eastAsia="宋体" w:cs="Times New Roman"/>
                <w:snapToGrid w:val="0"/>
                <w:color w:val="auto"/>
                <w:spacing w:val="8"/>
                <w:kern w:val="0"/>
                <w:sz w:val="21"/>
                <w:szCs w:val="21"/>
                <w:lang w:val="en-US" w:eastAsia="zh-CN" w:bidi="ar-SA"/>
              </w:rPr>
              <w:t>）第5.3.4条</w:t>
            </w:r>
          </w:p>
        </w:tc>
        <w:tc>
          <w:tcPr>
            <w:tcW w:w="2783" w:type="dxa"/>
            <w:tcBorders>
              <w:top w:val="single" w:color="000000" w:sz="2" w:space="0"/>
              <w:left w:val="single" w:color="000000" w:sz="2" w:space="0"/>
              <w:bottom w:val="single" w:color="000000" w:sz="2" w:space="0"/>
              <w:right w:val="single" w:color="000000" w:sz="2" w:space="0"/>
            </w:tcBorders>
            <w:vAlign w:val="center"/>
          </w:tcPr>
          <w:p w14:paraId="218CB4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压缩空气站的布置</w:t>
            </w:r>
            <w:r>
              <w:rPr>
                <w:rFonts w:hint="eastAsia" w:cs="Times New Roman"/>
                <w:snapToGrid w:val="0"/>
                <w:color w:val="auto"/>
                <w:spacing w:val="6"/>
                <w:kern w:val="0"/>
                <w:sz w:val="21"/>
                <w:szCs w:val="21"/>
                <w:lang w:val="en-US" w:eastAsia="zh-CN" w:bidi="ar-SA"/>
              </w:rPr>
              <w:t>符合上述要求</w:t>
            </w:r>
            <w:r>
              <w:rPr>
                <w:rFonts w:hint="eastAsia" w:ascii="Times New Roman" w:hAnsi="Times New Roman" w:eastAsia="宋体" w:cs="Times New Roman"/>
                <w:snapToGrid w:val="0"/>
                <w:color w:val="auto"/>
                <w:spacing w:val="26"/>
                <w:kern w:val="0"/>
                <w:sz w:val="21"/>
                <w:szCs w:val="21"/>
                <w:lang w:val="en-US" w:eastAsia="zh-CN" w:bidi="ar-SA"/>
              </w:rPr>
              <w:t>。</w:t>
            </w:r>
          </w:p>
        </w:tc>
        <w:tc>
          <w:tcPr>
            <w:tcW w:w="1036" w:type="dxa"/>
            <w:tcBorders>
              <w:top w:val="single" w:color="000000" w:sz="2" w:space="0"/>
              <w:left w:val="single" w:color="000000" w:sz="2" w:space="0"/>
              <w:bottom w:val="single" w:color="000000" w:sz="2" w:space="0"/>
              <w:right w:val="single" w:color="000000" w:sz="2" w:space="0"/>
            </w:tcBorders>
            <w:vAlign w:val="center"/>
          </w:tcPr>
          <w:p w14:paraId="06E879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2"/>
                <w:kern w:val="0"/>
                <w:sz w:val="21"/>
                <w:szCs w:val="21"/>
                <w:lang w:val="en-US" w:bidi="ar-SA"/>
              </w:rPr>
            </w:pPr>
            <w:r>
              <w:rPr>
                <w:rFonts w:ascii="Times New Roman" w:hAnsi="Times New Roman" w:eastAsia="宋体" w:cs="Times New Roman"/>
                <w:snapToGrid w:val="0"/>
                <w:color w:val="auto"/>
                <w:spacing w:val="2"/>
                <w:kern w:val="0"/>
                <w:sz w:val="21"/>
                <w:szCs w:val="21"/>
                <w:lang w:val="en-US" w:bidi="ar-SA"/>
              </w:rPr>
              <w:t>符合</w:t>
            </w:r>
          </w:p>
        </w:tc>
      </w:tr>
    </w:tbl>
    <w:p w14:paraId="218FBED6">
      <w:pPr>
        <w:bidi w:val="0"/>
        <w:rPr>
          <w:rFonts w:hint="eastAsia"/>
          <w:color w:val="auto"/>
          <w:lang w:val="en-US" w:eastAsia="zh-CN"/>
        </w:rPr>
      </w:pPr>
      <w:r>
        <w:rPr>
          <w:rFonts w:hint="eastAsia"/>
          <w:color w:val="auto"/>
          <w:lang w:val="en-US" w:eastAsia="zh-CN"/>
        </w:rPr>
        <w:t>采用安全检查表法对矿山总平面布置单元检查12项，2项缺项，其余全部符合，总平面布置总体符合《金属非金属矿山安全规程》（GB16423-2022）、《工业企业总平面设计规范》（GB50187-2012）的有关要求。</w:t>
      </w:r>
    </w:p>
    <w:p w14:paraId="241CADF1">
      <w:pPr>
        <w:pStyle w:val="4"/>
        <w:bidi w:val="0"/>
        <w:rPr>
          <w:color w:val="auto"/>
          <w:lang w:val="en-US" w:eastAsia="zh-CN"/>
        </w:rPr>
      </w:pPr>
      <w:bookmarkStart w:id="246" w:name="_Toc27698"/>
      <w:bookmarkStart w:id="247" w:name="_Toc22938"/>
      <w:bookmarkStart w:id="248" w:name="_Toc18588"/>
      <w:bookmarkStart w:id="249" w:name="_Toc5265"/>
      <w:r>
        <w:rPr>
          <w:rFonts w:hint="eastAsia"/>
          <w:color w:val="auto"/>
          <w:lang w:val="en-US" w:eastAsia="zh-CN"/>
        </w:rPr>
        <w:t>3.2.2 总平面布置合理性分析</w:t>
      </w:r>
      <w:bookmarkEnd w:id="246"/>
      <w:bookmarkEnd w:id="247"/>
      <w:bookmarkEnd w:id="248"/>
      <w:bookmarkEnd w:id="249"/>
    </w:p>
    <w:p w14:paraId="29861937">
      <w:pPr>
        <w:rPr>
          <w:rFonts w:hint="default"/>
          <w:color w:val="auto"/>
          <w:lang w:val="en-US" w:eastAsia="zh-CN"/>
        </w:rPr>
      </w:pPr>
      <w:r>
        <w:rPr>
          <w:rFonts w:hint="eastAsia"/>
          <w:color w:val="auto"/>
          <w:lang w:val="en-US" w:eastAsia="zh-CN"/>
        </w:rPr>
        <w:t xml:space="preserve">1. </w:t>
      </w:r>
      <w:r>
        <w:rPr>
          <w:rFonts w:hint="default"/>
          <w:color w:val="auto"/>
          <w:lang w:val="en-US" w:eastAsia="zh-CN"/>
        </w:rPr>
        <w:t>矿区范围内无各类（旅游风景、自然、历史文物古迹等）保护区，无航空港口和重要通讯设施，远离湖泊等。</w:t>
      </w:r>
    </w:p>
    <w:p w14:paraId="38C46A12">
      <w:pPr>
        <w:rPr>
          <w:rFonts w:hint="default"/>
          <w:color w:val="auto"/>
          <w:lang w:val="en-US" w:eastAsia="zh-CN"/>
        </w:rPr>
      </w:pPr>
      <w:r>
        <w:rPr>
          <w:rFonts w:hint="eastAsia"/>
          <w:color w:val="auto"/>
          <w:lang w:val="en-US" w:eastAsia="zh-CN"/>
        </w:rPr>
        <w:t xml:space="preserve">2. </w:t>
      </w:r>
      <w:r>
        <w:rPr>
          <w:rFonts w:hint="default"/>
          <w:color w:val="auto"/>
          <w:lang w:val="en-US" w:eastAsia="zh-CN"/>
        </w:rPr>
        <w:t>矿山属</w:t>
      </w:r>
      <w:r>
        <w:rPr>
          <w:rFonts w:hint="eastAsia" w:ascii="宋体" w:hAnsi="宋体" w:cs="宋体"/>
          <w:color w:val="auto"/>
          <w:lang w:val="en-US" w:eastAsia="zh-CN"/>
        </w:rPr>
        <w:t>“三下”</w:t>
      </w:r>
      <w:r>
        <w:rPr>
          <w:rFonts w:hint="default"/>
          <w:color w:val="auto"/>
          <w:lang w:val="en-US" w:eastAsia="zh-CN"/>
        </w:rPr>
        <w:t>矿，2025年7月，</w:t>
      </w:r>
      <w:r>
        <w:rPr>
          <w:rFonts w:hint="eastAsia"/>
          <w:color w:val="auto"/>
          <w:lang w:val="en-US" w:eastAsia="zh-CN"/>
        </w:rPr>
        <w:t>矿山委托</w:t>
      </w:r>
      <w:r>
        <w:rPr>
          <w:rFonts w:hint="default"/>
          <w:color w:val="auto"/>
          <w:lang w:val="en-US" w:eastAsia="zh-CN"/>
        </w:rPr>
        <w:t>南昌工程学院江西水利土木特种加固与安全监控工程研究中心编制了《江西朝盛矿业有限公宁都硫铁矿地下矿山开采对地表建（构）筑物、S451公路影响论证报告》，得出结论：对+160m中段及以下矿体开采时，沉降值相对较小，矿区地表整体保持稳定状态。</w:t>
      </w:r>
    </w:p>
    <w:p w14:paraId="00204C4D">
      <w:pPr>
        <w:rPr>
          <w:rFonts w:hint="default"/>
          <w:color w:val="auto"/>
          <w:lang w:val="en-US" w:eastAsia="zh-CN"/>
        </w:rPr>
      </w:pPr>
      <w:r>
        <w:rPr>
          <w:rFonts w:hint="eastAsia"/>
          <w:color w:val="auto"/>
          <w:lang w:val="en-US" w:eastAsia="zh-CN"/>
        </w:rPr>
        <w:t xml:space="preserve">3. </w:t>
      </w:r>
      <w:r>
        <w:rPr>
          <w:rFonts w:hint="default"/>
          <w:color w:val="auto"/>
          <w:lang w:val="en-US" w:eastAsia="zh-CN"/>
        </w:rPr>
        <w:t>矿山已开采多年，采场内设有矿柱，而且采空区所有矿柱不考虑回收，利用已有的矿柱支撑顶板岩石，以较长时间维护了采空区的存在。同时，为了安全生产，封闭部分老采空区，以减少一旦围岩冒落产生对生产区的冲击力。新建地面设施均远离地表岩石移动线之外，对于难于搬迁的建筑及难于改道的公路下面和附近的采空区</w:t>
      </w:r>
      <w:r>
        <w:rPr>
          <w:rFonts w:hint="eastAsia"/>
          <w:color w:val="auto"/>
          <w:lang w:val="en-US" w:eastAsia="zh-CN"/>
        </w:rPr>
        <w:t>已</w:t>
      </w:r>
      <w:r>
        <w:rPr>
          <w:rFonts w:hint="default"/>
          <w:color w:val="auto"/>
          <w:lang w:val="en-US" w:eastAsia="zh-CN"/>
        </w:rPr>
        <w:t>进行了废石充填。</w:t>
      </w:r>
    </w:p>
    <w:p w14:paraId="372E87AF">
      <w:pPr>
        <w:pStyle w:val="4"/>
        <w:bidi w:val="0"/>
        <w:rPr>
          <w:rFonts w:hint="eastAsia"/>
          <w:color w:val="auto"/>
          <w:lang w:val="en-US" w:eastAsia="zh-CN"/>
        </w:rPr>
      </w:pPr>
      <w:bookmarkStart w:id="250" w:name="_Toc1894"/>
      <w:bookmarkStart w:id="251" w:name="_Toc8901"/>
      <w:bookmarkStart w:id="252" w:name="_Toc11702"/>
      <w:bookmarkStart w:id="253" w:name="_Toc30580"/>
      <w:r>
        <w:rPr>
          <w:rFonts w:hint="eastAsia"/>
          <w:color w:val="auto"/>
          <w:lang w:val="en-US" w:eastAsia="zh-CN"/>
        </w:rPr>
        <w:t>3.2.3 评价小结</w:t>
      </w:r>
      <w:bookmarkEnd w:id="250"/>
      <w:bookmarkEnd w:id="251"/>
      <w:bookmarkEnd w:id="252"/>
      <w:bookmarkEnd w:id="253"/>
    </w:p>
    <w:p w14:paraId="13C42C57">
      <w:pPr>
        <w:rPr>
          <w:rFonts w:hint="default"/>
          <w:color w:val="auto"/>
          <w:lang w:val="en-US" w:eastAsia="zh-CN"/>
        </w:rPr>
      </w:pPr>
      <w:r>
        <w:rPr>
          <w:rFonts w:hint="eastAsia"/>
          <w:color w:val="auto"/>
          <w:lang w:val="en-US" w:eastAsia="zh-CN"/>
        </w:rPr>
        <w:t xml:space="preserve">1. </w:t>
      </w:r>
      <w:r>
        <w:rPr>
          <w:rFonts w:hint="default"/>
          <w:color w:val="auto"/>
          <w:lang w:val="en-US" w:eastAsia="zh-CN"/>
        </w:rPr>
        <w:t>采用安全检查表法对矿山总平面布置单元检查1</w:t>
      </w:r>
      <w:r>
        <w:rPr>
          <w:rFonts w:hint="eastAsia"/>
          <w:color w:val="auto"/>
          <w:lang w:val="en-US" w:eastAsia="zh-CN"/>
        </w:rPr>
        <w:t>2</w:t>
      </w:r>
      <w:r>
        <w:rPr>
          <w:rFonts w:hint="default"/>
          <w:color w:val="auto"/>
          <w:lang w:val="en-US" w:eastAsia="zh-CN"/>
        </w:rPr>
        <w:t>项，</w:t>
      </w:r>
      <w:r>
        <w:rPr>
          <w:rFonts w:hint="eastAsia"/>
          <w:color w:val="auto"/>
          <w:lang w:val="en-US" w:eastAsia="zh-CN"/>
        </w:rPr>
        <w:t>2项缺项，其余全部符合</w:t>
      </w:r>
      <w:r>
        <w:rPr>
          <w:rFonts w:hint="default"/>
          <w:color w:val="auto"/>
          <w:lang w:val="en-US" w:eastAsia="zh-CN"/>
        </w:rPr>
        <w:t>，总平面布置总体单元符合《金属非金属矿山安全规程》（GB16423-2022）、《工业企业总平面设计规范》（GB50187-2012）的有关要求。</w:t>
      </w:r>
    </w:p>
    <w:p w14:paraId="5350E29A">
      <w:pPr>
        <w:rPr>
          <w:rFonts w:hint="eastAsia"/>
          <w:color w:val="auto"/>
          <w:lang w:val="en-US" w:eastAsia="zh-CN"/>
        </w:rPr>
      </w:pPr>
      <w:r>
        <w:rPr>
          <w:rFonts w:hint="eastAsia"/>
          <w:color w:val="auto"/>
          <w:lang w:val="en-US" w:eastAsia="zh-CN"/>
        </w:rPr>
        <w:t>2. 本次新建地面设施均远离地表岩石移动线之外，对于难于搬迁的建筑及难于改道的公路下面和附近的采空区已进行了废石充填。后续</w:t>
      </w:r>
      <w:r>
        <w:rPr>
          <w:rFonts w:hint="default"/>
          <w:color w:val="auto"/>
          <w:lang w:val="en-US" w:eastAsia="zh-CN"/>
        </w:rPr>
        <w:t>对+160m中段及以下矿体开采时</w:t>
      </w:r>
      <w:r>
        <w:rPr>
          <w:rFonts w:hint="eastAsia"/>
          <w:color w:val="auto"/>
          <w:lang w:val="en-US" w:eastAsia="zh-CN"/>
        </w:rPr>
        <w:t>，严格执行《江西朝盛矿业有限公宁都硫铁矿地下矿山开采对地表建（构）筑物、S451公路影响论证报告》中最大允许总药量的情况下，总平面布置单元符合要求。</w:t>
      </w:r>
    </w:p>
    <w:p w14:paraId="71414CFC">
      <w:pPr>
        <w:pStyle w:val="3"/>
        <w:bidi w:val="0"/>
        <w:rPr>
          <w:rFonts w:hint="eastAsia"/>
          <w:color w:val="auto"/>
          <w:lang w:val="en-US" w:eastAsia="zh-CN"/>
        </w:rPr>
      </w:pPr>
      <w:bookmarkStart w:id="254" w:name="_Toc5800"/>
      <w:bookmarkStart w:id="255" w:name="_Toc17246"/>
      <w:bookmarkStart w:id="256" w:name="_Toc7651"/>
      <w:bookmarkStart w:id="257" w:name="_Toc13629"/>
      <w:r>
        <w:rPr>
          <w:rFonts w:hint="eastAsia"/>
          <w:color w:val="auto"/>
          <w:lang w:val="en-US" w:eastAsia="zh-CN"/>
        </w:rPr>
        <w:t>3.3 开拓系统单元</w:t>
      </w:r>
      <w:bookmarkEnd w:id="254"/>
      <w:bookmarkEnd w:id="255"/>
      <w:bookmarkEnd w:id="256"/>
      <w:bookmarkEnd w:id="257"/>
    </w:p>
    <w:p w14:paraId="66DD140E">
      <w:pPr>
        <w:pStyle w:val="4"/>
        <w:bidi w:val="0"/>
        <w:rPr>
          <w:rFonts w:hint="default"/>
          <w:color w:val="auto"/>
          <w:lang w:val="en-US" w:eastAsia="zh-CN"/>
        </w:rPr>
      </w:pPr>
      <w:bookmarkStart w:id="258" w:name="_Toc19361"/>
      <w:bookmarkStart w:id="259" w:name="_Toc22428"/>
      <w:bookmarkStart w:id="260" w:name="_Toc8034"/>
      <w:bookmarkStart w:id="261" w:name="_Toc29158"/>
      <w:r>
        <w:rPr>
          <w:rFonts w:hint="default"/>
          <w:color w:val="auto"/>
          <w:lang w:val="en-US" w:eastAsia="zh-CN"/>
        </w:rPr>
        <w:t>3.3.1 预先危险性分析</w:t>
      </w:r>
      <w:bookmarkEnd w:id="258"/>
      <w:bookmarkEnd w:id="259"/>
      <w:bookmarkEnd w:id="260"/>
      <w:bookmarkEnd w:id="261"/>
    </w:p>
    <w:p w14:paraId="51B1B590">
      <w:pPr>
        <w:rPr>
          <w:rFonts w:hint="default"/>
          <w:color w:val="auto"/>
          <w:lang w:val="en-US" w:eastAsia="zh-CN"/>
        </w:rPr>
      </w:pPr>
      <w:r>
        <w:rPr>
          <w:rFonts w:hint="default"/>
          <w:color w:val="auto"/>
          <w:lang w:val="en-US" w:eastAsia="zh-CN"/>
        </w:rPr>
        <w:t>通过预先危险性分析法分析，开拓系统单元存在的危险有害因素主要有</w:t>
      </w:r>
      <w:r>
        <w:rPr>
          <w:rFonts w:hint="eastAsia"/>
          <w:color w:val="auto"/>
          <w:lang w:val="en-US" w:eastAsia="zh-CN"/>
        </w:rPr>
        <w:t>：</w:t>
      </w:r>
      <w:r>
        <w:rPr>
          <w:rFonts w:hint="default"/>
          <w:color w:val="auto"/>
          <w:lang w:val="en-US" w:eastAsia="zh-CN"/>
        </w:rPr>
        <w:t>冒顶片帮、坍塌、火药爆炸、放炮、中毒窒息、透水、火灾、机械伤害、高处坠落、触电、物体打击、粉尘、噪声与振动等，分析结果见表3</w:t>
      </w:r>
      <w:r>
        <w:rPr>
          <w:rFonts w:hint="eastAsia"/>
          <w:color w:val="auto"/>
          <w:lang w:val="en-US" w:eastAsia="zh-CN"/>
        </w:rPr>
        <w:t>.3</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7547C7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表3</w:t>
      </w:r>
      <w:r>
        <w:rPr>
          <w:rFonts w:hint="eastAsia"/>
          <w:color w:val="auto"/>
          <w:lang w:val="en-US" w:eastAsia="zh-CN"/>
        </w:rPr>
        <w:t>.3</w:t>
      </w:r>
      <w:r>
        <w:rPr>
          <w:rFonts w:hint="eastAsia" w:ascii="Times New Roman" w:hAnsi="Times New Roman" w:eastAsia="宋体" w:cs="Times New Roman"/>
          <w:color w:val="auto"/>
          <w:lang w:val="en-US" w:eastAsia="zh-CN"/>
        </w:rPr>
        <w:t>-</w:t>
      </w:r>
      <w:r>
        <w:rPr>
          <w:rFonts w:hint="eastAsia" w:cs="Times New Roman"/>
          <w:color w:val="auto"/>
          <w:lang w:val="en-US" w:eastAsia="zh-CN"/>
        </w:rPr>
        <w:t>1</w:t>
      </w:r>
      <w:r>
        <w:rPr>
          <w:rFonts w:hint="eastAsia" w:ascii="Times New Roman" w:hAnsi="Times New Roman" w:eastAsia="宋体" w:cs="Times New Roman"/>
          <w:color w:val="auto"/>
          <w:lang w:val="en-US" w:eastAsia="zh-CN"/>
        </w:rPr>
        <w:t xml:space="preserve"> 开拓系统单元预先危险性分析评价表</w:t>
      </w:r>
    </w:p>
    <w:tbl>
      <w:tblPr>
        <w:tblStyle w:val="17"/>
        <w:tblW w:w="501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70"/>
        <w:gridCol w:w="2468"/>
        <w:gridCol w:w="1684"/>
        <w:gridCol w:w="711"/>
        <w:gridCol w:w="3284"/>
      </w:tblGrid>
      <w:tr w14:paraId="51D1B9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left w:val="single" w:color="000000" w:sz="4" w:space="0"/>
              <w:right w:val="single" w:color="000000" w:sz="4" w:space="0"/>
            </w:tcBorders>
            <w:vAlign w:val="center"/>
          </w:tcPr>
          <w:p w14:paraId="3BC1FD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危险</w:t>
            </w:r>
          </w:p>
          <w:p w14:paraId="01DD82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因素</w:t>
            </w:r>
          </w:p>
        </w:tc>
        <w:tc>
          <w:tcPr>
            <w:tcW w:w="1353" w:type="pct"/>
            <w:tcBorders>
              <w:right w:val="single" w:color="000000" w:sz="2" w:space="0"/>
            </w:tcBorders>
            <w:vAlign w:val="center"/>
          </w:tcPr>
          <w:p w14:paraId="5CC11CA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原因</w:t>
            </w:r>
          </w:p>
        </w:tc>
        <w:tc>
          <w:tcPr>
            <w:tcW w:w="923" w:type="pct"/>
            <w:tcBorders>
              <w:left w:val="single" w:color="000000" w:sz="2" w:space="0"/>
            </w:tcBorders>
            <w:vAlign w:val="center"/>
          </w:tcPr>
          <w:p w14:paraId="1920B96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后果</w:t>
            </w:r>
          </w:p>
        </w:tc>
        <w:tc>
          <w:tcPr>
            <w:tcW w:w="390" w:type="pct"/>
            <w:tcBorders>
              <w:left w:val="single" w:color="000000" w:sz="4" w:space="0"/>
              <w:right w:val="single" w:color="000000" w:sz="4" w:space="0"/>
            </w:tcBorders>
            <w:vAlign w:val="center"/>
          </w:tcPr>
          <w:p w14:paraId="5C4139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危险</w:t>
            </w:r>
          </w:p>
          <w:p w14:paraId="00DB05F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等级</w:t>
            </w:r>
          </w:p>
        </w:tc>
        <w:tc>
          <w:tcPr>
            <w:tcW w:w="1800" w:type="pct"/>
            <w:tcBorders>
              <w:left w:val="single" w:color="000000" w:sz="4" w:space="0"/>
              <w:right w:val="single" w:color="000000" w:sz="4" w:space="0"/>
            </w:tcBorders>
            <w:vAlign w:val="center"/>
          </w:tcPr>
          <w:p w14:paraId="4F18D6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对策措施</w:t>
            </w:r>
          </w:p>
        </w:tc>
      </w:tr>
      <w:tr w14:paraId="72990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476E236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bidi="ar-SA"/>
              </w:rPr>
              <w:t>冒顶片帮</w:t>
            </w:r>
            <w:r>
              <w:rPr>
                <w:rFonts w:hint="eastAsia" w:ascii="Times New Roman" w:hAnsi="Times New Roman" w:eastAsia="宋体" w:cs="Times New Roman"/>
                <w:snapToGrid w:val="0"/>
                <w:color w:val="auto"/>
                <w:spacing w:val="5"/>
                <w:kern w:val="0"/>
                <w:position w:val="4"/>
                <w:sz w:val="21"/>
                <w:szCs w:val="21"/>
                <w:lang w:val="en-US" w:eastAsia="zh-CN" w:bidi="ar-SA"/>
              </w:rPr>
              <w:t>、坍塌</w:t>
            </w:r>
          </w:p>
        </w:tc>
        <w:tc>
          <w:tcPr>
            <w:tcW w:w="1353" w:type="pct"/>
            <w:tcBorders>
              <w:right w:val="single" w:color="000000" w:sz="2" w:space="0"/>
            </w:tcBorders>
            <w:vAlign w:val="center"/>
          </w:tcPr>
          <w:p w14:paraId="6001102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sz w:val="21"/>
                <w:szCs w:val="21"/>
              </w:rPr>
              <w:t>井巷工程通过第四系或破碎、不稳固等地带;</w:t>
            </w:r>
          </w:p>
          <w:p w14:paraId="237478F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sz w:val="21"/>
                <w:szCs w:val="21"/>
              </w:rPr>
              <w:t>凿岩爆破等操作不</w:t>
            </w:r>
            <w:r>
              <w:rPr>
                <w:rFonts w:hint="eastAsia" w:ascii="Times New Roman" w:hAnsi="Times New Roman" w:eastAsia="宋体" w:cs="Times New Roman"/>
                <w:color w:val="auto"/>
                <w:sz w:val="21"/>
                <w:szCs w:val="21"/>
                <w:lang w:val="en-US" w:eastAsia="zh-CN"/>
              </w:rPr>
              <w:t>当；</w:t>
            </w:r>
          </w:p>
          <w:p w14:paraId="576D01B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井巷工程维护不当。</w:t>
            </w:r>
          </w:p>
        </w:tc>
        <w:tc>
          <w:tcPr>
            <w:tcW w:w="923" w:type="pct"/>
            <w:tcBorders>
              <w:left w:val="single" w:color="000000" w:sz="2" w:space="0"/>
            </w:tcBorders>
            <w:vAlign w:val="center"/>
          </w:tcPr>
          <w:p w14:paraId="259273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人员伤亡、设备损坏</w:t>
            </w:r>
          </w:p>
        </w:tc>
        <w:tc>
          <w:tcPr>
            <w:tcW w:w="390" w:type="pct"/>
            <w:tcBorders>
              <w:top w:val="single" w:color="000000" w:sz="4" w:space="0"/>
              <w:left w:val="single" w:color="000000" w:sz="4" w:space="0"/>
              <w:bottom w:val="single" w:color="000000" w:sz="4" w:space="0"/>
              <w:right w:val="single" w:color="000000" w:sz="4" w:space="0"/>
            </w:tcBorders>
            <w:vAlign w:val="center"/>
          </w:tcPr>
          <w:p w14:paraId="232432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Times New Roman" w:hAnsi="Times New Roman" w:eastAsia="宋体" w:cs="Times New Roman"/>
                <w:snapToGrid w:val="0"/>
                <w:color w:val="auto"/>
                <w:kern w:val="0"/>
                <w:sz w:val="21"/>
                <w:szCs w:val="21"/>
              </w:rPr>
            </w:pPr>
            <w:r>
              <w:rPr>
                <w:rFonts w:hint="eastAsia" w:ascii="宋体" w:hAnsi="宋体" w:eastAsia="宋体" w:cs="宋体"/>
                <w:snapToGrid w:val="0"/>
                <w:color w:val="auto"/>
                <w:kern w:val="0"/>
                <w:sz w:val="21"/>
                <w:szCs w:val="21"/>
              </w:rPr>
              <w:t>Ⅳ</w:t>
            </w:r>
          </w:p>
        </w:tc>
        <w:tc>
          <w:tcPr>
            <w:tcW w:w="1800" w:type="pct"/>
            <w:tcBorders>
              <w:top w:val="single" w:color="000000" w:sz="4" w:space="0"/>
              <w:left w:val="single" w:color="000000" w:sz="4" w:space="0"/>
              <w:bottom w:val="single" w:color="000000" w:sz="4" w:space="0"/>
              <w:right w:val="single" w:color="000000" w:sz="4" w:space="0"/>
            </w:tcBorders>
            <w:vAlign w:val="center"/>
          </w:tcPr>
          <w:p w14:paraId="7CC95D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bidi="ar-SA"/>
              </w:rPr>
              <w:t>1</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进一步查明矿区地质条件，遇地质条件不好</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尤其是井口</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、破碎地带进行合理支护</w:t>
            </w:r>
            <w:r>
              <w:rPr>
                <w:rFonts w:hint="eastAsia" w:cs="Times New Roman"/>
                <w:snapToGrid w:val="0"/>
                <w:color w:val="auto"/>
                <w:kern w:val="0"/>
                <w:sz w:val="21"/>
                <w:szCs w:val="21"/>
                <w:lang w:val="en-US" w:eastAsia="zh-CN" w:bidi="ar-SA"/>
              </w:rPr>
              <w:t>；</w:t>
            </w:r>
          </w:p>
          <w:p w14:paraId="677CF57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设置监测系统对地压进行监测</w:t>
            </w:r>
            <w:r>
              <w:rPr>
                <w:rFonts w:hint="eastAsia" w:cs="Times New Roman"/>
                <w:snapToGrid w:val="0"/>
                <w:color w:val="auto"/>
                <w:kern w:val="0"/>
                <w:sz w:val="21"/>
                <w:szCs w:val="21"/>
                <w:lang w:val="en-US" w:eastAsia="zh-CN" w:bidi="ar-SA"/>
              </w:rPr>
              <w:t>；</w:t>
            </w:r>
          </w:p>
          <w:p w14:paraId="004A2AD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3</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掘进顺序、凿岩爆破、井巷支护等应按设计、规定等进行。</w:t>
            </w:r>
          </w:p>
        </w:tc>
      </w:tr>
      <w:tr w14:paraId="042EF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2F9149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火药爆炸</w:t>
            </w:r>
          </w:p>
        </w:tc>
        <w:tc>
          <w:tcPr>
            <w:tcW w:w="1353" w:type="pct"/>
            <w:tcBorders>
              <w:right w:val="single" w:color="000000" w:sz="2" w:space="0"/>
            </w:tcBorders>
            <w:vAlign w:val="center"/>
          </w:tcPr>
          <w:p w14:paraId="250B027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sz w:val="21"/>
                <w:szCs w:val="21"/>
              </w:rPr>
              <w:t>作业场地爆破器材搬运、存放不当;</w:t>
            </w:r>
          </w:p>
          <w:p w14:paraId="76864F1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sz w:val="21"/>
                <w:szCs w:val="21"/>
              </w:rPr>
              <w:t>遇外界火源、振动、摩擦等引发爆炸。</w:t>
            </w:r>
          </w:p>
        </w:tc>
        <w:tc>
          <w:tcPr>
            <w:tcW w:w="923" w:type="pct"/>
            <w:tcBorders>
              <w:left w:val="single" w:color="000000" w:sz="2" w:space="0"/>
            </w:tcBorders>
            <w:vAlign w:val="center"/>
          </w:tcPr>
          <w:p w14:paraId="6DBF9EC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人员伤亡、设备损坏</w:t>
            </w:r>
          </w:p>
        </w:tc>
        <w:tc>
          <w:tcPr>
            <w:tcW w:w="390" w:type="pct"/>
            <w:tcBorders>
              <w:top w:val="single" w:color="000000" w:sz="4" w:space="0"/>
              <w:left w:val="single" w:color="000000" w:sz="4" w:space="0"/>
              <w:bottom w:val="single" w:color="000000" w:sz="4" w:space="0"/>
              <w:right w:val="single" w:color="000000" w:sz="4" w:space="0"/>
            </w:tcBorders>
            <w:vAlign w:val="center"/>
          </w:tcPr>
          <w:p w14:paraId="40668E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Ⅳ</w:t>
            </w:r>
          </w:p>
        </w:tc>
        <w:tc>
          <w:tcPr>
            <w:tcW w:w="1800" w:type="pct"/>
            <w:tcBorders>
              <w:top w:val="single" w:color="000000" w:sz="4" w:space="0"/>
              <w:left w:val="single" w:color="000000" w:sz="4" w:space="0"/>
              <w:bottom w:val="single" w:color="000000" w:sz="4" w:space="0"/>
              <w:right w:val="single" w:color="000000" w:sz="4" w:space="0"/>
            </w:tcBorders>
            <w:vAlign w:val="center"/>
          </w:tcPr>
          <w:p w14:paraId="4F6A518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1.</w:t>
            </w:r>
            <w:r>
              <w:rPr>
                <w:rFonts w:hint="eastAsia" w:ascii="Times New Roman" w:hAnsi="Times New Roman" w:eastAsia="宋体" w:cs="Times New Roman"/>
                <w:snapToGrid w:val="0"/>
                <w:color w:val="auto"/>
                <w:kern w:val="0"/>
                <w:sz w:val="21"/>
                <w:szCs w:val="21"/>
                <w:lang w:val="en-US" w:bidi="ar-SA"/>
              </w:rPr>
              <w:t>爆破器材应按要求进行存放</w:t>
            </w:r>
            <w:r>
              <w:rPr>
                <w:rFonts w:hint="eastAsia" w:cs="Times New Roman"/>
                <w:snapToGrid w:val="0"/>
                <w:color w:val="auto"/>
                <w:kern w:val="0"/>
                <w:sz w:val="21"/>
                <w:szCs w:val="21"/>
                <w:lang w:val="en-US" w:eastAsia="zh-CN" w:bidi="ar-SA"/>
              </w:rPr>
              <w:t>；</w:t>
            </w:r>
          </w:p>
          <w:p w14:paraId="686E06C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2.</w:t>
            </w:r>
            <w:r>
              <w:rPr>
                <w:rFonts w:hint="eastAsia" w:ascii="Times New Roman" w:hAnsi="Times New Roman" w:eastAsia="宋体" w:cs="Times New Roman"/>
                <w:snapToGrid w:val="0"/>
                <w:color w:val="auto"/>
                <w:kern w:val="0"/>
                <w:sz w:val="21"/>
                <w:szCs w:val="21"/>
                <w:lang w:val="en-US" w:bidi="ar-SA"/>
              </w:rPr>
              <w:t>爆破器材存放处杜绝外界火源，尽量避免爆破器材受振动、摩擦等。</w:t>
            </w:r>
          </w:p>
        </w:tc>
      </w:tr>
      <w:tr w14:paraId="658ED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49AFFF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放炮</w:t>
            </w:r>
          </w:p>
        </w:tc>
        <w:tc>
          <w:tcPr>
            <w:tcW w:w="1353" w:type="pct"/>
            <w:tcBorders>
              <w:right w:val="single" w:color="000000" w:sz="2" w:space="0"/>
            </w:tcBorders>
            <w:vAlign w:val="center"/>
          </w:tcPr>
          <w:p w14:paraId="697B6B6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1.炸药量控制不合格;</w:t>
            </w:r>
          </w:p>
          <w:p w14:paraId="5266BFD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2.不同性质爆破器材混用;</w:t>
            </w:r>
          </w:p>
          <w:p w14:paraId="6B4F317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3.爆破作业后，没有检查或检查不彻底，未清理出未爆炸的残余炸药;</w:t>
            </w:r>
          </w:p>
          <w:p w14:paraId="1CA8242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4.盲炮处理不当或打残眼;</w:t>
            </w:r>
          </w:p>
          <w:p w14:paraId="78E6C38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5.装药工艺不合理或违章作业;</w:t>
            </w:r>
          </w:p>
          <w:p w14:paraId="10366D2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6.起爆工艺不合理或违章作业;</w:t>
            </w:r>
          </w:p>
          <w:p w14:paraId="0E251BD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7.警戒不到位，信号不完善，安全距离不够长;</w:t>
            </w:r>
          </w:p>
          <w:p w14:paraId="2AB1840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8.爆破器材质量不好;</w:t>
            </w:r>
          </w:p>
          <w:p w14:paraId="0EAC9EF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9.非爆破专业人员作业，爆破作业人员违章。</w:t>
            </w:r>
          </w:p>
        </w:tc>
        <w:tc>
          <w:tcPr>
            <w:tcW w:w="923" w:type="pct"/>
            <w:tcBorders>
              <w:left w:val="single" w:color="000000" w:sz="2" w:space="0"/>
            </w:tcBorders>
            <w:vAlign w:val="center"/>
          </w:tcPr>
          <w:p w14:paraId="4D1C814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重大人员伤亡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18F750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Ⅳ</w:t>
            </w:r>
          </w:p>
        </w:tc>
        <w:tc>
          <w:tcPr>
            <w:tcW w:w="1800" w:type="pct"/>
            <w:tcBorders>
              <w:top w:val="single" w:color="000000" w:sz="4" w:space="0"/>
              <w:left w:val="single" w:color="000000" w:sz="4" w:space="0"/>
              <w:bottom w:val="single" w:color="000000" w:sz="4" w:space="0"/>
              <w:right w:val="single" w:color="000000" w:sz="4" w:space="0"/>
            </w:tcBorders>
            <w:vAlign w:val="center"/>
          </w:tcPr>
          <w:p w14:paraId="159C3EC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1</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按设计参数装药，及时处理;</w:t>
            </w:r>
          </w:p>
          <w:p w14:paraId="55D39AE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按规定检测每批爆破器材;</w:t>
            </w:r>
          </w:p>
          <w:p w14:paraId="2A2325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3</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加强警戒工作，起爆前作检查，设备人员撤至安全地带起爆，并加强警戒发信号;</w:t>
            </w:r>
          </w:p>
          <w:p w14:paraId="30F6E11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4</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准确计算危险区范围，范围内设施撤离;</w:t>
            </w:r>
          </w:p>
          <w:p w14:paraId="0C603B4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5</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采取控制爆破技术，降低最大一段药量;</w:t>
            </w:r>
          </w:p>
          <w:p w14:paraId="427414F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6</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固定时间进行二次爆破;</w:t>
            </w:r>
          </w:p>
          <w:p w14:paraId="7C1E07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7</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建立盲炮处理制度，出现盲炮当班处理。</w:t>
            </w:r>
          </w:p>
          <w:p w14:paraId="4CA4A5B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8.</w:t>
            </w:r>
            <w:r>
              <w:rPr>
                <w:rFonts w:hint="eastAsia" w:ascii="Times New Roman" w:hAnsi="Times New Roman" w:eastAsia="宋体" w:cs="Times New Roman"/>
                <w:snapToGrid w:val="0"/>
                <w:color w:val="auto"/>
                <w:kern w:val="0"/>
                <w:sz w:val="21"/>
                <w:szCs w:val="21"/>
                <w:lang w:val="en-US" w:bidi="ar-SA"/>
              </w:rPr>
              <w:t>严格按爆破安全规程操作。</w:t>
            </w:r>
          </w:p>
        </w:tc>
      </w:tr>
      <w:tr w14:paraId="13F5E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2EBE7F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中毒窒息</w:t>
            </w:r>
          </w:p>
        </w:tc>
        <w:tc>
          <w:tcPr>
            <w:tcW w:w="1353" w:type="pct"/>
            <w:tcBorders>
              <w:right w:val="single" w:color="000000" w:sz="2" w:space="0"/>
            </w:tcBorders>
            <w:vAlign w:val="center"/>
          </w:tcPr>
          <w:p w14:paraId="77B2FD7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1.爆破后，未及时通风；</w:t>
            </w:r>
          </w:p>
          <w:p w14:paraId="101F288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2.炮烟未排出，人员提早进入作业场所；</w:t>
            </w:r>
          </w:p>
          <w:p w14:paraId="58014BB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3.通风设施损坏，通风效率不高；</w:t>
            </w:r>
          </w:p>
          <w:p w14:paraId="5F20866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4.风机摆置位置不合理；</w:t>
            </w:r>
          </w:p>
          <w:p w14:paraId="3D5F075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5.不使用机械通风。</w:t>
            </w:r>
          </w:p>
        </w:tc>
        <w:tc>
          <w:tcPr>
            <w:tcW w:w="923" w:type="pct"/>
            <w:tcBorders>
              <w:left w:val="single" w:color="000000" w:sz="2" w:space="0"/>
            </w:tcBorders>
            <w:vAlign w:val="center"/>
          </w:tcPr>
          <w:p w14:paraId="065B5B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重大人员伤亡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0E5DD3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Ⅳ</w:t>
            </w:r>
          </w:p>
        </w:tc>
        <w:tc>
          <w:tcPr>
            <w:tcW w:w="1800" w:type="pct"/>
            <w:tcBorders>
              <w:top w:val="single" w:color="000000" w:sz="4" w:space="0"/>
              <w:left w:val="single" w:color="000000" w:sz="4" w:space="0"/>
              <w:bottom w:val="single" w:color="000000" w:sz="4" w:space="0"/>
              <w:right w:val="single" w:color="000000" w:sz="4" w:space="0"/>
            </w:tcBorders>
            <w:vAlign w:val="center"/>
          </w:tcPr>
          <w:p w14:paraId="6438F40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r>
              <w:rPr>
                <w:rFonts w:hint="eastAsia" w:ascii="Times New Roman" w:hAnsi="Times New Roman" w:eastAsia="宋体" w:cs="Times New Roman"/>
                <w:snapToGrid w:val="0"/>
                <w:color w:val="auto"/>
                <w:kern w:val="0"/>
                <w:sz w:val="21"/>
                <w:szCs w:val="21"/>
                <w:lang w:val="en-US" w:bidi="ar-SA"/>
              </w:rPr>
              <w:t>爆破后，及时加强通风</w:t>
            </w:r>
            <w:r>
              <w:rPr>
                <w:rFonts w:hint="eastAsia" w:ascii="Times New Roman" w:hAnsi="Times New Roman" w:eastAsia="宋体" w:cs="Times New Roman"/>
                <w:snapToGrid w:val="0"/>
                <w:color w:val="auto"/>
                <w:kern w:val="0"/>
                <w:sz w:val="21"/>
                <w:szCs w:val="21"/>
                <w:lang w:val="en-US" w:eastAsia="zh-CN" w:bidi="ar-SA"/>
              </w:rPr>
              <w:t>；</w:t>
            </w:r>
          </w:p>
          <w:p w14:paraId="169C580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w:t>
            </w:r>
            <w:r>
              <w:rPr>
                <w:rFonts w:hint="eastAsia" w:ascii="Times New Roman" w:hAnsi="Times New Roman" w:eastAsia="宋体" w:cs="Times New Roman"/>
                <w:snapToGrid w:val="0"/>
                <w:color w:val="auto"/>
                <w:kern w:val="0"/>
                <w:sz w:val="21"/>
                <w:szCs w:val="21"/>
                <w:lang w:val="en-US" w:bidi="ar-SA"/>
              </w:rPr>
              <w:t>炮烟未排出，人员禁止进入作业场</w:t>
            </w:r>
            <w:r>
              <w:rPr>
                <w:rFonts w:hint="eastAsia" w:ascii="Times New Roman" w:hAnsi="Times New Roman" w:eastAsia="宋体" w:cs="Times New Roman"/>
                <w:snapToGrid w:val="0"/>
                <w:color w:val="auto"/>
                <w:kern w:val="0"/>
                <w:sz w:val="21"/>
                <w:szCs w:val="21"/>
                <w:lang w:val="en-US" w:eastAsia="zh-CN" w:bidi="ar-SA"/>
              </w:rPr>
              <w:t>所；</w:t>
            </w:r>
          </w:p>
          <w:p w14:paraId="1CE876D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bidi="ar-SA"/>
              </w:rPr>
              <w:t>3</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及时维护通风设施</w:t>
            </w:r>
            <w:r>
              <w:rPr>
                <w:rFonts w:hint="eastAsia" w:ascii="Times New Roman" w:hAnsi="Times New Roman" w:eastAsia="宋体" w:cs="Times New Roman"/>
                <w:snapToGrid w:val="0"/>
                <w:color w:val="auto"/>
                <w:kern w:val="0"/>
                <w:sz w:val="21"/>
                <w:szCs w:val="21"/>
                <w:lang w:val="en-US" w:eastAsia="zh-CN" w:bidi="ar-SA"/>
              </w:rPr>
              <w:t>；</w:t>
            </w:r>
          </w:p>
          <w:p w14:paraId="6B7A26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bidi="ar-SA"/>
              </w:rPr>
              <w:t>4</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加强通风培训，合布置风机</w:t>
            </w:r>
            <w:r>
              <w:rPr>
                <w:rFonts w:hint="eastAsia" w:ascii="Times New Roman" w:hAnsi="Times New Roman" w:eastAsia="宋体" w:cs="Times New Roman"/>
                <w:snapToGrid w:val="0"/>
                <w:color w:val="auto"/>
                <w:kern w:val="0"/>
                <w:sz w:val="21"/>
                <w:szCs w:val="21"/>
                <w:lang w:val="en-US" w:eastAsia="zh-CN" w:bidi="ar-SA"/>
              </w:rPr>
              <w:t>；</w:t>
            </w:r>
          </w:p>
          <w:p w14:paraId="559082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5</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必须使用机械通风。</w:t>
            </w:r>
          </w:p>
        </w:tc>
      </w:tr>
      <w:tr w14:paraId="3B9B6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0AE893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透水</w:t>
            </w:r>
          </w:p>
        </w:tc>
        <w:tc>
          <w:tcPr>
            <w:tcW w:w="1353" w:type="pct"/>
            <w:tcBorders>
              <w:right w:val="single" w:color="000000" w:sz="2" w:space="0"/>
            </w:tcBorders>
            <w:vAlign w:val="center"/>
          </w:tcPr>
          <w:p w14:paraId="7FD3259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1.采空区、采场、井巷顶板出现地表塌陷、移动，联通的地表水体、尾矿库。</w:t>
            </w:r>
          </w:p>
          <w:p w14:paraId="08F1361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2.井巷、硐室与含水层、含水断层、破碎带。</w:t>
            </w:r>
          </w:p>
        </w:tc>
        <w:tc>
          <w:tcPr>
            <w:tcW w:w="923" w:type="pct"/>
            <w:tcBorders>
              <w:left w:val="single" w:color="000000" w:sz="2" w:space="0"/>
            </w:tcBorders>
            <w:vAlign w:val="center"/>
          </w:tcPr>
          <w:p w14:paraId="5DF3FE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人员伤亡、设备损坏</w:t>
            </w:r>
          </w:p>
        </w:tc>
        <w:tc>
          <w:tcPr>
            <w:tcW w:w="390" w:type="pct"/>
            <w:tcBorders>
              <w:top w:val="single" w:color="000000" w:sz="4" w:space="0"/>
              <w:left w:val="single" w:color="000000" w:sz="4" w:space="0"/>
              <w:bottom w:val="single" w:color="000000" w:sz="4" w:space="0"/>
              <w:right w:val="single" w:color="000000" w:sz="4" w:space="0"/>
            </w:tcBorders>
            <w:vAlign w:val="center"/>
          </w:tcPr>
          <w:p w14:paraId="08E991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Ⅳ</w:t>
            </w:r>
          </w:p>
        </w:tc>
        <w:tc>
          <w:tcPr>
            <w:tcW w:w="1800" w:type="pct"/>
            <w:tcBorders>
              <w:top w:val="single" w:color="000000" w:sz="4" w:space="0"/>
              <w:left w:val="single" w:color="000000" w:sz="4" w:space="0"/>
              <w:bottom w:val="single" w:color="000000" w:sz="4" w:space="0"/>
              <w:right w:val="single" w:color="000000" w:sz="4" w:space="0"/>
            </w:tcBorders>
            <w:vAlign w:val="center"/>
          </w:tcPr>
          <w:p w14:paraId="503EC2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bidi="ar-SA"/>
              </w:rPr>
              <w:t>1、编制安全设施设计前应进行工程地质、水文地质勘察，合理选择井巷线路、硐室位置</w:t>
            </w:r>
            <w:r>
              <w:rPr>
                <w:rFonts w:hint="eastAsia" w:ascii="Times New Roman" w:hAnsi="Times New Roman" w:eastAsia="宋体" w:cs="Times New Roman"/>
                <w:snapToGrid w:val="0"/>
                <w:color w:val="auto"/>
                <w:kern w:val="0"/>
                <w:sz w:val="21"/>
                <w:szCs w:val="21"/>
                <w:lang w:val="en-US" w:eastAsia="zh-CN" w:bidi="ar-SA"/>
              </w:rPr>
              <w:t>；</w:t>
            </w:r>
          </w:p>
          <w:p w14:paraId="064097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2、对井巷、硐室进行合理支护。</w:t>
            </w:r>
          </w:p>
        </w:tc>
      </w:tr>
      <w:tr w14:paraId="4DB18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2925CB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火灾</w:t>
            </w:r>
          </w:p>
        </w:tc>
        <w:tc>
          <w:tcPr>
            <w:tcW w:w="1353" w:type="pct"/>
            <w:tcBorders>
              <w:right w:val="single" w:color="000000" w:sz="2" w:space="0"/>
            </w:tcBorders>
            <w:vAlign w:val="center"/>
          </w:tcPr>
          <w:p w14:paraId="2EEA78E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1.吸烟;</w:t>
            </w:r>
          </w:p>
          <w:p w14:paraId="65EDE90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2.违规动火;</w:t>
            </w:r>
          </w:p>
          <w:p w14:paraId="623EA12D">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3.缺少消防器材。</w:t>
            </w:r>
          </w:p>
        </w:tc>
        <w:tc>
          <w:tcPr>
            <w:tcW w:w="923" w:type="pct"/>
            <w:tcBorders>
              <w:left w:val="single" w:color="000000" w:sz="2" w:space="0"/>
            </w:tcBorders>
            <w:vAlign w:val="center"/>
          </w:tcPr>
          <w:p w14:paraId="68B04B6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人员伤亡、设备损坏</w:t>
            </w:r>
          </w:p>
        </w:tc>
        <w:tc>
          <w:tcPr>
            <w:tcW w:w="390" w:type="pct"/>
            <w:tcBorders>
              <w:top w:val="single" w:color="000000" w:sz="4" w:space="0"/>
              <w:left w:val="single" w:color="000000" w:sz="4" w:space="0"/>
              <w:bottom w:val="single" w:color="000000" w:sz="4" w:space="0"/>
              <w:right w:val="single" w:color="000000" w:sz="4" w:space="0"/>
            </w:tcBorders>
            <w:vAlign w:val="center"/>
          </w:tcPr>
          <w:p w14:paraId="23EA5A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43F52C1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1.</w:t>
            </w:r>
            <w:r>
              <w:rPr>
                <w:rFonts w:hint="eastAsia" w:ascii="Times New Roman" w:hAnsi="Times New Roman" w:eastAsia="宋体" w:cs="Times New Roman"/>
                <w:snapToGrid w:val="0"/>
                <w:color w:val="auto"/>
                <w:kern w:val="0"/>
                <w:sz w:val="21"/>
                <w:szCs w:val="21"/>
                <w:lang w:val="en-US" w:bidi="ar-SA"/>
              </w:rPr>
              <w:t>禁止吸烟;</w:t>
            </w:r>
          </w:p>
          <w:p w14:paraId="7ACC244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2.</w:t>
            </w:r>
            <w:r>
              <w:rPr>
                <w:rFonts w:hint="eastAsia" w:ascii="Times New Roman" w:hAnsi="Times New Roman" w:eastAsia="宋体" w:cs="Times New Roman"/>
                <w:snapToGrid w:val="0"/>
                <w:color w:val="auto"/>
                <w:kern w:val="0"/>
                <w:sz w:val="21"/>
                <w:szCs w:val="21"/>
                <w:lang w:val="en-US" w:bidi="ar-SA"/>
              </w:rPr>
              <w:t>加强动火管理;</w:t>
            </w:r>
          </w:p>
          <w:p w14:paraId="0043A40D">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eastAsia="zh-CN" w:bidi="ar-SA"/>
              </w:rPr>
              <w:t>3.</w:t>
            </w:r>
            <w:r>
              <w:rPr>
                <w:rFonts w:hint="eastAsia" w:ascii="Times New Roman" w:hAnsi="Times New Roman" w:eastAsia="宋体" w:cs="Times New Roman"/>
                <w:snapToGrid w:val="0"/>
                <w:color w:val="auto"/>
                <w:kern w:val="0"/>
                <w:sz w:val="21"/>
                <w:szCs w:val="21"/>
                <w:lang w:val="en-US" w:bidi="ar-SA"/>
              </w:rPr>
              <w:t>备齐消防器材。</w:t>
            </w:r>
          </w:p>
        </w:tc>
      </w:tr>
      <w:tr w14:paraId="6CE477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66D187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机械伤害</w:t>
            </w:r>
          </w:p>
        </w:tc>
        <w:tc>
          <w:tcPr>
            <w:tcW w:w="1353" w:type="pct"/>
            <w:tcBorders>
              <w:right w:val="single" w:color="000000" w:sz="2" w:space="0"/>
            </w:tcBorders>
            <w:vAlign w:val="center"/>
          </w:tcPr>
          <w:p w14:paraId="1FC36F7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机械设备</w:t>
            </w:r>
            <w:r>
              <w:rPr>
                <w:rFonts w:hint="eastAsia" w:ascii="Times New Roman" w:hAnsi="Times New Roman" w:eastAsia="宋体" w:cs="Times New Roman"/>
                <w:color w:val="auto"/>
                <w:kern w:val="2"/>
                <w:sz w:val="21"/>
                <w:szCs w:val="21"/>
                <w:lang w:val="en-US" w:eastAsia="zh-CN" w:bidi="ar-SA"/>
              </w:rPr>
              <w:t>等使用过程中对人员产生撞击、冲击、绞碾、挤压等。</w:t>
            </w:r>
          </w:p>
        </w:tc>
        <w:tc>
          <w:tcPr>
            <w:tcW w:w="923" w:type="pct"/>
            <w:tcBorders>
              <w:left w:val="single" w:color="000000" w:sz="2" w:space="0"/>
            </w:tcBorders>
            <w:vAlign w:val="center"/>
          </w:tcPr>
          <w:p w14:paraId="78B35F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10495F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05D9FD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1</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严禁违章作业。</w:t>
            </w:r>
          </w:p>
          <w:p w14:paraId="0C6BB35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工作场所设有足够的照明度。</w:t>
            </w:r>
          </w:p>
          <w:p w14:paraId="6C28B3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3</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对设备的危险部位设置警示标志，采取安全防护措施。</w:t>
            </w:r>
          </w:p>
        </w:tc>
      </w:tr>
      <w:tr w14:paraId="7DD6D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0CC8CB9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高处坠落</w:t>
            </w:r>
          </w:p>
        </w:tc>
        <w:tc>
          <w:tcPr>
            <w:tcW w:w="1353" w:type="pct"/>
            <w:tcBorders>
              <w:right w:val="single" w:color="000000" w:sz="2" w:space="0"/>
            </w:tcBorders>
            <w:vAlign w:val="center"/>
          </w:tcPr>
          <w:p w14:paraId="0B15C0E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1.人员从天井口坠落。</w:t>
            </w:r>
          </w:p>
          <w:p w14:paraId="0DFA84A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2.高处作业时坠落。</w:t>
            </w:r>
          </w:p>
        </w:tc>
        <w:tc>
          <w:tcPr>
            <w:tcW w:w="923" w:type="pct"/>
            <w:tcBorders>
              <w:left w:val="single" w:color="000000" w:sz="2" w:space="0"/>
            </w:tcBorders>
            <w:vAlign w:val="center"/>
          </w:tcPr>
          <w:p w14:paraId="729F75D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72C373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314727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1</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天井口采取适当的防护措施，如设置防护栏和警示标志等。</w:t>
            </w:r>
          </w:p>
          <w:p w14:paraId="243992E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高处作业应采取安全防护措施，如设置安全平台、系安全带等。</w:t>
            </w:r>
          </w:p>
        </w:tc>
      </w:tr>
      <w:tr w14:paraId="7DE563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6CBB44C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触电</w:t>
            </w:r>
          </w:p>
        </w:tc>
        <w:tc>
          <w:tcPr>
            <w:tcW w:w="1353" w:type="pct"/>
            <w:tcBorders>
              <w:right w:val="single" w:color="000000" w:sz="2" w:space="0"/>
            </w:tcBorders>
            <w:vAlign w:val="center"/>
          </w:tcPr>
          <w:p w14:paraId="1B0E8A8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机械设备及线路用电过程中发生漏电，人员接触带电物体。</w:t>
            </w:r>
          </w:p>
        </w:tc>
        <w:tc>
          <w:tcPr>
            <w:tcW w:w="923" w:type="pct"/>
            <w:tcBorders>
              <w:left w:val="single" w:color="000000" w:sz="2" w:space="0"/>
            </w:tcBorders>
            <w:vAlign w:val="center"/>
          </w:tcPr>
          <w:p w14:paraId="40DFD6A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3D3BD9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6C71B9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用电设备及线路等应正确使用、维护。</w:t>
            </w:r>
          </w:p>
        </w:tc>
      </w:tr>
      <w:tr w14:paraId="775A2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6A5831A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物体打击</w:t>
            </w:r>
          </w:p>
        </w:tc>
        <w:tc>
          <w:tcPr>
            <w:tcW w:w="1353" w:type="pct"/>
            <w:tcBorders>
              <w:right w:val="single" w:color="000000" w:sz="2" w:space="0"/>
            </w:tcBorders>
            <w:vAlign w:val="center"/>
          </w:tcPr>
          <w:p w14:paraId="05AE3A5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1.天井、硐室施工时平台上堆放、散落悬浮物未及时清除。</w:t>
            </w:r>
          </w:p>
          <w:p w14:paraId="21F8B30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2.人行天井口、天井平台上散落、堆放杂物。</w:t>
            </w:r>
          </w:p>
        </w:tc>
        <w:tc>
          <w:tcPr>
            <w:tcW w:w="923" w:type="pct"/>
            <w:tcBorders>
              <w:left w:val="single" w:color="000000" w:sz="2" w:space="0"/>
            </w:tcBorders>
            <w:vAlign w:val="center"/>
          </w:tcPr>
          <w:p w14:paraId="699D1D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3D17BC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4E8591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1</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及时清除天井、硐室施工时平台上堆放、散落悬浮物。</w:t>
            </w:r>
          </w:p>
          <w:p w14:paraId="7C5C210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2</w:t>
            </w:r>
            <w:r>
              <w:rPr>
                <w:rFonts w:hint="eastAsia" w:ascii="Times New Roman" w:hAnsi="Times New Roman" w:eastAsia="宋体" w:cs="Times New Roman"/>
                <w:snapToGrid w:val="0"/>
                <w:color w:val="auto"/>
                <w:kern w:val="0"/>
                <w:sz w:val="21"/>
                <w:szCs w:val="21"/>
                <w:lang w:val="en-US" w:eastAsia="zh-CN" w:bidi="ar-SA"/>
              </w:rPr>
              <w:t>.</w:t>
            </w:r>
            <w:r>
              <w:rPr>
                <w:rFonts w:hint="eastAsia" w:ascii="Times New Roman" w:hAnsi="Times New Roman" w:eastAsia="宋体" w:cs="Times New Roman"/>
                <w:snapToGrid w:val="0"/>
                <w:color w:val="auto"/>
                <w:kern w:val="0"/>
                <w:sz w:val="21"/>
                <w:szCs w:val="21"/>
                <w:lang w:val="en-US" w:bidi="ar-SA"/>
              </w:rPr>
              <w:t>及时清理人行天井口、天井平台上散落、堆放杂物。</w:t>
            </w:r>
          </w:p>
        </w:tc>
      </w:tr>
      <w:tr w14:paraId="7490A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42383AF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粉尘</w:t>
            </w:r>
          </w:p>
        </w:tc>
        <w:tc>
          <w:tcPr>
            <w:tcW w:w="1353" w:type="pct"/>
            <w:tcBorders>
              <w:right w:val="single" w:color="000000" w:sz="2" w:space="0"/>
            </w:tcBorders>
            <w:vAlign w:val="center"/>
          </w:tcPr>
          <w:p w14:paraId="4A75E54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凿岩会产生粉尘。</w:t>
            </w:r>
          </w:p>
        </w:tc>
        <w:tc>
          <w:tcPr>
            <w:tcW w:w="923" w:type="pct"/>
            <w:tcBorders>
              <w:left w:val="single" w:color="000000" w:sz="2" w:space="0"/>
            </w:tcBorders>
            <w:vAlign w:val="center"/>
          </w:tcPr>
          <w:p w14:paraId="09D1E6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职业病</w:t>
            </w:r>
          </w:p>
        </w:tc>
        <w:tc>
          <w:tcPr>
            <w:tcW w:w="390" w:type="pct"/>
            <w:tcBorders>
              <w:top w:val="single" w:color="000000" w:sz="4" w:space="0"/>
              <w:left w:val="single" w:color="000000" w:sz="4" w:space="0"/>
              <w:bottom w:val="single" w:color="000000" w:sz="4" w:space="0"/>
              <w:right w:val="single" w:color="000000" w:sz="4" w:space="0"/>
            </w:tcBorders>
            <w:vAlign w:val="center"/>
          </w:tcPr>
          <w:p w14:paraId="4EC435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1800" w:type="pct"/>
            <w:tcBorders>
              <w:top w:val="single" w:color="000000" w:sz="4" w:space="0"/>
              <w:left w:val="single" w:color="000000" w:sz="4" w:space="0"/>
              <w:bottom w:val="single" w:color="000000" w:sz="4" w:space="0"/>
              <w:right w:val="single" w:color="000000" w:sz="4" w:space="0"/>
            </w:tcBorders>
            <w:vAlign w:val="center"/>
          </w:tcPr>
          <w:p w14:paraId="403587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采取湿式凿岩和通风设施。</w:t>
            </w:r>
          </w:p>
        </w:tc>
      </w:tr>
      <w:tr w14:paraId="033A4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right w:val="single" w:color="000000" w:sz="4" w:space="0"/>
            </w:tcBorders>
            <w:vAlign w:val="center"/>
          </w:tcPr>
          <w:p w14:paraId="605B270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噪声与振动</w:t>
            </w:r>
          </w:p>
        </w:tc>
        <w:tc>
          <w:tcPr>
            <w:tcW w:w="1353" w:type="pct"/>
            <w:tcBorders>
              <w:right w:val="single" w:color="000000" w:sz="2" w:space="0"/>
            </w:tcBorders>
            <w:vAlign w:val="center"/>
          </w:tcPr>
          <w:p w14:paraId="58CB22E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凿岩会产生噪声和振动。</w:t>
            </w:r>
          </w:p>
        </w:tc>
        <w:tc>
          <w:tcPr>
            <w:tcW w:w="923" w:type="pct"/>
            <w:tcBorders>
              <w:left w:val="single" w:color="000000" w:sz="2" w:space="0"/>
            </w:tcBorders>
            <w:vAlign w:val="center"/>
          </w:tcPr>
          <w:p w14:paraId="4574668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职业病</w:t>
            </w:r>
          </w:p>
        </w:tc>
        <w:tc>
          <w:tcPr>
            <w:tcW w:w="390" w:type="pct"/>
            <w:tcBorders>
              <w:top w:val="single" w:color="000000" w:sz="4" w:space="0"/>
              <w:left w:val="single" w:color="000000" w:sz="4" w:space="0"/>
              <w:right w:val="single" w:color="000000" w:sz="4" w:space="0"/>
            </w:tcBorders>
            <w:vAlign w:val="center"/>
          </w:tcPr>
          <w:p w14:paraId="257B9D6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1800" w:type="pct"/>
            <w:tcBorders>
              <w:top w:val="single" w:color="000000" w:sz="4" w:space="0"/>
              <w:left w:val="single" w:color="000000" w:sz="4" w:space="0"/>
              <w:right w:val="single" w:color="000000" w:sz="4" w:space="0"/>
            </w:tcBorders>
            <w:vAlign w:val="center"/>
          </w:tcPr>
          <w:p w14:paraId="2A2D71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snapToGrid w:val="0"/>
                <w:color w:val="auto"/>
                <w:kern w:val="0"/>
                <w:sz w:val="21"/>
                <w:szCs w:val="21"/>
                <w:lang w:val="en-US" w:bidi="ar-SA"/>
              </w:rPr>
              <w:t>设计选择平衡性能好、振动小、低音设备;采取有效的降噪声、防噪声措施佩戴有效的防护用品。</w:t>
            </w:r>
          </w:p>
        </w:tc>
      </w:tr>
    </w:tbl>
    <w:p w14:paraId="1635B2C6">
      <w:pPr>
        <w:bidi w:val="0"/>
        <w:rPr>
          <w:rFonts w:hint="eastAsia"/>
          <w:color w:val="auto"/>
          <w:lang w:val="en-US" w:eastAsia="zh-CN"/>
        </w:rPr>
      </w:pPr>
      <w:r>
        <w:rPr>
          <w:rFonts w:hint="eastAsia"/>
          <w:color w:val="auto"/>
          <w:lang w:val="en-US" w:eastAsia="zh-CN"/>
        </w:rPr>
        <w:t>通过预先危险性分析法评价，开拓</w:t>
      </w:r>
      <w:r>
        <w:rPr>
          <w:rFonts w:hint="eastAsia" w:ascii="Times New Roman" w:hAnsi="Times New Roman" w:eastAsia="宋体" w:cs="Times New Roman"/>
          <w:color w:val="auto"/>
          <w:lang w:val="en-US" w:eastAsia="zh-CN"/>
        </w:rPr>
        <w:t>系统</w:t>
      </w:r>
      <w:r>
        <w:rPr>
          <w:rFonts w:hint="eastAsia"/>
          <w:color w:val="auto"/>
          <w:lang w:val="en-US" w:eastAsia="zh-CN"/>
        </w:rPr>
        <w:t>单元存在的危险有害因素主要有：冒顶片帮、坍塌、火药爆炸、放炮、中毒窒息、透水、火灾、机械伤害、高处坠落、触电、物体打击、粉尘、噪声与振动等。其中冒顶片帮、坍塌、火药爆炸、放炮、中毒窒息和透水的危害等级定为</w:t>
      </w:r>
      <w:r>
        <w:rPr>
          <w:rFonts w:hint="eastAsia" w:ascii="宋体" w:hAnsi="宋体" w:eastAsia="宋体" w:cs="宋体"/>
          <w:color w:val="auto"/>
          <w:lang w:val="en-US" w:eastAsia="zh-CN"/>
        </w:rPr>
        <w:t>IV</w:t>
      </w:r>
      <w:r>
        <w:rPr>
          <w:rFonts w:hint="eastAsia"/>
          <w:color w:val="auto"/>
          <w:lang w:val="en-US" w:eastAsia="zh-CN"/>
        </w:rPr>
        <w:t>级，发生危害的后果均可能造成人员伤亡或井巷工程大面积损坏，应重点防范；火灾、机械伤害、高处坠落、触电、物体打击等危害等级均为</w:t>
      </w:r>
      <w:r>
        <w:rPr>
          <w:rFonts w:hint="eastAsia" w:ascii="宋体" w:hAnsi="宋体" w:eastAsia="宋体" w:cs="宋体"/>
          <w:color w:val="auto"/>
          <w:lang w:val="en-US" w:eastAsia="zh-CN"/>
        </w:rPr>
        <w:t>Ⅲ</w:t>
      </w:r>
      <w:r>
        <w:rPr>
          <w:rFonts w:hint="eastAsia"/>
          <w:color w:val="auto"/>
          <w:lang w:val="en-US" w:eastAsia="zh-CN"/>
        </w:rPr>
        <w:t>级，应加以重视；粉尘、噪声与振动等危害等级均为</w:t>
      </w:r>
      <w:r>
        <w:rPr>
          <w:rFonts w:hint="eastAsia" w:ascii="宋体" w:hAnsi="宋体" w:eastAsia="宋体" w:cs="宋体"/>
          <w:snapToGrid w:val="0"/>
          <w:color w:val="auto"/>
          <w:kern w:val="0"/>
          <w:sz w:val="28"/>
          <w:szCs w:val="28"/>
        </w:rPr>
        <w:t>Ⅱ</w:t>
      </w:r>
      <w:r>
        <w:rPr>
          <w:rFonts w:hint="eastAsia"/>
          <w:color w:val="auto"/>
          <w:lang w:val="en-US" w:eastAsia="zh-CN"/>
        </w:rPr>
        <w:t>级，也应加以注意。</w:t>
      </w:r>
    </w:p>
    <w:p w14:paraId="4D256AF0">
      <w:pPr>
        <w:pStyle w:val="4"/>
        <w:bidi w:val="0"/>
        <w:rPr>
          <w:rFonts w:hint="eastAsia"/>
          <w:color w:val="auto"/>
          <w:lang w:val="en-US" w:eastAsia="zh-CN"/>
        </w:rPr>
      </w:pPr>
      <w:bookmarkStart w:id="262" w:name="_Toc8064"/>
      <w:bookmarkStart w:id="263" w:name="_Toc4497"/>
      <w:bookmarkStart w:id="264" w:name="_Toc3580"/>
      <w:bookmarkStart w:id="265" w:name="_Toc8292"/>
      <w:r>
        <w:rPr>
          <w:rFonts w:hint="eastAsia"/>
          <w:color w:val="auto"/>
          <w:lang w:val="en-US" w:eastAsia="zh-CN"/>
        </w:rPr>
        <w:t>3.3.2 安全检查表</w:t>
      </w:r>
      <w:bookmarkEnd w:id="262"/>
      <w:bookmarkEnd w:id="263"/>
      <w:bookmarkEnd w:id="264"/>
      <w:bookmarkEnd w:id="265"/>
    </w:p>
    <w:p w14:paraId="2CCAF174">
      <w:pPr>
        <w:rPr>
          <w:rFonts w:hint="eastAsia"/>
          <w:color w:val="auto"/>
          <w:lang w:val="en-US" w:eastAsia="zh-CN"/>
        </w:rPr>
      </w:pPr>
      <w:r>
        <w:rPr>
          <w:rFonts w:hint="eastAsia"/>
          <w:color w:val="auto"/>
          <w:lang w:val="en-US" w:eastAsia="zh-CN"/>
        </w:rPr>
        <w:t>按照《金属非金属矿山安全规程》（GB16423-2020）、《中华人民共和国矿山安全法实施条例》（原劳动部令第4号）的要求，通过安全检查表法对矿山开拓</w:t>
      </w:r>
      <w:r>
        <w:rPr>
          <w:rFonts w:hint="eastAsia" w:ascii="Times New Roman" w:eastAsia="宋体"/>
          <w:color w:val="auto"/>
          <w:lang w:val="en-US" w:eastAsia="zh-CN"/>
        </w:rPr>
        <w:t>单元</w:t>
      </w:r>
      <w:r>
        <w:rPr>
          <w:rFonts w:hint="eastAsia"/>
          <w:color w:val="auto"/>
          <w:lang w:val="en-US" w:eastAsia="zh-CN"/>
        </w:rPr>
        <w:t>进行符合性评价，具体评价见表3.3-2。</w:t>
      </w:r>
    </w:p>
    <w:p w14:paraId="53EDA7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lang w:val="en-US" w:eastAsia="zh-CN"/>
        </w:rPr>
      </w:pPr>
      <w:r>
        <w:rPr>
          <w:rFonts w:hint="eastAsia"/>
          <w:color w:val="auto"/>
          <w:lang w:val="en-US" w:eastAsia="zh-CN"/>
        </w:rPr>
        <w:t>表3.3-2 开拓</w:t>
      </w:r>
      <w:r>
        <w:rPr>
          <w:rFonts w:hint="eastAsia" w:ascii="Times New Roman" w:hAnsi="Times New Roman" w:eastAsia="宋体" w:cs="Times New Roman"/>
          <w:color w:val="auto"/>
          <w:lang w:val="en-US" w:eastAsia="zh-CN"/>
        </w:rPr>
        <w:t>系统</w:t>
      </w:r>
      <w:r>
        <w:rPr>
          <w:rFonts w:hint="eastAsia"/>
          <w:color w:val="auto"/>
          <w:lang w:val="en-US" w:eastAsia="zh-CN"/>
        </w:rPr>
        <w:t>单元安全检查表</w:t>
      </w:r>
    </w:p>
    <w:tbl>
      <w:tblPr>
        <w:tblStyle w:val="17"/>
        <w:tblW w:w="504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2074"/>
        <w:gridCol w:w="2403"/>
        <w:gridCol w:w="1585"/>
        <w:gridCol w:w="2013"/>
        <w:gridCol w:w="736"/>
      </w:tblGrid>
      <w:tr w14:paraId="6B071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187" w:type="pct"/>
            <w:tcBorders>
              <w:left w:val="single" w:color="000000" w:sz="2" w:space="0"/>
              <w:right w:val="single" w:color="000000" w:sz="2" w:space="0"/>
            </w:tcBorders>
            <w:vAlign w:val="center"/>
          </w:tcPr>
          <w:p w14:paraId="1E90D5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1132" w:type="pct"/>
            <w:tcBorders>
              <w:left w:val="single" w:color="000000" w:sz="2" w:space="0"/>
              <w:right w:val="single" w:color="000000" w:sz="2" w:space="0"/>
            </w:tcBorders>
            <w:vAlign w:val="center"/>
          </w:tcPr>
          <w:p w14:paraId="6480811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312" w:type="pct"/>
            <w:tcBorders>
              <w:left w:val="single" w:color="000000" w:sz="2" w:space="0"/>
              <w:right w:val="single" w:color="000000" w:sz="2" w:space="0"/>
            </w:tcBorders>
            <w:vAlign w:val="center"/>
          </w:tcPr>
          <w:p w14:paraId="6ED364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865" w:type="pct"/>
            <w:tcBorders>
              <w:left w:val="single" w:color="000000" w:sz="2" w:space="0"/>
              <w:right w:val="single" w:color="000000" w:sz="2" w:space="0"/>
            </w:tcBorders>
            <w:vAlign w:val="center"/>
          </w:tcPr>
          <w:p w14:paraId="3AFDD2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099" w:type="pct"/>
            <w:tcBorders>
              <w:left w:val="single" w:color="000000" w:sz="2" w:space="0"/>
              <w:right w:val="single" w:color="000000" w:sz="2" w:space="0"/>
            </w:tcBorders>
            <w:vAlign w:val="center"/>
          </w:tcPr>
          <w:p w14:paraId="306C43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402" w:type="pct"/>
            <w:tcBorders>
              <w:left w:val="single" w:color="000000" w:sz="2" w:space="0"/>
              <w:right w:val="single" w:color="000000" w:sz="2" w:space="0"/>
            </w:tcBorders>
            <w:vAlign w:val="center"/>
          </w:tcPr>
          <w:p w14:paraId="1C5223A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04075B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522915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一</w:t>
            </w:r>
          </w:p>
        </w:tc>
        <w:tc>
          <w:tcPr>
            <w:tcW w:w="4812" w:type="pct"/>
            <w:gridSpan w:val="5"/>
            <w:tcBorders>
              <w:top w:val="single" w:color="000000" w:sz="2" w:space="0"/>
              <w:left w:val="single" w:color="000000" w:sz="2" w:space="0"/>
              <w:bottom w:val="single" w:color="000000" w:sz="2" w:space="0"/>
              <w:right w:val="single" w:color="000000" w:sz="2" w:space="0"/>
            </w:tcBorders>
            <w:vAlign w:val="center"/>
          </w:tcPr>
          <w:p w14:paraId="10B61F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安全出口</w:t>
            </w:r>
          </w:p>
        </w:tc>
      </w:tr>
      <w:tr w14:paraId="77505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067DDC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1132" w:type="pct"/>
            <w:tcBorders>
              <w:top w:val="single" w:color="000000" w:sz="2" w:space="0"/>
              <w:left w:val="single" w:color="000000" w:sz="2" w:space="0"/>
              <w:bottom w:val="single" w:color="000000" w:sz="2" w:space="0"/>
              <w:right w:val="single" w:color="000000" w:sz="2" w:space="0"/>
            </w:tcBorders>
            <w:vAlign w:val="center"/>
          </w:tcPr>
          <w:p w14:paraId="7BD100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通往地表的安全出</w:t>
            </w:r>
            <w:r>
              <w:rPr>
                <w:rFonts w:hint="eastAsia" w:ascii="Times New Roman" w:hAnsi="Times New Roman" w:eastAsia="宋体" w:cs="Times New Roman"/>
                <w:snapToGrid w:val="0"/>
                <w:color w:val="auto"/>
                <w:spacing w:val="6"/>
                <w:kern w:val="0"/>
                <w:sz w:val="21"/>
                <w:szCs w:val="21"/>
                <w:lang w:val="en-US" w:eastAsia="zh-CN" w:bidi="ar-SA"/>
              </w:rPr>
              <w:t>口。</w:t>
            </w:r>
          </w:p>
        </w:tc>
        <w:tc>
          <w:tcPr>
            <w:tcW w:w="1312" w:type="pct"/>
            <w:tcBorders>
              <w:top w:val="single" w:color="000000" w:sz="2" w:space="0"/>
              <w:left w:val="single" w:color="000000" w:sz="2" w:space="0"/>
              <w:bottom w:val="single" w:color="000000" w:sz="2" w:space="0"/>
              <w:right w:val="single" w:color="000000" w:sz="2" w:space="0"/>
            </w:tcBorders>
            <w:vAlign w:val="center"/>
          </w:tcPr>
          <w:p w14:paraId="7DC04B7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每个矿井至少应有两个相互独立、间距不小于30m、直达地面的安全出口;矿体一翼走向长度超过1000m时，此翼应有安全出口。</w:t>
            </w:r>
          </w:p>
        </w:tc>
        <w:tc>
          <w:tcPr>
            <w:tcW w:w="865" w:type="pct"/>
            <w:tcBorders>
              <w:top w:val="single" w:color="000000" w:sz="2" w:space="0"/>
              <w:left w:val="single" w:color="000000" w:sz="2" w:space="0"/>
              <w:bottom w:val="single" w:color="000000" w:sz="2" w:space="0"/>
              <w:right w:val="single" w:color="000000" w:sz="2" w:space="0"/>
            </w:tcBorders>
            <w:vAlign w:val="center"/>
          </w:tcPr>
          <w:p w14:paraId="5DA7C9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第6.1.1.1条</w:t>
            </w:r>
          </w:p>
        </w:tc>
        <w:tc>
          <w:tcPr>
            <w:tcW w:w="1099" w:type="pct"/>
            <w:tcBorders>
              <w:top w:val="single" w:color="000000" w:sz="2" w:space="0"/>
              <w:left w:val="single" w:color="000000" w:sz="2" w:space="0"/>
              <w:bottom w:val="single" w:color="000000" w:sz="2" w:space="0"/>
              <w:right w:val="single" w:color="000000" w:sz="2" w:space="0"/>
            </w:tcBorders>
            <w:vAlign w:val="center"/>
          </w:tcPr>
          <w:p w14:paraId="716929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通往地表的安全出</w:t>
            </w:r>
            <w:r>
              <w:rPr>
                <w:rFonts w:hint="eastAsia" w:ascii="Times New Roman" w:hAnsi="Times New Roman" w:eastAsia="宋体" w:cs="Times New Roman"/>
                <w:snapToGrid w:val="0"/>
                <w:color w:val="auto"/>
                <w:spacing w:val="6"/>
                <w:kern w:val="0"/>
                <w:sz w:val="21"/>
                <w:szCs w:val="21"/>
                <w:lang w:val="en-US" w:eastAsia="zh-CN" w:bidi="ar-SA"/>
              </w:rPr>
              <w:t>口</w:t>
            </w:r>
            <w:r>
              <w:rPr>
                <w:rFonts w:hint="eastAsia" w:ascii="Times New Roman" w:hAnsi="Times New Roman" w:eastAsia="宋体" w:cs="Times New Roman"/>
                <w:snapToGrid w:val="0"/>
                <w:color w:val="auto"/>
                <w:spacing w:val="26"/>
                <w:kern w:val="0"/>
                <w:sz w:val="21"/>
                <w:szCs w:val="21"/>
                <w:lang w:val="en-US" w:eastAsia="zh-CN" w:bidi="ar-SA"/>
              </w:rPr>
              <w:t>符合要求。</w:t>
            </w:r>
          </w:p>
        </w:tc>
        <w:tc>
          <w:tcPr>
            <w:tcW w:w="402" w:type="pct"/>
            <w:tcBorders>
              <w:top w:val="single" w:color="000000" w:sz="2" w:space="0"/>
              <w:left w:val="single" w:color="000000" w:sz="2" w:space="0"/>
              <w:bottom w:val="single" w:color="000000" w:sz="2" w:space="0"/>
              <w:right w:val="single" w:color="000000" w:sz="2" w:space="0"/>
            </w:tcBorders>
            <w:vAlign w:val="center"/>
          </w:tcPr>
          <w:p w14:paraId="242294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5E3FD6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2A081E7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w:t>
            </w:r>
          </w:p>
        </w:tc>
        <w:tc>
          <w:tcPr>
            <w:tcW w:w="1132" w:type="pct"/>
            <w:tcBorders>
              <w:top w:val="single" w:color="000000" w:sz="2" w:space="0"/>
              <w:left w:val="single" w:color="000000" w:sz="2" w:space="0"/>
              <w:bottom w:val="single" w:color="000000" w:sz="2" w:space="0"/>
              <w:right w:val="single" w:color="000000" w:sz="2" w:space="0"/>
            </w:tcBorders>
            <w:vAlign w:val="center"/>
          </w:tcPr>
          <w:p w14:paraId="6B043E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中段和分段的安全出口</w:t>
            </w:r>
            <w:r>
              <w:rPr>
                <w:rFonts w:hint="eastAsia" w:ascii="Times New Roman" w:hAnsi="Times New Roman" w:eastAsia="宋体" w:cs="Times New Roman"/>
                <w:snapToGrid w:val="0"/>
                <w:color w:val="auto"/>
                <w:spacing w:val="6"/>
                <w:kern w:val="0"/>
                <w:sz w:val="21"/>
                <w:szCs w:val="21"/>
                <w:lang w:val="en-US" w:eastAsia="zh-CN" w:bidi="ar-SA"/>
              </w:rPr>
              <w:t>。</w:t>
            </w:r>
          </w:p>
        </w:tc>
        <w:tc>
          <w:tcPr>
            <w:tcW w:w="1312" w:type="pct"/>
            <w:tcBorders>
              <w:top w:val="single" w:color="000000" w:sz="2" w:space="0"/>
              <w:left w:val="single" w:color="000000" w:sz="2" w:space="0"/>
              <w:bottom w:val="single" w:color="000000" w:sz="2" w:space="0"/>
              <w:right w:val="single" w:color="000000" w:sz="2" w:space="0"/>
            </w:tcBorders>
            <w:vAlign w:val="center"/>
          </w:tcPr>
          <w:p w14:paraId="6C1F9C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每个生产水平或中段至少应有两个便于行人的安全出口，并应同通往地面的安全出口相通。</w:t>
            </w:r>
          </w:p>
        </w:tc>
        <w:tc>
          <w:tcPr>
            <w:tcW w:w="865" w:type="pct"/>
            <w:tcBorders>
              <w:top w:val="single" w:color="000000" w:sz="2" w:space="0"/>
              <w:left w:val="single" w:color="000000" w:sz="2" w:space="0"/>
              <w:bottom w:val="single" w:color="000000" w:sz="2" w:space="0"/>
              <w:right w:val="single" w:color="000000" w:sz="2" w:space="0"/>
            </w:tcBorders>
            <w:vAlign w:val="center"/>
          </w:tcPr>
          <w:p w14:paraId="6A68DA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第6.1.1.1条</w:t>
            </w:r>
          </w:p>
        </w:tc>
        <w:tc>
          <w:tcPr>
            <w:tcW w:w="1099" w:type="pct"/>
            <w:tcBorders>
              <w:top w:val="single" w:color="000000" w:sz="2" w:space="0"/>
              <w:left w:val="single" w:color="000000" w:sz="2" w:space="0"/>
              <w:bottom w:val="single" w:color="000000" w:sz="2" w:space="0"/>
              <w:right w:val="single" w:color="000000" w:sz="2" w:space="0"/>
            </w:tcBorders>
            <w:vAlign w:val="center"/>
          </w:tcPr>
          <w:p w14:paraId="6C3D2C5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中段的安全出口</w:t>
            </w:r>
            <w:r>
              <w:rPr>
                <w:rFonts w:hint="eastAsia" w:ascii="Times New Roman" w:hAnsi="Times New Roman" w:eastAsia="宋体" w:cs="Times New Roman"/>
                <w:snapToGrid w:val="0"/>
                <w:color w:val="auto"/>
                <w:spacing w:val="6"/>
                <w:kern w:val="0"/>
                <w:sz w:val="21"/>
                <w:szCs w:val="21"/>
                <w:lang w:val="en-US" w:eastAsia="zh-CN" w:bidi="ar-SA"/>
              </w:rPr>
              <w:t>均符合要求</w:t>
            </w:r>
          </w:p>
        </w:tc>
        <w:tc>
          <w:tcPr>
            <w:tcW w:w="402" w:type="pct"/>
            <w:tcBorders>
              <w:top w:val="single" w:color="000000" w:sz="2" w:space="0"/>
              <w:left w:val="single" w:color="000000" w:sz="2" w:space="0"/>
              <w:bottom w:val="single" w:color="000000" w:sz="2" w:space="0"/>
              <w:right w:val="single" w:color="000000" w:sz="2" w:space="0"/>
            </w:tcBorders>
            <w:vAlign w:val="center"/>
          </w:tcPr>
          <w:p w14:paraId="212E4ED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3"/>
                <w:kern w:val="0"/>
                <w:sz w:val="21"/>
                <w:szCs w:val="21"/>
                <w:lang w:val="en-US"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61F8A6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7729B1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3</w:t>
            </w:r>
          </w:p>
        </w:tc>
        <w:tc>
          <w:tcPr>
            <w:tcW w:w="1132" w:type="pct"/>
            <w:tcBorders>
              <w:top w:val="single" w:color="000000" w:sz="2" w:space="0"/>
              <w:left w:val="single" w:color="000000" w:sz="2" w:space="0"/>
              <w:bottom w:val="single" w:color="000000" w:sz="2" w:space="0"/>
              <w:right w:val="single" w:color="000000" w:sz="2" w:space="0"/>
            </w:tcBorders>
            <w:vAlign w:val="center"/>
          </w:tcPr>
          <w:p w14:paraId="54FB43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采区或盘区、矿块的安全出</w:t>
            </w:r>
            <w:r>
              <w:rPr>
                <w:rFonts w:hint="eastAsia" w:ascii="Times New Roman" w:hAnsi="Times New Roman" w:eastAsia="宋体" w:cs="Times New Roman"/>
                <w:snapToGrid w:val="0"/>
                <w:color w:val="auto"/>
                <w:spacing w:val="6"/>
                <w:kern w:val="0"/>
                <w:sz w:val="21"/>
                <w:szCs w:val="21"/>
                <w:lang w:val="en-US" w:eastAsia="zh-CN" w:bidi="ar-SA"/>
              </w:rPr>
              <w:t>口。</w:t>
            </w:r>
          </w:p>
        </w:tc>
        <w:tc>
          <w:tcPr>
            <w:tcW w:w="1312" w:type="pct"/>
            <w:tcBorders>
              <w:top w:val="single" w:color="000000" w:sz="2" w:space="0"/>
              <w:left w:val="single" w:color="000000" w:sz="2" w:space="0"/>
              <w:bottom w:val="single" w:color="000000" w:sz="2" w:space="0"/>
              <w:right w:val="single" w:color="000000" w:sz="2" w:space="0"/>
            </w:tcBorders>
            <w:vAlign w:val="center"/>
          </w:tcPr>
          <w:p w14:paraId="326228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每个采区或者盘区、矿块均应有两个便于行人的安全出口，并与通往地面的安全出口相通。</w:t>
            </w:r>
          </w:p>
        </w:tc>
        <w:tc>
          <w:tcPr>
            <w:tcW w:w="865" w:type="pct"/>
            <w:tcBorders>
              <w:top w:val="single" w:color="000000" w:sz="2" w:space="0"/>
              <w:left w:val="single" w:color="000000" w:sz="2" w:space="0"/>
              <w:bottom w:val="single" w:color="000000" w:sz="2" w:space="0"/>
              <w:right w:val="single" w:color="000000" w:sz="2" w:space="0"/>
            </w:tcBorders>
            <w:vAlign w:val="center"/>
          </w:tcPr>
          <w:p w14:paraId="43EF27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第6.3.1.4条</w:t>
            </w:r>
          </w:p>
        </w:tc>
        <w:tc>
          <w:tcPr>
            <w:tcW w:w="1099" w:type="pct"/>
            <w:tcBorders>
              <w:top w:val="single" w:color="000000" w:sz="2" w:space="0"/>
              <w:left w:val="single" w:color="000000" w:sz="2" w:space="0"/>
              <w:bottom w:val="single" w:color="000000" w:sz="2" w:space="0"/>
              <w:right w:val="single" w:color="000000" w:sz="2" w:space="0"/>
            </w:tcBorders>
            <w:vAlign w:val="center"/>
          </w:tcPr>
          <w:p w14:paraId="5EA26A9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26"/>
                <w:kern w:val="0"/>
                <w:sz w:val="21"/>
                <w:szCs w:val="21"/>
                <w:lang w:val="en-US" w:eastAsia="zh-CN" w:bidi="ar-SA"/>
              </w:rPr>
              <w:t>采场安全出口符合要求。</w:t>
            </w:r>
          </w:p>
        </w:tc>
        <w:tc>
          <w:tcPr>
            <w:tcW w:w="402" w:type="pct"/>
            <w:tcBorders>
              <w:top w:val="single" w:color="000000" w:sz="2" w:space="0"/>
              <w:left w:val="single" w:color="000000" w:sz="2" w:space="0"/>
              <w:bottom w:val="single" w:color="000000" w:sz="2" w:space="0"/>
              <w:right w:val="single" w:color="000000" w:sz="2" w:space="0"/>
            </w:tcBorders>
            <w:vAlign w:val="center"/>
          </w:tcPr>
          <w:p w14:paraId="132275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snapToGrid w:val="0"/>
                <w:color w:val="auto"/>
                <w:spacing w:val="3"/>
                <w:kern w:val="0"/>
                <w:sz w:val="21"/>
                <w:szCs w:val="21"/>
                <w:lang w:val="en-US"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16CB4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7D9EECB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二</w:t>
            </w:r>
          </w:p>
        </w:tc>
        <w:tc>
          <w:tcPr>
            <w:tcW w:w="4812" w:type="pct"/>
            <w:gridSpan w:val="5"/>
            <w:tcBorders>
              <w:top w:val="single" w:color="000000" w:sz="2" w:space="0"/>
              <w:left w:val="single" w:color="000000" w:sz="2" w:space="0"/>
              <w:bottom w:val="single" w:color="000000" w:sz="2" w:space="0"/>
              <w:right w:val="single" w:color="000000" w:sz="2" w:space="0"/>
            </w:tcBorders>
            <w:vAlign w:val="center"/>
          </w:tcPr>
          <w:p w14:paraId="1FDC781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巷道支护</w:t>
            </w:r>
          </w:p>
        </w:tc>
      </w:tr>
      <w:tr w14:paraId="6F2A2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3F073C9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4</w:t>
            </w:r>
          </w:p>
        </w:tc>
        <w:tc>
          <w:tcPr>
            <w:tcW w:w="1132" w:type="pct"/>
            <w:tcBorders>
              <w:top w:val="single" w:color="000000" w:sz="2" w:space="0"/>
              <w:left w:val="single" w:color="000000" w:sz="2" w:space="0"/>
              <w:bottom w:val="single" w:color="000000" w:sz="2" w:space="0"/>
              <w:right w:val="single" w:color="000000" w:sz="2" w:space="0"/>
            </w:tcBorders>
            <w:vAlign w:val="center"/>
          </w:tcPr>
          <w:p w14:paraId="2CC8914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井巷支护</w:t>
            </w:r>
          </w:p>
        </w:tc>
        <w:tc>
          <w:tcPr>
            <w:tcW w:w="1312" w:type="pct"/>
            <w:tcBorders>
              <w:top w:val="single" w:color="000000" w:sz="2" w:space="0"/>
              <w:left w:val="single" w:color="000000" w:sz="2" w:space="0"/>
              <w:bottom w:val="single" w:color="000000" w:sz="2" w:space="0"/>
              <w:right w:val="single" w:color="000000" w:sz="2" w:space="0"/>
            </w:tcBorders>
            <w:vAlign w:val="center"/>
          </w:tcPr>
          <w:p w14:paraId="4463E38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不应用木材或者其他可燃材料作永久支护</w:t>
            </w:r>
            <w:r>
              <w:rPr>
                <w:rFonts w:hint="eastAsia" w:ascii="Times New Roman" w:hAnsi="Times New Roman" w:eastAsia="宋体" w:cs="Times New Roman"/>
                <w:snapToGrid w:val="0"/>
                <w:color w:val="auto"/>
                <w:spacing w:val="6"/>
                <w:kern w:val="0"/>
                <w:sz w:val="21"/>
                <w:szCs w:val="21"/>
                <w:lang w:val="en-US" w:eastAsia="zh-CN" w:bidi="ar-SA"/>
              </w:rPr>
              <w:t>。</w:t>
            </w:r>
          </w:p>
        </w:tc>
        <w:tc>
          <w:tcPr>
            <w:tcW w:w="865" w:type="pct"/>
            <w:tcBorders>
              <w:top w:val="single" w:color="000000" w:sz="2" w:space="0"/>
              <w:left w:val="single" w:color="000000" w:sz="2" w:space="0"/>
              <w:bottom w:val="single" w:color="000000" w:sz="2" w:space="0"/>
              <w:right w:val="single" w:color="000000" w:sz="2" w:space="0"/>
            </w:tcBorders>
            <w:vAlign w:val="center"/>
          </w:tcPr>
          <w:p w14:paraId="2D80D2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第6.2.7.1条</w:t>
            </w:r>
          </w:p>
        </w:tc>
        <w:tc>
          <w:tcPr>
            <w:tcW w:w="1099" w:type="pct"/>
            <w:tcBorders>
              <w:top w:val="single" w:color="000000" w:sz="2" w:space="0"/>
              <w:left w:val="single" w:color="000000" w:sz="2" w:space="0"/>
              <w:bottom w:val="single" w:color="000000" w:sz="2" w:space="0"/>
              <w:right w:val="single" w:color="000000" w:sz="2" w:space="0"/>
            </w:tcBorders>
            <w:vAlign w:val="center"/>
          </w:tcPr>
          <w:p w14:paraId="2E9FE5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《可研报告》</w:t>
            </w:r>
            <w:r>
              <w:rPr>
                <w:rFonts w:hint="eastAsia"/>
                <w:snapToGrid w:val="0"/>
                <w:color w:val="auto"/>
                <w:spacing w:val="26"/>
                <w:kern w:val="0"/>
                <w:sz w:val="21"/>
                <w:szCs w:val="21"/>
                <w:lang w:val="en-US" w:eastAsia="zh-CN"/>
              </w:rPr>
              <w:t>未提及</w:t>
            </w:r>
            <w:r>
              <w:rPr>
                <w:rFonts w:hint="eastAsia" w:ascii="Times New Roman" w:hAnsi="Times New Roman" w:eastAsia="宋体" w:cs="Times New Roman"/>
                <w:snapToGrid w:val="0"/>
                <w:color w:val="auto"/>
                <w:spacing w:val="26"/>
                <w:kern w:val="0"/>
                <w:sz w:val="21"/>
                <w:szCs w:val="21"/>
                <w:lang w:val="en-US" w:eastAsia="zh-CN" w:bidi="ar-SA"/>
              </w:rPr>
              <w:t>。</w:t>
            </w:r>
          </w:p>
        </w:tc>
        <w:tc>
          <w:tcPr>
            <w:tcW w:w="402" w:type="pct"/>
            <w:tcBorders>
              <w:top w:val="single" w:color="000000" w:sz="2" w:space="0"/>
              <w:left w:val="single" w:color="000000" w:sz="2" w:space="0"/>
              <w:bottom w:val="single" w:color="000000" w:sz="2" w:space="0"/>
              <w:right w:val="single" w:color="000000" w:sz="2" w:space="0"/>
            </w:tcBorders>
            <w:vAlign w:val="center"/>
          </w:tcPr>
          <w:p w14:paraId="799098C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141AC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4D29EE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5</w:t>
            </w:r>
          </w:p>
        </w:tc>
        <w:tc>
          <w:tcPr>
            <w:tcW w:w="1132" w:type="pct"/>
            <w:tcBorders>
              <w:top w:val="single" w:color="000000" w:sz="2" w:space="0"/>
              <w:left w:val="single" w:color="000000" w:sz="2" w:space="0"/>
              <w:bottom w:val="single" w:color="000000" w:sz="2" w:space="0"/>
              <w:right w:val="single" w:color="000000" w:sz="2" w:space="0"/>
            </w:tcBorders>
            <w:vAlign w:val="center"/>
          </w:tcPr>
          <w:p w14:paraId="3A12EC8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井巷支护</w:t>
            </w:r>
          </w:p>
        </w:tc>
        <w:tc>
          <w:tcPr>
            <w:tcW w:w="1312" w:type="pct"/>
            <w:tcBorders>
              <w:top w:val="single" w:color="000000" w:sz="2" w:space="0"/>
              <w:left w:val="single" w:color="000000" w:sz="2" w:space="0"/>
              <w:bottom w:val="single" w:color="000000" w:sz="2" w:space="0"/>
              <w:right w:val="single" w:color="000000" w:sz="2" w:space="0"/>
            </w:tcBorders>
            <w:vAlign w:val="center"/>
          </w:tcPr>
          <w:p w14:paraId="6CA4AA0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在不稳固的岩层中掘进时应进行支护</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在松软、破碎或流砂地层中掘进时应在永久性支护与掘进工作面之间进行临时支护或特殊支护。</w:t>
            </w:r>
          </w:p>
        </w:tc>
        <w:tc>
          <w:tcPr>
            <w:tcW w:w="865" w:type="pct"/>
            <w:tcBorders>
              <w:top w:val="single" w:color="000000" w:sz="2" w:space="0"/>
              <w:left w:val="single" w:color="000000" w:sz="2" w:space="0"/>
              <w:bottom w:val="single" w:color="000000" w:sz="2" w:space="0"/>
              <w:right w:val="single" w:color="000000" w:sz="2" w:space="0"/>
            </w:tcBorders>
            <w:vAlign w:val="center"/>
          </w:tcPr>
          <w:p w14:paraId="30C9221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第6.2.7.2条</w:t>
            </w:r>
          </w:p>
        </w:tc>
        <w:tc>
          <w:tcPr>
            <w:tcW w:w="1099" w:type="pct"/>
            <w:tcBorders>
              <w:top w:val="single" w:color="000000" w:sz="2" w:space="0"/>
              <w:left w:val="single" w:color="000000" w:sz="2" w:space="0"/>
              <w:bottom w:val="single" w:color="000000" w:sz="2" w:space="0"/>
              <w:right w:val="single" w:color="000000" w:sz="2" w:space="0"/>
            </w:tcBorders>
            <w:vAlign w:val="center"/>
          </w:tcPr>
          <w:p w14:paraId="109228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《可研报告》</w:t>
            </w:r>
            <w:r>
              <w:rPr>
                <w:rFonts w:hint="eastAsia"/>
                <w:snapToGrid w:val="0"/>
                <w:color w:val="auto"/>
                <w:spacing w:val="26"/>
                <w:kern w:val="0"/>
                <w:sz w:val="21"/>
                <w:szCs w:val="21"/>
                <w:lang w:val="en-US" w:eastAsia="zh-CN"/>
              </w:rPr>
              <w:t>未提及</w:t>
            </w:r>
            <w:r>
              <w:rPr>
                <w:rFonts w:hint="eastAsia" w:ascii="Times New Roman" w:hAnsi="Times New Roman" w:eastAsia="宋体" w:cs="Times New Roman"/>
                <w:snapToGrid w:val="0"/>
                <w:color w:val="auto"/>
                <w:spacing w:val="26"/>
                <w:kern w:val="0"/>
                <w:sz w:val="21"/>
                <w:szCs w:val="21"/>
                <w:lang w:val="en-US" w:eastAsia="zh-CN" w:bidi="ar-SA"/>
              </w:rPr>
              <w:t>。</w:t>
            </w:r>
          </w:p>
        </w:tc>
        <w:tc>
          <w:tcPr>
            <w:tcW w:w="402" w:type="pct"/>
            <w:tcBorders>
              <w:top w:val="single" w:color="000000" w:sz="2" w:space="0"/>
              <w:left w:val="single" w:color="000000" w:sz="2" w:space="0"/>
              <w:bottom w:val="single" w:color="000000" w:sz="2" w:space="0"/>
              <w:right w:val="single" w:color="000000" w:sz="2" w:space="0"/>
            </w:tcBorders>
            <w:vAlign w:val="center"/>
          </w:tcPr>
          <w:p w14:paraId="607381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09AD3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3E31B18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三</w:t>
            </w:r>
          </w:p>
        </w:tc>
        <w:tc>
          <w:tcPr>
            <w:tcW w:w="4812" w:type="pct"/>
            <w:gridSpan w:val="5"/>
            <w:tcBorders>
              <w:top w:val="single" w:color="000000" w:sz="2" w:space="0"/>
              <w:left w:val="single" w:color="000000" w:sz="2" w:space="0"/>
              <w:bottom w:val="single" w:color="000000" w:sz="2" w:space="0"/>
              <w:right w:val="single" w:color="000000" w:sz="2" w:space="0"/>
            </w:tcBorders>
            <w:vAlign w:val="center"/>
          </w:tcPr>
          <w:p w14:paraId="282182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保安矿柱</w:t>
            </w:r>
          </w:p>
        </w:tc>
      </w:tr>
      <w:tr w14:paraId="1DA961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right w:val="single" w:color="000000" w:sz="2" w:space="0"/>
            </w:tcBorders>
            <w:vAlign w:val="center"/>
          </w:tcPr>
          <w:p w14:paraId="0891268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6</w:t>
            </w:r>
          </w:p>
        </w:tc>
        <w:tc>
          <w:tcPr>
            <w:tcW w:w="1132" w:type="pct"/>
            <w:tcBorders>
              <w:top w:val="single" w:color="000000" w:sz="2" w:space="0"/>
              <w:left w:val="single" w:color="000000" w:sz="2" w:space="0"/>
              <w:right w:val="single" w:color="000000" w:sz="2" w:space="0"/>
            </w:tcBorders>
            <w:vAlign w:val="center"/>
          </w:tcPr>
          <w:p w14:paraId="6B1DC20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境界保安矿柱</w:t>
            </w:r>
          </w:p>
        </w:tc>
        <w:tc>
          <w:tcPr>
            <w:tcW w:w="1312" w:type="pct"/>
            <w:tcBorders>
              <w:top w:val="single" w:color="000000" w:sz="2" w:space="0"/>
              <w:left w:val="single" w:color="000000" w:sz="2" w:space="0"/>
              <w:right w:val="single" w:color="000000" w:sz="2" w:space="0"/>
            </w:tcBorders>
            <w:vAlign w:val="center"/>
          </w:tcPr>
          <w:p w14:paraId="1F3E90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第十条 矿山应当有保障安全生产、预防事故和职业危害的安全设施，并符合下列基本要求</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五</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相邻矿井之间、矿井与露天矿之间、矿井与老窑之间留有足够的安全隔离矿柱。矿山井巷布置留有足够的保障井上和井下安全的矿柱或者岩柱。</w:t>
            </w:r>
          </w:p>
          <w:p w14:paraId="42FCE4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snapToGrid w:val="0"/>
                <w:color w:val="auto"/>
                <w:spacing w:val="6"/>
                <w:kern w:val="0"/>
                <w:sz w:val="21"/>
                <w:szCs w:val="21"/>
              </w:rPr>
              <w:t>“三下”开采保安矿柱</w:t>
            </w:r>
            <w:r>
              <w:rPr>
                <w:rFonts w:hint="eastAsia"/>
                <w:snapToGrid w:val="0"/>
                <w:color w:val="auto"/>
                <w:spacing w:val="6"/>
                <w:kern w:val="0"/>
                <w:sz w:val="21"/>
                <w:szCs w:val="21"/>
                <w:lang w:eastAsia="zh-CN"/>
              </w:rPr>
              <w:t>。</w:t>
            </w:r>
          </w:p>
        </w:tc>
        <w:tc>
          <w:tcPr>
            <w:tcW w:w="865" w:type="pct"/>
            <w:tcBorders>
              <w:top w:val="single" w:color="000000" w:sz="2" w:space="0"/>
              <w:left w:val="single" w:color="000000" w:sz="2" w:space="0"/>
              <w:right w:val="single" w:color="000000" w:sz="2" w:space="0"/>
            </w:tcBorders>
            <w:vAlign w:val="center"/>
          </w:tcPr>
          <w:p w14:paraId="561C68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中华人民共和国矿山安全法实施条例》</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ascii="Times New Roman" w:hAnsi="Times New Roman" w:eastAsia="宋体" w:cs="Times New Roman"/>
                <w:snapToGrid w:val="0"/>
                <w:color w:val="auto"/>
                <w:spacing w:val="8"/>
                <w:kern w:val="0"/>
                <w:sz w:val="21"/>
                <w:szCs w:val="21"/>
                <w:lang w:val="en-US" w:bidi="ar-SA"/>
              </w:rPr>
              <w:t>原劳动部令第4号</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ascii="Times New Roman" w:hAnsi="Times New Roman" w:eastAsia="宋体" w:cs="Times New Roman"/>
                <w:snapToGrid w:val="0"/>
                <w:color w:val="auto"/>
                <w:spacing w:val="8"/>
                <w:kern w:val="0"/>
                <w:sz w:val="21"/>
                <w:szCs w:val="21"/>
                <w:lang w:val="en-US" w:bidi="ar-SA"/>
              </w:rPr>
              <w:t>第十条</w:t>
            </w:r>
          </w:p>
          <w:p w14:paraId="7290326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snapToGrid w:val="0"/>
                <w:color w:val="auto"/>
                <w:spacing w:val="8"/>
                <w:kern w:val="0"/>
                <w:sz w:val="21"/>
                <w:szCs w:val="21"/>
              </w:rPr>
              <w:t>安监总管一〔2016〕49号</w:t>
            </w:r>
          </w:p>
        </w:tc>
        <w:tc>
          <w:tcPr>
            <w:tcW w:w="1099" w:type="pct"/>
            <w:tcBorders>
              <w:top w:val="single" w:color="000000" w:sz="2" w:space="0"/>
              <w:left w:val="single" w:color="000000" w:sz="2" w:space="0"/>
              <w:right w:val="single" w:color="000000" w:sz="2" w:space="0"/>
            </w:tcBorders>
            <w:vAlign w:val="center"/>
          </w:tcPr>
          <w:p w14:paraId="454B920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26"/>
                <w:kern w:val="0"/>
                <w:sz w:val="21"/>
                <w:szCs w:val="21"/>
                <w:lang w:val="en-US" w:eastAsia="zh-CN" w:bidi="ar-SA"/>
              </w:rPr>
              <w:t>周边无其他矿山。</w:t>
            </w:r>
          </w:p>
          <w:p w14:paraId="59802D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《可研报告》</w:t>
            </w:r>
            <w:r>
              <w:rPr>
                <w:rFonts w:hint="eastAsia"/>
                <w:snapToGrid w:val="0"/>
                <w:color w:val="auto"/>
                <w:spacing w:val="26"/>
                <w:kern w:val="0"/>
                <w:sz w:val="21"/>
                <w:szCs w:val="21"/>
                <w:lang w:val="en-US" w:eastAsia="zh-CN"/>
              </w:rPr>
              <w:t>未提及</w:t>
            </w:r>
            <w:r>
              <w:rPr>
                <w:rFonts w:hint="eastAsia"/>
                <w:snapToGrid w:val="0"/>
                <w:color w:val="auto"/>
                <w:spacing w:val="6"/>
                <w:kern w:val="0"/>
                <w:sz w:val="21"/>
                <w:szCs w:val="21"/>
              </w:rPr>
              <w:t>保安矿柱</w:t>
            </w:r>
          </w:p>
        </w:tc>
        <w:tc>
          <w:tcPr>
            <w:tcW w:w="402" w:type="pct"/>
            <w:tcBorders>
              <w:top w:val="single" w:color="000000" w:sz="2" w:space="0"/>
              <w:left w:val="single" w:color="000000" w:sz="2" w:space="0"/>
              <w:right w:val="single" w:color="000000" w:sz="2" w:space="0"/>
            </w:tcBorders>
            <w:vAlign w:val="center"/>
          </w:tcPr>
          <w:p w14:paraId="3C7D65C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bl>
    <w:p w14:paraId="74228D87">
      <w:pPr>
        <w:rPr>
          <w:rFonts w:hint="eastAsia"/>
          <w:color w:val="auto"/>
          <w:lang w:val="en-US" w:eastAsia="zh-CN"/>
        </w:rPr>
      </w:pPr>
      <w:r>
        <w:rPr>
          <w:rFonts w:hint="default"/>
          <w:color w:val="auto"/>
          <w:lang w:val="en-US" w:eastAsia="zh-CN"/>
        </w:rPr>
        <w:t>采用安全检查表法对矿山开拓</w:t>
      </w:r>
      <w:r>
        <w:rPr>
          <w:rFonts w:hint="eastAsia" w:ascii="Times New Roman" w:hAnsi="Times New Roman" w:eastAsia="宋体" w:cs="Times New Roman"/>
          <w:color w:val="auto"/>
          <w:lang w:val="en-US" w:eastAsia="zh-CN"/>
        </w:rPr>
        <w:t>系统</w:t>
      </w:r>
      <w:r>
        <w:rPr>
          <w:rFonts w:hint="default"/>
          <w:color w:val="auto"/>
          <w:lang w:val="en-US" w:eastAsia="zh-CN"/>
        </w:rPr>
        <w:t>单元检查6项，</w:t>
      </w:r>
      <w:r>
        <w:rPr>
          <w:rFonts w:hint="eastAsia"/>
          <w:color w:val="auto"/>
          <w:lang w:val="en-US" w:eastAsia="zh-CN"/>
        </w:rPr>
        <w:t>3项</w:t>
      </w:r>
      <w:r>
        <w:rPr>
          <w:rFonts w:hint="default"/>
          <w:color w:val="auto"/>
          <w:lang w:val="en-US" w:eastAsia="zh-CN"/>
        </w:rPr>
        <w:t>符合</w:t>
      </w:r>
      <w:r>
        <w:rPr>
          <w:rFonts w:hint="eastAsia"/>
          <w:color w:val="auto"/>
          <w:lang w:val="en-US" w:eastAsia="zh-CN"/>
        </w:rPr>
        <w:t>，3项需下一步设计补充，</w:t>
      </w:r>
      <w:r>
        <w:rPr>
          <w:rFonts w:hint="default"/>
          <w:color w:val="auto"/>
          <w:lang w:val="en-US" w:eastAsia="zh-CN"/>
        </w:rPr>
        <w:t>开拓</w:t>
      </w:r>
      <w:r>
        <w:rPr>
          <w:rFonts w:hint="eastAsia"/>
          <w:color w:val="auto"/>
          <w:lang w:val="en-US" w:eastAsia="zh-CN"/>
        </w:rPr>
        <w:t>单元不</w:t>
      </w:r>
      <w:r>
        <w:rPr>
          <w:rFonts w:hint="default"/>
          <w:color w:val="auto"/>
          <w:lang w:val="en-US" w:eastAsia="zh-CN"/>
        </w:rPr>
        <w:t>符合《金属非金属矿山安全规程》</w:t>
      </w:r>
      <w:r>
        <w:rPr>
          <w:rFonts w:hint="eastAsia"/>
          <w:color w:val="auto"/>
          <w:lang w:val="en-US" w:eastAsia="zh-CN"/>
        </w:rPr>
        <w:t>（</w:t>
      </w:r>
      <w:r>
        <w:rPr>
          <w:rFonts w:hint="default"/>
          <w:color w:val="auto"/>
          <w:lang w:val="en-US" w:eastAsia="zh-CN"/>
        </w:rPr>
        <w:t>GB16423-2020</w:t>
      </w:r>
      <w:r>
        <w:rPr>
          <w:rFonts w:hint="eastAsia"/>
          <w:color w:val="auto"/>
          <w:lang w:val="en-US" w:eastAsia="zh-CN"/>
        </w:rPr>
        <w:t>）、</w:t>
      </w:r>
      <w:r>
        <w:rPr>
          <w:rFonts w:hint="default"/>
          <w:color w:val="auto"/>
          <w:lang w:val="en-US" w:eastAsia="zh-CN"/>
        </w:rPr>
        <w:t>《中华人民共和国矿山安全法实施条例》（原劳动部令第4号）的有关要求，建议下一步设计补充巷道支护和</w:t>
      </w:r>
      <w:r>
        <w:rPr>
          <w:rFonts w:hint="default" w:ascii="Times New Roman" w:hAnsi="Times New Roman" w:eastAsia="宋体" w:cs="Times New Roman"/>
          <w:snapToGrid/>
          <w:color w:val="auto"/>
          <w:spacing w:val="0"/>
          <w:kern w:val="2"/>
          <w:sz w:val="28"/>
          <w:szCs w:val="24"/>
          <w:lang w:val="en-US" w:eastAsia="zh-CN" w:bidi="ar-SA"/>
        </w:rPr>
        <w:t>保安矿柱</w:t>
      </w:r>
      <w:r>
        <w:rPr>
          <w:rFonts w:hint="eastAsia" w:eastAsia="宋体" w:cs="Times New Roman"/>
          <w:snapToGrid/>
          <w:color w:val="auto"/>
          <w:spacing w:val="0"/>
          <w:kern w:val="2"/>
          <w:sz w:val="28"/>
          <w:szCs w:val="24"/>
          <w:lang w:val="en-US" w:eastAsia="zh-CN" w:bidi="ar-SA"/>
        </w:rPr>
        <w:t>情况</w:t>
      </w:r>
      <w:r>
        <w:rPr>
          <w:rFonts w:hint="default"/>
          <w:color w:val="auto"/>
          <w:lang w:val="en-US" w:eastAsia="zh-CN"/>
        </w:rPr>
        <w:t>。</w:t>
      </w:r>
    </w:p>
    <w:p w14:paraId="3388CE2C">
      <w:pPr>
        <w:pStyle w:val="4"/>
        <w:bidi w:val="0"/>
        <w:rPr>
          <w:rFonts w:hint="default"/>
          <w:color w:val="auto"/>
          <w:lang w:val="en-US" w:eastAsia="zh-CN"/>
        </w:rPr>
      </w:pPr>
      <w:bookmarkStart w:id="266" w:name="_Toc9159"/>
      <w:bookmarkStart w:id="267" w:name="_Toc20414"/>
      <w:bookmarkStart w:id="268" w:name="_Toc20742"/>
      <w:bookmarkStart w:id="269" w:name="_Toc27791"/>
      <w:r>
        <w:rPr>
          <w:rFonts w:hint="default"/>
          <w:color w:val="auto"/>
          <w:lang w:val="en-US" w:eastAsia="zh-CN"/>
        </w:rPr>
        <w:t>3.3.3 评价小结</w:t>
      </w:r>
      <w:bookmarkEnd w:id="266"/>
      <w:bookmarkEnd w:id="267"/>
      <w:bookmarkEnd w:id="268"/>
      <w:bookmarkEnd w:id="269"/>
    </w:p>
    <w:p w14:paraId="6CEC736A">
      <w:pPr>
        <w:rPr>
          <w:rFonts w:hint="default"/>
          <w:color w:val="auto"/>
          <w:lang w:val="en-US" w:eastAsia="zh-CN"/>
        </w:rPr>
      </w:pPr>
      <w:r>
        <w:rPr>
          <w:rFonts w:hint="eastAsia"/>
          <w:color w:val="auto"/>
          <w:lang w:val="en-US" w:eastAsia="zh-CN"/>
        </w:rPr>
        <w:t xml:space="preserve">1. </w:t>
      </w:r>
      <w:r>
        <w:rPr>
          <w:rFonts w:hint="default"/>
          <w:color w:val="auto"/>
          <w:lang w:val="en-US" w:eastAsia="zh-CN"/>
        </w:rPr>
        <w:t>通过预先危险性分析法评价，开拓</w:t>
      </w:r>
      <w:r>
        <w:rPr>
          <w:rFonts w:hint="eastAsia" w:ascii="Times New Roman" w:hAnsi="Times New Roman" w:eastAsia="宋体" w:cs="Times New Roman"/>
          <w:color w:val="auto"/>
          <w:lang w:val="en-US" w:eastAsia="zh-CN"/>
        </w:rPr>
        <w:t>系统</w:t>
      </w:r>
      <w:r>
        <w:rPr>
          <w:rFonts w:hint="default"/>
          <w:color w:val="auto"/>
          <w:lang w:val="en-US" w:eastAsia="zh-CN"/>
        </w:rPr>
        <w:t>单元存在的危险有害因素主要有：冒顶片帮、坍塌、火药爆炸、放炮、中毒窒息、透水、火灾、机械伤害、高处坠落、触电、物体打击、粉尘、噪声与振动等。其中冒顶片帮、坍塌、火药爆炸、放炮、中毒窒息和透水的危害等级定为</w:t>
      </w:r>
      <w:r>
        <w:rPr>
          <w:rFonts w:hint="eastAsia" w:ascii="宋体" w:hAnsi="宋体" w:eastAsia="宋体" w:cs="宋体"/>
          <w:color w:val="auto"/>
          <w:lang w:val="en-US" w:eastAsia="zh-CN"/>
        </w:rPr>
        <w:t>Ⅳ</w:t>
      </w:r>
      <w:r>
        <w:rPr>
          <w:rFonts w:hint="default"/>
          <w:color w:val="auto"/>
          <w:lang w:val="en-US" w:eastAsia="zh-CN"/>
        </w:rPr>
        <w:t>级，发生危害的后果均可能造成人员伤亡或井巷工程大面积损坏，应重点防范；火灾、机械伤害、高处坠落、触电、物体打击等危害等级均为</w:t>
      </w:r>
      <w:r>
        <w:rPr>
          <w:rFonts w:hint="eastAsia" w:ascii="宋体" w:hAnsi="宋体" w:eastAsia="宋体" w:cs="宋体"/>
          <w:color w:val="auto"/>
          <w:lang w:val="en-US" w:eastAsia="zh-CN"/>
        </w:rPr>
        <w:t>Ⅲ</w:t>
      </w:r>
      <w:r>
        <w:rPr>
          <w:rFonts w:hint="default"/>
          <w:color w:val="auto"/>
          <w:lang w:val="en-US" w:eastAsia="zh-CN"/>
        </w:rPr>
        <w:t>级，应加以重视；粉尘、噪声与振动等危害等级均为</w:t>
      </w:r>
      <w:r>
        <w:rPr>
          <w:rFonts w:hint="eastAsia" w:ascii="宋体" w:hAnsi="宋体" w:eastAsia="宋体" w:cs="宋体"/>
          <w:color w:val="auto"/>
          <w:lang w:val="en-US" w:eastAsia="zh-CN"/>
        </w:rPr>
        <w:t>Ⅱ</w:t>
      </w:r>
      <w:r>
        <w:rPr>
          <w:rFonts w:hint="default"/>
          <w:color w:val="auto"/>
          <w:lang w:val="en-US" w:eastAsia="zh-CN"/>
        </w:rPr>
        <w:t>级，也应加以注意。</w:t>
      </w:r>
    </w:p>
    <w:p w14:paraId="568E17F9">
      <w:pPr>
        <w:rPr>
          <w:rFonts w:hint="eastAsia"/>
          <w:color w:val="auto"/>
          <w:lang w:val="en-US" w:eastAsia="zh-CN"/>
        </w:rPr>
      </w:pPr>
      <w:r>
        <w:rPr>
          <w:rFonts w:hint="eastAsia"/>
          <w:color w:val="auto"/>
          <w:lang w:val="en-US" w:eastAsia="zh-CN"/>
        </w:rPr>
        <w:t>2. 本次改建工程建设符合国家及地方社会经济、矿工业发展的有关规划，有利于增产增效、增强生产运输安全性，在符合相关规划的同时也符合企业的高效生产发展需求。改建工程可行性、安全性、合理性均符合要求。</w:t>
      </w:r>
    </w:p>
    <w:p w14:paraId="629BACC6">
      <w:pPr>
        <w:rPr>
          <w:rFonts w:hint="default"/>
          <w:color w:val="auto"/>
          <w:lang w:val="en-US" w:eastAsia="zh-CN"/>
        </w:rPr>
      </w:pPr>
      <w:r>
        <w:rPr>
          <w:rFonts w:hint="eastAsia"/>
          <w:color w:val="auto"/>
          <w:lang w:val="en-US" w:eastAsia="zh-CN"/>
        </w:rPr>
        <w:t>3. 利用原3#斜坡道改造时需降坡，中段运输巷道延伸、扩帮，开挖过程中需凿岩、爆破，对原有风管、线缆、照明灯具等有破坏危害，下一步设计应提出防范措施并根据现状斜坡道具体明确施工地点与范围。</w:t>
      </w:r>
    </w:p>
    <w:p w14:paraId="35CF4B25">
      <w:pPr>
        <w:rPr>
          <w:rFonts w:hint="eastAsia"/>
          <w:color w:val="auto"/>
          <w:lang w:val="en-US" w:eastAsia="zh-CN"/>
        </w:rPr>
      </w:pPr>
      <w:r>
        <w:rPr>
          <w:rFonts w:hint="eastAsia"/>
          <w:color w:val="auto"/>
          <w:lang w:val="en-US" w:eastAsia="zh-CN"/>
        </w:rPr>
        <w:t>5. 采用安全检查表法对矿山开拓</w:t>
      </w:r>
      <w:r>
        <w:rPr>
          <w:rFonts w:hint="eastAsia" w:ascii="Times New Roman" w:hAnsi="Times New Roman" w:eastAsia="宋体" w:cs="Times New Roman"/>
          <w:color w:val="auto"/>
          <w:lang w:val="en-US" w:eastAsia="zh-CN"/>
        </w:rPr>
        <w:t>系统</w:t>
      </w:r>
      <w:r>
        <w:rPr>
          <w:rFonts w:hint="eastAsia"/>
          <w:color w:val="auto"/>
          <w:lang w:val="en-US" w:eastAsia="zh-CN"/>
        </w:rPr>
        <w:t>单元检查3项，全部符合，3项</w:t>
      </w:r>
      <w:r>
        <w:rPr>
          <w:rFonts w:hint="default"/>
          <w:color w:val="auto"/>
          <w:lang w:val="en-US" w:eastAsia="zh-CN"/>
        </w:rPr>
        <w:t>符合</w:t>
      </w:r>
      <w:r>
        <w:rPr>
          <w:rFonts w:hint="eastAsia"/>
          <w:color w:val="auto"/>
          <w:lang w:val="en-US" w:eastAsia="zh-CN"/>
        </w:rPr>
        <w:t>，3项需下一步设计补充，</w:t>
      </w:r>
      <w:r>
        <w:rPr>
          <w:rFonts w:hint="default"/>
          <w:color w:val="auto"/>
          <w:lang w:val="en-US" w:eastAsia="zh-CN"/>
        </w:rPr>
        <w:t>开拓</w:t>
      </w:r>
      <w:r>
        <w:rPr>
          <w:rFonts w:hint="eastAsia"/>
          <w:color w:val="auto"/>
          <w:lang w:val="en-US" w:eastAsia="zh-CN"/>
        </w:rPr>
        <w:t>单元不</w:t>
      </w:r>
      <w:r>
        <w:rPr>
          <w:rFonts w:hint="default"/>
          <w:color w:val="auto"/>
          <w:lang w:val="en-US" w:eastAsia="zh-CN"/>
        </w:rPr>
        <w:t>符合</w:t>
      </w:r>
      <w:r>
        <w:rPr>
          <w:rFonts w:hint="eastAsia"/>
          <w:color w:val="auto"/>
          <w:lang w:val="en-US" w:eastAsia="zh-CN"/>
        </w:rPr>
        <w:t>《金属非金属矿山安全规程》（GB16423-2020）、《中华人民共和国矿山安全法实施条例》（原劳动部令第4号）的有关要求</w:t>
      </w:r>
      <w:r>
        <w:rPr>
          <w:rFonts w:hint="default" w:eastAsia="宋体"/>
          <w:color w:val="auto"/>
          <w:lang w:val="en-US" w:eastAsia="zh-CN"/>
        </w:rPr>
        <w:t>，建议下一步设计补充巷道支护和</w:t>
      </w:r>
      <w:r>
        <w:rPr>
          <w:rFonts w:hint="default" w:ascii="Times New Roman" w:hAnsi="Times New Roman" w:eastAsia="宋体" w:cs="Times New Roman"/>
          <w:snapToGrid/>
          <w:color w:val="auto"/>
          <w:spacing w:val="0"/>
          <w:kern w:val="2"/>
          <w:sz w:val="28"/>
          <w:szCs w:val="24"/>
          <w:lang w:val="en-US" w:eastAsia="zh-CN" w:bidi="ar-SA"/>
        </w:rPr>
        <w:t>保安矿柱</w:t>
      </w:r>
      <w:r>
        <w:rPr>
          <w:rFonts w:hint="eastAsia" w:eastAsia="宋体" w:cs="Times New Roman"/>
          <w:snapToGrid/>
          <w:color w:val="auto"/>
          <w:spacing w:val="0"/>
          <w:kern w:val="2"/>
          <w:sz w:val="28"/>
          <w:szCs w:val="24"/>
          <w:lang w:val="en-US" w:eastAsia="zh-CN" w:bidi="ar-SA"/>
        </w:rPr>
        <w:t>情况</w:t>
      </w:r>
      <w:r>
        <w:rPr>
          <w:rFonts w:hint="default" w:eastAsia="宋体"/>
          <w:color w:val="auto"/>
          <w:lang w:val="en-US" w:eastAsia="zh-CN"/>
        </w:rPr>
        <w:t>。</w:t>
      </w:r>
    </w:p>
    <w:p w14:paraId="092CB389">
      <w:pPr>
        <w:pStyle w:val="3"/>
        <w:bidi w:val="0"/>
        <w:rPr>
          <w:rFonts w:hint="eastAsia"/>
          <w:color w:val="auto"/>
          <w:lang w:val="en-US" w:eastAsia="zh-CN"/>
        </w:rPr>
      </w:pPr>
      <w:bookmarkStart w:id="270" w:name="_Toc3224"/>
      <w:bookmarkStart w:id="271" w:name="_Toc24257"/>
      <w:bookmarkStart w:id="272" w:name="_Toc22918"/>
      <w:bookmarkStart w:id="273" w:name="_Toc16257"/>
      <w:r>
        <w:rPr>
          <w:rFonts w:hint="eastAsia"/>
          <w:color w:val="auto"/>
          <w:lang w:val="en-US" w:eastAsia="zh-CN"/>
        </w:rPr>
        <w:t>3.4 运输系统单元</w:t>
      </w:r>
      <w:bookmarkEnd w:id="270"/>
      <w:bookmarkEnd w:id="271"/>
      <w:bookmarkEnd w:id="272"/>
      <w:bookmarkEnd w:id="273"/>
    </w:p>
    <w:p w14:paraId="19335B09">
      <w:pPr>
        <w:pStyle w:val="4"/>
        <w:bidi w:val="0"/>
        <w:rPr>
          <w:rFonts w:hint="default"/>
          <w:color w:val="auto"/>
          <w:lang w:val="en-US" w:eastAsia="zh-CN"/>
        </w:rPr>
      </w:pPr>
      <w:bookmarkStart w:id="274" w:name="_Toc15197"/>
      <w:bookmarkStart w:id="275" w:name="_Toc5305"/>
      <w:bookmarkStart w:id="276" w:name="_Toc9534"/>
      <w:bookmarkStart w:id="277" w:name="_Toc32243"/>
      <w:r>
        <w:rPr>
          <w:rFonts w:hint="default"/>
          <w:color w:val="auto"/>
          <w:lang w:val="en-US" w:eastAsia="zh-CN"/>
        </w:rPr>
        <w:t>3.4.1 预先危险性分析</w:t>
      </w:r>
      <w:bookmarkEnd w:id="274"/>
      <w:bookmarkEnd w:id="275"/>
      <w:bookmarkEnd w:id="276"/>
      <w:bookmarkEnd w:id="277"/>
    </w:p>
    <w:p w14:paraId="53ADE854">
      <w:pPr>
        <w:rPr>
          <w:rFonts w:hint="default"/>
          <w:color w:val="auto"/>
          <w:lang w:val="en-US" w:eastAsia="zh-CN"/>
        </w:rPr>
      </w:pPr>
      <w:r>
        <w:rPr>
          <w:rFonts w:hint="default"/>
          <w:color w:val="auto"/>
          <w:lang w:val="en-US" w:eastAsia="zh-CN"/>
        </w:rPr>
        <w:t>通过预先危险性分析法分析，运输系统单元存在的危险有害因素主要有</w:t>
      </w:r>
      <w:r>
        <w:rPr>
          <w:rFonts w:hint="eastAsia"/>
          <w:color w:val="auto"/>
          <w:lang w:val="en-US" w:eastAsia="zh-CN"/>
        </w:rPr>
        <w:t>：</w:t>
      </w:r>
      <w:r>
        <w:rPr>
          <w:rFonts w:hint="default"/>
          <w:color w:val="auto"/>
          <w:lang w:val="en-US" w:eastAsia="zh-CN"/>
        </w:rPr>
        <w:t>车辆伤害、</w:t>
      </w:r>
      <w:r>
        <w:rPr>
          <w:rFonts w:hint="eastAsia"/>
          <w:color w:val="auto"/>
          <w:lang w:val="en-US" w:eastAsia="zh-CN"/>
        </w:rPr>
        <w:t>高处坠落</w:t>
      </w:r>
      <w:r>
        <w:rPr>
          <w:rFonts w:hint="default"/>
          <w:color w:val="auto"/>
          <w:lang w:val="en-US" w:eastAsia="zh-CN"/>
        </w:rPr>
        <w:t>、</w:t>
      </w:r>
      <w:r>
        <w:rPr>
          <w:rFonts w:hint="eastAsia"/>
          <w:color w:val="auto"/>
          <w:lang w:val="en-US" w:eastAsia="zh-CN"/>
        </w:rPr>
        <w:t>物体打击</w:t>
      </w:r>
      <w:r>
        <w:rPr>
          <w:rFonts w:hint="default"/>
          <w:color w:val="auto"/>
          <w:lang w:val="en-US" w:eastAsia="zh-CN"/>
        </w:rPr>
        <w:t>、</w:t>
      </w:r>
      <w:r>
        <w:rPr>
          <w:rFonts w:hint="eastAsia"/>
          <w:color w:val="auto"/>
          <w:lang w:val="en-US" w:eastAsia="zh-CN"/>
        </w:rPr>
        <w:t>触电</w:t>
      </w:r>
      <w:r>
        <w:rPr>
          <w:rFonts w:hint="default"/>
          <w:color w:val="auto"/>
          <w:lang w:val="en-US" w:eastAsia="zh-CN"/>
        </w:rPr>
        <w:t>、粉尘、噪声与振动等，分析结果见表3</w:t>
      </w:r>
      <w:r>
        <w:rPr>
          <w:rFonts w:hint="eastAsia"/>
          <w:color w:val="auto"/>
          <w:lang w:val="en-US" w:eastAsia="zh-CN"/>
        </w:rPr>
        <w:t>.4</w:t>
      </w:r>
      <w:r>
        <w:rPr>
          <w:rFonts w:hint="default"/>
          <w:color w:val="auto"/>
          <w:lang w:val="en-US" w:eastAsia="zh-CN"/>
        </w:rPr>
        <w:t>-</w:t>
      </w:r>
      <w:r>
        <w:rPr>
          <w:rFonts w:hint="eastAsia"/>
          <w:color w:val="auto"/>
          <w:lang w:val="en-US" w:eastAsia="zh-CN"/>
        </w:rPr>
        <w:t>1</w:t>
      </w:r>
      <w:r>
        <w:rPr>
          <w:rFonts w:hint="default"/>
          <w:color w:val="auto"/>
          <w:lang w:val="en-US" w:eastAsia="zh-CN"/>
        </w:rPr>
        <w:t>。</w:t>
      </w:r>
    </w:p>
    <w:p w14:paraId="47ADF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w:t>
      </w:r>
      <w:r>
        <w:rPr>
          <w:rFonts w:hint="default"/>
          <w:color w:val="auto"/>
          <w:lang w:val="en-US" w:eastAsia="zh-CN"/>
        </w:rPr>
        <w:t>3</w:t>
      </w:r>
      <w:r>
        <w:rPr>
          <w:rFonts w:hint="eastAsia"/>
          <w:color w:val="auto"/>
          <w:lang w:val="en-US" w:eastAsia="zh-CN"/>
        </w:rPr>
        <w:t>.4</w:t>
      </w:r>
      <w:r>
        <w:rPr>
          <w:rFonts w:hint="default"/>
          <w:color w:val="auto"/>
          <w:lang w:val="en-US" w:eastAsia="zh-CN"/>
        </w:rPr>
        <w:t>-</w:t>
      </w:r>
      <w:r>
        <w:rPr>
          <w:rFonts w:hint="eastAsia"/>
          <w:color w:val="auto"/>
          <w:lang w:val="en-US" w:eastAsia="zh-CN"/>
        </w:rPr>
        <w:t>1</w:t>
      </w:r>
      <w:r>
        <w:rPr>
          <w:rFonts w:hint="eastAsia" w:ascii="Times New Roman" w:hAnsi="Times New Roman" w:eastAsia="宋体" w:cs="Times New Roman"/>
          <w:color w:val="auto"/>
          <w:lang w:val="en-US" w:eastAsia="zh-CN"/>
        </w:rPr>
        <w:t xml:space="preserve"> 运输</w:t>
      </w:r>
      <w:r>
        <w:rPr>
          <w:rFonts w:hint="default"/>
          <w:color w:val="auto"/>
          <w:lang w:val="en-US" w:eastAsia="zh-CN"/>
        </w:rPr>
        <w:t>系统</w:t>
      </w:r>
      <w:r>
        <w:rPr>
          <w:rFonts w:hint="eastAsia" w:ascii="Times New Roman" w:hAnsi="Times New Roman" w:eastAsia="宋体" w:cs="Times New Roman"/>
          <w:color w:val="auto"/>
          <w:lang w:val="en-US" w:eastAsia="zh-CN"/>
        </w:rPr>
        <w:t>单元预先危险性分析评价表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1539"/>
        <w:gridCol w:w="730"/>
        <w:gridCol w:w="730"/>
        <w:gridCol w:w="5528"/>
      </w:tblGrid>
      <w:tr w14:paraId="187F6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407" w:type="pct"/>
            <w:vAlign w:val="center"/>
          </w:tcPr>
          <w:p w14:paraId="6A7BEE4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危险因素</w:t>
            </w:r>
          </w:p>
        </w:tc>
        <w:tc>
          <w:tcPr>
            <w:tcW w:w="829" w:type="pct"/>
            <w:vAlign w:val="center"/>
          </w:tcPr>
          <w:p w14:paraId="1503AF0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原因</w:t>
            </w:r>
          </w:p>
        </w:tc>
        <w:tc>
          <w:tcPr>
            <w:tcW w:w="393" w:type="pct"/>
            <w:vAlign w:val="center"/>
          </w:tcPr>
          <w:p w14:paraId="0758F5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后果</w:t>
            </w:r>
          </w:p>
        </w:tc>
        <w:tc>
          <w:tcPr>
            <w:tcW w:w="393" w:type="pct"/>
            <w:vAlign w:val="center"/>
          </w:tcPr>
          <w:p w14:paraId="0538CA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危险等级</w:t>
            </w:r>
          </w:p>
        </w:tc>
        <w:tc>
          <w:tcPr>
            <w:tcW w:w="2977" w:type="pct"/>
            <w:vAlign w:val="center"/>
          </w:tcPr>
          <w:p w14:paraId="3EDC758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对策措施</w:t>
            </w:r>
          </w:p>
        </w:tc>
      </w:tr>
      <w:tr w14:paraId="4F094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atLeast"/>
          <w:jc w:val="center"/>
        </w:trPr>
        <w:tc>
          <w:tcPr>
            <w:tcW w:w="407" w:type="pct"/>
            <w:vAlign w:val="center"/>
          </w:tcPr>
          <w:p w14:paraId="47A149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车辆伤害</w:t>
            </w:r>
          </w:p>
        </w:tc>
        <w:tc>
          <w:tcPr>
            <w:tcW w:w="829" w:type="pct"/>
            <w:vAlign w:val="center"/>
          </w:tcPr>
          <w:p w14:paraId="7D51DBA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1、</w:t>
            </w:r>
            <w:r>
              <w:rPr>
                <w:rFonts w:hint="eastAsia" w:ascii="Times New Roman" w:hAnsi="Times New Roman" w:eastAsia="宋体" w:cs="Times New Roman"/>
                <w:snapToGrid w:val="0"/>
                <w:color w:val="auto"/>
                <w:spacing w:val="5"/>
                <w:kern w:val="0"/>
                <w:position w:val="4"/>
                <w:sz w:val="21"/>
                <w:szCs w:val="21"/>
                <w:lang w:val="en-US" w:bidi="ar-SA"/>
              </w:rPr>
              <w:t>巷道断面不足，未设人行道或人行道宽度不足;</w:t>
            </w:r>
          </w:p>
          <w:p w14:paraId="7B5F15E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2、</w:t>
            </w:r>
            <w:r>
              <w:rPr>
                <w:rFonts w:hint="eastAsia" w:ascii="Times New Roman" w:hAnsi="Times New Roman" w:eastAsia="宋体" w:cs="Times New Roman"/>
                <w:snapToGrid w:val="0"/>
                <w:color w:val="auto"/>
                <w:spacing w:val="5"/>
                <w:kern w:val="0"/>
                <w:position w:val="4"/>
                <w:sz w:val="21"/>
                <w:szCs w:val="21"/>
                <w:lang w:val="en-US" w:bidi="ar-SA"/>
              </w:rPr>
              <w:t>巷道内照明不足;</w:t>
            </w:r>
          </w:p>
          <w:p w14:paraId="220E043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3、</w:t>
            </w:r>
            <w:r>
              <w:rPr>
                <w:rFonts w:hint="eastAsia" w:ascii="Times New Roman" w:hAnsi="Times New Roman" w:eastAsia="宋体" w:cs="Times New Roman"/>
                <w:snapToGrid w:val="0"/>
                <w:color w:val="auto"/>
                <w:spacing w:val="5"/>
                <w:kern w:val="0"/>
                <w:position w:val="4"/>
                <w:sz w:val="21"/>
                <w:szCs w:val="21"/>
                <w:lang w:val="en-US" w:bidi="ar-SA"/>
              </w:rPr>
              <w:t>行人与运输车辆抢道;</w:t>
            </w:r>
          </w:p>
          <w:p w14:paraId="42D513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bidi="ar-SA"/>
              </w:rPr>
              <w:t>4、井下缺少警示标志，特别是急转弯处。</w:t>
            </w:r>
          </w:p>
        </w:tc>
        <w:tc>
          <w:tcPr>
            <w:tcW w:w="393" w:type="pct"/>
            <w:vAlign w:val="center"/>
          </w:tcPr>
          <w:p w14:paraId="4260A7C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p>
          <w:p w14:paraId="1815ED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p>
          <w:p w14:paraId="28AA5E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393" w:type="pct"/>
            <w:vAlign w:val="center"/>
          </w:tcPr>
          <w:p w14:paraId="2C5B6B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977" w:type="pct"/>
            <w:vAlign w:val="center"/>
          </w:tcPr>
          <w:p w14:paraId="548CB5B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1、</w:t>
            </w:r>
            <w:r>
              <w:rPr>
                <w:rFonts w:hint="eastAsia" w:ascii="Times New Roman" w:hAnsi="Times New Roman" w:eastAsia="宋体" w:cs="Times New Roman"/>
                <w:snapToGrid w:val="0"/>
                <w:color w:val="auto"/>
                <w:spacing w:val="5"/>
                <w:kern w:val="0"/>
                <w:position w:val="4"/>
                <w:sz w:val="21"/>
                <w:szCs w:val="21"/>
                <w:lang w:val="en-US" w:bidi="ar-SA"/>
              </w:rPr>
              <w:t>严格按设计要求开拓井巷工程,确保人行道宽度符合设计、规程要求。</w:t>
            </w:r>
          </w:p>
          <w:p w14:paraId="5327188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2、</w:t>
            </w:r>
            <w:r>
              <w:rPr>
                <w:rFonts w:hint="eastAsia" w:ascii="Times New Roman" w:hAnsi="Times New Roman" w:eastAsia="宋体" w:cs="Times New Roman"/>
                <w:snapToGrid w:val="0"/>
                <w:color w:val="auto"/>
                <w:spacing w:val="5"/>
                <w:kern w:val="0"/>
                <w:position w:val="4"/>
                <w:sz w:val="21"/>
                <w:szCs w:val="21"/>
                <w:lang w:val="en-US" w:bidi="ar-SA"/>
              </w:rPr>
              <w:t>按要求设置照明设施，照明设施应完好，照度符合要求。</w:t>
            </w:r>
          </w:p>
          <w:p w14:paraId="5547432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3、</w:t>
            </w:r>
            <w:r>
              <w:rPr>
                <w:rFonts w:hint="eastAsia" w:ascii="Times New Roman" w:hAnsi="Times New Roman" w:eastAsia="宋体" w:cs="Times New Roman"/>
                <w:snapToGrid w:val="0"/>
                <w:color w:val="auto"/>
                <w:spacing w:val="5"/>
                <w:kern w:val="0"/>
                <w:position w:val="4"/>
                <w:sz w:val="21"/>
                <w:szCs w:val="21"/>
                <w:lang w:val="en-US" w:bidi="ar-SA"/>
              </w:rPr>
              <w:t>井下行走时应注意安全，礼让运输车辆，发现车辆时及时躲避。</w:t>
            </w:r>
          </w:p>
          <w:p w14:paraId="4F5C8C9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4、</w:t>
            </w:r>
            <w:r>
              <w:rPr>
                <w:rFonts w:hint="eastAsia" w:ascii="Times New Roman" w:hAnsi="Times New Roman" w:eastAsia="宋体" w:cs="Times New Roman"/>
                <w:snapToGrid w:val="0"/>
                <w:color w:val="auto"/>
                <w:spacing w:val="5"/>
                <w:kern w:val="0"/>
                <w:position w:val="4"/>
                <w:sz w:val="21"/>
                <w:szCs w:val="21"/>
                <w:lang w:val="en-US" w:bidi="ar-SA"/>
              </w:rPr>
              <w:t>按要求设置安全警示标志。</w:t>
            </w:r>
          </w:p>
        </w:tc>
      </w:tr>
      <w:tr w14:paraId="622C4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407" w:type="pct"/>
            <w:vAlign w:val="center"/>
          </w:tcPr>
          <w:p w14:paraId="4F80430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高处坠落</w:t>
            </w:r>
          </w:p>
        </w:tc>
        <w:tc>
          <w:tcPr>
            <w:tcW w:w="829" w:type="pct"/>
            <w:vAlign w:val="center"/>
          </w:tcPr>
          <w:p w14:paraId="4EB596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人行在无防护装置，无人行踏步安全通道。</w:t>
            </w:r>
          </w:p>
          <w:p w14:paraId="594E45D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未穿防滑鞋。</w:t>
            </w:r>
          </w:p>
        </w:tc>
        <w:tc>
          <w:tcPr>
            <w:tcW w:w="393" w:type="pct"/>
            <w:vAlign w:val="center"/>
          </w:tcPr>
          <w:p w14:paraId="5925BC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393" w:type="pct"/>
            <w:vAlign w:val="center"/>
          </w:tcPr>
          <w:p w14:paraId="42F37DB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977" w:type="pct"/>
            <w:vAlign w:val="center"/>
          </w:tcPr>
          <w:p w14:paraId="7281E2E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1、人行安全通道设置防护拦，人行踏步。</w:t>
            </w:r>
          </w:p>
          <w:p w14:paraId="5366E9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2、人员穿防滑鞋。</w:t>
            </w:r>
          </w:p>
        </w:tc>
      </w:tr>
      <w:tr w14:paraId="6EA14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7" w:type="pct"/>
            <w:vAlign w:val="center"/>
          </w:tcPr>
          <w:p w14:paraId="7165B6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物体打击</w:t>
            </w:r>
          </w:p>
        </w:tc>
        <w:tc>
          <w:tcPr>
            <w:tcW w:w="829" w:type="pct"/>
            <w:vAlign w:val="center"/>
          </w:tcPr>
          <w:p w14:paraId="5964DDA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1、运输落物伤人；</w:t>
            </w:r>
          </w:p>
        </w:tc>
        <w:tc>
          <w:tcPr>
            <w:tcW w:w="393" w:type="pct"/>
            <w:vAlign w:val="center"/>
          </w:tcPr>
          <w:p w14:paraId="0B265F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393" w:type="pct"/>
            <w:vAlign w:val="center"/>
          </w:tcPr>
          <w:p w14:paraId="1CA6701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977" w:type="pct"/>
            <w:vAlign w:val="center"/>
          </w:tcPr>
          <w:p w14:paraId="41C3FE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1、矿石不能装得太满；</w:t>
            </w:r>
          </w:p>
          <w:p w14:paraId="1224B8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2、人员应在安全区域行走；</w:t>
            </w:r>
          </w:p>
        </w:tc>
      </w:tr>
      <w:tr w14:paraId="328C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6" w:hRule="atLeast"/>
          <w:jc w:val="center"/>
        </w:trPr>
        <w:tc>
          <w:tcPr>
            <w:tcW w:w="407" w:type="pct"/>
            <w:vAlign w:val="center"/>
          </w:tcPr>
          <w:p w14:paraId="058E01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触电</w:t>
            </w:r>
          </w:p>
        </w:tc>
        <w:tc>
          <w:tcPr>
            <w:tcW w:w="829" w:type="pct"/>
            <w:vAlign w:val="center"/>
          </w:tcPr>
          <w:p w14:paraId="2DC622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1、人体触及带电设备的裸露部分；</w:t>
            </w:r>
          </w:p>
          <w:p w14:paraId="571E8E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2、线缆过低漏电</w:t>
            </w:r>
          </w:p>
          <w:p w14:paraId="72705B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3、无安全防护措施；</w:t>
            </w:r>
          </w:p>
          <w:p w14:paraId="34B71A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4、带电检修。</w:t>
            </w:r>
          </w:p>
        </w:tc>
        <w:tc>
          <w:tcPr>
            <w:tcW w:w="393" w:type="pct"/>
            <w:vAlign w:val="center"/>
          </w:tcPr>
          <w:p w14:paraId="0470C3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393" w:type="pct"/>
            <w:vAlign w:val="center"/>
          </w:tcPr>
          <w:p w14:paraId="32ABA6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977" w:type="pct"/>
            <w:vAlign w:val="center"/>
          </w:tcPr>
          <w:p w14:paraId="4AC6BC2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1、设备的裸露带电部位应设护栏；</w:t>
            </w:r>
          </w:p>
          <w:p w14:paraId="11B17B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2、线缆高度按规程要求架设；</w:t>
            </w:r>
          </w:p>
          <w:p w14:paraId="39672D4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3、检修时应停电并先进行放电；</w:t>
            </w:r>
          </w:p>
          <w:p w14:paraId="7569F8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4、维修电工应经培训持证上岗。</w:t>
            </w:r>
          </w:p>
        </w:tc>
      </w:tr>
      <w:tr w14:paraId="413F4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7" w:type="pct"/>
            <w:vAlign w:val="center"/>
          </w:tcPr>
          <w:p w14:paraId="0FE9E9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粉尘</w:t>
            </w:r>
          </w:p>
        </w:tc>
        <w:tc>
          <w:tcPr>
            <w:tcW w:w="829" w:type="pct"/>
            <w:vAlign w:val="center"/>
          </w:tcPr>
          <w:p w14:paraId="3BB613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1、运矿作业；</w:t>
            </w:r>
          </w:p>
          <w:p w14:paraId="7505AB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2、放矿作业</w:t>
            </w:r>
          </w:p>
        </w:tc>
        <w:tc>
          <w:tcPr>
            <w:tcW w:w="393" w:type="pct"/>
            <w:vAlign w:val="center"/>
          </w:tcPr>
          <w:p w14:paraId="7CC772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人员健康受损</w:t>
            </w:r>
          </w:p>
        </w:tc>
        <w:tc>
          <w:tcPr>
            <w:tcW w:w="393" w:type="pct"/>
            <w:vAlign w:val="center"/>
          </w:tcPr>
          <w:p w14:paraId="26C0EE7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Ⅱ</w:t>
            </w:r>
          </w:p>
        </w:tc>
        <w:tc>
          <w:tcPr>
            <w:tcW w:w="2977" w:type="pct"/>
            <w:vAlign w:val="center"/>
          </w:tcPr>
          <w:p w14:paraId="2ACAF8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1、加强喷雾洒水工作；</w:t>
            </w:r>
          </w:p>
          <w:p w14:paraId="7643E7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2、为作业人员配备劳动保护用品；</w:t>
            </w:r>
          </w:p>
          <w:p w14:paraId="726F6D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3、建立健全通风管理制度和措施；</w:t>
            </w:r>
          </w:p>
          <w:p w14:paraId="6C4FAC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4、定期为作业人员进行检测和治疗；</w:t>
            </w:r>
          </w:p>
          <w:p w14:paraId="676D3C1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5、完善通风系统；</w:t>
            </w:r>
          </w:p>
          <w:p w14:paraId="65C2070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6、落实风、水、密、护、革、管、教、查八字防尘措施。</w:t>
            </w:r>
          </w:p>
        </w:tc>
      </w:tr>
      <w:tr w14:paraId="18FE0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7" w:type="pct"/>
            <w:vAlign w:val="center"/>
          </w:tcPr>
          <w:p w14:paraId="28283A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噪声与振动</w:t>
            </w:r>
          </w:p>
        </w:tc>
        <w:tc>
          <w:tcPr>
            <w:tcW w:w="829" w:type="pct"/>
            <w:vAlign w:val="center"/>
          </w:tcPr>
          <w:p w14:paraId="53A804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cs="Times New Roman"/>
                <w:snapToGrid w:val="0"/>
                <w:color w:val="auto"/>
                <w:spacing w:val="5"/>
                <w:kern w:val="0"/>
                <w:position w:val="4"/>
                <w:sz w:val="21"/>
                <w:szCs w:val="21"/>
                <w:lang w:val="en-US" w:eastAsia="zh-CN" w:bidi="ar-SA"/>
              </w:rPr>
              <w:t>车辆</w:t>
            </w:r>
            <w:r>
              <w:rPr>
                <w:rFonts w:hint="eastAsia" w:ascii="Times New Roman" w:hAnsi="Times New Roman" w:eastAsia="宋体" w:cs="Times New Roman"/>
                <w:snapToGrid w:val="0"/>
                <w:color w:val="auto"/>
                <w:spacing w:val="5"/>
                <w:kern w:val="0"/>
                <w:position w:val="4"/>
                <w:sz w:val="21"/>
                <w:szCs w:val="21"/>
                <w:lang w:val="en-US" w:bidi="ar-SA"/>
              </w:rPr>
              <w:t>运转产生噪声与振动</w:t>
            </w:r>
          </w:p>
        </w:tc>
        <w:tc>
          <w:tcPr>
            <w:tcW w:w="393" w:type="pct"/>
            <w:vAlign w:val="center"/>
          </w:tcPr>
          <w:p w14:paraId="37682CC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人员健康受损</w:t>
            </w:r>
          </w:p>
        </w:tc>
        <w:tc>
          <w:tcPr>
            <w:tcW w:w="393" w:type="pct"/>
            <w:vAlign w:val="center"/>
          </w:tcPr>
          <w:p w14:paraId="4603238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Ⅱ</w:t>
            </w:r>
          </w:p>
        </w:tc>
        <w:tc>
          <w:tcPr>
            <w:tcW w:w="2977" w:type="pct"/>
            <w:vAlign w:val="center"/>
          </w:tcPr>
          <w:p w14:paraId="289E829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1、作业人员采取防护措施。</w:t>
            </w:r>
          </w:p>
          <w:p w14:paraId="05645F6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2、采用加减振垫或设隔音间等减振、降噪措施。</w:t>
            </w:r>
          </w:p>
          <w:p w14:paraId="73E0EDC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3、缩短作业时间。</w:t>
            </w:r>
          </w:p>
        </w:tc>
      </w:tr>
    </w:tbl>
    <w:p w14:paraId="0A0E8CD6">
      <w:pPr>
        <w:bidi w:val="0"/>
        <w:rPr>
          <w:rFonts w:hint="default"/>
          <w:color w:val="auto"/>
          <w:lang w:val="en-US" w:eastAsia="zh-CN"/>
        </w:rPr>
      </w:pPr>
      <w:r>
        <w:rPr>
          <w:rFonts w:hint="default"/>
          <w:color w:val="auto"/>
          <w:lang w:val="en-US" w:eastAsia="zh-CN"/>
        </w:rPr>
        <w:t>通过预先危险性分析法评价，运输系统单元存在的危险有害因素主要有</w:t>
      </w:r>
      <w:r>
        <w:rPr>
          <w:rFonts w:hint="eastAsia"/>
          <w:color w:val="auto"/>
          <w:lang w:val="en-US" w:eastAsia="zh-CN"/>
        </w:rPr>
        <w:t>：</w:t>
      </w:r>
      <w:r>
        <w:rPr>
          <w:rFonts w:hint="default"/>
          <w:color w:val="auto"/>
          <w:lang w:val="en-US" w:eastAsia="zh-CN"/>
        </w:rPr>
        <w:t>车辆伤害、高处坠落、物体打击、触电、粉尘、噪声与振动等。其中车辆伤害、高处坠落、物体打击、触电等危害等级均为</w:t>
      </w:r>
      <w:r>
        <w:rPr>
          <w:rFonts w:hint="eastAsia" w:ascii="宋体" w:hAnsi="宋体" w:eastAsia="宋体" w:cs="宋体"/>
          <w:color w:val="auto"/>
          <w:lang w:val="en-US" w:eastAsia="zh-CN"/>
        </w:rPr>
        <w:t>Ⅲ</w:t>
      </w:r>
      <w:r>
        <w:rPr>
          <w:rFonts w:hint="default"/>
          <w:color w:val="auto"/>
          <w:lang w:val="en-US" w:eastAsia="zh-CN"/>
        </w:rPr>
        <w:t>级，应加以重视</w:t>
      </w:r>
      <w:r>
        <w:rPr>
          <w:rFonts w:hint="eastAsia"/>
          <w:color w:val="auto"/>
          <w:lang w:val="en-US" w:eastAsia="zh-CN"/>
        </w:rPr>
        <w:t>；</w:t>
      </w:r>
      <w:r>
        <w:rPr>
          <w:rFonts w:hint="default"/>
          <w:color w:val="auto"/>
          <w:lang w:val="en-US" w:eastAsia="zh-CN"/>
        </w:rPr>
        <w:t>粉尘、噪声与振动危害等级为</w:t>
      </w:r>
      <w:r>
        <w:rPr>
          <w:rFonts w:hint="eastAsia" w:ascii="宋体" w:hAnsi="宋体" w:eastAsia="宋体" w:cs="宋体"/>
          <w:snapToGrid w:val="0"/>
          <w:color w:val="auto"/>
          <w:kern w:val="0"/>
          <w:sz w:val="28"/>
          <w:szCs w:val="28"/>
        </w:rPr>
        <w:t>Ⅱ</w:t>
      </w:r>
      <w:r>
        <w:rPr>
          <w:rFonts w:hint="default"/>
          <w:color w:val="auto"/>
          <w:lang w:val="en-US" w:eastAsia="zh-CN"/>
        </w:rPr>
        <w:t>级，也应加以注意。采取合理的措施后，以上危险有害因素能控制在可接受范围内。</w:t>
      </w:r>
    </w:p>
    <w:p w14:paraId="1CF4AFF2">
      <w:pPr>
        <w:pStyle w:val="4"/>
        <w:bidi w:val="0"/>
        <w:rPr>
          <w:rFonts w:hint="eastAsia"/>
          <w:color w:val="auto"/>
          <w:lang w:val="en-US" w:eastAsia="zh-CN"/>
        </w:rPr>
      </w:pPr>
      <w:bookmarkStart w:id="278" w:name="_Toc29050"/>
      <w:bookmarkStart w:id="279" w:name="_Toc4551"/>
      <w:bookmarkStart w:id="280" w:name="_Toc4448"/>
      <w:bookmarkStart w:id="281" w:name="_Toc4935"/>
      <w:r>
        <w:rPr>
          <w:rFonts w:hint="eastAsia"/>
          <w:color w:val="auto"/>
          <w:lang w:val="en-US" w:eastAsia="zh-CN"/>
        </w:rPr>
        <w:t>3.4.2 安全检查表</w:t>
      </w:r>
      <w:bookmarkEnd w:id="278"/>
      <w:bookmarkEnd w:id="279"/>
      <w:bookmarkEnd w:id="280"/>
      <w:bookmarkEnd w:id="281"/>
    </w:p>
    <w:p w14:paraId="5E5E2CAF">
      <w:pPr>
        <w:rPr>
          <w:rFonts w:hint="eastAsia"/>
          <w:color w:val="auto"/>
          <w:lang w:val="en-US" w:eastAsia="zh-CN"/>
        </w:rPr>
      </w:pPr>
      <w:r>
        <w:rPr>
          <w:rFonts w:hint="eastAsia"/>
          <w:color w:val="auto"/>
          <w:lang w:val="en-US" w:eastAsia="zh-CN"/>
        </w:rPr>
        <w:t>按照《金属非金属矿山安全规程》（GB16423-2020）的要求，并参照《有色金属矿山井巷工程设计规范》（GB 50915-2013），通过安全检查表法对矿山运输</w:t>
      </w:r>
      <w:r>
        <w:rPr>
          <w:rFonts w:hint="default"/>
          <w:color w:val="auto"/>
          <w:lang w:val="en-US" w:eastAsia="zh-CN"/>
        </w:rPr>
        <w:t>系统</w:t>
      </w:r>
      <w:r>
        <w:rPr>
          <w:rFonts w:hint="eastAsia"/>
          <w:color w:val="auto"/>
          <w:lang w:val="en-US" w:eastAsia="zh-CN"/>
        </w:rPr>
        <w:t>单元进行符合性评价，具体评价见表3.4-2。</w:t>
      </w:r>
    </w:p>
    <w:p w14:paraId="1CF212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default"/>
          <w:color w:val="auto"/>
          <w:lang w:val="en-US" w:eastAsia="zh-CN"/>
        </w:rPr>
        <w:t>3</w:t>
      </w:r>
      <w:r>
        <w:rPr>
          <w:rFonts w:hint="eastAsia"/>
          <w:color w:val="auto"/>
          <w:lang w:val="en-US" w:eastAsia="zh-CN"/>
        </w:rPr>
        <w:t>.4</w:t>
      </w:r>
      <w:r>
        <w:rPr>
          <w:rFonts w:hint="default"/>
          <w:color w:val="auto"/>
          <w:lang w:val="en-US" w:eastAsia="zh-CN"/>
        </w:rPr>
        <w:t>-</w:t>
      </w:r>
      <w:r>
        <w:rPr>
          <w:rFonts w:hint="eastAsia"/>
          <w:color w:val="auto"/>
          <w:lang w:val="en-US" w:eastAsia="zh-CN"/>
        </w:rPr>
        <w:t>2</w:t>
      </w:r>
      <w:r>
        <w:rPr>
          <w:rFonts w:hint="eastAsia" w:ascii="Times New Roman" w:hAnsi="Times New Roman" w:eastAsia="宋体" w:cs="Times New Roman"/>
          <w:color w:val="auto"/>
          <w:lang w:val="en-US" w:eastAsia="zh-CN"/>
        </w:rPr>
        <w:t xml:space="preserve"> 运输</w:t>
      </w:r>
      <w:r>
        <w:rPr>
          <w:rFonts w:hint="default"/>
          <w:color w:val="auto"/>
          <w:lang w:val="en-US" w:eastAsia="zh-CN"/>
        </w:rPr>
        <w:t>系统</w:t>
      </w:r>
      <w:r>
        <w:rPr>
          <w:rFonts w:hint="eastAsia" w:ascii="Times New Roman" w:hAnsi="Times New Roman" w:eastAsia="宋体" w:cs="Times New Roman"/>
          <w:color w:val="auto"/>
          <w:lang w:val="en-US" w:eastAsia="zh-CN"/>
        </w:rPr>
        <w:t>单元</w:t>
      </w:r>
      <w:r>
        <w:rPr>
          <w:rFonts w:ascii="Times New Roman" w:hAnsi="Times New Roman" w:eastAsia="宋体" w:cs="Times New Roman"/>
          <w:color w:val="auto"/>
          <w:lang w:val="en-US" w:eastAsia="zh-CN"/>
        </w:rPr>
        <w:t>安全检查表</w:t>
      </w:r>
    </w:p>
    <w:tbl>
      <w:tblPr>
        <w:tblStyle w:val="17"/>
        <w:tblW w:w="506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930"/>
        <w:gridCol w:w="3842"/>
        <w:gridCol w:w="1447"/>
        <w:gridCol w:w="2046"/>
        <w:gridCol w:w="587"/>
      </w:tblGrid>
      <w:tr w14:paraId="166FAA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187" w:type="pct"/>
            <w:tcBorders>
              <w:left w:val="single" w:color="000000" w:sz="2" w:space="0"/>
              <w:right w:val="single" w:color="000000" w:sz="2" w:space="0"/>
            </w:tcBorders>
            <w:vAlign w:val="center"/>
          </w:tcPr>
          <w:p w14:paraId="200133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505" w:type="pct"/>
            <w:tcBorders>
              <w:left w:val="single" w:color="000000" w:sz="2" w:space="0"/>
              <w:right w:val="single" w:color="000000" w:sz="2" w:space="0"/>
            </w:tcBorders>
            <w:vAlign w:val="center"/>
          </w:tcPr>
          <w:p w14:paraId="024275B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2089" w:type="pct"/>
            <w:tcBorders>
              <w:left w:val="single" w:color="000000" w:sz="2" w:space="0"/>
              <w:right w:val="single" w:color="000000" w:sz="2" w:space="0"/>
            </w:tcBorders>
            <w:vAlign w:val="center"/>
          </w:tcPr>
          <w:p w14:paraId="39F159D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786" w:type="pct"/>
            <w:tcBorders>
              <w:left w:val="single" w:color="000000" w:sz="2" w:space="0"/>
              <w:right w:val="single" w:color="000000" w:sz="2" w:space="0"/>
            </w:tcBorders>
            <w:vAlign w:val="center"/>
          </w:tcPr>
          <w:p w14:paraId="419163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112" w:type="pct"/>
            <w:tcBorders>
              <w:left w:val="single" w:color="000000" w:sz="2" w:space="0"/>
              <w:right w:val="single" w:color="000000" w:sz="2" w:space="0"/>
            </w:tcBorders>
            <w:vAlign w:val="center"/>
          </w:tcPr>
          <w:p w14:paraId="2DD182E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19" w:type="pct"/>
            <w:tcBorders>
              <w:left w:val="single" w:color="000000" w:sz="2" w:space="0"/>
              <w:right w:val="single" w:color="000000" w:sz="2" w:space="0"/>
            </w:tcBorders>
            <w:vAlign w:val="center"/>
          </w:tcPr>
          <w:p w14:paraId="3F5C9E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3F27B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0ED215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一</w:t>
            </w:r>
          </w:p>
        </w:tc>
        <w:tc>
          <w:tcPr>
            <w:tcW w:w="4812" w:type="pct"/>
            <w:gridSpan w:val="5"/>
            <w:tcBorders>
              <w:top w:val="single" w:color="000000" w:sz="2" w:space="0"/>
              <w:left w:val="single" w:color="000000" w:sz="2" w:space="0"/>
              <w:bottom w:val="single" w:color="000000" w:sz="2" w:space="0"/>
              <w:right w:val="single" w:color="000000" w:sz="2" w:space="0"/>
            </w:tcBorders>
            <w:vAlign w:val="center"/>
          </w:tcPr>
          <w:p w14:paraId="40602C6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无轨运输系统</w:t>
            </w:r>
          </w:p>
        </w:tc>
      </w:tr>
      <w:tr w14:paraId="2E016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38C867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505" w:type="pct"/>
            <w:tcBorders>
              <w:top w:val="single" w:color="000000" w:sz="2" w:space="0"/>
              <w:left w:val="single" w:color="000000" w:sz="2" w:space="0"/>
              <w:bottom w:val="single" w:color="000000" w:sz="2" w:space="0"/>
              <w:right w:val="single" w:color="000000" w:sz="2" w:space="0"/>
            </w:tcBorders>
            <w:vAlign w:val="center"/>
          </w:tcPr>
          <w:p w14:paraId="1110FFD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斜坡道参数</w:t>
            </w:r>
          </w:p>
        </w:tc>
        <w:tc>
          <w:tcPr>
            <w:tcW w:w="2089" w:type="pct"/>
            <w:tcBorders>
              <w:top w:val="single" w:color="000000" w:sz="2" w:space="0"/>
              <w:left w:val="single" w:color="000000" w:sz="2" w:space="0"/>
              <w:bottom w:val="single" w:color="000000" w:sz="2" w:space="0"/>
              <w:right w:val="single" w:color="000000" w:sz="2" w:space="0"/>
            </w:tcBorders>
            <w:vAlign w:val="center"/>
          </w:tcPr>
          <w:p w14:paraId="3D9719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无轨运输系统应符合下列要求:</w:t>
            </w:r>
          </w:p>
          <w:p w14:paraId="0BF6CB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--设备顶部至巷道顶板的距离不小于0.6m;</w:t>
            </w:r>
          </w:p>
          <w:p w14:paraId="5E9175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--斜坡道每400m应设置一段坡度不大于3%、长度不小于20m的缓坡段;</w:t>
            </w:r>
          </w:p>
          <w:p w14:paraId="492723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错车道应设置在缓坡段，缓坡段的坡度和长度要求同上款中的要求</w:t>
            </w:r>
            <w:r>
              <w:rPr>
                <w:rFonts w:hint="eastAsia" w:ascii="Times New Roman" w:hAnsi="Times New Roman" w:eastAsia="宋体" w:cs="Times New Roman"/>
                <w:snapToGrid w:val="0"/>
                <w:color w:val="auto"/>
                <w:spacing w:val="6"/>
                <w:kern w:val="0"/>
                <w:sz w:val="21"/>
                <w:szCs w:val="21"/>
                <w:lang w:val="en-US" w:eastAsia="zh-CN" w:bidi="ar-SA"/>
              </w:rPr>
              <w:t>；</w:t>
            </w:r>
          </w:p>
          <w:p w14:paraId="7B4B563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斜坡道坡度:承载5人以上的运人车辆通行的，不大于16%</w:t>
            </w: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承载5人以下的运人车辆通行的，不大于20%:</w:t>
            </w:r>
          </w:p>
          <w:p w14:paraId="4A7319A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--斜坡道路面应平整;主要斜坡道应有良好的混凝土、沥青或级配均匀的碎石路面。</w:t>
            </w:r>
          </w:p>
        </w:tc>
        <w:tc>
          <w:tcPr>
            <w:tcW w:w="786" w:type="pct"/>
            <w:tcBorders>
              <w:top w:val="single" w:color="000000" w:sz="2" w:space="0"/>
              <w:left w:val="single" w:color="000000" w:sz="2" w:space="0"/>
              <w:bottom w:val="single" w:color="000000" w:sz="2" w:space="0"/>
              <w:right w:val="single" w:color="000000" w:sz="2" w:space="0"/>
            </w:tcBorders>
            <w:vAlign w:val="center"/>
          </w:tcPr>
          <w:p w14:paraId="1264CCA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第6.3.4.4条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01C538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自卸式翻斗汽车（UQ-12）</w:t>
            </w:r>
            <w:r>
              <w:rPr>
                <w:rFonts w:hint="default" w:ascii="Times New Roman" w:hAnsi="Times New Roman" w:eastAsia="宋体" w:cs="Times New Roman"/>
                <w:snapToGrid w:val="0"/>
                <w:color w:val="auto"/>
                <w:spacing w:val="26"/>
                <w:kern w:val="0"/>
                <w:sz w:val="21"/>
                <w:szCs w:val="21"/>
                <w:lang w:val="en-US" w:eastAsia="zh-CN" w:bidi="ar-SA"/>
              </w:rPr>
              <w:t>高1.</w:t>
            </w:r>
            <w:r>
              <w:rPr>
                <w:rFonts w:hint="eastAsia" w:cs="Times New Roman"/>
                <w:snapToGrid w:val="0"/>
                <w:color w:val="auto"/>
                <w:spacing w:val="26"/>
                <w:kern w:val="0"/>
                <w:sz w:val="21"/>
                <w:szCs w:val="21"/>
                <w:lang w:val="en-US" w:eastAsia="zh-CN" w:bidi="ar-SA"/>
              </w:rPr>
              <w:t>8</w:t>
            </w:r>
            <w:r>
              <w:rPr>
                <w:rFonts w:hint="default" w:ascii="Times New Roman" w:hAnsi="Times New Roman" w:eastAsia="宋体" w:cs="Times New Roman"/>
                <w:snapToGrid w:val="0"/>
                <w:color w:val="auto"/>
                <w:spacing w:val="26"/>
                <w:kern w:val="0"/>
                <w:sz w:val="21"/>
                <w:szCs w:val="21"/>
                <w:lang w:val="en-US" w:eastAsia="zh-CN" w:bidi="ar-SA"/>
              </w:rPr>
              <w:t>m，RU-6人车高</w:t>
            </w:r>
            <w:r>
              <w:rPr>
                <w:rFonts w:hint="eastAsia" w:cs="Times New Roman"/>
                <w:snapToGrid w:val="0"/>
                <w:color w:val="auto"/>
                <w:spacing w:val="26"/>
                <w:kern w:val="0"/>
                <w:sz w:val="21"/>
                <w:szCs w:val="21"/>
                <w:lang w:val="en-US" w:eastAsia="zh-CN" w:bidi="ar-SA"/>
              </w:rPr>
              <w:t>2.3</w:t>
            </w:r>
            <w:r>
              <w:rPr>
                <w:rFonts w:hint="eastAsia" w:ascii="Times New Roman" w:hAnsi="Times New Roman" w:eastAsia="宋体" w:cs="Times New Roman"/>
                <w:snapToGrid w:val="0"/>
                <w:color w:val="auto"/>
                <w:spacing w:val="26"/>
                <w:kern w:val="0"/>
                <w:sz w:val="21"/>
                <w:szCs w:val="21"/>
                <w:lang w:val="en-US" w:eastAsia="zh-CN" w:bidi="ar-SA"/>
              </w:rPr>
              <w:t>8</w:t>
            </w:r>
            <w:r>
              <w:rPr>
                <w:rFonts w:hint="default" w:ascii="Times New Roman" w:hAnsi="Times New Roman" w:eastAsia="宋体" w:cs="Times New Roman"/>
                <w:snapToGrid w:val="0"/>
                <w:color w:val="auto"/>
                <w:spacing w:val="26"/>
                <w:kern w:val="0"/>
                <w:sz w:val="21"/>
                <w:szCs w:val="21"/>
                <w:lang w:val="en-US" w:eastAsia="zh-CN" w:bidi="ar-SA"/>
              </w:rPr>
              <w:t>m，斜坡道高</w:t>
            </w:r>
            <w:r>
              <w:rPr>
                <w:rFonts w:hint="eastAsia" w:ascii="Times New Roman" w:hAnsi="Times New Roman" w:eastAsia="宋体" w:cs="Times New Roman"/>
                <w:snapToGrid w:val="0"/>
                <w:color w:val="auto"/>
                <w:spacing w:val="26"/>
                <w:kern w:val="0"/>
                <w:sz w:val="21"/>
                <w:szCs w:val="21"/>
                <w:lang w:val="en-US" w:eastAsia="zh-CN" w:bidi="ar-SA"/>
              </w:rPr>
              <w:t>3.</w:t>
            </w:r>
            <w:r>
              <w:rPr>
                <w:rFonts w:hint="eastAsia" w:cs="Times New Roman"/>
                <w:snapToGrid w:val="0"/>
                <w:color w:val="auto"/>
                <w:spacing w:val="26"/>
                <w:kern w:val="0"/>
                <w:sz w:val="21"/>
                <w:szCs w:val="21"/>
                <w:lang w:val="en-US" w:eastAsia="zh-CN" w:bidi="ar-SA"/>
              </w:rPr>
              <w:t>5</w:t>
            </w:r>
            <w:r>
              <w:rPr>
                <w:rFonts w:hint="default" w:ascii="Times New Roman" w:hAnsi="Times New Roman" w:eastAsia="宋体" w:cs="Times New Roman"/>
                <w:snapToGrid w:val="0"/>
                <w:color w:val="auto"/>
                <w:spacing w:val="26"/>
                <w:kern w:val="0"/>
                <w:sz w:val="21"/>
                <w:szCs w:val="21"/>
                <w:lang w:val="en-US" w:eastAsia="zh-CN" w:bidi="ar-SA"/>
              </w:rPr>
              <w:t>m，</w:t>
            </w:r>
            <w:r>
              <w:rPr>
                <w:rFonts w:hint="eastAsia" w:ascii="Times New Roman" w:hAnsi="Times New Roman" w:eastAsia="宋体" w:cs="Times New Roman"/>
                <w:snapToGrid w:val="0"/>
                <w:color w:val="auto"/>
                <w:spacing w:val="26"/>
                <w:kern w:val="0"/>
                <w:sz w:val="21"/>
                <w:szCs w:val="21"/>
                <w:lang w:val="en-US" w:eastAsia="zh-CN" w:bidi="ar-SA"/>
              </w:rPr>
              <w:t>均满足要求</w:t>
            </w:r>
            <w:r>
              <w:rPr>
                <w:rFonts w:hint="default" w:ascii="Times New Roman" w:hAnsi="Times New Roman" w:eastAsia="宋体" w:cs="Times New Roman"/>
                <w:snapToGrid w:val="0"/>
                <w:color w:val="auto"/>
                <w:spacing w:val="26"/>
                <w:kern w:val="0"/>
                <w:sz w:val="21"/>
                <w:szCs w:val="21"/>
                <w:lang w:val="en-US" w:eastAsia="zh-CN" w:bidi="ar-SA"/>
              </w:rPr>
              <w:t>;</w:t>
            </w:r>
          </w:p>
          <w:p w14:paraId="4E0E23A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《可研报告》未说明斜坡道和错车道设置情况</w:t>
            </w:r>
            <w:r>
              <w:rPr>
                <w:rFonts w:hint="default" w:ascii="Times New Roman" w:hAnsi="Times New Roman" w:eastAsia="宋体" w:cs="Times New Roman"/>
                <w:snapToGrid w:val="0"/>
                <w:color w:val="auto"/>
                <w:spacing w:val="26"/>
                <w:kern w:val="0"/>
                <w:sz w:val="21"/>
                <w:szCs w:val="21"/>
                <w:lang w:val="en-US" w:eastAsia="zh-CN" w:bidi="ar-SA"/>
              </w:rPr>
              <w:t>;</w:t>
            </w:r>
          </w:p>
          <w:p w14:paraId="3479D56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主斜坡道坡度</w:t>
            </w:r>
            <w:r>
              <w:rPr>
                <w:rFonts w:hint="eastAsia" w:cs="Times New Roman"/>
                <w:snapToGrid w:val="0"/>
                <w:color w:val="auto"/>
                <w:spacing w:val="26"/>
                <w:kern w:val="0"/>
                <w:sz w:val="21"/>
                <w:szCs w:val="21"/>
                <w:lang w:val="en-US" w:eastAsia="zh-CN" w:bidi="ar-SA"/>
              </w:rPr>
              <w:t>改造</w:t>
            </w:r>
            <w:r>
              <w:rPr>
                <w:rFonts w:hint="default" w:ascii="Times New Roman" w:hAnsi="Times New Roman" w:eastAsia="宋体" w:cs="Times New Roman"/>
                <w:snapToGrid w:val="0"/>
                <w:color w:val="auto"/>
                <w:spacing w:val="26"/>
                <w:kern w:val="0"/>
                <w:sz w:val="21"/>
                <w:szCs w:val="21"/>
                <w:lang w:val="en-US" w:eastAsia="zh-CN" w:bidi="ar-SA"/>
              </w:rPr>
              <w:t>降坡降至</w:t>
            </w:r>
            <w:r>
              <w:rPr>
                <w:rFonts w:hint="eastAsia" w:cs="Times New Roman"/>
                <w:snapToGrid w:val="0"/>
                <w:color w:val="auto"/>
                <w:spacing w:val="26"/>
                <w:kern w:val="0"/>
                <w:sz w:val="21"/>
                <w:szCs w:val="21"/>
                <w:lang w:val="en-US" w:eastAsia="zh-CN" w:bidi="ar-SA"/>
              </w:rPr>
              <w:t>15.96</w:t>
            </w:r>
            <w:r>
              <w:rPr>
                <w:rFonts w:hint="default" w:ascii="Times New Roman" w:hAnsi="Times New Roman" w:eastAsia="宋体" w:cs="Times New Roman"/>
                <w:snapToGrid w:val="0"/>
                <w:color w:val="auto"/>
                <w:spacing w:val="26"/>
                <w:kern w:val="0"/>
                <w:sz w:val="21"/>
                <w:szCs w:val="21"/>
                <w:lang w:val="en-US" w:eastAsia="zh-CN" w:bidi="ar-SA"/>
              </w:rPr>
              <w:t>%</w:t>
            </w:r>
            <w:r>
              <w:rPr>
                <w:rFonts w:hint="eastAsia"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26"/>
                <w:kern w:val="0"/>
                <w:sz w:val="21"/>
                <w:szCs w:val="21"/>
                <w:lang w:val="en-US" w:eastAsia="zh-CN" w:bidi="ar-SA"/>
              </w:rPr>
              <w:t>RU-6人车</w:t>
            </w:r>
            <w:r>
              <w:rPr>
                <w:rFonts w:hint="eastAsia" w:cs="Times New Roman"/>
                <w:snapToGrid w:val="0"/>
                <w:color w:val="auto"/>
                <w:spacing w:val="26"/>
                <w:kern w:val="0"/>
                <w:sz w:val="21"/>
                <w:szCs w:val="21"/>
                <w:lang w:val="en-US" w:eastAsia="zh-CN" w:bidi="ar-SA"/>
              </w:rPr>
              <w:t>运送人员为6人，斜坡道坡度满足要求</w:t>
            </w:r>
            <w:r>
              <w:rPr>
                <w:rFonts w:hint="default" w:ascii="Times New Roman" w:hAnsi="Times New Roman" w:eastAsia="宋体" w:cs="Times New Roman"/>
                <w:snapToGrid w:val="0"/>
                <w:color w:val="auto"/>
                <w:spacing w:val="26"/>
                <w:kern w:val="0"/>
                <w:sz w:val="21"/>
                <w:szCs w:val="21"/>
                <w:lang w:val="en-US" w:eastAsia="zh-CN" w:bidi="ar-SA"/>
              </w:rPr>
              <w:t>。</w:t>
            </w:r>
          </w:p>
          <w:p w14:paraId="1F38D37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《可研报告》未说明斜坡道情况。</w:t>
            </w:r>
          </w:p>
        </w:tc>
        <w:tc>
          <w:tcPr>
            <w:tcW w:w="319" w:type="pct"/>
            <w:tcBorders>
              <w:top w:val="single" w:color="000000" w:sz="2" w:space="0"/>
              <w:left w:val="single" w:color="000000" w:sz="2" w:space="0"/>
              <w:bottom w:val="single" w:color="000000" w:sz="2" w:space="0"/>
              <w:right w:val="single" w:color="000000" w:sz="2" w:space="0"/>
            </w:tcBorders>
            <w:vAlign w:val="center"/>
          </w:tcPr>
          <w:p w14:paraId="30F91D7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0CFA8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1EE2A8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w:t>
            </w:r>
          </w:p>
        </w:tc>
        <w:tc>
          <w:tcPr>
            <w:tcW w:w="505" w:type="pct"/>
            <w:tcBorders>
              <w:top w:val="single" w:color="000000" w:sz="2" w:space="0"/>
              <w:left w:val="single" w:color="000000" w:sz="2" w:space="0"/>
              <w:bottom w:val="single" w:color="000000" w:sz="2" w:space="0"/>
              <w:right w:val="single" w:color="000000" w:sz="2" w:space="0"/>
            </w:tcBorders>
            <w:vAlign w:val="center"/>
          </w:tcPr>
          <w:p w14:paraId="76BC042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安全间距</w:t>
            </w:r>
          </w:p>
        </w:tc>
        <w:tc>
          <w:tcPr>
            <w:tcW w:w="2089" w:type="pct"/>
            <w:tcBorders>
              <w:top w:val="single" w:color="000000" w:sz="2" w:space="0"/>
              <w:left w:val="single" w:color="000000" w:sz="2" w:space="0"/>
              <w:bottom w:val="single" w:color="000000" w:sz="2" w:space="0"/>
              <w:right w:val="single" w:color="000000" w:sz="2" w:space="0"/>
            </w:tcBorders>
            <w:vAlign w:val="center"/>
          </w:tcPr>
          <w:p w14:paraId="5AB3D8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在水平巷道、斜井和斜坡道中，运输设备之间、运输设备与巷道壁或者巷道内设施之间的间隙，应符合下列规定:</w:t>
            </w:r>
          </w:p>
          <w:p w14:paraId="311C68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--有轨运输不小于0.3m;</w:t>
            </w:r>
          </w:p>
          <w:p w14:paraId="3E8F73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--无轨运输不小于0.6m。</w:t>
            </w:r>
          </w:p>
        </w:tc>
        <w:tc>
          <w:tcPr>
            <w:tcW w:w="786" w:type="pct"/>
            <w:tcBorders>
              <w:top w:val="single" w:color="000000" w:sz="2" w:space="0"/>
              <w:left w:val="single" w:color="000000" w:sz="2" w:space="0"/>
              <w:bottom w:val="single" w:color="000000" w:sz="2" w:space="0"/>
              <w:right w:val="single" w:color="000000" w:sz="2" w:space="0"/>
            </w:tcBorders>
            <w:vAlign w:val="center"/>
          </w:tcPr>
          <w:p w14:paraId="29EE46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第6.2.5.7条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3C33BB4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自卸式翻斗汽车（UQ-12）宽</w:t>
            </w:r>
            <w:r>
              <w:rPr>
                <w:rFonts w:hint="eastAsia" w:cs="Times New Roman"/>
                <w:snapToGrid w:val="0"/>
                <w:color w:val="auto"/>
                <w:spacing w:val="6"/>
                <w:kern w:val="0"/>
                <w:sz w:val="21"/>
                <w:szCs w:val="21"/>
                <w:lang w:val="en-US" w:eastAsia="zh-CN" w:bidi="ar-SA"/>
              </w:rPr>
              <w:t>2.0</w:t>
            </w:r>
            <w:r>
              <w:rPr>
                <w:rFonts w:hint="eastAsia" w:ascii="Times New Roman" w:hAnsi="Times New Roman" w:eastAsia="宋体" w:cs="Times New Roman"/>
                <w:snapToGrid w:val="0"/>
                <w:color w:val="auto"/>
                <w:spacing w:val="6"/>
                <w:kern w:val="0"/>
                <w:sz w:val="21"/>
                <w:szCs w:val="21"/>
                <w:lang w:val="en-US" w:bidi="ar-SA"/>
              </w:rPr>
              <w:t>m，RU-6人车宽</w:t>
            </w:r>
            <w:r>
              <w:rPr>
                <w:rFonts w:hint="eastAsia" w:cs="Times New Roman"/>
                <w:snapToGrid w:val="0"/>
                <w:color w:val="auto"/>
                <w:spacing w:val="6"/>
                <w:kern w:val="0"/>
                <w:sz w:val="21"/>
                <w:szCs w:val="21"/>
                <w:lang w:val="en-US" w:eastAsia="zh-CN" w:bidi="ar-SA"/>
              </w:rPr>
              <w:t>2.04</w:t>
            </w:r>
            <w:r>
              <w:rPr>
                <w:rFonts w:hint="eastAsia" w:ascii="Times New Roman" w:hAnsi="Times New Roman" w:eastAsia="宋体" w:cs="Times New Roman"/>
                <w:snapToGrid w:val="0"/>
                <w:color w:val="auto"/>
                <w:spacing w:val="6"/>
                <w:kern w:val="0"/>
                <w:sz w:val="21"/>
                <w:szCs w:val="21"/>
                <w:lang w:val="en-US" w:bidi="ar-SA"/>
              </w:rPr>
              <w:t>m，斜坡道宽</w:t>
            </w:r>
            <w:r>
              <w:rPr>
                <w:rFonts w:hint="eastAsia" w:cs="Times New Roman"/>
                <w:snapToGrid w:val="0"/>
                <w:color w:val="auto"/>
                <w:spacing w:val="6"/>
                <w:kern w:val="0"/>
                <w:sz w:val="21"/>
                <w:szCs w:val="21"/>
                <w:lang w:val="en-US" w:eastAsia="zh-CN" w:bidi="ar-SA"/>
              </w:rPr>
              <w:t>4</w:t>
            </w:r>
            <w:r>
              <w:rPr>
                <w:rFonts w:hint="eastAsia" w:ascii="Times New Roman" w:hAnsi="Times New Roman" w:eastAsia="宋体" w:cs="Times New Roman"/>
                <w:snapToGrid w:val="0"/>
                <w:color w:val="auto"/>
                <w:spacing w:val="6"/>
                <w:kern w:val="0"/>
                <w:sz w:val="21"/>
                <w:szCs w:val="21"/>
                <w:lang w:val="en-US" w:bidi="ar-SA"/>
              </w:rPr>
              <w:t>m，满足运输设备之间、运输设备与巷道壁或者巷道内设施之间的安全间距要求。</w:t>
            </w:r>
          </w:p>
        </w:tc>
        <w:tc>
          <w:tcPr>
            <w:tcW w:w="319" w:type="pct"/>
            <w:tcBorders>
              <w:top w:val="single" w:color="000000" w:sz="2" w:space="0"/>
              <w:left w:val="single" w:color="000000" w:sz="2" w:space="0"/>
              <w:bottom w:val="single" w:color="000000" w:sz="2" w:space="0"/>
              <w:right w:val="single" w:color="000000" w:sz="2" w:space="0"/>
            </w:tcBorders>
            <w:vAlign w:val="center"/>
          </w:tcPr>
          <w:p w14:paraId="6836D7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5B4A3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1BEC80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3</w:t>
            </w:r>
          </w:p>
        </w:tc>
        <w:tc>
          <w:tcPr>
            <w:tcW w:w="505" w:type="pct"/>
            <w:tcBorders>
              <w:top w:val="single" w:color="000000" w:sz="2" w:space="0"/>
              <w:left w:val="single" w:color="000000" w:sz="2" w:space="0"/>
              <w:bottom w:val="single" w:color="000000" w:sz="2" w:space="0"/>
              <w:right w:val="single" w:color="000000" w:sz="2" w:space="0"/>
            </w:tcBorders>
            <w:vAlign w:val="center"/>
          </w:tcPr>
          <w:p w14:paraId="79EAF91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人行道或躲避硐室</w:t>
            </w:r>
          </w:p>
        </w:tc>
        <w:tc>
          <w:tcPr>
            <w:tcW w:w="2089" w:type="pct"/>
            <w:tcBorders>
              <w:top w:val="single" w:color="000000" w:sz="2" w:space="0"/>
              <w:left w:val="single" w:color="000000" w:sz="2" w:space="0"/>
              <w:bottom w:val="single" w:color="000000" w:sz="2" w:space="0"/>
              <w:right w:val="single" w:color="000000" w:sz="2" w:space="0"/>
            </w:tcBorders>
            <w:vAlign w:val="center"/>
          </w:tcPr>
          <w:p w14:paraId="1A068A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行人的无轨运输巷道和斜坡道应按下列要求设置人行道或躲避硐室:</w:t>
            </w:r>
          </w:p>
          <w:p w14:paraId="7E56307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人行道的高度不小于1.9m，宽度不小于1.2m;</w:t>
            </w:r>
          </w:p>
          <w:p w14:paraId="6F6E15C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-躲避硐室的高度不小于1.9m，深度和宽度均不小于1.0m;</w:t>
            </w:r>
          </w:p>
          <w:p w14:paraId="2F0F019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--躲避硐室间距:曲线段不超过15m，直线段不超过50m;</w:t>
            </w:r>
          </w:p>
          <w:p w14:paraId="43C3EC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-躲避硐室应有明显的标志，并保持干净、无障碍物。</w:t>
            </w:r>
          </w:p>
        </w:tc>
        <w:tc>
          <w:tcPr>
            <w:tcW w:w="786" w:type="pct"/>
            <w:tcBorders>
              <w:top w:val="single" w:color="000000" w:sz="2" w:space="0"/>
              <w:left w:val="single" w:color="000000" w:sz="2" w:space="0"/>
              <w:bottom w:val="single" w:color="000000" w:sz="2" w:space="0"/>
              <w:right w:val="single" w:color="000000" w:sz="2" w:space="0"/>
            </w:tcBorders>
            <w:vAlign w:val="center"/>
          </w:tcPr>
          <w:p w14:paraId="231B5B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第6.2.5.6条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7A5E19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《可研报告》未说明</w:t>
            </w:r>
            <w:r>
              <w:rPr>
                <w:rFonts w:hint="eastAsia" w:ascii="Times New Roman" w:hAnsi="Times New Roman" w:eastAsia="宋体" w:cs="Times New Roman"/>
                <w:snapToGrid w:val="0"/>
                <w:color w:val="auto"/>
                <w:spacing w:val="6"/>
                <w:kern w:val="0"/>
                <w:sz w:val="21"/>
                <w:szCs w:val="21"/>
                <w:lang w:val="en-US" w:bidi="ar-SA"/>
              </w:rPr>
              <w:t>躲避</w:t>
            </w:r>
            <w:r>
              <w:rPr>
                <w:rFonts w:hint="eastAsia" w:cs="Times New Roman"/>
                <w:snapToGrid w:val="0"/>
                <w:color w:val="auto"/>
                <w:spacing w:val="6"/>
                <w:kern w:val="0"/>
                <w:sz w:val="21"/>
                <w:szCs w:val="21"/>
                <w:lang w:val="en-US" w:eastAsia="zh-CN" w:bidi="ar-SA"/>
              </w:rPr>
              <w:t>避室设置情况。</w:t>
            </w:r>
          </w:p>
          <w:p w14:paraId="7FA8839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eastAsia="zh-CN" w:bidi="ar-SA"/>
              </w:rPr>
            </w:pPr>
          </w:p>
        </w:tc>
        <w:tc>
          <w:tcPr>
            <w:tcW w:w="319" w:type="pct"/>
            <w:tcBorders>
              <w:top w:val="single" w:color="000000" w:sz="2" w:space="0"/>
              <w:left w:val="single" w:color="000000" w:sz="2" w:space="0"/>
              <w:bottom w:val="single" w:color="000000" w:sz="2" w:space="0"/>
              <w:right w:val="single" w:color="000000" w:sz="2" w:space="0"/>
            </w:tcBorders>
            <w:vAlign w:val="center"/>
          </w:tcPr>
          <w:p w14:paraId="30D2E34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424E22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restart"/>
            <w:tcBorders>
              <w:top w:val="single" w:color="000000" w:sz="2" w:space="0"/>
              <w:left w:val="single" w:color="000000" w:sz="2" w:space="0"/>
              <w:right w:val="single" w:color="000000" w:sz="2" w:space="0"/>
            </w:tcBorders>
            <w:vAlign w:val="center"/>
          </w:tcPr>
          <w:p w14:paraId="1E67D37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4</w:t>
            </w:r>
          </w:p>
        </w:tc>
        <w:tc>
          <w:tcPr>
            <w:tcW w:w="505" w:type="pct"/>
            <w:vMerge w:val="restart"/>
            <w:tcBorders>
              <w:top w:val="single" w:color="000000" w:sz="2" w:space="0"/>
              <w:left w:val="single" w:color="000000" w:sz="2" w:space="0"/>
              <w:right w:val="single" w:color="000000" w:sz="2" w:space="0"/>
            </w:tcBorders>
            <w:vAlign w:val="center"/>
          </w:tcPr>
          <w:p w14:paraId="5FECDA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水沟</w:t>
            </w:r>
          </w:p>
        </w:tc>
        <w:tc>
          <w:tcPr>
            <w:tcW w:w="2089" w:type="pct"/>
            <w:tcBorders>
              <w:top w:val="single" w:color="000000" w:sz="2" w:space="0"/>
              <w:left w:val="single" w:color="000000" w:sz="2" w:space="0"/>
              <w:bottom w:val="single" w:color="000000" w:sz="2" w:space="0"/>
              <w:right w:val="single" w:color="000000" w:sz="2" w:space="0"/>
            </w:tcBorders>
            <w:vAlign w:val="center"/>
          </w:tcPr>
          <w:p w14:paraId="58FF1021">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斜坡道两侧或单侧应设置排水沟或顺水槽。</w:t>
            </w:r>
          </w:p>
        </w:tc>
        <w:tc>
          <w:tcPr>
            <w:tcW w:w="786" w:type="pct"/>
            <w:tcBorders>
              <w:top w:val="single" w:color="000000" w:sz="2" w:space="0"/>
              <w:left w:val="single" w:color="000000" w:sz="2" w:space="0"/>
              <w:bottom w:val="single" w:color="000000" w:sz="2" w:space="0"/>
              <w:right w:val="single" w:color="000000" w:sz="2" w:space="0"/>
            </w:tcBorders>
            <w:vAlign w:val="center"/>
          </w:tcPr>
          <w:p w14:paraId="11A052B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《有色金属矿山井巷工程设计规范》（GB50915-2013）第6.6.2条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329906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《可研报告》未说明水沟怎么设置</w:t>
            </w:r>
            <w:r>
              <w:rPr>
                <w:rFonts w:hint="eastAsia" w:ascii="Times New Roman" w:hAnsi="Times New Roman" w:eastAsia="宋体" w:cs="Times New Roman"/>
                <w:snapToGrid w:val="0"/>
                <w:color w:val="auto"/>
                <w:spacing w:val="6"/>
                <w:kern w:val="0"/>
                <w:sz w:val="21"/>
                <w:szCs w:val="21"/>
                <w:lang w:val="en-US" w:eastAsia="zh-CN" w:bidi="ar-SA"/>
              </w:rPr>
              <w:t>。</w:t>
            </w:r>
          </w:p>
        </w:tc>
        <w:tc>
          <w:tcPr>
            <w:tcW w:w="319" w:type="pct"/>
            <w:tcBorders>
              <w:top w:val="single" w:color="000000" w:sz="2" w:space="0"/>
              <w:left w:val="single" w:color="000000" w:sz="2" w:space="0"/>
              <w:bottom w:val="single" w:color="000000" w:sz="2" w:space="0"/>
              <w:right w:val="single" w:color="000000" w:sz="2" w:space="0"/>
            </w:tcBorders>
            <w:vAlign w:val="center"/>
          </w:tcPr>
          <w:p w14:paraId="342C03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188FDF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continue"/>
            <w:tcBorders>
              <w:left w:val="single" w:color="000000" w:sz="2" w:space="0"/>
              <w:right w:val="single" w:color="000000" w:sz="2" w:space="0"/>
            </w:tcBorders>
            <w:vAlign w:val="center"/>
          </w:tcPr>
          <w:p w14:paraId="21B889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5" w:type="pct"/>
            <w:vMerge w:val="continue"/>
            <w:tcBorders>
              <w:left w:val="single" w:color="000000" w:sz="2" w:space="0"/>
              <w:right w:val="single" w:color="000000" w:sz="2" w:space="0"/>
            </w:tcBorders>
            <w:vAlign w:val="center"/>
          </w:tcPr>
          <w:p w14:paraId="5D99326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2089" w:type="pct"/>
            <w:tcBorders>
              <w:top w:val="single" w:color="000000" w:sz="2" w:space="0"/>
              <w:left w:val="single" w:color="000000" w:sz="2" w:space="0"/>
              <w:bottom w:val="single" w:color="000000" w:sz="2" w:space="0"/>
              <w:right w:val="single" w:color="000000" w:sz="2" w:space="0"/>
            </w:tcBorders>
            <w:vAlign w:val="center"/>
          </w:tcPr>
          <w:p w14:paraId="44FB9144">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水沟设计应符合下列规定:</w:t>
            </w:r>
          </w:p>
          <w:p w14:paraId="0C4E596D">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1水沟的位置宜设在人行道一侧，当非人行侧宽度允许时，也可设在非人行侧。</w:t>
            </w:r>
          </w:p>
          <w:p w14:paraId="00D11DBB">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2在专用排水巷道或有底拱的巷道,以及在铺设整体道床的巷道中,水沟也可设在巷道中间。</w:t>
            </w:r>
          </w:p>
          <w:p w14:paraId="58333C6E">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3水沟的位置应避免或少穿越运输线路。</w:t>
            </w:r>
          </w:p>
        </w:tc>
        <w:tc>
          <w:tcPr>
            <w:tcW w:w="786" w:type="pct"/>
            <w:tcBorders>
              <w:top w:val="single" w:color="000000" w:sz="2" w:space="0"/>
              <w:left w:val="single" w:color="000000" w:sz="2" w:space="0"/>
              <w:bottom w:val="single" w:color="000000" w:sz="2" w:space="0"/>
              <w:right w:val="single" w:color="000000" w:sz="2" w:space="0"/>
            </w:tcBorders>
            <w:vAlign w:val="center"/>
          </w:tcPr>
          <w:p w14:paraId="28B4F3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《有色金属矿山井巷工程设计规范》（GB50915-2013）第</w:t>
            </w:r>
            <w:r>
              <w:rPr>
                <w:rFonts w:hint="eastAsia" w:ascii="Times New Roman" w:hAnsi="Times New Roman" w:eastAsia="宋体" w:cs="Times New Roman"/>
                <w:snapToGrid w:val="0"/>
                <w:color w:val="auto"/>
                <w:spacing w:val="8"/>
                <w:kern w:val="0"/>
                <w:sz w:val="21"/>
                <w:szCs w:val="21"/>
                <w:lang w:val="en-US" w:eastAsia="zh-CN" w:bidi="ar-SA"/>
              </w:rPr>
              <w:t>7.5.1</w:t>
            </w:r>
            <w:r>
              <w:rPr>
                <w:rFonts w:hint="eastAsia" w:ascii="Times New Roman" w:hAnsi="Times New Roman" w:eastAsia="宋体" w:cs="Times New Roman"/>
                <w:snapToGrid w:val="0"/>
                <w:color w:val="auto"/>
                <w:spacing w:val="8"/>
                <w:kern w:val="0"/>
                <w:sz w:val="21"/>
                <w:szCs w:val="21"/>
                <w:lang w:val="en-US"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2B88BB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bidi="ar-SA"/>
              </w:rPr>
            </w:pPr>
            <w:r>
              <w:rPr>
                <w:rFonts w:hint="eastAsia" w:cs="Times New Roman"/>
                <w:snapToGrid w:val="0"/>
                <w:color w:val="auto"/>
                <w:spacing w:val="6"/>
                <w:kern w:val="0"/>
                <w:sz w:val="21"/>
                <w:szCs w:val="21"/>
                <w:lang w:val="en-US" w:eastAsia="zh-CN" w:bidi="ar-SA"/>
              </w:rPr>
              <w:t>《可研报告》未对水沟进行设计</w:t>
            </w:r>
            <w:r>
              <w:rPr>
                <w:rFonts w:hint="eastAsia" w:ascii="Times New Roman" w:hAnsi="Times New Roman" w:eastAsia="宋体" w:cs="Times New Roman"/>
                <w:snapToGrid w:val="0"/>
                <w:color w:val="auto"/>
                <w:spacing w:val="6"/>
                <w:kern w:val="0"/>
                <w:sz w:val="21"/>
                <w:szCs w:val="21"/>
                <w:lang w:val="en-US" w:eastAsia="zh-CN" w:bidi="ar-SA"/>
              </w:rPr>
              <w:t>。</w:t>
            </w:r>
          </w:p>
        </w:tc>
        <w:tc>
          <w:tcPr>
            <w:tcW w:w="319" w:type="pct"/>
            <w:tcBorders>
              <w:top w:val="single" w:color="000000" w:sz="2" w:space="0"/>
              <w:left w:val="single" w:color="000000" w:sz="2" w:space="0"/>
              <w:bottom w:val="single" w:color="000000" w:sz="2" w:space="0"/>
              <w:right w:val="single" w:color="000000" w:sz="2" w:space="0"/>
            </w:tcBorders>
            <w:vAlign w:val="center"/>
          </w:tcPr>
          <w:p w14:paraId="4B424B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5164F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87" w:type="pct"/>
            <w:vMerge w:val="continue"/>
            <w:tcBorders>
              <w:left w:val="single" w:color="000000" w:sz="2" w:space="0"/>
              <w:right w:val="single" w:color="000000" w:sz="2" w:space="0"/>
            </w:tcBorders>
            <w:vAlign w:val="center"/>
          </w:tcPr>
          <w:p w14:paraId="78A05F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5" w:type="pct"/>
            <w:vMerge w:val="continue"/>
            <w:tcBorders>
              <w:left w:val="single" w:color="000000" w:sz="2" w:space="0"/>
              <w:right w:val="single" w:color="000000" w:sz="2" w:space="0"/>
            </w:tcBorders>
            <w:vAlign w:val="center"/>
          </w:tcPr>
          <w:p w14:paraId="3FCDCC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2089" w:type="pct"/>
            <w:tcBorders>
              <w:top w:val="single" w:color="000000" w:sz="2" w:space="0"/>
              <w:left w:val="single" w:color="000000" w:sz="2" w:space="0"/>
              <w:bottom w:val="single" w:color="000000" w:sz="2" w:space="0"/>
              <w:right w:val="single" w:color="000000" w:sz="2" w:space="0"/>
            </w:tcBorders>
            <w:vAlign w:val="center"/>
          </w:tcPr>
          <w:p w14:paraId="4C41321C">
            <w:pPr>
              <w:keepNext w:val="0"/>
              <w:keepLines w:val="0"/>
              <w:pageBreakBefore w:val="0"/>
              <w:widowControl/>
              <w:tabs>
                <w:tab w:val="left" w:pos="750"/>
              </w:tabs>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水沟坡度应和巷道一致，不宜小于3%，在井底车场或巷道平坡线段内,水沟坡度应按排水要求设计。水沟中的水流速度不宜小于0.5m/s。</w:t>
            </w:r>
          </w:p>
        </w:tc>
        <w:tc>
          <w:tcPr>
            <w:tcW w:w="786" w:type="pct"/>
            <w:tcBorders>
              <w:top w:val="single" w:color="000000" w:sz="2" w:space="0"/>
              <w:left w:val="single" w:color="000000" w:sz="2" w:space="0"/>
              <w:bottom w:val="single" w:color="000000" w:sz="2" w:space="0"/>
              <w:right w:val="single" w:color="000000" w:sz="2" w:space="0"/>
            </w:tcBorders>
            <w:vAlign w:val="center"/>
          </w:tcPr>
          <w:p w14:paraId="4BBC94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《有色金属矿山井巷工程设计规范》（GB50915-2013）第</w:t>
            </w:r>
            <w:r>
              <w:rPr>
                <w:rFonts w:hint="eastAsia" w:ascii="Times New Roman" w:hAnsi="Times New Roman" w:eastAsia="宋体" w:cs="Times New Roman"/>
                <w:snapToGrid w:val="0"/>
                <w:color w:val="auto"/>
                <w:spacing w:val="8"/>
                <w:kern w:val="0"/>
                <w:sz w:val="21"/>
                <w:szCs w:val="21"/>
                <w:lang w:val="en-US" w:eastAsia="zh-CN" w:bidi="ar-SA"/>
              </w:rPr>
              <w:t>7.5.2</w:t>
            </w:r>
            <w:r>
              <w:rPr>
                <w:rFonts w:hint="eastAsia" w:ascii="Times New Roman" w:hAnsi="Times New Roman" w:eastAsia="宋体" w:cs="Times New Roman"/>
                <w:snapToGrid w:val="0"/>
                <w:color w:val="auto"/>
                <w:spacing w:val="8"/>
                <w:kern w:val="0"/>
                <w:sz w:val="21"/>
                <w:szCs w:val="21"/>
                <w:lang w:val="en-US"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314CDCC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cs="Times New Roman"/>
                <w:snapToGrid w:val="0"/>
                <w:color w:val="auto"/>
                <w:spacing w:val="6"/>
                <w:kern w:val="0"/>
                <w:sz w:val="21"/>
                <w:szCs w:val="21"/>
                <w:lang w:val="en-US" w:eastAsia="zh-CN" w:bidi="ar-SA"/>
              </w:rPr>
              <w:t>《可研报告》未说明水沟坡度</w:t>
            </w:r>
            <w:r>
              <w:rPr>
                <w:rFonts w:hint="eastAsia" w:ascii="Times New Roman" w:hAnsi="Times New Roman" w:eastAsia="宋体" w:cs="Times New Roman"/>
                <w:snapToGrid w:val="0"/>
                <w:color w:val="auto"/>
                <w:spacing w:val="6"/>
                <w:kern w:val="0"/>
                <w:sz w:val="21"/>
                <w:szCs w:val="21"/>
                <w:lang w:val="en-US" w:eastAsia="zh-CN" w:bidi="ar-SA"/>
              </w:rPr>
              <w:t>。</w:t>
            </w:r>
          </w:p>
        </w:tc>
        <w:tc>
          <w:tcPr>
            <w:tcW w:w="319" w:type="pct"/>
            <w:tcBorders>
              <w:top w:val="single" w:color="000000" w:sz="2" w:space="0"/>
              <w:left w:val="single" w:color="000000" w:sz="2" w:space="0"/>
              <w:bottom w:val="single" w:color="000000" w:sz="2" w:space="0"/>
              <w:right w:val="single" w:color="000000" w:sz="2" w:space="0"/>
            </w:tcBorders>
            <w:vAlign w:val="center"/>
          </w:tcPr>
          <w:p w14:paraId="52A09DD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6929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continue"/>
            <w:tcBorders>
              <w:left w:val="single" w:color="000000" w:sz="2" w:space="0"/>
              <w:bottom w:val="single" w:color="000000" w:sz="2" w:space="0"/>
              <w:right w:val="single" w:color="000000" w:sz="2" w:space="0"/>
            </w:tcBorders>
            <w:vAlign w:val="center"/>
          </w:tcPr>
          <w:p w14:paraId="11B1301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5" w:type="pct"/>
            <w:vMerge w:val="continue"/>
            <w:tcBorders>
              <w:left w:val="single" w:color="000000" w:sz="2" w:space="0"/>
              <w:bottom w:val="single" w:color="000000" w:sz="2" w:space="0"/>
              <w:right w:val="single" w:color="000000" w:sz="2" w:space="0"/>
            </w:tcBorders>
            <w:vAlign w:val="center"/>
          </w:tcPr>
          <w:p w14:paraId="34A4F9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2089" w:type="pct"/>
            <w:tcBorders>
              <w:top w:val="single" w:color="000000" w:sz="2" w:space="0"/>
              <w:left w:val="single" w:color="000000" w:sz="2" w:space="0"/>
              <w:bottom w:val="single" w:color="000000" w:sz="2" w:space="0"/>
              <w:right w:val="single" w:color="000000" w:sz="2" w:space="0"/>
            </w:tcBorders>
            <w:vAlign w:val="center"/>
          </w:tcPr>
          <w:p w14:paraId="512A301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水沟断面形状宜采用梯形。断面尺寸应根据流量、坡度、水沟壁面粗糙程度及水流速度确定。</w:t>
            </w:r>
          </w:p>
        </w:tc>
        <w:tc>
          <w:tcPr>
            <w:tcW w:w="786" w:type="pct"/>
            <w:tcBorders>
              <w:top w:val="single" w:color="000000" w:sz="2" w:space="0"/>
              <w:left w:val="single" w:color="000000" w:sz="2" w:space="0"/>
              <w:bottom w:val="single" w:color="000000" w:sz="2" w:space="0"/>
              <w:right w:val="single" w:color="000000" w:sz="2" w:space="0"/>
            </w:tcBorders>
            <w:vAlign w:val="center"/>
          </w:tcPr>
          <w:p w14:paraId="2C118E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《有色金属矿山井巷工程设计规范》（GB50915-2013）第</w:t>
            </w:r>
            <w:r>
              <w:rPr>
                <w:rFonts w:hint="eastAsia" w:ascii="Times New Roman" w:hAnsi="Times New Roman" w:eastAsia="宋体" w:cs="Times New Roman"/>
                <w:snapToGrid w:val="0"/>
                <w:color w:val="auto"/>
                <w:spacing w:val="8"/>
                <w:kern w:val="0"/>
                <w:sz w:val="21"/>
                <w:szCs w:val="21"/>
                <w:lang w:val="en-US" w:eastAsia="zh-CN" w:bidi="ar-SA"/>
              </w:rPr>
              <w:t>7.5.3</w:t>
            </w:r>
            <w:r>
              <w:rPr>
                <w:rFonts w:hint="eastAsia" w:ascii="Times New Roman" w:hAnsi="Times New Roman" w:eastAsia="宋体" w:cs="Times New Roman"/>
                <w:snapToGrid w:val="0"/>
                <w:color w:val="auto"/>
                <w:spacing w:val="8"/>
                <w:kern w:val="0"/>
                <w:sz w:val="21"/>
                <w:szCs w:val="21"/>
                <w:lang w:val="en-US"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7DD548A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《可研报告》未说明水沟断面</w:t>
            </w:r>
            <w:r>
              <w:rPr>
                <w:rFonts w:hint="eastAsia" w:ascii="Times New Roman" w:hAnsi="Times New Roman" w:eastAsia="宋体" w:cs="Times New Roman"/>
                <w:snapToGrid w:val="0"/>
                <w:color w:val="auto"/>
                <w:spacing w:val="6"/>
                <w:kern w:val="0"/>
                <w:sz w:val="21"/>
                <w:szCs w:val="21"/>
                <w:lang w:val="en-US" w:eastAsia="zh-CN" w:bidi="ar-SA"/>
              </w:rPr>
              <w:t>。</w:t>
            </w:r>
          </w:p>
        </w:tc>
        <w:tc>
          <w:tcPr>
            <w:tcW w:w="319" w:type="pct"/>
            <w:tcBorders>
              <w:top w:val="single" w:color="000000" w:sz="2" w:space="0"/>
              <w:left w:val="single" w:color="000000" w:sz="2" w:space="0"/>
              <w:bottom w:val="single" w:color="000000" w:sz="2" w:space="0"/>
              <w:right w:val="single" w:color="000000" w:sz="2" w:space="0"/>
            </w:tcBorders>
            <w:vAlign w:val="center"/>
          </w:tcPr>
          <w:p w14:paraId="74D84B5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017AC6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tcBorders>
              <w:top w:val="single" w:color="000000" w:sz="2" w:space="0"/>
              <w:left w:val="single" w:color="000000" w:sz="2" w:space="0"/>
              <w:bottom w:val="single" w:color="000000" w:sz="2" w:space="0"/>
              <w:right w:val="single" w:color="000000" w:sz="2" w:space="0"/>
            </w:tcBorders>
            <w:vAlign w:val="center"/>
          </w:tcPr>
          <w:p w14:paraId="7F378A9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5</w:t>
            </w:r>
          </w:p>
        </w:tc>
        <w:tc>
          <w:tcPr>
            <w:tcW w:w="505" w:type="pct"/>
            <w:tcBorders>
              <w:top w:val="single" w:color="000000" w:sz="2" w:space="0"/>
              <w:left w:val="single" w:color="000000" w:sz="2" w:space="0"/>
              <w:bottom w:val="single" w:color="000000" w:sz="2" w:space="0"/>
              <w:right w:val="single" w:color="000000" w:sz="2" w:space="0"/>
            </w:tcBorders>
            <w:vAlign w:val="center"/>
          </w:tcPr>
          <w:p w14:paraId="0FB15C4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人行巷道的水沟盖板</w:t>
            </w:r>
          </w:p>
        </w:tc>
        <w:tc>
          <w:tcPr>
            <w:tcW w:w="2089" w:type="pct"/>
            <w:tcBorders>
              <w:top w:val="single" w:color="000000" w:sz="2" w:space="0"/>
              <w:left w:val="single" w:color="000000" w:sz="2" w:space="0"/>
              <w:bottom w:val="single" w:color="000000" w:sz="2" w:space="0"/>
              <w:right w:val="single" w:color="000000" w:sz="2" w:space="0"/>
            </w:tcBorders>
            <w:vAlign w:val="center"/>
          </w:tcPr>
          <w:p w14:paraId="1B8CACA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水沟盖板宜采用钢筋混凝土预制板，其厚度不应小于55mm，宽度宜大于水沟上宽200mm，混凝土强度等级不应小于C25</w:t>
            </w:r>
            <w:r>
              <w:rPr>
                <w:rFonts w:hint="eastAsia" w:ascii="Times New Roman" w:hAnsi="Times New Roman" w:eastAsia="宋体" w:cs="Times New Roman"/>
                <w:snapToGrid w:val="0"/>
                <w:color w:val="auto"/>
                <w:spacing w:val="6"/>
                <w:kern w:val="0"/>
                <w:sz w:val="21"/>
                <w:szCs w:val="21"/>
                <w:lang w:val="en-US" w:eastAsia="zh-CN" w:bidi="ar-SA"/>
              </w:rPr>
              <w:t>。</w:t>
            </w:r>
          </w:p>
        </w:tc>
        <w:tc>
          <w:tcPr>
            <w:tcW w:w="786" w:type="pct"/>
            <w:tcBorders>
              <w:top w:val="single" w:color="000000" w:sz="2" w:space="0"/>
              <w:left w:val="single" w:color="000000" w:sz="2" w:space="0"/>
              <w:bottom w:val="single" w:color="000000" w:sz="2" w:space="0"/>
              <w:right w:val="single" w:color="000000" w:sz="2" w:space="0"/>
            </w:tcBorders>
            <w:vAlign w:val="center"/>
          </w:tcPr>
          <w:p w14:paraId="37FA0B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《有色金属矿山井巷工程设计规范》（GB50915-2013）第</w:t>
            </w:r>
            <w:r>
              <w:rPr>
                <w:rFonts w:hint="eastAsia" w:ascii="Times New Roman" w:hAnsi="Times New Roman" w:eastAsia="宋体" w:cs="Times New Roman"/>
                <w:snapToGrid w:val="0"/>
                <w:color w:val="auto"/>
                <w:spacing w:val="8"/>
                <w:kern w:val="0"/>
                <w:sz w:val="21"/>
                <w:szCs w:val="21"/>
                <w:lang w:val="en-US" w:eastAsia="zh-CN" w:bidi="ar-SA"/>
              </w:rPr>
              <w:t>7.5.4</w:t>
            </w:r>
            <w:r>
              <w:rPr>
                <w:rFonts w:hint="eastAsia" w:ascii="Times New Roman" w:hAnsi="Times New Roman" w:eastAsia="宋体" w:cs="Times New Roman"/>
                <w:snapToGrid w:val="0"/>
                <w:color w:val="auto"/>
                <w:spacing w:val="8"/>
                <w:kern w:val="0"/>
                <w:sz w:val="21"/>
                <w:szCs w:val="21"/>
                <w:lang w:val="en-US"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5AB6284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《可研报告》未说明水沟盖板</w:t>
            </w:r>
            <w:r>
              <w:rPr>
                <w:rFonts w:hint="eastAsia" w:ascii="Times New Roman" w:hAnsi="Times New Roman" w:eastAsia="宋体" w:cs="Times New Roman"/>
                <w:snapToGrid w:val="0"/>
                <w:color w:val="auto"/>
                <w:spacing w:val="6"/>
                <w:kern w:val="0"/>
                <w:sz w:val="21"/>
                <w:szCs w:val="21"/>
                <w:lang w:val="en-US" w:eastAsia="zh-CN" w:bidi="ar-SA"/>
              </w:rPr>
              <w:t>。</w:t>
            </w:r>
          </w:p>
        </w:tc>
        <w:tc>
          <w:tcPr>
            <w:tcW w:w="319" w:type="pct"/>
            <w:tcBorders>
              <w:top w:val="single" w:color="000000" w:sz="2" w:space="0"/>
              <w:left w:val="single" w:color="000000" w:sz="2" w:space="0"/>
              <w:bottom w:val="single" w:color="000000" w:sz="2" w:space="0"/>
              <w:right w:val="single" w:color="000000" w:sz="2" w:space="0"/>
            </w:tcBorders>
            <w:vAlign w:val="center"/>
          </w:tcPr>
          <w:p w14:paraId="4820791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239A2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restart"/>
            <w:tcBorders>
              <w:top w:val="single" w:color="000000" w:sz="2" w:space="0"/>
              <w:left w:val="single" w:color="000000" w:sz="2" w:space="0"/>
              <w:right w:val="single" w:color="000000" w:sz="2" w:space="0"/>
            </w:tcBorders>
            <w:vAlign w:val="center"/>
          </w:tcPr>
          <w:p w14:paraId="2A249B3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6</w:t>
            </w:r>
          </w:p>
        </w:tc>
        <w:tc>
          <w:tcPr>
            <w:tcW w:w="505" w:type="pct"/>
            <w:vMerge w:val="restart"/>
            <w:tcBorders>
              <w:top w:val="single" w:color="000000" w:sz="2" w:space="0"/>
              <w:left w:val="single" w:color="000000" w:sz="2" w:space="0"/>
              <w:right w:val="single" w:color="000000" w:sz="2" w:space="0"/>
            </w:tcBorders>
            <w:vAlign w:val="center"/>
          </w:tcPr>
          <w:p w14:paraId="25536EA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运输车辆</w:t>
            </w:r>
          </w:p>
        </w:tc>
        <w:tc>
          <w:tcPr>
            <w:tcW w:w="2089" w:type="pct"/>
            <w:tcBorders>
              <w:top w:val="single" w:color="000000" w:sz="2" w:space="0"/>
              <w:left w:val="single" w:color="000000" w:sz="2" w:space="0"/>
              <w:bottom w:val="single" w:color="000000" w:sz="2" w:space="0"/>
              <w:right w:val="single" w:color="000000" w:sz="2" w:space="0"/>
            </w:tcBorders>
            <w:vAlign w:val="center"/>
          </w:tcPr>
          <w:p w14:paraId="4D80FC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无轨设备应符合下列规定</w:t>
            </w:r>
            <w:r>
              <w:rPr>
                <w:rFonts w:hint="eastAsia" w:cs="Times New Roman"/>
                <w:snapToGrid w:val="0"/>
                <w:color w:val="auto"/>
                <w:spacing w:val="6"/>
                <w:kern w:val="0"/>
                <w:sz w:val="21"/>
                <w:szCs w:val="21"/>
                <w:lang w:val="en-US" w:eastAsia="zh-CN" w:bidi="ar-SA"/>
              </w:rPr>
              <w:t>：</w:t>
            </w:r>
          </w:p>
          <w:p w14:paraId="14CA0C1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采用电动机或者柴油发动机驱动;</w:t>
            </w:r>
          </w:p>
          <w:p w14:paraId="6EB925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柴油发动机尾气中:C</w:t>
            </w:r>
            <w:r>
              <w:rPr>
                <w:rFonts w:hint="eastAsia" w:cs="Times New Roman"/>
                <w:snapToGrid w:val="0"/>
                <w:color w:val="auto"/>
                <w:spacing w:val="6"/>
                <w:kern w:val="0"/>
                <w:sz w:val="21"/>
                <w:szCs w:val="21"/>
                <w:lang w:val="en-US" w:eastAsia="zh-CN" w:bidi="ar-SA"/>
              </w:rPr>
              <w:t>O</w:t>
            </w:r>
            <w:r>
              <w:rPr>
                <w:rFonts w:hint="eastAsia" w:ascii="Times New Roman" w:hAnsi="Times New Roman" w:eastAsia="宋体" w:cs="Times New Roman"/>
                <w:snapToGrid w:val="0"/>
                <w:color w:val="auto"/>
                <w:spacing w:val="6"/>
                <w:kern w:val="0"/>
                <w:sz w:val="21"/>
                <w:szCs w:val="21"/>
                <w:lang w:val="en-US" w:bidi="ar-SA"/>
              </w:rPr>
              <w:t>≤1500ppm;N</w:t>
            </w:r>
            <w:r>
              <w:rPr>
                <w:rFonts w:hint="eastAsia" w:cs="Times New Roman"/>
                <w:snapToGrid w:val="0"/>
                <w:color w:val="auto"/>
                <w:spacing w:val="6"/>
                <w:kern w:val="0"/>
                <w:sz w:val="21"/>
                <w:szCs w:val="21"/>
                <w:lang w:val="en-US" w:eastAsia="zh-CN" w:bidi="ar-SA"/>
              </w:rPr>
              <w:t>O</w:t>
            </w:r>
            <w:r>
              <w:rPr>
                <w:rFonts w:hint="eastAsia" w:ascii="Times New Roman" w:hAnsi="Times New Roman" w:eastAsia="宋体" w:cs="Times New Roman"/>
                <w:snapToGrid w:val="0"/>
                <w:color w:val="auto"/>
                <w:spacing w:val="6"/>
                <w:kern w:val="0"/>
                <w:sz w:val="21"/>
                <w:szCs w:val="21"/>
                <w:lang w:val="en-US" w:bidi="ar-SA"/>
              </w:rPr>
              <w:t>≤900ppm;</w:t>
            </w:r>
          </w:p>
          <w:p w14:paraId="3F9E2B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每台设备均应配备灭火装置;</w:t>
            </w:r>
          </w:p>
          <w:p w14:paraId="2983673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刹车系统、灯光系统、警报系统应齐全有效;</w:t>
            </w:r>
          </w:p>
          <w:p w14:paraId="210CD40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操作人员上方应有防护板或者防护网;用于运输人员、油料的无轨设备应采用湿式制动器</w:t>
            </w:r>
            <w:r>
              <w:rPr>
                <w:rFonts w:hint="eastAsia" w:cs="Times New Roman"/>
                <w:snapToGrid w:val="0"/>
                <w:color w:val="auto"/>
                <w:spacing w:val="6"/>
                <w:kern w:val="0"/>
                <w:sz w:val="21"/>
                <w:szCs w:val="21"/>
                <w:lang w:val="en-US" w:eastAsia="zh-CN" w:bidi="ar-SA"/>
              </w:rPr>
              <w:t>；</w:t>
            </w:r>
          </w:p>
          <w:p w14:paraId="3E33001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井下专用运人车应有行车制动系统、驻车制动系统和应急制动系统;</w:t>
            </w:r>
          </w:p>
          <w:p w14:paraId="51BF4D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行车制动系统和应急制动系统至少有一个为失效安全型。</w:t>
            </w:r>
          </w:p>
        </w:tc>
        <w:tc>
          <w:tcPr>
            <w:tcW w:w="786" w:type="pct"/>
            <w:tcBorders>
              <w:top w:val="single" w:color="000000" w:sz="2" w:space="0"/>
              <w:left w:val="single" w:color="000000" w:sz="2" w:space="0"/>
              <w:bottom w:val="single" w:color="000000" w:sz="2" w:space="0"/>
              <w:right w:val="single" w:color="000000" w:sz="2" w:space="0"/>
            </w:tcBorders>
            <w:vAlign w:val="center"/>
          </w:tcPr>
          <w:p w14:paraId="5A2E0A8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w:t>
            </w:r>
            <w:r>
              <w:rPr>
                <w:rFonts w:hint="eastAsia" w:cs="Times New Roman"/>
                <w:snapToGrid w:val="0"/>
                <w:color w:val="auto"/>
                <w:spacing w:val="8"/>
                <w:kern w:val="0"/>
                <w:sz w:val="21"/>
                <w:szCs w:val="21"/>
                <w:lang w:val="en-US" w:eastAsia="zh-CN" w:bidi="ar-SA"/>
              </w:rPr>
              <w:t>3</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4</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2</w:t>
            </w:r>
            <w:r>
              <w:rPr>
                <w:rFonts w:hint="eastAsia" w:ascii="Times New Roman" w:hAnsi="Times New Roman" w:eastAsia="宋体" w:cs="Times New Roman"/>
                <w:snapToGrid w:val="0"/>
                <w:color w:val="auto"/>
                <w:spacing w:val="8"/>
                <w:kern w:val="0"/>
                <w:sz w:val="21"/>
                <w:szCs w:val="21"/>
                <w:lang w:val="en-US" w:eastAsia="zh-CN"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37BA5F0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无轨设备均采用柴油发动机驱动；安装了尾气处理装置，车上配有灭火器，其余安全防护措施均满足要求。</w:t>
            </w:r>
          </w:p>
        </w:tc>
        <w:tc>
          <w:tcPr>
            <w:tcW w:w="319" w:type="pct"/>
            <w:tcBorders>
              <w:top w:val="single" w:color="000000" w:sz="2" w:space="0"/>
              <w:left w:val="single" w:color="000000" w:sz="2" w:space="0"/>
              <w:bottom w:val="single" w:color="000000" w:sz="2" w:space="0"/>
              <w:right w:val="single" w:color="000000" w:sz="2" w:space="0"/>
            </w:tcBorders>
            <w:vAlign w:val="center"/>
          </w:tcPr>
          <w:p w14:paraId="4C99CE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05CAB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continue"/>
            <w:tcBorders>
              <w:left w:val="single" w:color="000000" w:sz="2" w:space="0"/>
              <w:right w:val="single" w:color="000000" w:sz="2" w:space="0"/>
            </w:tcBorders>
            <w:vAlign w:val="center"/>
          </w:tcPr>
          <w:p w14:paraId="6D6962E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05" w:type="pct"/>
            <w:vMerge w:val="continue"/>
            <w:tcBorders>
              <w:left w:val="single" w:color="000000" w:sz="2" w:space="0"/>
              <w:right w:val="single" w:color="000000" w:sz="2" w:space="0"/>
            </w:tcBorders>
            <w:vAlign w:val="center"/>
          </w:tcPr>
          <w:p w14:paraId="05EBD4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6"/>
                <w:kern w:val="0"/>
                <w:sz w:val="21"/>
                <w:szCs w:val="21"/>
                <w:lang w:val="en-US" w:eastAsia="zh-CN" w:bidi="ar-SA"/>
              </w:rPr>
            </w:pPr>
          </w:p>
        </w:tc>
        <w:tc>
          <w:tcPr>
            <w:tcW w:w="2089" w:type="pct"/>
            <w:tcBorders>
              <w:top w:val="single" w:color="000000" w:sz="2" w:space="0"/>
              <w:left w:val="single" w:color="000000" w:sz="2" w:space="0"/>
              <w:bottom w:val="single" w:color="000000" w:sz="2" w:space="0"/>
              <w:right w:val="single" w:color="000000" w:sz="2" w:space="0"/>
            </w:tcBorders>
            <w:vAlign w:val="center"/>
          </w:tcPr>
          <w:p w14:paraId="6BDC4A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采用无轨设备运输应遵守下列规定:</w:t>
            </w:r>
          </w:p>
          <w:p w14:paraId="473A26A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应采用地下矿山专用无轨设备</w:t>
            </w:r>
            <w:r>
              <w:rPr>
                <w:rFonts w:hint="eastAsia" w:cs="Times New Roman"/>
                <w:snapToGrid w:val="0"/>
                <w:color w:val="auto"/>
                <w:spacing w:val="6"/>
                <w:kern w:val="0"/>
                <w:sz w:val="21"/>
                <w:szCs w:val="21"/>
                <w:lang w:val="en-US" w:eastAsia="zh-CN" w:bidi="ar-SA"/>
              </w:rPr>
              <w:t>；</w:t>
            </w:r>
          </w:p>
          <w:p w14:paraId="624407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行驶速度不超过25km/h</w:t>
            </w:r>
            <w:r>
              <w:rPr>
                <w:rFonts w:hint="eastAsia" w:cs="Times New Roman"/>
                <w:snapToGrid w:val="0"/>
                <w:color w:val="auto"/>
                <w:spacing w:val="6"/>
                <w:kern w:val="0"/>
                <w:sz w:val="21"/>
                <w:szCs w:val="21"/>
                <w:lang w:val="en-US" w:eastAsia="zh-CN" w:bidi="ar-SA"/>
              </w:rPr>
              <w:t>；</w:t>
            </w:r>
          </w:p>
          <w:p w14:paraId="4E755B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通过斜坡道运输人员时，应采用井下专用运人车，每辆车乘员数量不超过25人;油料运输车辆在井下的行驶速度不超过15km/h，与其他同向运行车辆距离不小于100m;</w:t>
            </w:r>
          </w:p>
          <w:p w14:paraId="1D7F63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自动化作业采区应设置门禁系统</w:t>
            </w:r>
            <w:r>
              <w:rPr>
                <w:rFonts w:hint="eastAsia" w:cs="Times New Roman"/>
                <w:snapToGrid w:val="0"/>
                <w:color w:val="auto"/>
                <w:spacing w:val="6"/>
                <w:kern w:val="0"/>
                <w:sz w:val="21"/>
                <w:szCs w:val="21"/>
                <w:lang w:val="en-US" w:eastAsia="zh-CN" w:bidi="ar-SA"/>
              </w:rPr>
              <w:t>；</w:t>
            </w:r>
          </w:p>
          <w:p w14:paraId="54FCA9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按照设备要求定期进行检查和维护保养。</w:t>
            </w:r>
          </w:p>
        </w:tc>
        <w:tc>
          <w:tcPr>
            <w:tcW w:w="786" w:type="pct"/>
            <w:tcBorders>
              <w:top w:val="single" w:color="000000" w:sz="2" w:space="0"/>
              <w:left w:val="single" w:color="000000" w:sz="2" w:space="0"/>
              <w:bottom w:val="single" w:color="000000" w:sz="2" w:space="0"/>
              <w:right w:val="single" w:color="000000" w:sz="2" w:space="0"/>
            </w:tcBorders>
            <w:vAlign w:val="center"/>
          </w:tcPr>
          <w:p w14:paraId="1AC1104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w:t>
            </w:r>
            <w:r>
              <w:rPr>
                <w:rFonts w:hint="eastAsia" w:cs="Times New Roman"/>
                <w:snapToGrid w:val="0"/>
                <w:color w:val="auto"/>
                <w:spacing w:val="8"/>
                <w:kern w:val="0"/>
                <w:sz w:val="21"/>
                <w:szCs w:val="21"/>
                <w:lang w:val="en-US" w:eastAsia="zh-CN" w:bidi="ar-SA"/>
              </w:rPr>
              <w:t>3</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4</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3</w:t>
            </w:r>
            <w:r>
              <w:rPr>
                <w:rFonts w:hint="eastAsia" w:ascii="Times New Roman" w:hAnsi="Times New Roman" w:eastAsia="宋体" w:cs="Times New Roman"/>
                <w:snapToGrid w:val="0"/>
                <w:color w:val="auto"/>
                <w:spacing w:val="8"/>
                <w:kern w:val="0"/>
                <w:sz w:val="21"/>
                <w:szCs w:val="21"/>
                <w:lang w:val="en-US" w:eastAsia="zh-CN"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0621C00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无轨设备运输满足上述要求。</w:t>
            </w:r>
          </w:p>
        </w:tc>
        <w:tc>
          <w:tcPr>
            <w:tcW w:w="319" w:type="pct"/>
            <w:tcBorders>
              <w:top w:val="single" w:color="000000" w:sz="2" w:space="0"/>
              <w:left w:val="single" w:color="000000" w:sz="2" w:space="0"/>
              <w:bottom w:val="single" w:color="000000" w:sz="2" w:space="0"/>
              <w:right w:val="single" w:color="000000" w:sz="2" w:space="0"/>
            </w:tcBorders>
            <w:vAlign w:val="center"/>
          </w:tcPr>
          <w:p w14:paraId="20FF016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02E7F0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7" w:type="pct"/>
            <w:vMerge w:val="continue"/>
            <w:tcBorders>
              <w:left w:val="single" w:color="000000" w:sz="2" w:space="0"/>
              <w:bottom w:val="single" w:color="000000" w:sz="2" w:space="0"/>
              <w:right w:val="single" w:color="000000" w:sz="2" w:space="0"/>
            </w:tcBorders>
            <w:vAlign w:val="center"/>
          </w:tcPr>
          <w:p w14:paraId="4CBAE4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05" w:type="pct"/>
            <w:vMerge w:val="continue"/>
            <w:tcBorders>
              <w:left w:val="single" w:color="000000" w:sz="2" w:space="0"/>
              <w:bottom w:val="single" w:color="000000" w:sz="2" w:space="0"/>
              <w:right w:val="single" w:color="000000" w:sz="2" w:space="0"/>
            </w:tcBorders>
            <w:vAlign w:val="center"/>
          </w:tcPr>
          <w:p w14:paraId="79E2DD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6"/>
                <w:kern w:val="0"/>
                <w:sz w:val="21"/>
                <w:szCs w:val="21"/>
                <w:lang w:val="en-US" w:eastAsia="zh-CN" w:bidi="ar-SA"/>
              </w:rPr>
            </w:pPr>
          </w:p>
        </w:tc>
        <w:tc>
          <w:tcPr>
            <w:tcW w:w="2089" w:type="pct"/>
            <w:tcBorders>
              <w:top w:val="single" w:color="000000" w:sz="2" w:space="0"/>
              <w:left w:val="single" w:color="000000" w:sz="2" w:space="0"/>
              <w:bottom w:val="single" w:color="000000" w:sz="2" w:space="0"/>
              <w:right w:val="single" w:color="000000" w:sz="2" w:space="0"/>
            </w:tcBorders>
            <w:vAlign w:val="center"/>
          </w:tcPr>
          <w:p w14:paraId="67F4DF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无轨设备运行应遵守下列规定:</w:t>
            </w:r>
          </w:p>
          <w:p w14:paraId="0382EF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不超载;</w:t>
            </w:r>
          </w:p>
          <w:p w14:paraId="7909FC0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不熄火下滑;</w:t>
            </w:r>
          </w:p>
          <w:p w14:paraId="5360DB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避让行人;</w:t>
            </w:r>
          </w:p>
          <w:p w14:paraId="5AFBD5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不站在铲斗内作业;</w:t>
            </w:r>
          </w:p>
          <w:p w14:paraId="580857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不在设备的工作臂、升举的铲斗下方停留</w:t>
            </w:r>
            <w:r>
              <w:rPr>
                <w:rFonts w:hint="eastAsia" w:cs="Times New Roman"/>
                <w:snapToGrid w:val="0"/>
                <w:color w:val="auto"/>
                <w:spacing w:val="6"/>
                <w:kern w:val="0"/>
                <w:sz w:val="21"/>
                <w:szCs w:val="21"/>
                <w:lang w:val="en-US" w:eastAsia="zh-CN" w:bidi="ar-SA"/>
              </w:rPr>
              <w:t>；</w:t>
            </w:r>
          </w:p>
          <w:p w14:paraId="6AEB1A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不从设备的工作臂、升举的铲斗下方通过</w:t>
            </w:r>
            <w:r>
              <w:rPr>
                <w:rFonts w:hint="eastAsia" w:cs="Times New Roman"/>
                <w:snapToGrid w:val="0"/>
                <w:color w:val="auto"/>
                <w:spacing w:val="6"/>
                <w:kern w:val="0"/>
                <w:sz w:val="21"/>
                <w:szCs w:val="21"/>
                <w:lang w:val="en-US" w:eastAsia="zh-CN" w:bidi="ar-SA"/>
              </w:rPr>
              <w:t>；</w:t>
            </w:r>
          </w:p>
          <w:p w14:paraId="7BB5ED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车辆间距不小于50m;</w:t>
            </w:r>
          </w:p>
          <w:p w14:paraId="15254B8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在斜坡道上停车时采取可靠的挡车措施</w:t>
            </w:r>
            <w:r>
              <w:rPr>
                <w:rFonts w:hint="eastAsia" w:cs="Times New Roman"/>
                <w:snapToGrid w:val="0"/>
                <w:color w:val="auto"/>
                <w:spacing w:val="6"/>
                <w:kern w:val="0"/>
                <w:sz w:val="21"/>
                <w:szCs w:val="21"/>
                <w:lang w:val="en-US" w:eastAsia="zh-CN" w:bidi="ar-SA"/>
              </w:rPr>
              <w:t>；</w:t>
            </w:r>
          </w:p>
          <w:p w14:paraId="42FD93D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司机离开前停车制动并熄灭柴油发动机、切断电动设备电源</w:t>
            </w:r>
            <w:r>
              <w:rPr>
                <w:rFonts w:hint="eastAsia" w:cs="Times New Roman"/>
                <w:snapToGrid w:val="0"/>
                <w:color w:val="auto"/>
                <w:spacing w:val="6"/>
                <w:kern w:val="0"/>
                <w:sz w:val="21"/>
                <w:szCs w:val="21"/>
                <w:lang w:val="en-US" w:eastAsia="zh-CN" w:bidi="ar-SA"/>
              </w:rPr>
              <w:t>；</w:t>
            </w:r>
          </w:p>
          <w:p w14:paraId="2443B0A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维修前柴油设备熄火，切断电动设备电源。</w:t>
            </w:r>
          </w:p>
        </w:tc>
        <w:tc>
          <w:tcPr>
            <w:tcW w:w="786" w:type="pct"/>
            <w:tcBorders>
              <w:top w:val="single" w:color="000000" w:sz="2" w:space="0"/>
              <w:left w:val="single" w:color="000000" w:sz="2" w:space="0"/>
              <w:bottom w:val="single" w:color="000000" w:sz="2" w:space="0"/>
              <w:right w:val="single" w:color="000000" w:sz="2" w:space="0"/>
            </w:tcBorders>
            <w:vAlign w:val="center"/>
          </w:tcPr>
          <w:p w14:paraId="1259521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ascii="Times New Roman" w:hAnsi="Times New Roman" w:eastAsia="宋体" w:cs="Times New Roman"/>
                <w:snapToGrid w:val="0"/>
                <w:color w:val="auto"/>
                <w:spacing w:val="8"/>
                <w:kern w:val="0"/>
                <w:sz w:val="21"/>
                <w:szCs w:val="21"/>
                <w:lang w:val="en-US" w:eastAsia="zh-CN" w:bidi="ar-SA"/>
              </w:rPr>
              <w:t>第6.</w:t>
            </w:r>
            <w:r>
              <w:rPr>
                <w:rFonts w:hint="eastAsia" w:cs="Times New Roman"/>
                <w:snapToGrid w:val="0"/>
                <w:color w:val="auto"/>
                <w:spacing w:val="8"/>
                <w:kern w:val="0"/>
                <w:sz w:val="21"/>
                <w:szCs w:val="21"/>
                <w:lang w:val="en-US" w:eastAsia="zh-CN" w:bidi="ar-SA"/>
              </w:rPr>
              <w:t>3</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4</w:t>
            </w:r>
            <w:r>
              <w:rPr>
                <w:rFonts w:hint="eastAsia" w:ascii="Times New Roman" w:hAnsi="Times New Roman" w:eastAsia="宋体" w:cs="Times New Roman"/>
                <w:snapToGrid w:val="0"/>
                <w:color w:val="auto"/>
                <w:spacing w:val="8"/>
                <w:kern w:val="0"/>
                <w:sz w:val="21"/>
                <w:szCs w:val="21"/>
                <w:lang w:val="en-US" w:eastAsia="zh-CN" w:bidi="ar-SA"/>
              </w:rPr>
              <w:t>.</w:t>
            </w:r>
            <w:r>
              <w:rPr>
                <w:rFonts w:hint="eastAsia" w:cs="Times New Roman"/>
                <w:snapToGrid w:val="0"/>
                <w:color w:val="auto"/>
                <w:spacing w:val="8"/>
                <w:kern w:val="0"/>
                <w:sz w:val="21"/>
                <w:szCs w:val="21"/>
                <w:lang w:val="en-US" w:eastAsia="zh-CN" w:bidi="ar-SA"/>
              </w:rPr>
              <w:t>5</w:t>
            </w:r>
            <w:r>
              <w:rPr>
                <w:rFonts w:hint="eastAsia" w:ascii="Times New Roman" w:hAnsi="Times New Roman" w:eastAsia="宋体" w:cs="Times New Roman"/>
                <w:snapToGrid w:val="0"/>
                <w:color w:val="auto"/>
                <w:spacing w:val="8"/>
                <w:kern w:val="0"/>
                <w:sz w:val="21"/>
                <w:szCs w:val="21"/>
                <w:lang w:val="en-US" w:eastAsia="zh-CN" w:bidi="ar-SA"/>
              </w:rPr>
              <w:t>条</w:t>
            </w:r>
          </w:p>
        </w:tc>
        <w:tc>
          <w:tcPr>
            <w:tcW w:w="1112" w:type="pct"/>
            <w:tcBorders>
              <w:top w:val="single" w:color="000000" w:sz="2" w:space="0"/>
              <w:left w:val="single" w:color="000000" w:sz="2" w:space="0"/>
              <w:bottom w:val="single" w:color="000000" w:sz="2" w:space="0"/>
              <w:right w:val="single" w:color="000000" w:sz="2" w:space="0"/>
            </w:tcBorders>
            <w:vAlign w:val="center"/>
          </w:tcPr>
          <w:p w14:paraId="598B3C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无轨设备运行</w:t>
            </w:r>
            <w:r>
              <w:rPr>
                <w:rFonts w:hint="eastAsia" w:cs="Times New Roman"/>
                <w:snapToGrid w:val="0"/>
                <w:color w:val="auto"/>
                <w:spacing w:val="6"/>
                <w:kern w:val="0"/>
                <w:sz w:val="21"/>
                <w:szCs w:val="21"/>
                <w:lang w:val="en-US" w:eastAsia="zh-CN" w:bidi="ar-SA"/>
              </w:rPr>
              <w:t>满足上述要求。</w:t>
            </w:r>
          </w:p>
        </w:tc>
        <w:tc>
          <w:tcPr>
            <w:tcW w:w="319" w:type="pct"/>
            <w:tcBorders>
              <w:top w:val="single" w:color="000000" w:sz="2" w:space="0"/>
              <w:left w:val="single" w:color="000000" w:sz="2" w:space="0"/>
              <w:bottom w:val="single" w:color="000000" w:sz="2" w:space="0"/>
              <w:right w:val="single" w:color="000000" w:sz="2" w:space="0"/>
            </w:tcBorders>
            <w:vAlign w:val="center"/>
          </w:tcPr>
          <w:p w14:paraId="7877EE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bl>
    <w:p w14:paraId="2AF0BDF9">
      <w:pPr>
        <w:numPr>
          <w:ilvl w:val="0"/>
          <w:numId w:val="0"/>
        </w:numPr>
        <w:ind w:firstLine="560" w:firstLineChars="200"/>
        <w:rPr>
          <w:rFonts w:hint="default"/>
          <w:color w:val="auto"/>
          <w:lang w:val="en-US" w:eastAsia="zh-CN"/>
        </w:rPr>
      </w:pPr>
      <w:r>
        <w:rPr>
          <w:rFonts w:hint="eastAsia"/>
          <w:color w:val="auto"/>
          <w:lang w:val="en-US" w:eastAsia="zh-CN"/>
        </w:rPr>
        <w:t>采用安全检查表法对矿山运输</w:t>
      </w:r>
      <w:r>
        <w:rPr>
          <w:rFonts w:hint="default"/>
          <w:color w:val="auto"/>
          <w:lang w:val="en-US" w:eastAsia="zh-CN"/>
        </w:rPr>
        <w:t>系统</w:t>
      </w:r>
      <w:r>
        <w:rPr>
          <w:rFonts w:hint="eastAsia"/>
          <w:color w:val="auto"/>
          <w:lang w:val="en-US" w:eastAsia="zh-CN"/>
        </w:rPr>
        <w:t>单元检查6大项11小项，符合项4项，7项需下一步设计补充，矿山运输单元不符合《金属非金属矿山安全规程》（GB16423-2020）、《有色金属矿山井巷工程设计规范》（GB50915-2013）的有关要求</w:t>
      </w:r>
      <w:r>
        <w:rPr>
          <w:rFonts w:hint="eastAsia" w:eastAsia="宋体"/>
          <w:color w:val="auto"/>
          <w:lang w:val="en-US" w:eastAsia="zh-CN"/>
        </w:rPr>
        <w:t>，建议下一步设计完善斜坡道参数、</w:t>
      </w:r>
      <w:r>
        <w:rPr>
          <w:rFonts w:hint="eastAsia" w:ascii="Times New Roman" w:hAnsi="Times New Roman" w:eastAsia="宋体" w:cs="Times New Roman"/>
          <w:snapToGrid/>
          <w:color w:val="auto"/>
          <w:spacing w:val="0"/>
          <w:kern w:val="2"/>
          <w:sz w:val="28"/>
          <w:szCs w:val="24"/>
          <w:lang w:val="en-US" w:eastAsia="zh-CN" w:bidi="ar-SA"/>
        </w:rPr>
        <w:t>水沟</w:t>
      </w:r>
      <w:r>
        <w:rPr>
          <w:rFonts w:hint="eastAsia" w:eastAsia="宋体" w:cs="Times New Roman"/>
          <w:snapToGrid/>
          <w:color w:val="auto"/>
          <w:spacing w:val="0"/>
          <w:kern w:val="2"/>
          <w:sz w:val="28"/>
          <w:szCs w:val="24"/>
          <w:lang w:val="en-US" w:eastAsia="zh-CN" w:bidi="ar-SA"/>
        </w:rPr>
        <w:t>的设置情况、人行巷道的水沟盖板</w:t>
      </w:r>
      <w:r>
        <w:rPr>
          <w:rFonts w:hint="eastAsia" w:eastAsia="宋体"/>
          <w:color w:val="auto"/>
          <w:lang w:val="en-US" w:eastAsia="zh-CN"/>
        </w:rPr>
        <w:t>。</w:t>
      </w:r>
    </w:p>
    <w:p w14:paraId="354A6BF1">
      <w:pPr>
        <w:pStyle w:val="4"/>
        <w:bidi w:val="0"/>
        <w:rPr>
          <w:rFonts w:hint="default"/>
          <w:color w:val="auto"/>
          <w:lang w:val="en-US" w:eastAsia="zh-CN"/>
        </w:rPr>
      </w:pPr>
      <w:bookmarkStart w:id="282" w:name="_Toc703"/>
      <w:bookmarkStart w:id="283" w:name="_Toc17152"/>
      <w:bookmarkStart w:id="284" w:name="_Toc2270"/>
      <w:bookmarkStart w:id="285" w:name="_Toc1254"/>
      <w:r>
        <w:rPr>
          <w:rFonts w:hint="default"/>
          <w:color w:val="auto"/>
          <w:lang w:val="en-US" w:eastAsia="zh-CN"/>
        </w:rPr>
        <w:t>3.4.3 评价小结</w:t>
      </w:r>
      <w:bookmarkEnd w:id="282"/>
      <w:bookmarkEnd w:id="283"/>
      <w:bookmarkEnd w:id="284"/>
      <w:bookmarkEnd w:id="285"/>
    </w:p>
    <w:p w14:paraId="51284324">
      <w:pPr>
        <w:bidi w:val="0"/>
        <w:rPr>
          <w:rFonts w:hint="default" w:ascii="Times New Roman" w:hAnsi="Times New Roman" w:eastAsia="宋体" w:cs="Times New Roman"/>
          <w:color w:val="auto"/>
          <w:lang w:val="en-US" w:eastAsia="zh-CN"/>
        </w:rPr>
      </w:pPr>
      <w:r>
        <w:rPr>
          <w:rFonts w:hint="eastAsia"/>
          <w:color w:val="auto"/>
          <w:lang w:val="en-US" w:eastAsia="zh-CN"/>
        </w:rPr>
        <w:t xml:space="preserve">1. </w:t>
      </w:r>
      <w:r>
        <w:rPr>
          <w:rFonts w:hint="default" w:ascii="Times New Roman" w:hAnsi="Times New Roman" w:eastAsia="宋体" w:cs="Times New Roman"/>
          <w:color w:val="auto"/>
          <w:lang w:val="en-US" w:eastAsia="zh-CN"/>
        </w:rPr>
        <w:t>通过预先危险性分析法评价，运输</w:t>
      </w:r>
      <w:r>
        <w:rPr>
          <w:rFonts w:hint="default"/>
          <w:color w:val="auto"/>
          <w:lang w:val="en-US" w:eastAsia="zh-CN"/>
        </w:rPr>
        <w:t>系统</w:t>
      </w:r>
      <w:r>
        <w:rPr>
          <w:rFonts w:hint="eastAsia"/>
          <w:color w:val="auto"/>
          <w:lang w:val="en-US" w:eastAsia="zh-CN"/>
        </w:rPr>
        <w:t>单元</w:t>
      </w:r>
      <w:r>
        <w:rPr>
          <w:rFonts w:hint="default" w:ascii="Times New Roman" w:hAnsi="Times New Roman" w:eastAsia="宋体" w:cs="Times New Roman"/>
          <w:color w:val="auto"/>
          <w:lang w:val="en-US" w:eastAsia="zh-CN"/>
        </w:rPr>
        <w:t>存在的危险有害因素主要有</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车辆伤害、高处坠落、物体打击、触电、粉尘、噪声与振动等。其中车辆伤害、高处坠落、物体打击、触电等危害等级均为</w:t>
      </w:r>
      <w:r>
        <w:rPr>
          <w:rFonts w:hint="eastAsia" w:ascii="宋体" w:hAnsi="宋体" w:eastAsia="宋体" w:cs="宋体"/>
          <w:color w:val="auto"/>
          <w:lang w:val="en-US" w:eastAsia="zh-CN"/>
        </w:rPr>
        <w:t>Ⅲ</w:t>
      </w:r>
      <w:r>
        <w:rPr>
          <w:rFonts w:hint="default" w:ascii="Times New Roman" w:hAnsi="Times New Roman" w:eastAsia="宋体" w:cs="Times New Roman"/>
          <w:color w:val="auto"/>
          <w:lang w:val="en-US" w:eastAsia="zh-CN"/>
        </w:rPr>
        <w:t>级，应加以重视</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粉尘、噪声与振动危害等级为</w:t>
      </w:r>
      <w:r>
        <w:rPr>
          <w:rFonts w:hint="eastAsia" w:ascii="宋体" w:hAnsi="宋体" w:eastAsia="宋体" w:cs="宋体"/>
          <w:snapToGrid w:val="0"/>
          <w:color w:val="auto"/>
          <w:kern w:val="0"/>
          <w:sz w:val="28"/>
          <w:szCs w:val="28"/>
        </w:rPr>
        <w:t>Ⅱ</w:t>
      </w:r>
      <w:r>
        <w:rPr>
          <w:rFonts w:hint="default" w:ascii="Times New Roman" w:hAnsi="Times New Roman" w:eastAsia="宋体" w:cs="Times New Roman"/>
          <w:color w:val="auto"/>
          <w:lang w:val="en-US" w:eastAsia="zh-CN"/>
        </w:rPr>
        <w:t>级，也应加以注意。采取合理的措施后，以上危险有害因素能控制在可接受范围内。</w:t>
      </w:r>
    </w:p>
    <w:p w14:paraId="63054CA5">
      <w:pPr>
        <w:bidi w:val="0"/>
        <w:rPr>
          <w:rFonts w:hint="default" w:ascii="Times New Roman" w:hAnsi="Times New Roman" w:eastAsia="宋体" w:cs="Times New Roman"/>
          <w:color w:val="auto"/>
          <w:lang w:val="en-US" w:eastAsia="zh-CN"/>
        </w:rPr>
      </w:pPr>
      <w:r>
        <w:rPr>
          <w:rFonts w:hint="eastAsia" w:cs="Times New Roman"/>
          <w:color w:val="auto"/>
          <w:lang w:val="en-US" w:eastAsia="zh-CN"/>
        </w:rPr>
        <w:t>2. 运输系统改造为斜坡道运输后，可靠性加大，安全性较高。</w:t>
      </w:r>
    </w:p>
    <w:p w14:paraId="1D14BB98">
      <w:pPr>
        <w:rPr>
          <w:rFonts w:hint="eastAsia"/>
          <w:color w:val="auto"/>
          <w:lang w:val="en-US" w:eastAsia="zh-CN"/>
        </w:rPr>
      </w:pPr>
      <w:r>
        <w:rPr>
          <w:rFonts w:hint="eastAsia"/>
          <w:color w:val="auto"/>
          <w:lang w:val="en-US" w:eastAsia="zh-CN"/>
        </w:rPr>
        <w:t>3. 采用安全检查表法对矿山运输</w:t>
      </w:r>
      <w:r>
        <w:rPr>
          <w:rFonts w:hint="default"/>
          <w:color w:val="auto"/>
          <w:lang w:val="en-US" w:eastAsia="zh-CN"/>
        </w:rPr>
        <w:t>系统</w:t>
      </w:r>
      <w:r>
        <w:rPr>
          <w:rFonts w:hint="eastAsia"/>
          <w:color w:val="auto"/>
          <w:lang w:val="en-US" w:eastAsia="zh-CN"/>
        </w:rPr>
        <w:t>单元检查6大项11小项，符合项4项，7项需下一步设计补充，矿山运输单元不符合《金属非金属矿山安全规程》（GB16423-2020）、《有色金属矿山井巷工程设计规范》（GB50915-2013）的有关要求，建议下一步设计完善斜坡道参数、</w:t>
      </w:r>
      <w:r>
        <w:rPr>
          <w:rFonts w:hint="eastAsia" w:ascii="Times New Roman" w:hAnsi="Times New Roman" w:eastAsia="宋体" w:cs="Times New Roman"/>
          <w:snapToGrid/>
          <w:color w:val="auto"/>
          <w:spacing w:val="0"/>
          <w:kern w:val="2"/>
          <w:sz w:val="28"/>
          <w:szCs w:val="24"/>
          <w:lang w:val="en-US" w:eastAsia="zh-CN" w:bidi="ar-SA"/>
        </w:rPr>
        <w:t>水沟</w:t>
      </w:r>
      <w:r>
        <w:rPr>
          <w:rFonts w:hint="eastAsia" w:eastAsia="宋体" w:cs="Times New Roman"/>
          <w:snapToGrid/>
          <w:color w:val="auto"/>
          <w:spacing w:val="0"/>
          <w:kern w:val="2"/>
          <w:sz w:val="28"/>
          <w:szCs w:val="24"/>
          <w:lang w:val="en-US" w:eastAsia="zh-CN" w:bidi="ar-SA"/>
        </w:rPr>
        <w:t>的设置情况、人行巷道的水沟盖板</w:t>
      </w:r>
      <w:r>
        <w:rPr>
          <w:rFonts w:hint="eastAsia"/>
          <w:color w:val="auto"/>
          <w:lang w:val="en-US" w:eastAsia="zh-CN"/>
        </w:rPr>
        <w:t>。</w:t>
      </w:r>
    </w:p>
    <w:p w14:paraId="78ED068B">
      <w:pPr>
        <w:pStyle w:val="3"/>
        <w:bidi w:val="0"/>
        <w:rPr>
          <w:rFonts w:hint="default"/>
          <w:color w:val="auto"/>
          <w:lang w:val="en-US" w:eastAsia="zh-CN"/>
        </w:rPr>
      </w:pPr>
      <w:bookmarkStart w:id="286" w:name="_Toc15905"/>
      <w:bookmarkStart w:id="287" w:name="_Toc28057"/>
      <w:bookmarkStart w:id="288" w:name="_Toc12568"/>
      <w:bookmarkStart w:id="289" w:name="_Toc12000"/>
      <w:r>
        <w:rPr>
          <w:rFonts w:hint="eastAsia"/>
          <w:color w:val="auto"/>
          <w:lang w:val="en-US" w:eastAsia="zh-CN"/>
        </w:rPr>
        <w:t>3.5 采掘系统单元</w:t>
      </w:r>
      <w:bookmarkEnd w:id="286"/>
      <w:bookmarkEnd w:id="287"/>
      <w:bookmarkEnd w:id="288"/>
      <w:bookmarkEnd w:id="289"/>
    </w:p>
    <w:p w14:paraId="4A14623E">
      <w:pPr>
        <w:pStyle w:val="4"/>
        <w:bidi w:val="0"/>
        <w:rPr>
          <w:rFonts w:hint="eastAsia"/>
          <w:color w:val="auto"/>
          <w:lang w:val="en-US" w:eastAsia="zh-CN"/>
        </w:rPr>
      </w:pPr>
      <w:bookmarkStart w:id="290" w:name="_Toc1321"/>
      <w:bookmarkStart w:id="291" w:name="_Toc26061"/>
      <w:bookmarkStart w:id="292" w:name="_Toc19725"/>
      <w:bookmarkStart w:id="293" w:name="_Toc13217"/>
      <w:r>
        <w:rPr>
          <w:rFonts w:hint="eastAsia"/>
          <w:color w:val="auto"/>
          <w:lang w:val="en-US" w:eastAsia="zh-CN"/>
        </w:rPr>
        <w:t>3.5.1 预先危险性分析</w:t>
      </w:r>
      <w:bookmarkEnd w:id="290"/>
      <w:bookmarkEnd w:id="291"/>
      <w:bookmarkEnd w:id="292"/>
      <w:bookmarkEnd w:id="293"/>
    </w:p>
    <w:p w14:paraId="39914B3C">
      <w:pPr>
        <w:rPr>
          <w:rFonts w:hint="default"/>
          <w:color w:val="auto"/>
          <w:lang w:val="en-US" w:eastAsia="zh-CN"/>
        </w:rPr>
      </w:pPr>
      <w:r>
        <w:rPr>
          <w:rFonts w:hint="default"/>
          <w:color w:val="auto"/>
          <w:lang w:val="en-US" w:eastAsia="zh-CN"/>
        </w:rPr>
        <w:t>通过预先危险性分析法分析，采掘</w:t>
      </w:r>
      <w:r>
        <w:rPr>
          <w:rFonts w:hint="eastAsia"/>
          <w:color w:val="auto"/>
          <w:lang w:val="en-US" w:eastAsia="zh-CN"/>
        </w:rPr>
        <w:t>系统单元</w:t>
      </w:r>
      <w:r>
        <w:rPr>
          <w:rFonts w:hint="default"/>
          <w:color w:val="auto"/>
          <w:lang w:val="en-US" w:eastAsia="zh-CN"/>
        </w:rPr>
        <w:t>存在的危险有害因素主要有</w:t>
      </w:r>
      <w:r>
        <w:rPr>
          <w:rFonts w:hint="eastAsia"/>
          <w:color w:val="auto"/>
          <w:lang w:val="en-US" w:eastAsia="zh-CN"/>
        </w:rPr>
        <w:t>：</w:t>
      </w:r>
      <w:r>
        <w:rPr>
          <w:rFonts w:hint="default"/>
          <w:color w:val="auto"/>
          <w:lang w:val="en-US" w:eastAsia="zh-CN"/>
        </w:rPr>
        <w:t>冒顶片帮、机械伤害、高处坠落、触电、透水、火药爆炸、</w:t>
      </w:r>
      <w:r>
        <w:rPr>
          <w:rFonts w:hint="eastAsia"/>
          <w:color w:val="auto"/>
          <w:lang w:val="en-US" w:eastAsia="zh-CN"/>
        </w:rPr>
        <w:t>放炮</w:t>
      </w:r>
      <w:r>
        <w:rPr>
          <w:rFonts w:hint="default"/>
          <w:color w:val="auto"/>
          <w:lang w:val="en-US" w:eastAsia="zh-CN"/>
        </w:rPr>
        <w:t>、中毒窒息、粉尘、噪声</w:t>
      </w:r>
      <w:r>
        <w:rPr>
          <w:rFonts w:hint="eastAsia"/>
          <w:color w:val="auto"/>
          <w:lang w:val="en-US" w:eastAsia="zh-CN"/>
        </w:rPr>
        <w:t>与</w:t>
      </w:r>
      <w:r>
        <w:rPr>
          <w:rFonts w:hint="default"/>
          <w:color w:val="auto"/>
          <w:lang w:val="en-US" w:eastAsia="zh-CN"/>
        </w:rPr>
        <w:t>振动等，分析评价表见表</w:t>
      </w:r>
      <w:r>
        <w:rPr>
          <w:rFonts w:hint="eastAsia"/>
          <w:color w:val="auto"/>
          <w:lang w:val="en-US" w:eastAsia="zh-CN"/>
        </w:rPr>
        <w:t>3.5-1</w:t>
      </w:r>
      <w:r>
        <w:rPr>
          <w:rFonts w:hint="default"/>
          <w:color w:val="auto"/>
          <w:lang w:val="en-US" w:eastAsia="zh-CN"/>
        </w:rPr>
        <w:t>。</w:t>
      </w:r>
    </w:p>
    <w:p w14:paraId="6E577A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w:t>
      </w:r>
      <w:r>
        <w:rPr>
          <w:rFonts w:hint="eastAsia"/>
          <w:color w:val="auto"/>
          <w:lang w:val="en-US" w:eastAsia="zh-CN"/>
        </w:rPr>
        <w:t>3.5-1</w:t>
      </w:r>
      <w:r>
        <w:rPr>
          <w:rFonts w:hint="eastAsia" w:ascii="Times New Roman" w:hAnsi="Times New Roman" w:eastAsia="宋体" w:cs="Times New Roman"/>
          <w:color w:val="auto"/>
          <w:lang w:val="en-US" w:eastAsia="zh-CN"/>
        </w:rPr>
        <w:t xml:space="preserve"> 采掘</w:t>
      </w:r>
      <w:r>
        <w:rPr>
          <w:rFonts w:hint="eastAsia"/>
          <w:color w:val="auto"/>
          <w:lang w:val="en-US" w:eastAsia="zh-CN"/>
        </w:rPr>
        <w:t>系统单元</w:t>
      </w:r>
      <w:r>
        <w:rPr>
          <w:rFonts w:hint="eastAsia" w:ascii="Times New Roman" w:hAnsi="Times New Roman" w:eastAsia="宋体" w:cs="Times New Roman"/>
          <w:color w:val="auto"/>
          <w:lang w:val="en-US" w:eastAsia="zh-CN"/>
        </w:rPr>
        <w:t>预先危险性分析评价表</w:t>
      </w: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2754"/>
        <w:gridCol w:w="856"/>
        <w:gridCol w:w="667"/>
        <w:gridCol w:w="4353"/>
      </w:tblGrid>
      <w:tr w14:paraId="1010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 w:type="pct"/>
            <w:noWrap w:val="0"/>
            <w:vAlign w:val="center"/>
          </w:tcPr>
          <w:p w14:paraId="593640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bCs w:val="0"/>
                <w:color w:val="auto"/>
                <w:sz w:val="21"/>
                <w:szCs w:val="21"/>
                <w:lang w:val="en-US" w:eastAsia="zh-CN"/>
              </w:rPr>
            </w:pPr>
            <w:r>
              <w:rPr>
                <w:rFonts w:hint="eastAsia" w:ascii="宋体" w:hAnsi="宋体" w:cs="宋体"/>
                <w:b/>
                <w:bCs w:val="0"/>
                <w:color w:val="auto"/>
                <w:sz w:val="21"/>
                <w:szCs w:val="21"/>
                <w:lang w:val="en-US" w:eastAsia="zh-CN"/>
              </w:rPr>
              <w:t>危险因素</w:t>
            </w:r>
          </w:p>
        </w:tc>
        <w:tc>
          <w:tcPr>
            <w:tcW w:w="1483" w:type="pct"/>
            <w:noWrap w:val="0"/>
            <w:vAlign w:val="center"/>
          </w:tcPr>
          <w:p w14:paraId="6200FD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b/>
                <w:bCs w:val="0"/>
                <w:color w:val="auto"/>
                <w:sz w:val="21"/>
                <w:szCs w:val="21"/>
              </w:rPr>
            </w:pPr>
            <w:r>
              <w:rPr>
                <w:rFonts w:hint="eastAsia" w:ascii="宋体" w:hAnsi="宋体" w:cs="宋体"/>
                <w:b/>
                <w:bCs w:val="0"/>
                <w:color w:val="auto"/>
                <w:sz w:val="21"/>
                <w:szCs w:val="21"/>
              </w:rPr>
              <w:t>原因</w:t>
            </w:r>
          </w:p>
        </w:tc>
        <w:tc>
          <w:tcPr>
            <w:tcW w:w="461" w:type="pct"/>
            <w:noWrap w:val="0"/>
            <w:vAlign w:val="center"/>
          </w:tcPr>
          <w:p w14:paraId="3B4CA09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b/>
                <w:bCs w:val="0"/>
                <w:color w:val="auto"/>
                <w:sz w:val="21"/>
                <w:szCs w:val="21"/>
              </w:rPr>
            </w:pPr>
            <w:r>
              <w:rPr>
                <w:rFonts w:hint="eastAsia" w:ascii="宋体" w:hAnsi="宋体" w:cs="宋体"/>
                <w:b/>
                <w:bCs w:val="0"/>
                <w:color w:val="auto"/>
                <w:sz w:val="21"/>
                <w:szCs w:val="21"/>
                <w:lang w:val="en-US" w:eastAsia="zh-CN"/>
              </w:rPr>
              <w:t>后</w:t>
            </w:r>
            <w:r>
              <w:rPr>
                <w:rFonts w:hint="eastAsia" w:ascii="宋体" w:hAnsi="宋体" w:cs="宋体"/>
                <w:b/>
                <w:bCs w:val="0"/>
                <w:color w:val="auto"/>
                <w:sz w:val="21"/>
                <w:szCs w:val="21"/>
              </w:rPr>
              <w:t>果</w:t>
            </w:r>
          </w:p>
        </w:tc>
        <w:tc>
          <w:tcPr>
            <w:tcW w:w="359" w:type="pct"/>
            <w:noWrap w:val="0"/>
            <w:vAlign w:val="center"/>
          </w:tcPr>
          <w:p w14:paraId="021A6E1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b/>
                <w:bCs w:val="0"/>
                <w:color w:val="auto"/>
                <w:sz w:val="21"/>
                <w:szCs w:val="21"/>
              </w:rPr>
            </w:pPr>
            <w:r>
              <w:rPr>
                <w:rFonts w:hint="eastAsia" w:ascii="宋体" w:hAnsi="宋体" w:cs="宋体"/>
                <w:b/>
                <w:bCs w:val="0"/>
                <w:color w:val="auto"/>
                <w:sz w:val="21"/>
                <w:szCs w:val="21"/>
              </w:rPr>
              <w:t>危险等级</w:t>
            </w:r>
          </w:p>
        </w:tc>
        <w:tc>
          <w:tcPr>
            <w:tcW w:w="2344" w:type="pct"/>
            <w:noWrap w:val="0"/>
            <w:vAlign w:val="center"/>
          </w:tcPr>
          <w:p w14:paraId="0EBBFC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b/>
                <w:bCs w:val="0"/>
                <w:color w:val="auto"/>
                <w:sz w:val="21"/>
                <w:szCs w:val="21"/>
              </w:rPr>
            </w:pPr>
            <w:r>
              <w:rPr>
                <w:rFonts w:hint="eastAsia" w:ascii="宋体" w:hAnsi="宋体" w:cs="宋体"/>
                <w:b/>
                <w:bCs w:val="0"/>
                <w:color w:val="auto"/>
                <w:sz w:val="21"/>
                <w:szCs w:val="21"/>
              </w:rPr>
              <w:t>对策措施</w:t>
            </w:r>
          </w:p>
        </w:tc>
      </w:tr>
      <w:tr w14:paraId="6D6A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 w:type="pct"/>
            <w:noWrap w:val="0"/>
            <w:vAlign w:val="center"/>
          </w:tcPr>
          <w:p w14:paraId="25821FB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cs="宋体"/>
                <w:b w:val="0"/>
                <w:bCs/>
                <w:color w:val="auto"/>
                <w:sz w:val="21"/>
                <w:szCs w:val="21"/>
              </w:rPr>
            </w:pPr>
            <w:r>
              <w:rPr>
                <w:rFonts w:hint="eastAsia" w:ascii="宋体" w:hAnsi="宋体" w:cs="宋体"/>
                <w:b w:val="0"/>
                <w:bCs/>
                <w:color w:val="auto"/>
                <w:sz w:val="21"/>
                <w:szCs w:val="21"/>
              </w:rPr>
              <w:t>冒顶片帮</w:t>
            </w:r>
          </w:p>
        </w:tc>
        <w:tc>
          <w:tcPr>
            <w:tcW w:w="1483" w:type="pct"/>
            <w:noWrap w:val="0"/>
            <w:vAlign w:val="center"/>
          </w:tcPr>
          <w:p w14:paraId="56B0BE4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1）爆破参数不合理，对围岩稳定性造成较大破坏；</w:t>
            </w:r>
          </w:p>
          <w:p w14:paraId="698A6F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2）采场结构不合理、顶柱、底柱等矿柱留设不合理；</w:t>
            </w:r>
          </w:p>
          <w:p w14:paraId="7F0097F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3）高应力集中区域采掘施工措施不当。</w:t>
            </w:r>
          </w:p>
          <w:p w14:paraId="6EFC73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4）巷道施工，特别是巷道三岔口施工支护不合理或未按设计要求进行支护；</w:t>
            </w:r>
          </w:p>
          <w:p w14:paraId="383289C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5）巷道修理无防止顶板冒落的安全措施，或未按安全措施施工；</w:t>
            </w:r>
          </w:p>
          <w:p w14:paraId="595A16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6）未及时充填采空区或充填体未达到设计强度时，开采其下部或相邻块段的矿体。</w:t>
            </w:r>
          </w:p>
          <w:p w14:paraId="3BC3531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7）采掘作业过程中未执行“敲帮问顶”制度，及时处理松动岩石。</w:t>
            </w:r>
          </w:p>
        </w:tc>
        <w:tc>
          <w:tcPr>
            <w:tcW w:w="461" w:type="pct"/>
            <w:noWrap w:val="0"/>
            <w:vAlign w:val="center"/>
          </w:tcPr>
          <w:p w14:paraId="3A9EE08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31DF994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49C1A2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04D4CA4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1）采掘工作面编制爆破设计，合理确定爆破参数，以减少爆破震动对围岩的影响，巷道掘进时，宜采用光面爆破工艺；</w:t>
            </w:r>
          </w:p>
          <w:p w14:paraId="7DA667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2）采场结构应适应矿体及其围岩的稳定性要求，留设的顶柱、底柱等矿柱的支撑力应能承受开采后形成的最大应力；</w:t>
            </w:r>
          </w:p>
          <w:p w14:paraId="754965A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3）科学、合理布置采掘工程，避免产生应力集中区或采掘工程布置在应力集中区域。</w:t>
            </w:r>
          </w:p>
          <w:p w14:paraId="73F1DB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深部开采形成高应力或有岩爆风险时，加强对深部岩石力学研究工作，并从应力释放措施、巷道断面、巷道支护、施工顺序等方面采取有效措施。</w:t>
            </w:r>
          </w:p>
          <w:p w14:paraId="0A7E764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4）掘进巷道时，须按设计或《作业规程》要求及时进行支护；巷道三岔口施工应依据岩性特征、断面大小、施工工艺编制专项安全措施，措施中必须有顶板管理的安全技术措施；</w:t>
            </w:r>
          </w:p>
          <w:p w14:paraId="46FB8E4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5）失修巷道进行巷道修理施工前，须编制安全技术措施，以防范顶板事故，操作过程中严格执行安全技术措施；</w:t>
            </w:r>
          </w:p>
          <w:p w14:paraId="79AC0F7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6）及时充填采空区，合理安排开采顺序，确保充填体达到设计强度时，才能开采其下部或相邻块段的矿体。</w:t>
            </w:r>
          </w:p>
          <w:p w14:paraId="6676579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7）加强员工培训，严格操作要求，采掘作业过程中严格执行“敲帮问顶”制度，及时处理松动岩石。</w:t>
            </w:r>
          </w:p>
        </w:tc>
      </w:tr>
      <w:tr w14:paraId="7BA9D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 w:type="pct"/>
            <w:noWrap w:val="0"/>
            <w:vAlign w:val="center"/>
          </w:tcPr>
          <w:p w14:paraId="32E3169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机械伤害</w:t>
            </w:r>
          </w:p>
        </w:tc>
        <w:tc>
          <w:tcPr>
            <w:tcW w:w="1483" w:type="pct"/>
            <w:noWrap w:val="0"/>
            <w:vAlign w:val="top"/>
          </w:tcPr>
          <w:p w14:paraId="3D7D041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1）未按《操作规程》要求操作凿岩机、混凝土喷射机等设备；</w:t>
            </w:r>
          </w:p>
          <w:p w14:paraId="0026D90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2）搬运、移动凿岩机、混凝土喷射设备操作不当；</w:t>
            </w:r>
          </w:p>
          <w:p w14:paraId="3994D84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3）点眼工着装不整齐，特殊情况下未借助其他工具点眼。</w:t>
            </w:r>
          </w:p>
        </w:tc>
        <w:tc>
          <w:tcPr>
            <w:tcW w:w="461" w:type="pct"/>
            <w:noWrap w:val="0"/>
            <w:vAlign w:val="center"/>
          </w:tcPr>
          <w:p w14:paraId="170CD34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63DB899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0B17CB1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310C27B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1）操作凿岩机、混凝土喷射设备的人员须学习设备的《操作规程》，熟悉设备的操作要领，操作过程中严格执行《操作规程》；</w:t>
            </w:r>
          </w:p>
          <w:p w14:paraId="7EE68DF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2）搬运、移动凿岩机、混凝土喷射设备前应停止工作；</w:t>
            </w:r>
          </w:p>
          <w:p w14:paraId="416D59A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3）点眼工着装要整齐，操作过程中与凿岩工动作应配合协调，在岩石破碎地段或坚硬地段点眼时，须借助其他工具点眼。</w:t>
            </w:r>
          </w:p>
        </w:tc>
      </w:tr>
      <w:tr w14:paraId="69E5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51" w:type="pct"/>
            <w:noWrap w:val="0"/>
            <w:vAlign w:val="center"/>
          </w:tcPr>
          <w:p w14:paraId="0A8EE71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高处坠落</w:t>
            </w:r>
          </w:p>
        </w:tc>
        <w:tc>
          <w:tcPr>
            <w:tcW w:w="1483" w:type="pct"/>
            <w:noWrap w:val="0"/>
            <w:vAlign w:val="top"/>
          </w:tcPr>
          <w:p w14:paraId="41830C0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1）天井施工未配备或使用安全设施；</w:t>
            </w:r>
          </w:p>
          <w:p w14:paraId="692C9F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2）暂不使用的天井上口未设置栅栏或封闭；</w:t>
            </w:r>
          </w:p>
          <w:p w14:paraId="017283C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3）在用的天井上口未设置栅栏、警示标志；</w:t>
            </w:r>
          </w:p>
          <w:p w14:paraId="2584ED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4）行人天井的梯子安装不牢或失效。</w:t>
            </w:r>
          </w:p>
        </w:tc>
        <w:tc>
          <w:tcPr>
            <w:tcW w:w="461" w:type="pct"/>
            <w:noWrap w:val="0"/>
            <w:vAlign w:val="center"/>
          </w:tcPr>
          <w:p w14:paraId="7D4F78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570590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0FEF9DD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54B2D2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1）天井施工佩戴可靠的安全绳（带）等安全防护设施；</w:t>
            </w:r>
          </w:p>
          <w:p w14:paraId="4D7510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2）暂不使用的天井上口设置栅栏或封闭；</w:t>
            </w:r>
          </w:p>
          <w:p w14:paraId="4925069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3）在用的天井上口设置栅栏、警示标志；</w:t>
            </w:r>
          </w:p>
          <w:p w14:paraId="0BCC102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4）行人天井的梯子安装牢固并符合规范要求，并经常检查，确保行人梯子牢固可靠。</w:t>
            </w:r>
          </w:p>
        </w:tc>
      </w:tr>
      <w:tr w14:paraId="5EEF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 w:type="pct"/>
            <w:noWrap w:val="0"/>
            <w:vAlign w:val="center"/>
          </w:tcPr>
          <w:p w14:paraId="2DA4692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触电</w:t>
            </w:r>
          </w:p>
        </w:tc>
        <w:tc>
          <w:tcPr>
            <w:tcW w:w="1483" w:type="pct"/>
            <w:noWrap w:val="0"/>
            <w:vAlign w:val="top"/>
          </w:tcPr>
          <w:p w14:paraId="2A1B2C9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1）用电保护缺失；</w:t>
            </w:r>
          </w:p>
          <w:p w14:paraId="6F6D2EA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2）明接头、明闸刀；</w:t>
            </w:r>
          </w:p>
          <w:p w14:paraId="3E7E54C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3）供电线路破损；</w:t>
            </w:r>
          </w:p>
          <w:p w14:paraId="30790F9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4）违规操作。</w:t>
            </w:r>
          </w:p>
        </w:tc>
        <w:tc>
          <w:tcPr>
            <w:tcW w:w="461" w:type="pct"/>
            <w:noWrap w:val="0"/>
            <w:vAlign w:val="center"/>
          </w:tcPr>
          <w:p w14:paraId="314203D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3F9147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6E3BFD7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5069D95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1）供电必须有漏电保护、过流过载保护、接地保护等保护系统；</w:t>
            </w:r>
          </w:p>
          <w:p w14:paraId="5752166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2）严禁明接头，控制开关严禁使用明闸刀，根据设备电机功率，选择适宜的开关，如空气开关或真空开关；</w:t>
            </w:r>
          </w:p>
          <w:p w14:paraId="240286E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3）经常检查供电线路，发现供电线路破损，须及时处理；</w:t>
            </w:r>
          </w:p>
          <w:p w14:paraId="1D81C3E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4）严格用电管理，对电气设备、线路进行检修时，必须由取得相应电工操作资格证的专职电工进行操作，严禁违章带电作业。</w:t>
            </w:r>
          </w:p>
        </w:tc>
      </w:tr>
      <w:tr w14:paraId="7B15B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51" w:type="pct"/>
            <w:noWrap w:val="0"/>
            <w:vAlign w:val="center"/>
          </w:tcPr>
          <w:p w14:paraId="20548AE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透水</w:t>
            </w:r>
          </w:p>
        </w:tc>
        <w:tc>
          <w:tcPr>
            <w:tcW w:w="1483" w:type="pct"/>
            <w:noWrap w:val="0"/>
            <w:vAlign w:val="top"/>
          </w:tcPr>
          <w:p w14:paraId="374F53B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1）不同地段矿体含硫量不明。</w:t>
            </w:r>
          </w:p>
          <w:p w14:paraId="46C7CD8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2）采场矿柱留设不合理，或开采、损坏留设矿柱。</w:t>
            </w:r>
          </w:p>
          <w:p w14:paraId="2B04EA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3）采用采矿方法不合理，导致采场内矿石滞留时间长。4）采场通风不合理，造成局部微风供氧。</w:t>
            </w:r>
          </w:p>
          <w:p w14:paraId="703B547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5）洒水降尘时，未洒透。</w:t>
            </w:r>
          </w:p>
          <w:p w14:paraId="068D509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6）其他人为因素造成采场矿石滞留时间长。</w:t>
            </w:r>
          </w:p>
        </w:tc>
        <w:tc>
          <w:tcPr>
            <w:tcW w:w="461" w:type="pct"/>
            <w:noWrap w:val="0"/>
            <w:vAlign w:val="center"/>
          </w:tcPr>
          <w:p w14:paraId="7798D75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设备损坏、资源损失、人员伤亡</w:t>
            </w:r>
          </w:p>
        </w:tc>
        <w:tc>
          <w:tcPr>
            <w:tcW w:w="359" w:type="pct"/>
            <w:noWrap w:val="0"/>
            <w:vAlign w:val="center"/>
          </w:tcPr>
          <w:p w14:paraId="3FEADAF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4CAC1F8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1）有条件时，应对不同采场的矿石含硫量进行检测，当矿石的含硫量较高（一般达到30％及以上）时，应采用有效缩短矿石在采场的滞留时间的措施，并进行有效的矿石自燃预测预报。</w:t>
            </w:r>
          </w:p>
          <w:p w14:paraId="07244F8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2）采场尽可能采用无柱开采技术，否则矿柱留设合理，确保有足够的承载能力，严禁随意开采、破坏留的各类矿柱。</w:t>
            </w:r>
          </w:p>
          <w:p w14:paraId="6AE20D6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3）采用适宜的采矿方法，以最大限度控制矿石在采场的滞留时间，如矿山目前采用的下向水平分层充填法。</w:t>
            </w:r>
          </w:p>
          <w:p w14:paraId="005FA79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4）加强采场通风，严禁无风、微风作业，确保采场风量。</w:t>
            </w:r>
          </w:p>
          <w:p w14:paraId="5A95329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5）洒水降尘应洒透。</w:t>
            </w:r>
          </w:p>
          <w:p w14:paraId="719339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6）及时装载采场爆破的矿石，矿石在采场的滞留时间不得超过其自然发火期。</w:t>
            </w:r>
          </w:p>
          <w:p w14:paraId="384ADB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cs="宋体"/>
                <w:b w:val="0"/>
                <w:bCs/>
                <w:color w:val="auto"/>
                <w:sz w:val="21"/>
                <w:szCs w:val="21"/>
                <w:lang w:val="en-US" w:eastAsia="zh-CN"/>
              </w:rPr>
              <w:t>7</w:t>
            </w:r>
            <w:r>
              <w:rPr>
                <w:rFonts w:hint="eastAsia" w:ascii="宋体" w:hAnsi="宋体" w:eastAsia="宋体" w:cs="宋体"/>
                <w:b w:val="0"/>
                <w:bCs/>
                <w:color w:val="auto"/>
                <w:sz w:val="21"/>
                <w:szCs w:val="21"/>
              </w:rPr>
              <w:t>）制定预防矿石自燃的防灭火安全技术措施。</w:t>
            </w:r>
          </w:p>
        </w:tc>
      </w:tr>
      <w:tr w14:paraId="1FF68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51" w:type="pct"/>
            <w:noWrap w:val="0"/>
            <w:vAlign w:val="center"/>
          </w:tcPr>
          <w:p w14:paraId="50A6449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火药爆炸</w:t>
            </w:r>
          </w:p>
        </w:tc>
        <w:tc>
          <w:tcPr>
            <w:tcW w:w="1483" w:type="pct"/>
            <w:noWrap w:val="0"/>
            <w:vAlign w:val="center"/>
          </w:tcPr>
          <w:p w14:paraId="55385CE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1）不按规定运送爆破材料；</w:t>
            </w:r>
          </w:p>
          <w:p w14:paraId="01A8953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2）引药（起爆药）制作不规范，未避开顶板破碎地段、电气设备等；</w:t>
            </w:r>
          </w:p>
          <w:p w14:paraId="489B0F0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3）装药时，未清理现场的设备、工具，特别是移动电动工具、设备。</w:t>
            </w:r>
          </w:p>
        </w:tc>
        <w:tc>
          <w:tcPr>
            <w:tcW w:w="461" w:type="pct"/>
            <w:noWrap w:val="0"/>
            <w:vAlign w:val="center"/>
          </w:tcPr>
          <w:p w14:paraId="5EB85A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0BB2E5C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7FA4221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414FB27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1）爆破材料运输必须符合规定要求，严禁雷管、炸药混装，严禁使用非专用运输工具运输；</w:t>
            </w:r>
          </w:p>
          <w:p w14:paraId="02F98C0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2）制作规范，应选择顶板稳定或支护完好地段，远离电气设备等场所；引药（起爆药）不得放在可传导杂散电流的铁器、电缆上；</w:t>
            </w:r>
          </w:p>
          <w:p w14:paraId="332729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3）装药时，清理现场的设备、工具，特别是移动电动工具、设备。</w:t>
            </w:r>
          </w:p>
        </w:tc>
      </w:tr>
      <w:tr w14:paraId="4288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 w:type="pct"/>
            <w:noWrap w:val="0"/>
            <w:vAlign w:val="center"/>
          </w:tcPr>
          <w:p w14:paraId="1ECA2C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放炮</w:t>
            </w:r>
          </w:p>
        </w:tc>
        <w:tc>
          <w:tcPr>
            <w:tcW w:w="1483" w:type="pct"/>
            <w:noWrap w:val="0"/>
            <w:vAlign w:val="center"/>
          </w:tcPr>
          <w:p w14:paraId="24862BE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1）使用变质、过期的爆破材料；</w:t>
            </w:r>
          </w:p>
          <w:p w14:paraId="691DC0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2）爆破作业由非爆破作业人员操作；</w:t>
            </w:r>
          </w:p>
          <w:p w14:paraId="38D7DD1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3）连线作业由非爆破作业人员操作；</w:t>
            </w:r>
          </w:p>
          <w:p w14:paraId="5FA2A93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4）未执行爆破撤人制度；</w:t>
            </w:r>
          </w:p>
          <w:p w14:paraId="3B071D2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5）违规爆破，如未发出信号起爆；</w:t>
            </w:r>
          </w:p>
          <w:p w14:paraId="4B25545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6）爆破后立即进入爆破现场；</w:t>
            </w:r>
          </w:p>
          <w:p w14:paraId="78A8A1D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7）违规处理盲炮（拒爆）。</w:t>
            </w:r>
          </w:p>
        </w:tc>
        <w:tc>
          <w:tcPr>
            <w:tcW w:w="461" w:type="pct"/>
            <w:noWrap w:val="0"/>
            <w:vAlign w:val="center"/>
          </w:tcPr>
          <w:p w14:paraId="4DFA0A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0B9BEB6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306919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660CAD1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1）不得使用变质、过期的爆破材料；</w:t>
            </w:r>
          </w:p>
          <w:p w14:paraId="17CE0D2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2）爆破作业由专职爆破作业人员操作；</w:t>
            </w:r>
          </w:p>
          <w:p w14:paraId="29F4047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3）连线作业由专职爆破作业人员操作；</w:t>
            </w:r>
          </w:p>
          <w:p w14:paraId="6EED3E7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4）严格执行爆破撤人制度；当班班长负责爆破警戒、撤人工作，只有爆破警戒、撤人工作到位后，才能发出爆破指令，爆破员只有接到爆破指令后，才能起爆；</w:t>
            </w:r>
          </w:p>
          <w:p w14:paraId="48C7820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5）严格爆破作业程序，起爆前须发出起爆信号，爆破员只有接到爆破指令后，才能起爆；</w:t>
            </w:r>
          </w:p>
          <w:p w14:paraId="2B1A475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6）爆破后等待15min后，才能进入爆破现场；</w:t>
            </w:r>
          </w:p>
          <w:p w14:paraId="2A6A2A1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7）按规定处理盲炮（拒爆），当班盲炮当班处理，当班处理不了的，当班爆破员与下班爆破员现场交班，交代清楚。</w:t>
            </w:r>
          </w:p>
        </w:tc>
      </w:tr>
      <w:tr w14:paraId="40DB3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51" w:type="pct"/>
            <w:noWrap w:val="0"/>
            <w:vAlign w:val="center"/>
          </w:tcPr>
          <w:p w14:paraId="415B96C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中毒窒息</w:t>
            </w:r>
          </w:p>
        </w:tc>
        <w:tc>
          <w:tcPr>
            <w:tcW w:w="1483" w:type="pct"/>
            <w:noWrap w:val="0"/>
            <w:vAlign w:val="center"/>
          </w:tcPr>
          <w:p w14:paraId="7EE9241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1）爆破作业后，过早进入爆破区；</w:t>
            </w:r>
          </w:p>
          <w:p w14:paraId="6FF6BFA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2）违规进入停工停风的作业场所；</w:t>
            </w:r>
          </w:p>
          <w:p w14:paraId="579989F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3）停工停风的作业场所未按规定设置栅栏、揭示警标或密闭。</w:t>
            </w:r>
          </w:p>
        </w:tc>
        <w:tc>
          <w:tcPr>
            <w:tcW w:w="461" w:type="pct"/>
            <w:noWrap w:val="0"/>
            <w:vAlign w:val="center"/>
          </w:tcPr>
          <w:p w14:paraId="26AA169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人员</w:t>
            </w:r>
          </w:p>
          <w:p w14:paraId="2AEA768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伤亡</w:t>
            </w:r>
          </w:p>
        </w:tc>
        <w:tc>
          <w:tcPr>
            <w:tcW w:w="359" w:type="pct"/>
            <w:noWrap w:val="0"/>
            <w:vAlign w:val="center"/>
          </w:tcPr>
          <w:p w14:paraId="16D9C5E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Ⅲ</w:t>
            </w:r>
          </w:p>
        </w:tc>
        <w:tc>
          <w:tcPr>
            <w:tcW w:w="2344" w:type="pct"/>
            <w:noWrap w:val="0"/>
            <w:vAlign w:val="center"/>
          </w:tcPr>
          <w:p w14:paraId="40FA456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1）爆破等待15min后，才能进入爆破现场；</w:t>
            </w:r>
          </w:p>
          <w:p w14:paraId="4303DCB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2）停工停风的作业场所按规定设置栅栏、揭示警标，停工停风时间较长的作业场所须进行密闭；</w:t>
            </w:r>
          </w:p>
          <w:p w14:paraId="45E9A75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3）严禁进入停工停风的作业场所；</w:t>
            </w:r>
          </w:p>
          <w:p w14:paraId="62C5A4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4）停工停风作业场所恢复生产前，须进行通风供氧，只有作业场所空气环境正常后，人员才能进入。</w:t>
            </w:r>
          </w:p>
        </w:tc>
      </w:tr>
      <w:tr w14:paraId="57E07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351" w:type="pct"/>
            <w:noWrap w:val="0"/>
            <w:vAlign w:val="center"/>
          </w:tcPr>
          <w:p w14:paraId="6861EDF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粉尘</w:t>
            </w:r>
          </w:p>
        </w:tc>
        <w:tc>
          <w:tcPr>
            <w:tcW w:w="1483" w:type="pct"/>
            <w:noWrap w:val="0"/>
            <w:vAlign w:val="center"/>
          </w:tcPr>
          <w:p w14:paraId="52F789A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1）凿岩作业未采用湿式凿岩；</w:t>
            </w:r>
          </w:p>
          <w:p w14:paraId="56FF400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2）下矿漏斗处及其他转载点进行喷雾洒水；</w:t>
            </w:r>
          </w:p>
          <w:p w14:paraId="79A184D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3）未执行综合防尘措施；</w:t>
            </w:r>
          </w:p>
          <w:p w14:paraId="3323E4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4）喷射混凝土未采用潮料上料。</w:t>
            </w:r>
          </w:p>
        </w:tc>
        <w:tc>
          <w:tcPr>
            <w:tcW w:w="461" w:type="pct"/>
            <w:noWrap w:val="0"/>
            <w:vAlign w:val="center"/>
          </w:tcPr>
          <w:p w14:paraId="1598F74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职业</w:t>
            </w:r>
          </w:p>
          <w:p w14:paraId="2368D89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危害</w:t>
            </w:r>
          </w:p>
        </w:tc>
        <w:tc>
          <w:tcPr>
            <w:tcW w:w="359" w:type="pct"/>
            <w:noWrap w:val="0"/>
            <w:vAlign w:val="center"/>
          </w:tcPr>
          <w:p w14:paraId="0E620E9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Ⅱ</w:t>
            </w:r>
          </w:p>
        </w:tc>
        <w:tc>
          <w:tcPr>
            <w:tcW w:w="2344" w:type="pct"/>
            <w:noWrap w:val="0"/>
            <w:vAlign w:val="center"/>
          </w:tcPr>
          <w:p w14:paraId="3678DBC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1）凿岩作业须采用湿式凿岩；</w:t>
            </w:r>
          </w:p>
          <w:p w14:paraId="70E9F4E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2）下矿漏斗处及其他转载点进行喷雾洒水；</w:t>
            </w:r>
          </w:p>
          <w:p w14:paraId="18F7BDA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3）落实湿式作业、通风防尘、爆后洒水冲洗巷帮、装岩（矿）前洒水、使用个人防护用品的综合防尘措施；</w:t>
            </w:r>
          </w:p>
          <w:p w14:paraId="692F917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4）喷射混凝土采用潮料上料，使用干料时，需有防尘措施。</w:t>
            </w:r>
          </w:p>
        </w:tc>
      </w:tr>
      <w:tr w14:paraId="56A2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51" w:type="pct"/>
            <w:noWrap w:val="0"/>
            <w:vAlign w:val="center"/>
          </w:tcPr>
          <w:p w14:paraId="54B512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噪声震动</w:t>
            </w:r>
          </w:p>
        </w:tc>
        <w:tc>
          <w:tcPr>
            <w:tcW w:w="1483" w:type="pct"/>
            <w:noWrap w:val="0"/>
            <w:vAlign w:val="center"/>
          </w:tcPr>
          <w:p w14:paraId="5882083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未使用个人防护用品。</w:t>
            </w:r>
          </w:p>
        </w:tc>
        <w:tc>
          <w:tcPr>
            <w:tcW w:w="461" w:type="pct"/>
            <w:noWrap w:val="0"/>
            <w:vAlign w:val="center"/>
          </w:tcPr>
          <w:p w14:paraId="581DBE4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职业</w:t>
            </w:r>
          </w:p>
          <w:p w14:paraId="0AE3CD0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危害</w:t>
            </w:r>
          </w:p>
        </w:tc>
        <w:tc>
          <w:tcPr>
            <w:tcW w:w="359" w:type="pct"/>
            <w:noWrap w:val="0"/>
            <w:vAlign w:val="center"/>
          </w:tcPr>
          <w:p w14:paraId="1E8C3DB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snapToGrid w:val="0"/>
                <w:color w:val="auto"/>
                <w:kern w:val="0"/>
                <w:sz w:val="21"/>
                <w:szCs w:val="21"/>
              </w:rPr>
              <w:t>Ⅱ</w:t>
            </w:r>
          </w:p>
        </w:tc>
        <w:tc>
          <w:tcPr>
            <w:tcW w:w="2344" w:type="pct"/>
            <w:noWrap w:val="0"/>
            <w:vAlign w:val="center"/>
          </w:tcPr>
          <w:p w14:paraId="6EFE7A7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使用好个人防护用品，做好个人防护。</w:t>
            </w:r>
          </w:p>
        </w:tc>
      </w:tr>
    </w:tbl>
    <w:p w14:paraId="3FCAF4CE">
      <w:pPr>
        <w:rPr>
          <w:rFonts w:hint="eastAsia"/>
          <w:color w:val="auto"/>
          <w:lang w:val="en-US" w:eastAsia="zh-CN"/>
        </w:rPr>
      </w:pPr>
      <w:r>
        <w:rPr>
          <w:rFonts w:hint="default"/>
          <w:color w:val="auto"/>
          <w:lang w:val="en-US" w:eastAsia="zh-CN"/>
        </w:rPr>
        <w:t>通过预先危险性分析法评价，采掘</w:t>
      </w:r>
      <w:r>
        <w:rPr>
          <w:rFonts w:hint="eastAsia" w:ascii="Times New Roman" w:eastAsia="宋体"/>
          <w:color w:val="auto"/>
          <w:lang w:val="en-US" w:eastAsia="zh-CN"/>
        </w:rPr>
        <w:t>系统</w:t>
      </w:r>
      <w:r>
        <w:rPr>
          <w:rFonts w:hint="eastAsia"/>
          <w:color w:val="auto"/>
          <w:lang w:val="en-US" w:eastAsia="zh-CN"/>
        </w:rPr>
        <w:t>单元</w:t>
      </w:r>
      <w:r>
        <w:rPr>
          <w:rFonts w:hint="default"/>
          <w:color w:val="auto"/>
          <w:lang w:val="en-US" w:eastAsia="zh-CN"/>
        </w:rPr>
        <w:t>存在的危险有害因素主要有</w:t>
      </w:r>
      <w:r>
        <w:rPr>
          <w:rFonts w:hint="eastAsia"/>
          <w:color w:val="auto"/>
          <w:lang w:val="en-US" w:eastAsia="zh-CN"/>
        </w:rPr>
        <w:t>：</w:t>
      </w:r>
      <w:r>
        <w:rPr>
          <w:rFonts w:hint="default"/>
          <w:color w:val="auto"/>
          <w:lang w:val="en-US" w:eastAsia="zh-CN"/>
        </w:rPr>
        <w:t>冒顶片帮、机械伤害、高处坠落、触电、透水、火药爆炸、放炮、中毒窒息、粉尘、噪声与振动等。其中冒顶片帮、机械伤害、高处坠落、触电、透水、火药爆炸、放炮、中毒窒息等危害等级均为</w:t>
      </w:r>
      <w:r>
        <w:rPr>
          <w:rFonts w:hint="eastAsia" w:ascii="宋体" w:hAnsi="宋体" w:eastAsia="宋体" w:cs="宋体"/>
          <w:color w:val="auto"/>
          <w:lang w:val="en-US" w:eastAsia="zh-CN"/>
        </w:rPr>
        <w:t>Ш</w:t>
      </w:r>
      <w:r>
        <w:rPr>
          <w:rFonts w:hint="default"/>
          <w:color w:val="auto"/>
          <w:lang w:val="en-US" w:eastAsia="zh-CN"/>
        </w:rPr>
        <w:t>级，应加以重视</w:t>
      </w:r>
      <w:r>
        <w:rPr>
          <w:rFonts w:hint="eastAsia"/>
          <w:color w:val="auto"/>
          <w:lang w:val="en-US" w:eastAsia="zh-CN"/>
        </w:rPr>
        <w:t>；</w:t>
      </w:r>
      <w:r>
        <w:rPr>
          <w:rFonts w:hint="default"/>
          <w:color w:val="auto"/>
          <w:lang w:val="en-US" w:eastAsia="zh-CN"/>
        </w:rPr>
        <w:t>粉尘、噪声与振动危害等级为</w:t>
      </w:r>
      <w:r>
        <w:rPr>
          <w:rFonts w:hint="eastAsia" w:ascii="宋体" w:hAnsi="宋体" w:eastAsia="宋体" w:cs="宋体"/>
          <w:color w:val="auto"/>
          <w:lang w:val="en-US" w:eastAsia="zh-CN"/>
        </w:rPr>
        <w:t>Ⅱ</w:t>
      </w:r>
      <w:r>
        <w:rPr>
          <w:rFonts w:hint="default"/>
          <w:color w:val="auto"/>
          <w:lang w:val="en-US" w:eastAsia="zh-CN"/>
        </w:rPr>
        <w:t>级，也应加以注意。采取合理的措施后，以上危险有害因素能控制在可接受范围内</w:t>
      </w:r>
      <w:r>
        <w:rPr>
          <w:rFonts w:hint="eastAsia"/>
          <w:color w:val="auto"/>
          <w:lang w:val="en-US" w:eastAsia="zh-CN"/>
        </w:rPr>
        <w:t>。</w:t>
      </w:r>
    </w:p>
    <w:p w14:paraId="260A8617">
      <w:pPr>
        <w:pStyle w:val="4"/>
        <w:bidi w:val="0"/>
        <w:rPr>
          <w:rFonts w:hint="default"/>
          <w:color w:val="auto"/>
          <w:lang w:val="en-US" w:eastAsia="zh-CN"/>
        </w:rPr>
      </w:pPr>
      <w:bookmarkStart w:id="294" w:name="_Toc6887"/>
      <w:bookmarkStart w:id="295" w:name="_Toc12772"/>
      <w:bookmarkStart w:id="296" w:name="_Toc22852"/>
      <w:bookmarkStart w:id="297" w:name="_Toc24517"/>
      <w:r>
        <w:rPr>
          <w:rFonts w:hint="default"/>
          <w:color w:val="auto"/>
          <w:lang w:val="en-US" w:eastAsia="zh-CN"/>
        </w:rPr>
        <w:t>3.</w:t>
      </w:r>
      <w:r>
        <w:rPr>
          <w:rFonts w:hint="eastAsia"/>
          <w:color w:val="auto"/>
          <w:lang w:val="en-US" w:eastAsia="zh-CN"/>
        </w:rPr>
        <w:t>5</w:t>
      </w:r>
      <w:r>
        <w:rPr>
          <w:rFonts w:hint="default"/>
          <w:color w:val="auto"/>
          <w:lang w:val="en-US" w:eastAsia="zh-CN"/>
        </w:rPr>
        <w:t>.</w:t>
      </w:r>
      <w:r>
        <w:rPr>
          <w:rFonts w:hint="eastAsia"/>
          <w:color w:val="auto"/>
          <w:lang w:val="en-US" w:eastAsia="zh-CN"/>
        </w:rPr>
        <w:t xml:space="preserve">2 </w:t>
      </w:r>
      <w:r>
        <w:rPr>
          <w:rFonts w:hint="default"/>
          <w:color w:val="auto"/>
          <w:lang w:val="en-US" w:eastAsia="zh-CN"/>
        </w:rPr>
        <w:t>安全检查表</w:t>
      </w:r>
      <w:bookmarkEnd w:id="294"/>
      <w:bookmarkEnd w:id="295"/>
      <w:bookmarkEnd w:id="296"/>
      <w:bookmarkEnd w:id="297"/>
    </w:p>
    <w:p w14:paraId="021FF886">
      <w:pPr>
        <w:rPr>
          <w:rFonts w:hint="default"/>
          <w:color w:val="auto"/>
          <w:lang w:val="en-US" w:eastAsia="zh-CN"/>
        </w:rPr>
      </w:pPr>
      <w:r>
        <w:rPr>
          <w:rFonts w:hint="default"/>
          <w:color w:val="auto"/>
          <w:lang w:val="en-US" w:eastAsia="zh-CN"/>
        </w:rPr>
        <w:t>按照《金属非金属矿山安全规程》（GB16423-2020）</w:t>
      </w:r>
      <w:r>
        <w:rPr>
          <w:rFonts w:hint="eastAsia"/>
          <w:color w:val="auto"/>
          <w:lang w:val="en-US" w:eastAsia="zh-CN"/>
        </w:rPr>
        <w:t>，</w:t>
      </w:r>
      <w:r>
        <w:rPr>
          <w:rFonts w:hint="default"/>
          <w:color w:val="auto"/>
          <w:lang w:val="en-US" w:eastAsia="zh-CN"/>
        </w:rPr>
        <w:t>通过安全检查表法对</w:t>
      </w:r>
      <w:r>
        <w:rPr>
          <w:rFonts w:hint="eastAsia"/>
          <w:color w:val="auto"/>
          <w:lang w:val="en-US" w:eastAsia="zh-CN"/>
        </w:rPr>
        <w:t>采掘</w:t>
      </w:r>
      <w:r>
        <w:rPr>
          <w:rFonts w:hint="eastAsia" w:ascii="Times New Roman" w:eastAsia="宋体"/>
          <w:color w:val="auto"/>
          <w:lang w:val="en-US" w:eastAsia="zh-CN"/>
        </w:rPr>
        <w:t>系统</w:t>
      </w:r>
      <w:r>
        <w:rPr>
          <w:rFonts w:hint="eastAsia"/>
          <w:color w:val="auto"/>
          <w:lang w:val="en-US" w:eastAsia="zh-CN"/>
        </w:rPr>
        <w:t>单元</w:t>
      </w:r>
      <w:r>
        <w:rPr>
          <w:rFonts w:hint="default"/>
          <w:color w:val="auto"/>
          <w:lang w:val="en-US" w:eastAsia="zh-CN"/>
        </w:rPr>
        <w:t>进行符合性评价，具体评价见表</w:t>
      </w:r>
      <w:r>
        <w:rPr>
          <w:rFonts w:hint="eastAsia"/>
          <w:color w:val="auto"/>
          <w:lang w:val="en-US" w:eastAsia="zh-CN"/>
        </w:rPr>
        <w:t>3.5-2</w:t>
      </w:r>
      <w:r>
        <w:rPr>
          <w:rFonts w:hint="default"/>
          <w:color w:val="auto"/>
          <w:lang w:val="en-US" w:eastAsia="zh-CN"/>
        </w:rPr>
        <w:t>。</w:t>
      </w:r>
    </w:p>
    <w:p w14:paraId="4506C1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color w:val="auto"/>
          <w:lang w:val="en-US" w:eastAsia="zh-CN"/>
        </w:rPr>
        <w:t>3.5-2</w:t>
      </w:r>
      <w:r>
        <w:rPr>
          <w:rFonts w:hint="eastAsia" w:ascii="Times New Roman" w:hAnsi="Times New Roman" w:eastAsia="宋体" w:cs="Times New Roman"/>
          <w:color w:val="auto"/>
          <w:lang w:val="en-US" w:eastAsia="zh-CN"/>
        </w:rPr>
        <w:t xml:space="preserve"> </w:t>
      </w:r>
      <w:r>
        <w:rPr>
          <w:rFonts w:hint="eastAsia"/>
          <w:color w:val="auto"/>
          <w:lang w:val="en-US" w:eastAsia="zh-CN"/>
        </w:rPr>
        <w:t>采掘</w:t>
      </w:r>
      <w:r>
        <w:rPr>
          <w:rFonts w:hint="eastAsia" w:ascii="Times New Roman" w:eastAsia="宋体"/>
          <w:color w:val="auto"/>
          <w:lang w:val="en-US" w:eastAsia="zh-CN"/>
        </w:rPr>
        <w:t>系统</w:t>
      </w:r>
      <w:r>
        <w:rPr>
          <w:rFonts w:hint="eastAsia"/>
          <w:color w:val="auto"/>
          <w:lang w:val="en-US" w:eastAsia="zh-CN"/>
        </w:rPr>
        <w:t>单元</w:t>
      </w:r>
      <w:r>
        <w:rPr>
          <w:rFonts w:ascii="Times New Roman" w:hAnsi="Times New Roman" w:eastAsia="宋体" w:cs="Times New Roman"/>
          <w:color w:val="auto"/>
          <w:lang w:val="en-US" w:eastAsia="zh-CN"/>
        </w:rPr>
        <w:t>安全检查表</w:t>
      </w:r>
    </w:p>
    <w:tbl>
      <w:tblPr>
        <w:tblStyle w:val="17"/>
        <w:tblW w:w="500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43"/>
        <w:gridCol w:w="2538"/>
        <w:gridCol w:w="1637"/>
        <w:gridCol w:w="3208"/>
        <w:gridCol w:w="954"/>
      </w:tblGrid>
      <w:tr w14:paraId="367FA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422" w:type="pct"/>
            <w:tcBorders>
              <w:left w:val="single" w:color="000000" w:sz="2" w:space="0"/>
              <w:right w:val="single" w:color="000000" w:sz="2" w:space="0"/>
            </w:tcBorders>
            <w:vAlign w:val="center"/>
          </w:tcPr>
          <w:p w14:paraId="43FDE7B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1410" w:type="pct"/>
            <w:tcBorders>
              <w:left w:val="single" w:color="000000" w:sz="2" w:space="0"/>
              <w:right w:val="single" w:color="000000" w:sz="2" w:space="0"/>
            </w:tcBorders>
            <w:vAlign w:val="center"/>
          </w:tcPr>
          <w:p w14:paraId="73FC6B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848" w:type="pct"/>
            <w:tcBorders>
              <w:left w:val="single" w:color="000000" w:sz="2" w:space="0"/>
              <w:right w:val="single" w:color="000000" w:sz="2" w:space="0"/>
            </w:tcBorders>
            <w:vAlign w:val="center"/>
          </w:tcPr>
          <w:p w14:paraId="206C5F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779" w:type="pct"/>
            <w:tcBorders>
              <w:left w:val="single" w:color="000000" w:sz="2" w:space="0"/>
              <w:right w:val="single" w:color="000000" w:sz="2" w:space="0"/>
            </w:tcBorders>
            <w:vAlign w:val="center"/>
          </w:tcPr>
          <w:p w14:paraId="67D5F7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538" w:type="pct"/>
            <w:tcBorders>
              <w:left w:val="single" w:color="000000" w:sz="2" w:space="0"/>
              <w:right w:val="single" w:color="000000" w:sz="2" w:space="0"/>
            </w:tcBorders>
            <w:vAlign w:val="center"/>
          </w:tcPr>
          <w:p w14:paraId="17DD11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5F623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2A924CC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2562" w:type="dxa"/>
            <w:tcBorders>
              <w:top w:val="single" w:color="000000" w:sz="2" w:space="0"/>
              <w:left w:val="single" w:color="000000" w:sz="2" w:space="0"/>
              <w:bottom w:val="single" w:color="000000" w:sz="2" w:space="0"/>
              <w:right w:val="single" w:color="000000" w:sz="2" w:space="0"/>
            </w:tcBorders>
            <w:vAlign w:val="center"/>
          </w:tcPr>
          <w:p w14:paraId="5D51692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rPr>
              <w:t>采用凿岩爆破法掘进应遵守下列规定：</w:t>
            </w:r>
          </w:p>
          <w:p w14:paraId="0C68142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采取湿式凿岩、爆破喷雾、装岩洒水和净化风流等综合防尘措施；</w:t>
            </w:r>
          </w:p>
          <w:p w14:paraId="2D3C2B2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在遇水膨胀、强度降低的岩层中掘进不能采用湿式凿岩时，可采用干式凿岩，但应采取降尘措施，作业人员应佩戴防尘保护用品；</w:t>
            </w:r>
          </w:p>
          <w:p w14:paraId="6C4F573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装药爆破前应设置安全警戒标识线；</w:t>
            </w:r>
          </w:p>
          <w:p w14:paraId="335F43C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爆破通风后经检查、处理浮石，确认安全后方可进入工作面作业。</w:t>
            </w:r>
          </w:p>
        </w:tc>
        <w:tc>
          <w:tcPr>
            <w:tcW w:w="1541" w:type="dxa"/>
            <w:tcBorders>
              <w:top w:val="single" w:color="000000" w:sz="2" w:space="0"/>
              <w:left w:val="single" w:color="000000" w:sz="2" w:space="0"/>
              <w:bottom w:val="single" w:color="000000" w:sz="2" w:space="0"/>
              <w:right w:val="single" w:color="000000" w:sz="2" w:space="0"/>
            </w:tcBorders>
            <w:vAlign w:val="center"/>
          </w:tcPr>
          <w:p w14:paraId="36229A1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ascii="Times New Roman" w:hAnsi="Times New Roman" w:eastAsia="宋体" w:cs="宋体"/>
                <w:color w:val="auto"/>
                <w:sz w:val="21"/>
                <w:szCs w:val="21"/>
              </w:rPr>
              <w:t>GB16423-2020</w:t>
            </w:r>
          </w:p>
          <w:p w14:paraId="17ECE1F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宋体"/>
                <w:color w:val="auto"/>
                <w:sz w:val="21"/>
                <w:szCs w:val="21"/>
              </w:rPr>
              <w:t>第6.1.4.1条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0286B73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采用湿式凿岩。</w:t>
            </w:r>
          </w:p>
        </w:tc>
        <w:tc>
          <w:tcPr>
            <w:tcW w:w="538" w:type="pct"/>
            <w:tcBorders>
              <w:top w:val="single" w:color="000000" w:sz="2" w:space="0"/>
              <w:left w:val="single" w:color="000000" w:sz="2" w:space="0"/>
              <w:bottom w:val="single" w:color="000000" w:sz="2" w:space="0"/>
              <w:right w:val="single" w:color="000000" w:sz="2" w:space="0"/>
            </w:tcBorders>
            <w:vAlign w:val="center"/>
          </w:tcPr>
          <w:p w14:paraId="2A1E73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3A819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4292B4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w:t>
            </w:r>
          </w:p>
        </w:tc>
        <w:tc>
          <w:tcPr>
            <w:tcW w:w="2562" w:type="dxa"/>
            <w:tcBorders>
              <w:top w:val="single" w:color="000000" w:sz="2" w:space="0"/>
              <w:left w:val="single" w:color="000000" w:sz="2" w:space="0"/>
              <w:bottom w:val="single" w:color="000000" w:sz="2" w:space="0"/>
              <w:right w:val="single" w:color="000000" w:sz="2" w:space="0"/>
            </w:tcBorders>
            <w:vAlign w:val="center"/>
          </w:tcPr>
          <w:p w14:paraId="30B714A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ascii="Times New Roman" w:hAnsi="Times New Roman" w:eastAsia="宋体" w:cs="宋体"/>
                <w:color w:val="auto"/>
                <w:sz w:val="21"/>
                <w:szCs w:val="21"/>
              </w:rPr>
              <w:t>每个采区或者盘区、矿块均应有两个便于行人的安全出口，并与通往地面的安全出口相通。</w:t>
            </w:r>
          </w:p>
        </w:tc>
        <w:tc>
          <w:tcPr>
            <w:tcW w:w="1541" w:type="dxa"/>
            <w:tcBorders>
              <w:top w:val="single" w:color="000000" w:sz="2" w:space="0"/>
              <w:left w:val="single" w:color="000000" w:sz="2" w:space="0"/>
              <w:bottom w:val="single" w:color="000000" w:sz="2" w:space="0"/>
              <w:right w:val="single" w:color="000000" w:sz="2" w:space="0"/>
            </w:tcBorders>
            <w:vAlign w:val="center"/>
          </w:tcPr>
          <w:p w14:paraId="1E0DD38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ascii="Times New Roman" w:hAnsi="Times New Roman" w:eastAsia="宋体" w:cs="宋体"/>
                <w:color w:val="auto"/>
                <w:sz w:val="21"/>
                <w:szCs w:val="21"/>
              </w:rPr>
              <w:t>GB16423-2020</w:t>
            </w:r>
          </w:p>
          <w:p w14:paraId="29628DA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ascii="Times New Roman" w:hAnsi="Times New Roman" w:eastAsia="宋体" w:cs="宋体"/>
                <w:color w:val="auto"/>
                <w:sz w:val="21"/>
                <w:szCs w:val="21"/>
              </w:rPr>
              <w:t>第6.3.1.4条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43FD81F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ascii="Times New Roman" w:hAnsi="Times New Roman" w:eastAsia="宋体" w:cs="Times New Roman"/>
                <w:snapToGrid w:val="0"/>
                <w:color w:val="auto"/>
                <w:spacing w:val="26"/>
                <w:kern w:val="0"/>
                <w:sz w:val="21"/>
                <w:szCs w:val="21"/>
                <w:lang w:val="en-US" w:eastAsia="zh-CN" w:bidi="ar-SA"/>
              </w:rPr>
              <w:t>安全出口符合要求。</w:t>
            </w:r>
          </w:p>
        </w:tc>
        <w:tc>
          <w:tcPr>
            <w:tcW w:w="538" w:type="pct"/>
            <w:tcBorders>
              <w:top w:val="single" w:color="000000" w:sz="2" w:space="0"/>
              <w:left w:val="single" w:color="000000" w:sz="2" w:space="0"/>
              <w:bottom w:val="single" w:color="000000" w:sz="2" w:space="0"/>
              <w:right w:val="single" w:color="000000" w:sz="2" w:space="0"/>
            </w:tcBorders>
            <w:vAlign w:val="center"/>
          </w:tcPr>
          <w:p w14:paraId="27BE043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6FCF71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764869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3</w:t>
            </w:r>
          </w:p>
        </w:tc>
        <w:tc>
          <w:tcPr>
            <w:tcW w:w="2562" w:type="dxa"/>
            <w:tcBorders>
              <w:top w:val="single" w:color="000000" w:sz="2" w:space="0"/>
              <w:left w:val="single" w:color="000000" w:sz="2" w:space="0"/>
              <w:bottom w:val="single" w:color="000000" w:sz="2" w:space="0"/>
              <w:right w:val="single" w:color="000000" w:sz="2" w:space="0"/>
            </w:tcBorders>
            <w:vAlign w:val="center"/>
          </w:tcPr>
          <w:p w14:paraId="093119D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宋体"/>
                <w:color w:val="auto"/>
                <w:sz w:val="21"/>
                <w:szCs w:val="21"/>
              </w:rPr>
              <w:t>采矿设计应提出矿柱回采和采空区处理方案，并制定专门的安全措施。</w:t>
            </w:r>
          </w:p>
        </w:tc>
        <w:tc>
          <w:tcPr>
            <w:tcW w:w="1541" w:type="dxa"/>
            <w:tcBorders>
              <w:top w:val="single" w:color="000000" w:sz="2" w:space="0"/>
              <w:left w:val="single" w:color="000000" w:sz="2" w:space="0"/>
              <w:bottom w:val="single" w:color="000000" w:sz="2" w:space="0"/>
              <w:right w:val="single" w:color="000000" w:sz="2" w:space="0"/>
            </w:tcBorders>
            <w:vAlign w:val="center"/>
          </w:tcPr>
          <w:p w14:paraId="37C8631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宋体"/>
                <w:color w:val="auto"/>
                <w:sz w:val="21"/>
                <w:szCs w:val="21"/>
                <w:lang w:val="en-US" w:eastAsia="zh-CN"/>
              </w:rPr>
              <w:t>《金属非金属矿山安全规程》</w:t>
            </w:r>
            <w:r>
              <w:rPr>
                <w:rFonts w:ascii="Times New Roman" w:hAnsi="Times New Roman" w:eastAsia="宋体" w:cs="宋体"/>
                <w:color w:val="auto"/>
                <w:spacing w:val="-6"/>
                <w:sz w:val="21"/>
                <w:szCs w:val="21"/>
              </w:rPr>
              <w:t>（GB16423-2020）第6.3.1.</w:t>
            </w:r>
            <w:r>
              <w:rPr>
                <w:rFonts w:hint="eastAsia" w:ascii="Times New Roman" w:hAnsi="Times New Roman" w:eastAsia="宋体" w:cs="宋体"/>
                <w:color w:val="auto"/>
                <w:spacing w:val="-6"/>
                <w:sz w:val="21"/>
                <w:szCs w:val="21"/>
                <w:lang w:val="en-US" w:eastAsia="zh-CN"/>
              </w:rPr>
              <w:t>5</w:t>
            </w:r>
            <w:r>
              <w:rPr>
                <w:rFonts w:ascii="Times New Roman" w:hAnsi="Times New Roman" w:eastAsia="宋体" w:cs="宋体"/>
                <w:color w:val="auto"/>
                <w:spacing w:val="-6"/>
                <w:sz w:val="21"/>
                <w:szCs w:val="21"/>
              </w:rPr>
              <w:t>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529136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26"/>
                <w:kern w:val="0"/>
                <w:sz w:val="21"/>
                <w:szCs w:val="21"/>
                <w:lang w:val="en-US" w:eastAsia="zh-CN" w:bidi="ar-SA"/>
              </w:rPr>
            </w:pPr>
            <w:r>
              <w:rPr>
                <w:rFonts w:hint="eastAsia" w:cs="宋体"/>
                <w:color w:val="auto"/>
                <w:sz w:val="21"/>
                <w:szCs w:val="21"/>
                <w:lang w:val="en-US" w:eastAsia="zh-CN"/>
              </w:rPr>
              <w:t>中厚及近水平的矿体采用全面采矿法（嗣后充填），薄及缓倾斜的矿体采用房柱法（嗣后充填），厚矿体采用阶段矿房采矿法（嗣后充填）。矿柱作为永久矿柱损失，原则上不回收</w:t>
            </w:r>
            <w:r>
              <w:rPr>
                <w:rFonts w:hint="eastAsia" w:ascii="Times New Roman" w:hAnsi="Times New Roman" w:eastAsia="宋体" w:cs="宋体"/>
                <w:color w:val="auto"/>
                <w:sz w:val="21"/>
                <w:szCs w:val="21"/>
                <w:lang w:eastAsia="zh-CN"/>
              </w:rPr>
              <w:t>。</w:t>
            </w:r>
          </w:p>
        </w:tc>
        <w:tc>
          <w:tcPr>
            <w:tcW w:w="538" w:type="pct"/>
            <w:tcBorders>
              <w:top w:val="single" w:color="000000" w:sz="2" w:space="0"/>
              <w:left w:val="single" w:color="000000" w:sz="2" w:space="0"/>
              <w:bottom w:val="single" w:color="000000" w:sz="2" w:space="0"/>
              <w:right w:val="single" w:color="000000" w:sz="2" w:space="0"/>
            </w:tcBorders>
            <w:vAlign w:val="center"/>
          </w:tcPr>
          <w:p w14:paraId="6297AC3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0A7DD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1BB90E8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4</w:t>
            </w:r>
          </w:p>
        </w:tc>
        <w:tc>
          <w:tcPr>
            <w:tcW w:w="2562" w:type="dxa"/>
            <w:tcBorders>
              <w:top w:val="single" w:color="000000" w:sz="2" w:space="0"/>
              <w:left w:val="single" w:color="000000" w:sz="2" w:space="0"/>
              <w:bottom w:val="single" w:color="000000" w:sz="2" w:space="0"/>
              <w:right w:val="single" w:color="000000" w:sz="2" w:space="0"/>
            </w:tcBorders>
            <w:vAlign w:val="center"/>
          </w:tcPr>
          <w:p w14:paraId="74E8C36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eastAsia="zh-CN"/>
              </w:rPr>
            </w:pPr>
            <w:r>
              <w:rPr>
                <w:rFonts w:hint="eastAsia" w:ascii="Times New Roman" w:hAnsi="Times New Roman" w:eastAsia="宋体" w:cs="宋体"/>
                <w:color w:val="auto"/>
                <w:sz w:val="21"/>
                <w:szCs w:val="21"/>
              </w:rPr>
              <w:t>采用全面采矿法，应遵守下列规定</w:t>
            </w:r>
            <w:r>
              <w:rPr>
                <w:rFonts w:hint="eastAsia" w:cs="宋体"/>
                <w:color w:val="auto"/>
                <w:sz w:val="21"/>
                <w:szCs w:val="21"/>
                <w:lang w:eastAsia="zh-CN"/>
              </w:rPr>
              <w:t>：</w:t>
            </w:r>
          </w:p>
          <w:p w14:paraId="2D6E546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eastAsia="zh-CN"/>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-采场的结构参数和矿柱(包括点柱、条柱)参数应经岩石力学计算分析后确定</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rPr>
              <w:t>当开采前期缺少相关岩石力学参数时，可采取类比法确定</w:t>
            </w:r>
            <w:r>
              <w:rPr>
                <w:rFonts w:hint="eastAsia" w:ascii="Times New Roman" w:hAnsi="Times New Roman" w:eastAsia="宋体" w:cs="宋体"/>
                <w:color w:val="auto"/>
                <w:sz w:val="21"/>
                <w:szCs w:val="21"/>
                <w:lang w:eastAsia="zh-CN"/>
              </w:rPr>
              <w:t>；</w:t>
            </w:r>
          </w:p>
          <w:p w14:paraId="42E083D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未经原设计单位变更设计或专业研究机构的研究并采取安全措施，不得减小矿柱(包括点柱、条柱)尺寸或扩大矿房的尺寸，不得采用人工支柱替代原有矿柱以回采矿柱;</w:t>
            </w:r>
          </w:p>
          <w:p w14:paraId="3395F6E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-回采过程中应认真检查顶板，处理浮石，并根据岩石稳定性对采场顶板进行必要的支护。</w:t>
            </w:r>
          </w:p>
        </w:tc>
        <w:tc>
          <w:tcPr>
            <w:tcW w:w="1541" w:type="dxa"/>
            <w:tcBorders>
              <w:top w:val="single" w:color="000000" w:sz="2" w:space="0"/>
              <w:left w:val="single" w:color="000000" w:sz="2" w:space="0"/>
              <w:bottom w:val="single" w:color="000000" w:sz="2" w:space="0"/>
              <w:right w:val="single" w:color="000000" w:sz="2" w:space="0"/>
            </w:tcBorders>
            <w:vAlign w:val="center"/>
          </w:tcPr>
          <w:p w14:paraId="67542DB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ascii="Times New Roman" w:hAnsi="Times New Roman" w:eastAsia="宋体" w:cs="宋体"/>
                <w:color w:val="auto"/>
                <w:sz w:val="21"/>
                <w:szCs w:val="21"/>
              </w:rPr>
              <w:t>GB16423-2020</w:t>
            </w:r>
          </w:p>
          <w:p w14:paraId="714B059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ascii="Times New Roman" w:hAnsi="Times New Roman" w:eastAsia="宋体" w:cs="宋体"/>
                <w:color w:val="auto"/>
                <w:sz w:val="21"/>
                <w:szCs w:val="21"/>
              </w:rPr>
              <w:t>第</w:t>
            </w:r>
            <w:r>
              <w:rPr>
                <w:rFonts w:hint="eastAsia" w:ascii="Times New Roman" w:hAnsi="Times New Roman" w:eastAsia="宋体" w:cs="宋体"/>
                <w:color w:val="auto"/>
                <w:sz w:val="21"/>
                <w:szCs w:val="21"/>
              </w:rPr>
              <w:t>6.3.2.</w:t>
            </w:r>
            <w:r>
              <w:rPr>
                <w:rFonts w:hint="eastAsia" w:ascii="Times New Roman" w:hAnsi="Times New Roman" w:eastAsia="宋体" w:cs="宋体"/>
                <w:color w:val="auto"/>
                <w:sz w:val="21"/>
                <w:szCs w:val="21"/>
                <w:lang w:val="en-US" w:eastAsia="zh-CN"/>
              </w:rPr>
              <w:t>2</w:t>
            </w:r>
            <w:r>
              <w:rPr>
                <w:rFonts w:ascii="Times New Roman" w:hAnsi="Times New Roman" w:eastAsia="宋体" w:cs="宋体"/>
                <w:color w:val="auto"/>
                <w:sz w:val="21"/>
                <w:szCs w:val="21"/>
              </w:rPr>
              <w:t>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114C88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宋体"/>
                <w:color w:val="auto"/>
                <w:sz w:val="21"/>
                <w:szCs w:val="21"/>
                <w:lang w:val="en-US" w:eastAsia="zh-CN"/>
              </w:rPr>
              <w:t>《可研报告》中</w:t>
            </w:r>
            <w:r>
              <w:rPr>
                <w:rFonts w:hint="eastAsia" w:ascii="Times New Roman" w:hAnsi="Times New Roman" w:eastAsia="宋体" w:cs="宋体"/>
                <w:color w:val="auto"/>
                <w:sz w:val="21"/>
                <w:szCs w:val="21"/>
              </w:rPr>
              <w:t>全面采矿法</w:t>
            </w:r>
            <w:r>
              <w:rPr>
                <w:rFonts w:hint="eastAsia" w:eastAsia="宋体" w:cs="宋体"/>
                <w:color w:val="auto"/>
                <w:sz w:val="21"/>
                <w:szCs w:val="21"/>
                <w:lang w:val="en-US" w:eastAsia="zh-CN"/>
              </w:rPr>
              <w:t>采矿工艺不符合要求。</w:t>
            </w:r>
          </w:p>
        </w:tc>
        <w:tc>
          <w:tcPr>
            <w:tcW w:w="538" w:type="pct"/>
            <w:tcBorders>
              <w:top w:val="single" w:color="000000" w:sz="2" w:space="0"/>
              <w:left w:val="single" w:color="000000" w:sz="2" w:space="0"/>
              <w:bottom w:val="single" w:color="000000" w:sz="2" w:space="0"/>
              <w:right w:val="single" w:color="000000" w:sz="2" w:space="0"/>
            </w:tcBorders>
            <w:vAlign w:val="center"/>
          </w:tcPr>
          <w:p w14:paraId="6B04E3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3EC3A7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49E383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5</w:t>
            </w:r>
          </w:p>
        </w:tc>
        <w:tc>
          <w:tcPr>
            <w:tcW w:w="2562" w:type="dxa"/>
            <w:tcBorders>
              <w:top w:val="single" w:color="000000" w:sz="2" w:space="0"/>
              <w:left w:val="single" w:color="000000" w:sz="2" w:space="0"/>
              <w:bottom w:val="single" w:color="000000" w:sz="2" w:space="0"/>
              <w:right w:val="single" w:color="000000" w:sz="2" w:space="0"/>
            </w:tcBorders>
            <w:vAlign w:val="center"/>
          </w:tcPr>
          <w:p w14:paraId="476894E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rPr>
              <w:t>采用充填法回采应遵守下列规定:</w:t>
            </w:r>
          </w:p>
          <w:p w14:paraId="6118250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rPr>
              <w:t>-</w:t>
            </w: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井下充填不应产生或者释放有毒有害气体;</w:t>
            </w:r>
          </w:p>
          <w:p w14:paraId="5B97379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eastAsia="zh-CN"/>
              </w:rPr>
            </w:pPr>
            <w:r>
              <w:rPr>
                <w:rFonts w:hint="eastAsia" w:ascii="Times New Roman" w:hAnsi="Times New Roman" w:eastAsia="宋体" w:cs="宋体"/>
                <w:color w:val="auto"/>
                <w:sz w:val="21"/>
                <w:szCs w:val="21"/>
                <w:lang w:val="en-US" w:eastAsia="zh-CN"/>
              </w:rPr>
              <w:t>--</w:t>
            </w:r>
            <w:r>
              <w:rPr>
                <w:rFonts w:hint="eastAsia" w:ascii="Times New Roman" w:hAnsi="Times New Roman" w:eastAsia="宋体" w:cs="宋体"/>
                <w:color w:val="auto"/>
                <w:sz w:val="21"/>
                <w:szCs w:val="21"/>
              </w:rPr>
              <w:t>采场或进路充填前应架设坚固的充填挡墙，并安设水井或泄水管道</w:t>
            </w:r>
            <w:r>
              <w:rPr>
                <w:rFonts w:hint="eastAsia" w:ascii="Times New Roman" w:hAnsi="Times New Roman" w:eastAsia="宋体" w:cs="宋体"/>
                <w:color w:val="auto"/>
                <w:sz w:val="21"/>
                <w:szCs w:val="21"/>
                <w:lang w:eastAsia="zh-CN"/>
              </w:rPr>
              <w:t>；</w:t>
            </w:r>
            <w:r>
              <w:rPr>
                <w:rFonts w:hint="eastAsia" w:ascii="Times New Roman" w:hAnsi="Times New Roman" w:eastAsia="宋体" w:cs="宋体"/>
                <w:color w:val="auto"/>
                <w:sz w:val="21"/>
                <w:szCs w:val="21"/>
              </w:rPr>
              <w:t>膏体充填可不设泄水设施</w:t>
            </w:r>
            <w:r>
              <w:rPr>
                <w:rFonts w:hint="eastAsia" w:ascii="Times New Roman" w:hAnsi="Times New Roman" w:eastAsia="宋体" w:cs="宋体"/>
                <w:color w:val="auto"/>
                <w:sz w:val="21"/>
                <w:szCs w:val="21"/>
                <w:lang w:eastAsia="zh-CN"/>
              </w:rPr>
              <w:t>；</w:t>
            </w:r>
          </w:p>
          <w:p w14:paraId="5BB1B4A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--人员不应在非管道输送充填料的充填井下方停留或通行;</w:t>
            </w:r>
          </w:p>
          <w:p w14:paraId="0CBC6C0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--各充填工序间应有通信联络；</w:t>
            </w:r>
          </w:p>
          <w:p w14:paraId="1DD9A78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--人员和设备进入充填体面层之前，应确认充填体具有足够的支撑强度；</w:t>
            </w:r>
          </w:p>
          <w:p w14:paraId="71483E3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--采场下部巷道及水沟堆积的充填料应及时清理;</w:t>
            </w:r>
          </w:p>
          <w:p w14:paraId="764B9C9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--采用空场嗣后充填采矿法回采时，相临采场或矿房的充填体达到设计强度后才能开始第二步骤采场或矿柱的回采。</w:t>
            </w:r>
          </w:p>
        </w:tc>
        <w:tc>
          <w:tcPr>
            <w:tcW w:w="1541" w:type="dxa"/>
            <w:tcBorders>
              <w:top w:val="single" w:color="000000" w:sz="2" w:space="0"/>
              <w:left w:val="single" w:color="000000" w:sz="2" w:space="0"/>
              <w:bottom w:val="single" w:color="000000" w:sz="2" w:space="0"/>
              <w:right w:val="single" w:color="000000" w:sz="2" w:space="0"/>
            </w:tcBorders>
            <w:vAlign w:val="center"/>
          </w:tcPr>
          <w:p w14:paraId="2096FFD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ascii="Times New Roman" w:hAnsi="Times New Roman" w:eastAsia="宋体" w:cs="宋体"/>
                <w:color w:val="auto"/>
                <w:sz w:val="21"/>
                <w:szCs w:val="21"/>
              </w:rPr>
              <w:t>GB16423-2020</w:t>
            </w:r>
          </w:p>
          <w:p w14:paraId="07F79A6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ascii="Times New Roman" w:hAnsi="Times New Roman" w:eastAsia="宋体" w:cs="宋体"/>
                <w:color w:val="auto"/>
                <w:sz w:val="21"/>
                <w:szCs w:val="21"/>
              </w:rPr>
              <w:t>第</w:t>
            </w:r>
            <w:r>
              <w:rPr>
                <w:rFonts w:hint="eastAsia" w:ascii="Times New Roman" w:hAnsi="Times New Roman" w:eastAsia="宋体" w:cs="宋体"/>
                <w:color w:val="auto"/>
                <w:sz w:val="21"/>
                <w:szCs w:val="21"/>
              </w:rPr>
              <w:t>6.3.2.</w:t>
            </w:r>
            <w:r>
              <w:rPr>
                <w:rFonts w:hint="eastAsia" w:ascii="Times New Roman" w:hAnsi="Times New Roman" w:eastAsia="宋体" w:cs="宋体"/>
                <w:color w:val="auto"/>
                <w:sz w:val="21"/>
                <w:szCs w:val="21"/>
                <w:lang w:val="en-US" w:eastAsia="zh-CN"/>
              </w:rPr>
              <w:t>3</w:t>
            </w:r>
            <w:r>
              <w:rPr>
                <w:rFonts w:ascii="Times New Roman" w:hAnsi="Times New Roman" w:eastAsia="宋体" w:cs="宋体"/>
                <w:color w:val="auto"/>
                <w:sz w:val="21"/>
                <w:szCs w:val="21"/>
              </w:rPr>
              <w:t>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2E2F35A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全面采矿法（嗣后充填）</w:t>
            </w:r>
            <w:r>
              <w:rPr>
                <w:rFonts w:hint="eastAsia"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26"/>
                <w:kern w:val="0"/>
                <w:sz w:val="21"/>
                <w:szCs w:val="21"/>
                <w:lang w:val="en-US" w:eastAsia="zh-CN" w:bidi="ar-SA"/>
              </w:rPr>
              <w:t>房柱法（嗣后充填）</w:t>
            </w:r>
            <w:r>
              <w:rPr>
                <w:rFonts w:hint="eastAsia" w:cs="Times New Roman"/>
                <w:snapToGrid w:val="0"/>
                <w:color w:val="auto"/>
                <w:spacing w:val="26"/>
                <w:kern w:val="0"/>
                <w:sz w:val="21"/>
                <w:szCs w:val="21"/>
                <w:lang w:val="en-US" w:eastAsia="zh-CN" w:bidi="ar-SA"/>
              </w:rPr>
              <w:t>、</w:t>
            </w:r>
            <w:r>
              <w:rPr>
                <w:rFonts w:hint="eastAsia" w:cs="宋体"/>
                <w:color w:val="auto"/>
                <w:sz w:val="21"/>
                <w:szCs w:val="21"/>
                <w:lang w:val="en-US" w:eastAsia="zh-CN"/>
              </w:rPr>
              <w:t>阶段矿房采矿法（嗣后充填）</w:t>
            </w:r>
            <w:r>
              <w:rPr>
                <w:rFonts w:hint="eastAsia" w:eastAsia="宋体" w:cs="宋体"/>
                <w:color w:val="auto"/>
                <w:sz w:val="21"/>
                <w:szCs w:val="21"/>
                <w:lang w:val="en-US" w:eastAsia="zh-CN"/>
              </w:rPr>
              <w:t>采矿工艺不符合要求。</w:t>
            </w:r>
          </w:p>
        </w:tc>
        <w:tc>
          <w:tcPr>
            <w:tcW w:w="538" w:type="pct"/>
            <w:tcBorders>
              <w:top w:val="single" w:color="000000" w:sz="2" w:space="0"/>
              <w:left w:val="single" w:color="000000" w:sz="2" w:space="0"/>
              <w:bottom w:val="single" w:color="000000" w:sz="2" w:space="0"/>
              <w:right w:val="single" w:color="000000" w:sz="2" w:space="0"/>
            </w:tcBorders>
            <w:vAlign w:val="center"/>
          </w:tcPr>
          <w:p w14:paraId="60B289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66915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4F5079C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6</w:t>
            </w:r>
          </w:p>
        </w:tc>
        <w:tc>
          <w:tcPr>
            <w:tcW w:w="2562" w:type="dxa"/>
            <w:tcBorders>
              <w:top w:val="single" w:color="000000" w:sz="2" w:space="0"/>
              <w:left w:val="single" w:color="000000" w:sz="2" w:space="0"/>
              <w:bottom w:val="single" w:color="000000" w:sz="2" w:space="0"/>
              <w:right w:val="single" w:color="000000" w:sz="2" w:space="0"/>
            </w:tcBorders>
            <w:vAlign w:val="top"/>
          </w:tcPr>
          <w:p w14:paraId="2001D06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宋体"/>
                <w:color w:val="auto"/>
                <w:sz w:val="21"/>
                <w:szCs w:val="21"/>
                <w:lang w:val="en-US" w:eastAsia="zh-CN"/>
              </w:rPr>
              <w:t>在不稳固的岩层中掘进时应进行支护；在松软、破碎或流砂地层中掘进时应在永久性支护与掘进工作面之间进行临时支护或特殊支护。</w:t>
            </w:r>
          </w:p>
        </w:tc>
        <w:tc>
          <w:tcPr>
            <w:tcW w:w="1541" w:type="dxa"/>
            <w:tcBorders>
              <w:top w:val="single" w:color="000000" w:sz="2" w:space="0"/>
              <w:left w:val="single" w:color="000000" w:sz="2" w:space="0"/>
              <w:bottom w:val="single" w:color="000000" w:sz="2" w:space="0"/>
              <w:right w:val="single" w:color="000000" w:sz="2" w:space="0"/>
            </w:tcBorders>
            <w:vAlign w:val="center"/>
          </w:tcPr>
          <w:p w14:paraId="5C5AD14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r>
              <w:rPr>
                <w:rFonts w:hint="default" w:ascii="Times New Roman" w:hAnsi="Times New Roman" w:eastAsia="宋体" w:cs="宋体"/>
                <w:color w:val="auto"/>
                <w:sz w:val="21"/>
                <w:szCs w:val="21"/>
                <w:lang w:val="en-US" w:eastAsia="zh-CN"/>
              </w:rPr>
              <w:t>《金属非金属矿山安全规程》</w:t>
            </w:r>
            <w:r>
              <w:rPr>
                <w:rFonts w:hint="eastAsia" w:ascii="Times New Roman" w:hAnsi="Times New Roman" w:eastAsia="宋体" w:cs="宋体"/>
                <w:color w:val="auto"/>
                <w:sz w:val="21"/>
                <w:szCs w:val="21"/>
                <w:lang w:val="en-US" w:eastAsia="zh-CN"/>
              </w:rPr>
              <w:t>GB16423-2020</w:t>
            </w:r>
          </w:p>
          <w:p w14:paraId="1B0A19F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宋体"/>
                <w:color w:val="auto"/>
                <w:sz w:val="21"/>
                <w:szCs w:val="21"/>
                <w:lang w:val="en-US" w:eastAsia="zh-CN"/>
              </w:rPr>
              <w:t>第6.2.7.2条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332D7C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w:t>
            </w:r>
            <w:r>
              <w:rPr>
                <w:rFonts w:hint="eastAsia" w:ascii="Times New Roman" w:hAnsi="Times New Roman" w:eastAsia="宋体" w:cs="Times New Roman"/>
                <w:snapToGrid w:val="0"/>
                <w:color w:val="auto"/>
                <w:spacing w:val="26"/>
                <w:kern w:val="0"/>
                <w:sz w:val="21"/>
                <w:szCs w:val="21"/>
                <w:lang w:val="en-US" w:eastAsia="zh-CN" w:bidi="ar-SA"/>
              </w:rPr>
              <w:t>未做</w:t>
            </w:r>
            <w:r>
              <w:rPr>
                <w:rFonts w:hint="default" w:ascii="Times New Roman" w:hAnsi="Times New Roman" w:eastAsia="宋体" w:cs="Times New Roman"/>
                <w:snapToGrid w:val="0"/>
                <w:color w:val="auto"/>
                <w:spacing w:val="26"/>
                <w:kern w:val="0"/>
                <w:sz w:val="21"/>
                <w:szCs w:val="21"/>
                <w:lang w:val="en-US" w:eastAsia="zh-CN" w:bidi="ar-SA"/>
              </w:rPr>
              <w:t>相关说明</w:t>
            </w:r>
            <w:r>
              <w:rPr>
                <w:rFonts w:hint="eastAsia" w:ascii="Times New Roman" w:hAnsi="Times New Roman" w:eastAsia="宋体" w:cs="Times New Roman"/>
                <w:snapToGrid w:val="0"/>
                <w:color w:val="auto"/>
                <w:spacing w:val="26"/>
                <w:kern w:val="0"/>
                <w:sz w:val="21"/>
                <w:szCs w:val="21"/>
                <w:lang w:val="en-US" w:eastAsia="zh-CN" w:bidi="ar-SA"/>
              </w:rPr>
              <w:t>。</w:t>
            </w:r>
          </w:p>
        </w:tc>
        <w:tc>
          <w:tcPr>
            <w:tcW w:w="538" w:type="pct"/>
            <w:tcBorders>
              <w:top w:val="single" w:color="000000" w:sz="2" w:space="0"/>
              <w:left w:val="single" w:color="000000" w:sz="2" w:space="0"/>
              <w:bottom w:val="single" w:color="000000" w:sz="2" w:space="0"/>
              <w:right w:val="single" w:color="000000" w:sz="2" w:space="0"/>
            </w:tcBorders>
            <w:vAlign w:val="center"/>
          </w:tcPr>
          <w:p w14:paraId="4FB829C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下一步设计补充</w:t>
            </w:r>
          </w:p>
        </w:tc>
      </w:tr>
      <w:tr w14:paraId="66536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jc w:val="center"/>
        </w:trPr>
        <w:tc>
          <w:tcPr>
            <w:tcW w:w="422" w:type="pct"/>
            <w:tcBorders>
              <w:top w:val="single" w:color="000000" w:sz="2" w:space="0"/>
              <w:left w:val="single" w:color="000000" w:sz="2" w:space="0"/>
              <w:bottom w:val="single" w:color="000000" w:sz="2" w:space="0"/>
              <w:right w:val="single" w:color="000000" w:sz="2" w:space="0"/>
            </w:tcBorders>
            <w:vAlign w:val="center"/>
          </w:tcPr>
          <w:p w14:paraId="37B1E40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7</w:t>
            </w:r>
          </w:p>
        </w:tc>
        <w:tc>
          <w:tcPr>
            <w:tcW w:w="2562" w:type="dxa"/>
            <w:tcBorders>
              <w:top w:val="single" w:color="000000" w:sz="2" w:space="0"/>
              <w:left w:val="single" w:color="000000" w:sz="2" w:space="0"/>
              <w:bottom w:val="single" w:color="000000" w:sz="2" w:space="0"/>
              <w:right w:val="single" w:color="000000" w:sz="2" w:space="0"/>
            </w:tcBorders>
            <w:vAlign w:val="center"/>
          </w:tcPr>
          <w:p w14:paraId="258A566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宋体"/>
                <w:color w:val="auto"/>
                <w:sz w:val="21"/>
                <w:szCs w:val="21"/>
                <w:lang w:val="en-US" w:eastAsia="zh-CN"/>
              </w:rPr>
              <w:t>应建立采场顶板分级管理制度。对顶板不稳固的采场，应有监控手段和处理措施。</w:t>
            </w:r>
          </w:p>
        </w:tc>
        <w:tc>
          <w:tcPr>
            <w:tcW w:w="1541" w:type="dxa"/>
            <w:tcBorders>
              <w:top w:val="single" w:color="000000" w:sz="2" w:space="0"/>
              <w:left w:val="single" w:color="000000" w:sz="2" w:space="0"/>
              <w:bottom w:val="single" w:color="000000" w:sz="2" w:space="0"/>
              <w:right w:val="single" w:color="000000" w:sz="2" w:space="0"/>
            </w:tcBorders>
            <w:vAlign w:val="center"/>
          </w:tcPr>
          <w:p w14:paraId="256E017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r>
              <w:rPr>
                <w:rFonts w:hint="default" w:ascii="Times New Roman" w:hAnsi="Times New Roman" w:eastAsia="宋体" w:cs="宋体"/>
                <w:color w:val="auto"/>
                <w:sz w:val="21"/>
                <w:szCs w:val="21"/>
                <w:lang w:val="en-US" w:eastAsia="zh-CN"/>
              </w:rPr>
              <w:t>《金属非金属矿山安全规程》</w:t>
            </w:r>
            <w:r>
              <w:rPr>
                <w:rFonts w:hint="eastAsia" w:ascii="Times New Roman" w:hAnsi="Times New Roman" w:eastAsia="宋体" w:cs="宋体"/>
                <w:color w:val="auto"/>
                <w:sz w:val="21"/>
                <w:szCs w:val="21"/>
                <w:lang w:val="en-US" w:eastAsia="zh-CN"/>
              </w:rPr>
              <w:t>GB16423-2020</w:t>
            </w:r>
          </w:p>
          <w:p w14:paraId="588054C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宋体"/>
                <w:color w:val="auto"/>
                <w:sz w:val="21"/>
                <w:szCs w:val="21"/>
                <w:lang w:val="en-US" w:eastAsia="zh-CN"/>
              </w:rPr>
              <w:t>第6.3.1.12条</w:t>
            </w:r>
          </w:p>
        </w:tc>
        <w:tc>
          <w:tcPr>
            <w:tcW w:w="1779" w:type="pct"/>
            <w:tcBorders>
              <w:top w:val="single" w:color="000000" w:sz="2" w:space="0"/>
              <w:left w:val="single" w:color="000000" w:sz="2" w:space="0"/>
              <w:bottom w:val="single" w:color="000000" w:sz="2" w:space="0"/>
              <w:right w:val="single" w:color="000000" w:sz="2" w:space="0"/>
            </w:tcBorders>
            <w:vAlign w:val="center"/>
          </w:tcPr>
          <w:p w14:paraId="064718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w:t>
            </w:r>
            <w:r>
              <w:rPr>
                <w:rFonts w:hint="eastAsia" w:ascii="Times New Roman" w:hAnsi="Times New Roman" w:eastAsia="宋体" w:cs="Times New Roman"/>
                <w:snapToGrid w:val="0"/>
                <w:color w:val="auto"/>
                <w:spacing w:val="26"/>
                <w:kern w:val="0"/>
                <w:sz w:val="21"/>
                <w:szCs w:val="21"/>
                <w:lang w:val="en-US" w:eastAsia="zh-CN" w:bidi="ar-SA"/>
              </w:rPr>
              <w:t>未做</w:t>
            </w:r>
            <w:r>
              <w:rPr>
                <w:rFonts w:hint="default" w:ascii="Times New Roman" w:hAnsi="Times New Roman" w:eastAsia="宋体" w:cs="Times New Roman"/>
                <w:snapToGrid w:val="0"/>
                <w:color w:val="auto"/>
                <w:spacing w:val="26"/>
                <w:kern w:val="0"/>
                <w:sz w:val="21"/>
                <w:szCs w:val="21"/>
                <w:lang w:val="en-US" w:eastAsia="zh-CN" w:bidi="ar-SA"/>
              </w:rPr>
              <w:t>相关说明</w:t>
            </w:r>
            <w:r>
              <w:rPr>
                <w:rFonts w:hint="eastAsia" w:ascii="Times New Roman" w:hAnsi="Times New Roman" w:eastAsia="宋体" w:cs="Times New Roman"/>
                <w:snapToGrid w:val="0"/>
                <w:color w:val="auto"/>
                <w:spacing w:val="26"/>
                <w:kern w:val="0"/>
                <w:sz w:val="21"/>
                <w:szCs w:val="21"/>
                <w:lang w:val="en-US" w:eastAsia="zh-CN" w:bidi="ar-SA"/>
              </w:rPr>
              <w:t>。</w:t>
            </w:r>
          </w:p>
        </w:tc>
        <w:tc>
          <w:tcPr>
            <w:tcW w:w="538" w:type="pct"/>
            <w:tcBorders>
              <w:top w:val="single" w:color="000000" w:sz="2" w:space="0"/>
              <w:left w:val="single" w:color="000000" w:sz="2" w:space="0"/>
              <w:bottom w:val="single" w:color="000000" w:sz="2" w:space="0"/>
              <w:right w:val="single" w:color="000000" w:sz="2" w:space="0"/>
            </w:tcBorders>
            <w:vAlign w:val="center"/>
          </w:tcPr>
          <w:p w14:paraId="111ACE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下一步设计补充</w:t>
            </w:r>
          </w:p>
        </w:tc>
      </w:tr>
    </w:tbl>
    <w:p w14:paraId="6FB99B1F">
      <w:pPr>
        <w:rPr>
          <w:rFonts w:hint="default"/>
          <w:color w:val="auto"/>
          <w:lang w:val="en-US" w:eastAsia="zh-CN"/>
        </w:rPr>
      </w:pPr>
      <w:r>
        <w:rPr>
          <w:rFonts w:hint="default"/>
          <w:color w:val="auto"/>
          <w:lang w:val="en-US" w:eastAsia="zh-CN"/>
        </w:rPr>
        <w:t>采用安全检查表法对矿山</w:t>
      </w:r>
      <w:r>
        <w:rPr>
          <w:rFonts w:hint="eastAsia"/>
          <w:color w:val="auto"/>
          <w:lang w:val="en-US" w:eastAsia="zh-CN"/>
        </w:rPr>
        <w:t>采掘系统单元</w:t>
      </w:r>
      <w:r>
        <w:rPr>
          <w:rFonts w:hint="default"/>
          <w:color w:val="auto"/>
          <w:lang w:val="en-US" w:eastAsia="zh-CN"/>
        </w:rPr>
        <w:t>检查</w:t>
      </w:r>
      <w:r>
        <w:rPr>
          <w:rFonts w:hint="eastAsia"/>
          <w:color w:val="auto"/>
          <w:lang w:val="en-US" w:eastAsia="zh-CN"/>
        </w:rPr>
        <w:t>7</w:t>
      </w:r>
      <w:r>
        <w:rPr>
          <w:rFonts w:hint="default"/>
          <w:color w:val="auto"/>
          <w:lang w:val="en-US" w:eastAsia="zh-CN"/>
        </w:rPr>
        <w:t>项</w:t>
      </w:r>
      <w:r>
        <w:rPr>
          <w:rFonts w:hint="eastAsia"/>
          <w:color w:val="auto"/>
          <w:lang w:val="en-US" w:eastAsia="zh-CN"/>
        </w:rPr>
        <w:t>，</w:t>
      </w:r>
      <w:r>
        <w:rPr>
          <w:rFonts w:hint="default"/>
          <w:color w:val="auto"/>
          <w:lang w:val="en-US" w:eastAsia="zh-CN"/>
        </w:rPr>
        <w:t>符合项</w:t>
      </w:r>
      <w:r>
        <w:rPr>
          <w:rFonts w:hint="eastAsia"/>
          <w:color w:val="auto"/>
          <w:lang w:val="en-US" w:eastAsia="zh-CN"/>
        </w:rPr>
        <w:t>3</w:t>
      </w:r>
      <w:r>
        <w:rPr>
          <w:rFonts w:hint="default"/>
          <w:color w:val="auto"/>
          <w:lang w:val="en-US" w:eastAsia="zh-CN"/>
        </w:rPr>
        <w:t>项，</w:t>
      </w:r>
      <w:r>
        <w:rPr>
          <w:rFonts w:hint="eastAsia"/>
          <w:color w:val="auto"/>
          <w:lang w:val="en-US" w:eastAsia="zh-CN"/>
        </w:rPr>
        <w:t>4</w:t>
      </w:r>
      <w:r>
        <w:rPr>
          <w:rFonts w:hint="default"/>
          <w:color w:val="auto"/>
          <w:lang w:val="en-US" w:eastAsia="zh-CN"/>
        </w:rPr>
        <w:t>项不符合。开拓</w:t>
      </w:r>
      <w:r>
        <w:rPr>
          <w:rFonts w:hint="eastAsia"/>
          <w:color w:val="auto"/>
          <w:lang w:val="en-US" w:eastAsia="zh-CN"/>
        </w:rPr>
        <w:t>单元不</w:t>
      </w:r>
      <w:r>
        <w:rPr>
          <w:rFonts w:hint="default"/>
          <w:color w:val="auto"/>
          <w:lang w:val="en-US" w:eastAsia="zh-CN"/>
        </w:rPr>
        <w:t>符合《金属非金属矿山安全规程》（GB16423-2020）的有关要求，下一步设计需完善采矿方法、支护情况和采场顶板分级管理制度。</w:t>
      </w:r>
    </w:p>
    <w:p w14:paraId="68224A4C">
      <w:pPr>
        <w:pStyle w:val="4"/>
        <w:bidi w:val="0"/>
        <w:rPr>
          <w:rFonts w:hint="default"/>
          <w:color w:val="auto"/>
          <w:lang w:val="en-US" w:eastAsia="zh-CN"/>
        </w:rPr>
      </w:pPr>
      <w:bookmarkStart w:id="298" w:name="_Toc21787"/>
      <w:bookmarkStart w:id="299" w:name="_Toc9429"/>
      <w:bookmarkStart w:id="300" w:name="_Toc31566"/>
      <w:bookmarkStart w:id="301" w:name="_Toc6522"/>
      <w:r>
        <w:rPr>
          <w:rFonts w:hint="eastAsia"/>
          <w:color w:val="auto"/>
          <w:lang w:val="en-US" w:eastAsia="zh-CN"/>
        </w:rPr>
        <w:t>3.5.3 评价小结</w:t>
      </w:r>
      <w:bookmarkEnd w:id="298"/>
      <w:bookmarkEnd w:id="299"/>
      <w:bookmarkEnd w:id="300"/>
      <w:bookmarkEnd w:id="301"/>
    </w:p>
    <w:p w14:paraId="7788FF68">
      <w:pPr>
        <w:rPr>
          <w:rFonts w:hint="eastAsia"/>
          <w:color w:val="auto"/>
          <w:lang w:val="en-US" w:eastAsia="zh-CN"/>
        </w:rPr>
      </w:pPr>
      <w:r>
        <w:rPr>
          <w:rFonts w:hint="eastAsia"/>
          <w:color w:val="auto"/>
          <w:lang w:val="en-US" w:eastAsia="zh-CN"/>
        </w:rPr>
        <w:t>1. 通过预先危险性分析法评价，采掘</w:t>
      </w:r>
      <w:r>
        <w:rPr>
          <w:rFonts w:hint="eastAsia" w:ascii="Times New Roman" w:eastAsia="宋体"/>
          <w:color w:val="auto"/>
          <w:lang w:val="en-US" w:eastAsia="zh-CN"/>
        </w:rPr>
        <w:t>系统</w:t>
      </w:r>
      <w:r>
        <w:rPr>
          <w:rFonts w:hint="eastAsia"/>
          <w:color w:val="auto"/>
          <w:lang w:val="en-US" w:eastAsia="zh-CN"/>
        </w:rPr>
        <w:t>单元存在的危险有害因素主要有：冒顶片帮、机械伤害、高处坠落、触电、透水、火药爆炸、放炮、中毒窒息、粉尘、噪声与振动等。其中冒顶片帮、机械伤害、高处坠落、触电、透水、火药爆炸、放炮、中毒窒息等危害等级均为</w:t>
      </w:r>
      <w:r>
        <w:rPr>
          <w:rFonts w:hint="eastAsia" w:ascii="宋体" w:hAnsi="宋体" w:eastAsia="宋体" w:cs="宋体"/>
          <w:color w:val="auto"/>
          <w:lang w:val="en-US" w:eastAsia="zh-CN"/>
        </w:rPr>
        <w:t>Ⅲ</w:t>
      </w:r>
      <w:r>
        <w:rPr>
          <w:rFonts w:hint="eastAsia"/>
          <w:color w:val="auto"/>
          <w:lang w:val="en-US" w:eastAsia="zh-CN"/>
        </w:rPr>
        <w:t>级，应加以重视；粉尘、噪声与振动危害等级为Ⅱ级，也应加以注意。采取合理的措施后，以上危险有害因素能控制在可接受范围内。</w:t>
      </w:r>
    </w:p>
    <w:p w14:paraId="09D103AD">
      <w:pPr>
        <w:rPr>
          <w:rFonts w:hint="default"/>
          <w:color w:val="auto"/>
          <w:lang w:val="en-US" w:eastAsia="zh-CN"/>
        </w:rPr>
      </w:pPr>
      <w:r>
        <w:rPr>
          <w:rFonts w:hint="eastAsia"/>
          <w:color w:val="auto"/>
          <w:lang w:val="en-US" w:eastAsia="zh-CN"/>
        </w:rPr>
        <w:t>2. 本次采用全面采矿法（嗣后充填）、房柱法（嗣后充填）、阶段矿房采矿法（嗣后充填），矿山采空区可以得到治理，安全可行。</w:t>
      </w:r>
    </w:p>
    <w:p w14:paraId="09525C88">
      <w:pPr>
        <w:rPr>
          <w:rFonts w:hint="default"/>
          <w:color w:val="auto"/>
          <w:lang w:val="en-US" w:eastAsia="zh-CN"/>
        </w:rPr>
      </w:pPr>
      <w:r>
        <w:rPr>
          <w:rFonts w:hint="eastAsia"/>
          <w:color w:val="auto"/>
          <w:lang w:val="en-US" w:eastAsia="zh-CN"/>
        </w:rPr>
        <w:t xml:space="preserve">3. </w:t>
      </w:r>
      <w:r>
        <w:rPr>
          <w:rFonts w:hint="default"/>
          <w:color w:val="auto"/>
          <w:lang w:val="en-US" w:eastAsia="zh-CN"/>
        </w:rPr>
        <w:t>采用安全检查表法对矿山</w:t>
      </w:r>
      <w:r>
        <w:rPr>
          <w:rFonts w:hint="eastAsia"/>
          <w:color w:val="auto"/>
          <w:lang w:val="en-US" w:eastAsia="zh-CN"/>
        </w:rPr>
        <w:t>采掘系统单元</w:t>
      </w:r>
      <w:r>
        <w:rPr>
          <w:rFonts w:hint="default"/>
          <w:color w:val="auto"/>
          <w:lang w:val="en-US" w:eastAsia="zh-CN"/>
        </w:rPr>
        <w:t>检查</w:t>
      </w:r>
      <w:r>
        <w:rPr>
          <w:rFonts w:hint="eastAsia"/>
          <w:color w:val="auto"/>
          <w:lang w:val="en-US" w:eastAsia="zh-CN"/>
        </w:rPr>
        <w:t>7</w:t>
      </w:r>
      <w:r>
        <w:rPr>
          <w:rFonts w:hint="default"/>
          <w:color w:val="auto"/>
          <w:lang w:val="en-US" w:eastAsia="zh-CN"/>
        </w:rPr>
        <w:t>项</w:t>
      </w:r>
      <w:r>
        <w:rPr>
          <w:rFonts w:hint="eastAsia"/>
          <w:color w:val="auto"/>
          <w:lang w:val="en-US" w:eastAsia="zh-CN"/>
        </w:rPr>
        <w:t>，</w:t>
      </w:r>
      <w:r>
        <w:rPr>
          <w:rFonts w:hint="default"/>
          <w:color w:val="auto"/>
          <w:lang w:val="en-US" w:eastAsia="zh-CN"/>
        </w:rPr>
        <w:t>符合项</w:t>
      </w:r>
      <w:r>
        <w:rPr>
          <w:rFonts w:hint="eastAsia"/>
          <w:color w:val="auto"/>
          <w:lang w:val="en-US" w:eastAsia="zh-CN"/>
        </w:rPr>
        <w:t>3</w:t>
      </w:r>
      <w:r>
        <w:rPr>
          <w:rFonts w:hint="default"/>
          <w:color w:val="auto"/>
          <w:lang w:val="en-US" w:eastAsia="zh-CN"/>
        </w:rPr>
        <w:t>项，</w:t>
      </w:r>
      <w:r>
        <w:rPr>
          <w:rFonts w:hint="eastAsia"/>
          <w:color w:val="auto"/>
          <w:lang w:val="en-US" w:eastAsia="zh-CN"/>
        </w:rPr>
        <w:t>4</w:t>
      </w:r>
      <w:r>
        <w:rPr>
          <w:rFonts w:hint="default"/>
          <w:color w:val="auto"/>
          <w:lang w:val="en-US" w:eastAsia="zh-CN"/>
        </w:rPr>
        <w:t>项不符合。开拓</w:t>
      </w:r>
      <w:r>
        <w:rPr>
          <w:rFonts w:hint="eastAsia"/>
          <w:color w:val="auto"/>
          <w:lang w:val="en-US" w:eastAsia="zh-CN"/>
        </w:rPr>
        <w:t>单元不</w:t>
      </w:r>
      <w:r>
        <w:rPr>
          <w:rFonts w:hint="default"/>
          <w:color w:val="auto"/>
          <w:lang w:val="en-US" w:eastAsia="zh-CN"/>
        </w:rPr>
        <w:t>符合《金属非金属矿山安全规程》（GB16423-2020）的有关要求，</w:t>
      </w:r>
      <w:r>
        <w:rPr>
          <w:rFonts w:hint="eastAsia"/>
          <w:color w:val="auto"/>
          <w:lang w:val="en-US" w:eastAsia="zh-CN"/>
        </w:rPr>
        <w:t>建议</w:t>
      </w:r>
      <w:r>
        <w:rPr>
          <w:rFonts w:hint="default"/>
          <w:color w:val="auto"/>
          <w:lang w:val="en-US" w:eastAsia="zh-CN"/>
        </w:rPr>
        <w:t>下一步设计需完善采矿方法、支护情况和采场顶板分级管理制度。</w:t>
      </w:r>
    </w:p>
    <w:p w14:paraId="3902D31D">
      <w:pPr>
        <w:rPr>
          <w:rFonts w:hint="default"/>
          <w:color w:val="auto"/>
          <w:lang w:val="en-US" w:eastAsia="zh-CN"/>
        </w:rPr>
      </w:pPr>
      <w:r>
        <w:rPr>
          <w:rFonts w:hint="eastAsia"/>
          <w:color w:val="auto"/>
          <w:lang w:val="en-US" w:eastAsia="zh-CN"/>
        </w:rPr>
        <w:t>4. 《可研报告》只提到了计划建立尾砂胶结充填系统，利用选厂尾砂作原料，设计取充填站充填能力20m</w:t>
      </w:r>
      <w:r>
        <w:rPr>
          <w:rFonts w:hint="eastAsia"/>
          <w:color w:val="auto"/>
          <w:vertAlign w:val="superscript"/>
          <w:lang w:val="en-US" w:eastAsia="zh-CN"/>
        </w:rPr>
        <w:t>3</w:t>
      </w:r>
      <w:r>
        <w:rPr>
          <w:rFonts w:hint="eastAsia"/>
          <w:color w:val="auto"/>
          <w:vertAlign w:val="baseline"/>
          <w:lang w:val="en-US" w:eastAsia="zh-CN"/>
        </w:rPr>
        <w:t>。</w:t>
      </w:r>
      <w:r>
        <w:rPr>
          <w:rFonts w:hint="eastAsia" w:eastAsia="宋体"/>
          <w:color w:val="auto"/>
          <w:lang w:val="en-US" w:eastAsia="zh-CN"/>
        </w:rPr>
        <w:t>建议下一步设计对</w:t>
      </w:r>
      <w:r>
        <w:rPr>
          <w:rFonts w:hint="eastAsia"/>
          <w:color w:val="auto"/>
          <w:lang w:val="en-US" w:eastAsia="zh-CN"/>
        </w:rPr>
        <w:t>充填站进行补充完善</w:t>
      </w:r>
      <w:r>
        <w:rPr>
          <w:rFonts w:hint="eastAsia" w:eastAsia="宋体"/>
          <w:color w:val="auto"/>
          <w:lang w:val="en-US" w:eastAsia="zh-CN"/>
        </w:rPr>
        <w:t>。</w:t>
      </w:r>
    </w:p>
    <w:p w14:paraId="47CAA2EB">
      <w:pPr>
        <w:pStyle w:val="3"/>
        <w:bidi w:val="0"/>
        <w:rPr>
          <w:rFonts w:hint="eastAsia"/>
          <w:color w:val="auto"/>
          <w:lang w:val="en-US" w:eastAsia="zh-CN"/>
        </w:rPr>
      </w:pPr>
      <w:bookmarkStart w:id="302" w:name="_Toc342"/>
      <w:bookmarkStart w:id="303" w:name="_Toc12003"/>
      <w:bookmarkStart w:id="304" w:name="_Toc20256"/>
      <w:bookmarkStart w:id="305" w:name="_Toc24018"/>
      <w:r>
        <w:rPr>
          <w:rFonts w:hint="eastAsia"/>
          <w:color w:val="auto"/>
          <w:lang w:val="en-US" w:eastAsia="zh-CN"/>
        </w:rPr>
        <w:t>3.6 通风系统单元</w:t>
      </w:r>
      <w:bookmarkEnd w:id="302"/>
      <w:bookmarkEnd w:id="303"/>
      <w:bookmarkEnd w:id="304"/>
      <w:bookmarkEnd w:id="305"/>
    </w:p>
    <w:p w14:paraId="03B006FA">
      <w:pPr>
        <w:pStyle w:val="4"/>
        <w:bidi w:val="0"/>
        <w:rPr>
          <w:rFonts w:hint="eastAsia"/>
          <w:color w:val="auto"/>
          <w:lang w:val="en-US" w:eastAsia="zh-CN"/>
        </w:rPr>
      </w:pPr>
      <w:bookmarkStart w:id="306" w:name="_Toc10068"/>
      <w:bookmarkStart w:id="307" w:name="_Toc10427"/>
      <w:bookmarkStart w:id="308" w:name="_Toc8705"/>
      <w:bookmarkStart w:id="309" w:name="_Toc30184"/>
      <w:r>
        <w:rPr>
          <w:rFonts w:hint="eastAsia"/>
          <w:color w:val="auto"/>
          <w:lang w:val="en-US" w:eastAsia="zh-CN"/>
        </w:rPr>
        <w:t>3.6.1 预先危险性分析</w:t>
      </w:r>
      <w:bookmarkEnd w:id="306"/>
      <w:bookmarkEnd w:id="307"/>
      <w:bookmarkEnd w:id="308"/>
      <w:bookmarkEnd w:id="309"/>
    </w:p>
    <w:p w14:paraId="5C8CCC58">
      <w:pPr>
        <w:rPr>
          <w:rFonts w:hint="eastAsia"/>
          <w:color w:val="auto"/>
          <w:lang w:val="en-US" w:eastAsia="zh-CN"/>
        </w:rPr>
      </w:pPr>
      <w:r>
        <w:rPr>
          <w:rFonts w:hint="eastAsia"/>
          <w:color w:val="auto"/>
          <w:lang w:val="en-US" w:eastAsia="zh-CN"/>
        </w:rPr>
        <w:t>通过预先危险性分析法分析，通风</w:t>
      </w:r>
      <w:r>
        <w:rPr>
          <w:rFonts w:hint="default"/>
          <w:color w:val="auto"/>
          <w:lang w:val="en-US" w:eastAsia="zh-CN"/>
        </w:rPr>
        <w:t>系统</w:t>
      </w:r>
      <w:r>
        <w:rPr>
          <w:rFonts w:hint="eastAsia"/>
          <w:color w:val="auto"/>
          <w:lang w:val="en-US" w:eastAsia="zh-CN"/>
        </w:rPr>
        <w:t>单元存在的危险有害因素主要有：中毒室息、机械伤害、触电、粉尘、噪声与振动等，分析评价表见表3.6-1。</w:t>
      </w:r>
    </w:p>
    <w:p w14:paraId="305E9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w:t>
      </w:r>
      <w:r>
        <w:rPr>
          <w:rFonts w:hint="eastAsia"/>
          <w:color w:val="auto"/>
          <w:lang w:val="en-US" w:eastAsia="zh-CN"/>
        </w:rPr>
        <w:t>3.6-1</w:t>
      </w:r>
      <w:r>
        <w:rPr>
          <w:rFonts w:hint="eastAsia" w:ascii="Times New Roman" w:hAnsi="Times New Roman" w:eastAsia="宋体" w:cs="Times New Roman"/>
          <w:color w:val="auto"/>
          <w:lang w:val="en-US" w:eastAsia="zh-CN"/>
        </w:rPr>
        <w:t xml:space="preserve"> 通风</w:t>
      </w:r>
      <w:r>
        <w:rPr>
          <w:rFonts w:hint="default"/>
          <w:color w:val="auto"/>
          <w:lang w:val="en-US" w:eastAsia="zh-CN"/>
        </w:rPr>
        <w:t>系统</w:t>
      </w:r>
      <w:r>
        <w:rPr>
          <w:rFonts w:hint="eastAsia" w:ascii="Times New Roman" w:hAnsi="Times New Roman" w:eastAsia="宋体" w:cs="Times New Roman"/>
          <w:color w:val="auto"/>
          <w:lang w:val="en-US" w:eastAsia="zh-CN"/>
        </w:rPr>
        <w:t>单元预先危险性分析评价表</w:t>
      </w:r>
    </w:p>
    <w:tbl>
      <w:tblPr>
        <w:tblStyle w:val="17"/>
        <w:tblW w:w="501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70"/>
        <w:gridCol w:w="2468"/>
        <w:gridCol w:w="1684"/>
        <w:gridCol w:w="711"/>
        <w:gridCol w:w="3284"/>
      </w:tblGrid>
      <w:tr w14:paraId="1FAD7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jc w:val="center"/>
        </w:trPr>
        <w:tc>
          <w:tcPr>
            <w:tcW w:w="532" w:type="pct"/>
            <w:tcBorders>
              <w:left w:val="single" w:color="000000" w:sz="4" w:space="0"/>
              <w:right w:val="single" w:color="000000" w:sz="4" w:space="0"/>
            </w:tcBorders>
            <w:vAlign w:val="center"/>
          </w:tcPr>
          <w:p w14:paraId="0145B7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危险</w:t>
            </w:r>
          </w:p>
          <w:p w14:paraId="79CCF1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因素</w:t>
            </w:r>
          </w:p>
        </w:tc>
        <w:tc>
          <w:tcPr>
            <w:tcW w:w="1353" w:type="pct"/>
            <w:tcBorders>
              <w:right w:val="single" w:color="000000" w:sz="2" w:space="0"/>
            </w:tcBorders>
            <w:vAlign w:val="center"/>
          </w:tcPr>
          <w:p w14:paraId="1253733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原因</w:t>
            </w:r>
          </w:p>
        </w:tc>
        <w:tc>
          <w:tcPr>
            <w:tcW w:w="923" w:type="pct"/>
            <w:tcBorders>
              <w:left w:val="single" w:color="000000" w:sz="2" w:space="0"/>
            </w:tcBorders>
            <w:vAlign w:val="center"/>
          </w:tcPr>
          <w:p w14:paraId="22A8B3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后果</w:t>
            </w:r>
          </w:p>
        </w:tc>
        <w:tc>
          <w:tcPr>
            <w:tcW w:w="390" w:type="pct"/>
            <w:tcBorders>
              <w:left w:val="single" w:color="000000" w:sz="4" w:space="0"/>
              <w:right w:val="single" w:color="000000" w:sz="4" w:space="0"/>
            </w:tcBorders>
            <w:vAlign w:val="center"/>
          </w:tcPr>
          <w:p w14:paraId="5D8C8F9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危险</w:t>
            </w:r>
          </w:p>
          <w:p w14:paraId="098D9E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等级</w:t>
            </w:r>
          </w:p>
        </w:tc>
        <w:tc>
          <w:tcPr>
            <w:tcW w:w="1800" w:type="pct"/>
            <w:tcBorders>
              <w:left w:val="single" w:color="000000" w:sz="4" w:space="0"/>
              <w:right w:val="single" w:color="000000" w:sz="4" w:space="0"/>
            </w:tcBorders>
            <w:vAlign w:val="center"/>
          </w:tcPr>
          <w:p w14:paraId="34090C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对策措施</w:t>
            </w:r>
          </w:p>
        </w:tc>
      </w:tr>
      <w:tr w14:paraId="4F17F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7EA1C4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bidi="ar-SA"/>
              </w:rPr>
              <w:t>中毒窒息</w:t>
            </w:r>
          </w:p>
        </w:tc>
        <w:tc>
          <w:tcPr>
            <w:tcW w:w="1353" w:type="pct"/>
            <w:tcBorders>
              <w:right w:val="single" w:color="000000" w:sz="2" w:space="0"/>
            </w:tcBorders>
            <w:vAlign w:val="center"/>
          </w:tcPr>
          <w:p w14:paraId="1F9E11F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1.矿井通风网络不合理造成局部均压；</w:t>
            </w:r>
          </w:p>
          <w:p w14:paraId="17208F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2.矿井风量不足，或因通风设施不完善，造成有效风量不足；</w:t>
            </w:r>
          </w:p>
          <w:p w14:paraId="65CFF6C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3.通风设施缺失，风流短路；</w:t>
            </w:r>
          </w:p>
          <w:p w14:paraId="5853EFC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4.供电系统不合理，意外停电停机；</w:t>
            </w:r>
          </w:p>
          <w:p w14:paraId="765EA8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5.停工停风采掘工作面未及时设置栅栏、揭示警示标志；</w:t>
            </w:r>
          </w:p>
          <w:p w14:paraId="7A88AC1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6.采空区、暂时不用巷道未进行密闭；</w:t>
            </w:r>
          </w:p>
          <w:p w14:paraId="2D2ED80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eastAsia="宋体" w:cs="Times New Roman"/>
                <w:color w:val="auto"/>
                <w:kern w:val="2"/>
                <w:sz w:val="21"/>
                <w:szCs w:val="21"/>
                <w:lang w:val="en-US" w:eastAsia="zh-CN" w:bidi="ar-SA"/>
              </w:rPr>
              <w:t>7.进风井井口空气污染。</w:t>
            </w:r>
          </w:p>
        </w:tc>
        <w:tc>
          <w:tcPr>
            <w:tcW w:w="923" w:type="pct"/>
            <w:tcBorders>
              <w:left w:val="single" w:color="000000" w:sz="2" w:space="0"/>
            </w:tcBorders>
            <w:vAlign w:val="center"/>
          </w:tcPr>
          <w:p w14:paraId="77A8E81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人员伤亡</w:t>
            </w:r>
          </w:p>
        </w:tc>
        <w:tc>
          <w:tcPr>
            <w:tcW w:w="390" w:type="pct"/>
            <w:tcBorders>
              <w:top w:val="single" w:color="000000" w:sz="4" w:space="0"/>
              <w:left w:val="single" w:color="000000" w:sz="4" w:space="0"/>
              <w:bottom w:val="single" w:color="000000" w:sz="4" w:space="0"/>
              <w:right w:val="single" w:color="000000" w:sz="4" w:space="0"/>
            </w:tcBorders>
            <w:vAlign w:val="center"/>
          </w:tcPr>
          <w:p w14:paraId="642C59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Times New Roman" w:hAnsi="Times New Roman" w:eastAsia="宋体" w:cs="Times New Roman"/>
                <w:snapToGrid w:val="0"/>
                <w:color w:val="auto"/>
                <w:kern w:val="0"/>
                <w:sz w:val="21"/>
                <w:szCs w:val="21"/>
              </w:rPr>
            </w:pPr>
            <w:r>
              <w:rPr>
                <w:rFonts w:hint="eastAsia" w:ascii="宋体" w:hAnsi="宋体" w:eastAsia="宋体" w:cs="宋体"/>
                <w:snapToGrid w:val="0"/>
                <w:color w:val="auto"/>
                <w:kern w:val="0"/>
                <w:sz w:val="21"/>
                <w:szCs w:val="21"/>
              </w:rPr>
              <w:t>Ⅲ</w:t>
            </w:r>
          </w:p>
        </w:tc>
        <w:tc>
          <w:tcPr>
            <w:tcW w:w="1800" w:type="pct"/>
            <w:tcBorders>
              <w:top w:val="single" w:color="000000" w:sz="4" w:space="0"/>
              <w:left w:val="single" w:color="000000" w:sz="4" w:space="0"/>
              <w:bottom w:val="single" w:color="000000" w:sz="4" w:space="0"/>
              <w:right w:val="single" w:color="000000" w:sz="4" w:space="0"/>
            </w:tcBorders>
            <w:vAlign w:val="center"/>
          </w:tcPr>
          <w:p w14:paraId="53ABF1F7">
            <w:pPr>
              <w:spacing w:line="320" w:lineRule="exact"/>
              <w:ind w:left="0" w:leftChars="0"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rPr>
              <w:t>矿井通风网络设计合理，避免造成局部均压；</w:t>
            </w:r>
          </w:p>
          <w:p w14:paraId="037007CC">
            <w:pPr>
              <w:spacing w:line="320" w:lineRule="exact"/>
              <w:ind w:left="0" w:leftChars="0"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rPr>
              <w:t>根据矿井生产能力、通风阻力合理选择主通风机，严禁超通风能力组织生产；</w:t>
            </w:r>
          </w:p>
          <w:p w14:paraId="286F2700">
            <w:pPr>
              <w:spacing w:line="320" w:lineRule="exact"/>
              <w:ind w:left="0" w:leftChars="0"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rPr>
              <w:t>加强通风设施管理、定期测定矿井风量，合理调节、分配风量，确保矿井有效风量满足采掘工作面生产用风需要。</w:t>
            </w:r>
          </w:p>
          <w:p w14:paraId="0669348C">
            <w:pPr>
              <w:spacing w:line="320" w:lineRule="exact"/>
              <w:ind w:left="0" w:leftChars="0" w:firstLine="0" w:firstLineChars="0"/>
              <w:jc w:val="left"/>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4.</w:t>
            </w:r>
            <w:r>
              <w:rPr>
                <w:rFonts w:hint="default" w:ascii="Times New Roman" w:hAnsi="Times New Roman" w:eastAsia="宋体" w:cs="Times New Roman"/>
                <w:color w:val="auto"/>
                <w:sz w:val="21"/>
                <w:szCs w:val="21"/>
              </w:rPr>
              <w:t>加强通风设备用电管理，保障通风设备供电可靠；</w:t>
            </w:r>
          </w:p>
          <w:p w14:paraId="36D4F55E">
            <w:pPr>
              <w:spacing w:line="320" w:lineRule="exact"/>
              <w:ind w:left="0" w:leftChars="0" w:firstLine="0" w:firstLineChars="0"/>
              <w:jc w:val="left"/>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5.</w:t>
            </w:r>
            <w:r>
              <w:rPr>
                <w:rFonts w:hint="default" w:ascii="Times New Roman" w:hAnsi="Times New Roman" w:eastAsia="宋体" w:cs="Times New Roman"/>
                <w:color w:val="auto"/>
                <w:sz w:val="21"/>
                <w:szCs w:val="21"/>
              </w:rPr>
              <w:t>临时停工停风的采掘工作面及时设置栅栏、揭示警示标志；采空区、暂时不用巷道、停工时间较长巷道及时进行密闭；</w:t>
            </w:r>
          </w:p>
          <w:p w14:paraId="49F27D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ascii="Times New Roman" w:hAnsi="Times New Roman" w:eastAsia="宋体" w:cs="Times New Roman"/>
                <w:snapToGrid w:val="0"/>
                <w:color w:val="auto"/>
                <w:kern w:val="0"/>
                <w:sz w:val="21"/>
                <w:szCs w:val="21"/>
                <w:lang w:val="en-US" w:bidi="ar-SA"/>
              </w:rPr>
            </w:pPr>
            <w:r>
              <w:rPr>
                <w:rFonts w:hint="eastAsia" w:ascii="Times New Roman" w:hAnsi="Times New Roman" w:cs="Times New Roman"/>
                <w:color w:val="auto"/>
                <w:sz w:val="21"/>
                <w:szCs w:val="21"/>
                <w:lang w:val="en-US" w:eastAsia="zh-CN"/>
              </w:rPr>
              <w:t>6.</w:t>
            </w:r>
            <w:r>
              <w:rPr>
                <w:rFonts w:hint="default" w:ascii="Times New Roman" w:hAnsi="Times New Roman" w:eastAsia="宋体" w:cs="Times New Roman"/>
                <w:color w:val="auto"/>
                <w:sz w:val="21"/>
                <w:szCs w:val="21"/>
              </w:rPr>
              <w:t>进风井布置在不受其</w:t>
            </w:r>
            <w:r>
              <w:rPr>
                <w:rFonts w:hint="eastAsia" w:ascii="宋体" w:hAnsi="宋体" w:eastAsia="宋体" w:cs="宋体"/>
                <w:color w:val="auto"/>
                <w:sz w:val="21"/>
                <w:szCs w:val="21"/>
              </w:rPr>
              <w:t>他空气污染位置，定期检查进风井空气质量。</w:t>
            </w:r>
          </w:p>
        </w:tc>
      </w:tr>
      <w:tr w14:paraId="0711E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970" w:type="dxa"/>
            <w:tcBorders>
              <w:top w:val="single" w:color="000000" w:sz="4" w:space="0"/>
              <w:left w:val="single" w:color="000000" w:sz="4" w:space="0"/>
              <w:bottom w:val="single" w:color="000000" w:sz="4" w:space="0"/>
              <w:right w:val="single" w:color="000000" w:sz="4" w:space="0"/>
            </w:tcBorders>
            <w:vAlign w:val="center"/>
          </w:tcPr>
          <w:p w14:paraId="3E033B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rPr>
            </w:pPr>
            <w:r>
              <w:rPr>
                <w:rFonts w:hint="default" w:ascii="Times New Roman" w:hAnsi="Times New Roman" w:eastAsia="宋体" w:cs="Times New Roman"/>
                <w:snapToGrid w:val="0"/>
                <w:color w:val="auto"/>
                <w:kern w:val="0"/>
                <w:sz w:val="21"/>
                <w:szCs w:val="21"/>
              </w:rPr>
              <w:t>机械伤害</w:t>
            </w:r>
          </w:p>
        </w:tc>
        <w:tc>
          <w:tcPr>
            <w:tcW w:w="2468" w:type="dxa"/>
            <w:tcBorders>
              <w:right w:val="single" w:color="000000" w:sz="2" w:space="0"/>
            </w:tcBorders>
            <w:vAlign w:val="top"/>
          </w:tcPr>
          <w:p w14:paraId="38FCD4A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1.机械运行时人员身体误入;</w:t>
            </w:r>
          </w:p>
          <w:p w14:paraId="5E9E174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lang w:val="en-US" w:eastAsia="zh-CN" w:bidi="ar-SA"/>
              </w:rPr>
              <w:t>2.</w:t>
            </w:r>
            <w:r>
              <w:rPr>
                <w:rFonts w:hint="default" w:ascii="Times New Roman" w:hAnsi="Times New Roman" w:eastAsia="宋体" w:cs="Times New Roman"/>
                <w:color w:val="auto"/>
                <w:kern w:val="2"/>
                <w:sz w:val="21"/>
                <w:szCs w:val="21"/>
                <w:lang w:val="en-US" w:eastAsia="zh-CN" w:bidi="ar-SA"/>
              </w:rPr>
              <w:t>机械运行时转动部分零部件未设防护装置。</w:t>
            </w:r>
          </w:p>
        </w:tc>
        <w:tc>
          <w:tcPr>
            <w:tcW w:w="1684" w:type="dxa"/>
            <w:tcBorders>
              <w:left w:val="single" w:color="000000" w:sz="2" w:space="0"/>
            </w:tcBorders>
            <w:vAlign w:val="center"/>
          </w:tcPr>
          <w:p w14:paraId="208A7F6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default" w:ascii="Times New Roman" w:hAnsi="Times New Roman" w:eastAsia="宋体" w:cs="Times New Roman"/>
                <w:snapToGrid w:val="0"/>
                <w:color w:val="auto"/>
                <w:kern w:val="0"/>
                <w:sz w:val="21"/>
                <w:szCs w:val="21"/>
              </w:rPr>
              <w:t>人员伤亡</w:t>
            </w:r>
          </w:p>
        </w:tc>
        <w:tc>
          <w:tcPr>
            <w:tcW w:w="711" w:type="dxa"/>
            <w:tcBorders>
              <w:top w:val="single" w:color="000000" w:sz="4" w:space="0"/>
              <w:left w:val="single" w:color="000000" w:sz="4" w:space="0"/>
              <w:bottom w:val="single" w:color="000000" w:sz="4" w:space="0"/>
              <w:right w:val="single" w:color="000000" w:sz="4" w:space="0"/>
            </w:tcBorders>
            <w:vAlign w:val="center"/>
          </w:tcPr>
          <w:p w14:paraId="286557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rPr>
            </w:pPr>
            <w:r>
              <w:rPr>
                <w:rFonts w:hint="eastAsia" w:ascii="宋体" w:hAnsi="宋体" w:eastAsia="宋体" w:cs="宋体"/>
                <w:snapToGrid w:val="0"/>
                <w:color w:val="auto"/>
                <w:kern w:val="0"/>
                <w:sz w:val="21"/>
                <w:szCs w:val="21"/>
              </w:rPr>
              <w:t>Ⅲ</w:t>
            </w:r>
          </w:p>
        </w:tc>
        <w:tc>
          <w:tcPr>
            <w:tcW w:w="3284" w:type="dxa"/>
            <w:tcBorders>
              <w:top w:val="single" w:color="000000" w:sz="4" w:space="0"/>
              <w:left w:val="single" w:color="000000" w:sz="4" w:space="0"/>
              <w:bottom w:val="single" w:color="000000" w:sz="4" w:space="0"/>
              <w:right w:val="single" w:color="000000" w:sz="4" w:space="0"/>
            </w:tcBorders>
            <w:vAlign w:val="center"/>
          </w:tcPr>
          <w:p w14:paraId="7B46C9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rPr>
            </w:pPr>
            <w:r>
              <w:rPr>
                <w:rFonts w:hint="default" w:ascii="Times New Roman" w:hAnsi="Times New Roman" w:eastAsia="宋体" w:cs="Times New Roman"/>
                <w:snapToGrid w:val="0"/>
                <w:color w:val="auto"/>
                <w:kern w:val="0"/>
                <w:sz w:val="21"/>
                <w:szCs w:val="21"/>
              </w:rPr>
              <w:t>设置防护、隔离装置。</w:t>
            </w:r>
          </w:p>
        </w:tc>
      </w:tr>
      <w:tr w14:paraId="13086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970" w:type="dxa"/>
            <w:tcBorders>
              <w:top w:val="single" w:color="000000" w:sz="4" w:space="0"/>
              <w:left w:val="single" w:color="000000" w:sz="4" w:space="0"/>
              <w:bottom w:val="single" w:color="000000" w:sz="4" w:space="0"/>
              <w:right w:val="single" w:color="000000" w:sz="4" w:space="0"/>
            </w:tcBorders>
            <w:vAlign w:val="center"/>
          </w:tcPr>
          <w:p w14:paraId="543CE86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触电</w:t>
            </w:r>
          </w:p>
        </w:tc>
        <w:tc>
          <w:tcPr>
            <w:tcW w:w="2468" w:type="dxa"/>
            <w:tcBorders>
              <w:right w:val="single" w:color="000000" w:sz="2" w:space="0"/>
            </w:tcBorders>
            <w:vAlign w:val="center"/>
          </w:tcPr>
          <w:p w14:paraId="1078AC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1、通风设备或线路漏电、过热、短路、接头松脱、断线碰壳、绝缘损坏、PE线断线；</w:t>
            </w:r>
          </w:p>
          <w:p w14:paraId="12EFA9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2、无安全技术措施；</w:t>
            </w:r>
          </w:p>
          <w:p w14:paraId="7F544C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3、违章作业。</w:t>
            </w:r>
          </w:p>
        </w:tc>
        <w:tc>
          <w:tcPr>
            <w:tcW w:w="1684" w:type="dxa"/>
            <w:tcBorders>
              <w:left w:val="single" w:color="000000" w:sz="2" w:space="0"/>
            </w:tcBorders>
            <w:vAlign w:val="center"/>
          </w:tcPr>
          <w:p w14:paraId="0D81F31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人员伤亡、设备损坏</w:t>
            </w:r>
          </w:p>
        </w:tc>
        <w:tc>
          <w:tcPr>
            <w:tcW w:w="711" w:type="dxa"/>
            <w:tcBorders>
              <w:top w:val="single" w:color="000000" w:sz="4" w:space="0"/>
              <w:left w:val="single" w:color="000000" w:sz="4" w:space="0"/>
              <w:bottom w:val="single" w:color="000000" w:sz="4" w:space="0"/>
              <w:right w:val="single" w:color="000000" w:sz="4" w:space="0"/>
            </w:tcBorders>
            <w:vAlign w:val="center"/>
          </w:tcPr>
          <w:p w14:paraId="685DFAB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snapToGrid w:val="0"/>
                <w:color w:val="auto"/>
                <w:kern w:val="0"/>
                <w:sz w:val="21"/>
                <w:szCs w:val="21"/>
              </w:rPr>
              <w:t>Ⅲ</w:t>
            </w:r>
          </w:p>
        </w:tc>
        <w:tc>
          <w:tcPr>
            <w:tcW w:w="3284" w:type="dxa"/>
            <w:tcBorders>
              <w:top w:val="single" w:color="000000" w:sz="4" w:space="0"/>
              <w:left w:val="single" w:color="000000" w:sz="4" w:space="0"/>
              <w:bottom w:val="single" w:color="000000" w:sz="4" w:space="0"/>
              <w:right w:val="single" w:color="000000" w:sz="4" w:space="0"/>
            </w:tcBorders>
            <w:vAlign w:val="center"/>
          </w:tcPr>
          <w:p w14:paraId="6F8E3F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1、加强作业人员安全教育培训，提高人员素质；</w:t>
            </w:r>
          </w:p>
          <w:p w14:paraId="5E962C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2、采用漏电、接地、过流保护；</w:t>
            </w:r>
          </w:p>
          <w:p w14:paraId="672193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3、加强安全检查，及时处理安全隐患；</w:t>
            </w:r>
          </w:p>
          <w:p w14:paraId="336271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4、不得带电搬运局扇。</w:t>
            </w:r>
          </w:p>
        </w:tc>
      </w:tr>
      <w:tr w14:paraId="1FBD3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046297D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粉尘</w:t>
            </w:r>
          </w:p>
        </w:tc>
        <w:tc>
          <w:tcPr>
            <w:tcW w:w="1353" w:type="pct"/>
            <w:tcBorders>
              <w:right w:val="single" w:color="000000" w:sz="2" w:space="0"/>
            </w:tcBorders>
            <w:vAlign w:val="center"/>
          </w:tcPr>
          <w:p w14:paraId="5B7135A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防尘设施损坏。</w:t>
            </w:r>
          </w:p>
        </w:tc>
        <w:tc>
          <w:tcPr>
            <w:tcW w:w="923" w:type="pct"/>
            <w:tcBorders>
              <w:left w:val="single" w:color="000000" w:sz="2" w:space="0"/>
            </w:tcBorders>
            <w:vAlign w:val="center"/>
          </w:tcPr>
          <w:p w14:paraId="2DAA65A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职业危害</w:t>
            </w:r>
          </w:p>
        </w:tc>
        <w:tc>
          <w:tcPr>
            <w:tcW w:w="390" w:type="pct"/>
            <w:tcBorders>
              <w:top w:val="single" w:color="000000" w:sz="4" w:space="0"/>
              <w:left w:val="single" w:color="000000" w:sz="4" w:space="0"/>
              <w:bottom w:val="single" w:color="000000" w:sz="4" w:space="0"/>
              <w:right w:val="single" w:color="000000" w:sz="4" w:space="0"/>
            </w:tcBorders>
            <w:vAlign w:val="center"/>
          </w:tcPr>
          <w:p w14:paraId="6C965B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1800" w:type="pct"/>
            <w:tcBorders>
              <w:top w:val="single" w:color="000000" w:sz="4" w:space="0"/>
              <w:left w:val="single" w:color="000000" w:sz="4" w:space="0"/>
              <w:bottom w:val="single" w:color="000000" w:sz="4" w:space="0"/>
              <w:right w:val="single" w:color="000000" w:sz="4" w:space="0"/>
            </w:tcBorders>
            <w:vAlign w:val="center"/>
          </w:tcPr>
          <w:p w14:paraId="7E6B67D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定期对通风、除尘装置进行检查、维护。</w:t>
            </w:r>
          </w:p>
        </w:tc>
      </w:tr>
      <w:tr w14:paraId="088B8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532" w:type="pct"/>
            <w:tcBorders>
              <w:top w:val="single" w:color="000000" w:sz="4" w:space="0"/>
              <w:left w:val="single" w:color="000000" w:sz="4" w:space="0"/>
              <w:bottom w:val="single" w:color="000000" w:sz="4" w:space="0"/>
              <w:right w:val="single" w:color="000000" w:sz="4" w:space="0"/>
            </w:tcBorders>
            <w:vAlign w:val="center"/>
          </w:tcPr>
          <w:p w14:paraId="1EB3A5F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噪声与振动</w:t>
            </w:r>
          </w:p>
        </w:tc>
        <w:tc>
          <w:tcPr>
            <w:tcW w:w="1353" w:type="pct"/>
            <w:tcBorders>
              <w:right w:val="single" w:color="000000" w:sz="2" w:space="0"/>
            </w:tcBorders>
            <w:vAlign w:val="center"/>
          </w:tcPr>
          <w:p w14:paraId="7CDF654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通风机运行。</w:t>
            </w:r>
          </w:p>
        </w:tc>
        <w:tc>
          <w:tcPr>
            <w:tcW w:w="923" w:type="pct"/>
            <w:tcBorders>
              <w:left w:val="single" w:color="000000" w:sz="2" w:space="0"/>
            </w:tcBorders>
            <w:vAlign w:val="center"/>
          </w:tcPr>
          <w:p w14:paraId="78B1E4B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职业危害</w:t>
            </w:r>
          </w:p>
        </w:tc>
        <w:tc>
          <w:tcPr>
            <w:tcW w:w="390" w:type="pct"/>
            <w:tcBorders>
              <w:top w:val="single" w:color="000000" w:sz="4" w:space="0"/>
              <w:left w:val="single" w:color="000000" w:sz="4" w:space="0"/>
              <w:bottom w:val="single" w:color="000000" w:sz="4" w:space="0"/>
              <w:right w:val="single" w:color="000000" w:sz="4" w:space="0"/>
            </w:tcBorders>
            <w:vAlign w:val="center"/>
          </w:tcPr>
          <w:p w14:paraId="62B193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1800" w:type="pct"/>
            <w:tcBorders>
              <w:top w:val="single" w:color="000000" w:sz="4" w:space="0"/>
              <w:left w:val="single" w:color="000000" w:sz="4" w:space="0"/>
              <w:bottom w:val="single" w:color="000000" w:sz="4" w:space="0"/>
              <w:right w:val="single" w:color="000000" w:sz="4" w:space="0"/>
            </w:tcBorders>
            <w:vAlign w:val="center"/>
          </w:tcPr>
          <w:p w14:paraId="0BFDA9E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1.采用距离减弱噪声，设置值班密闭隔离室;</w:t>
            </w:r>
          </w:p>
          <w:p w14:paraId="1B62555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2.采用牢固基础减少振动。</w:t>
            </w:r>
          </w:p>
        </w:tc>
      </w:tr>
    </w:tbl>
    <w:p w14:paraId="5B893766">
      <w:pPr>
        <w:bidi w:val="0"/>
        <w:rPr>
          <w:rFonts w:hint="eastAsia"/>
          <w:color w:val="auto"/>
          <w:lang w:val="en-US" w:eastAsia="zh-CN"/>
        </w:rPr>
      </w:pPr>
      <w:r>
        <w:rPr>
          <w:rFonts w:hint="eastAsia"/>
          <w:color w:val="auto"/>
          <w:lang w:val="en-US" w:eastAsia="zh-CN"/>
        </w:rPr>
        <w:t>通过预先危险性分析法评价，通风</w:t>
      </w:r>
      <w:r>
        <w:rPr>
          <w:rFonts w:hint="default"/>
          <w:color w:val="auto"/>
          <w:lang w:val="en-US" w:eastAsia="zh-CN"/>
        </w:rPr>
        <w:t>系统</w:t>
      </w:r>
      <w:r>
        <w:rPr>
          <w:rFonts w:hint="eastAsia"/>
          <w:color w:val="auto"/>
          <w:lang w:val="en-US" w:eastAsia="zh-CN"/>
        </w:rPr>
        <w:t>单元存在的危险有害因素主要有：中毒室息、机械伤害、触电、粉尘、噪声与振动等。其中中毒室息、机械伤害、触电等危害等级均为</w:t>
      </w:r>
      <w:r>
        <w:rPr>
          <w:rFonts w:hint="eastAsia" w:ascii="宋体" w:hAnsi="宋体" w:eastAsia="宋体" w:cs="宋体"/>
          <w:color w:val="auto"/>
          <w:lang w:val="en-US" w:eastAsia="zh-CN"/>
        </w:rPr>
        <w:t>Ⅲ</w:t>
      </w:r>
      <w:r>
        <w:rPr>
          <w:rFonts w:hint="eastAsia"/>
          <w:color w:val="auto"/>
          <w:lang w:val="en-US" w:eastAsia="zh-CN"/>
        </w:rPr>
        <w:t>级，应加以重视；粉尘、噪声与振动危害等级为Ⅱ级也应加以注意。采取合理的措施后，以上危险有害因素能控制在可接受范围内。</w:t>
      </w:r>
    </w:p>
    <w:p w14:paraId="4014D056">
      <w:pPr>
        <w:pStyle w:val="4"/>
        <w:bidi w:val="0"/>
        <w:rPr>
          <w:rFonts w:hint="eastAsia"/>
          <w:color w:val="auto"/>
          <w:lang w:val="en-US" w:eastAsia="zh-CN"/>
        </w:rPr>
      </w:pPr>
      <w:bookmarkStart w:id="310" w:name="_Toc14724"/>
      <w:bookmarkStart w:id="311" w:name="_Toc1179"/>
      <w:bookmarkStart w:id="312" w:name="_Toc12376"/>
      <w:bookmarkStart w:id="313" w:name="_Toc24133"/>
      <w:r>
        <w:rPr>
          <w:rFonts w:hint="eastAsia"/>
          <w:color w:val="auto"/>
          <w:lang w:val="en-US" w:eastAsia="zh-CN"/>
        </w:rPr>
        <w:t>3.6.2 安全检查表法</w:t>
      </w:r>
      <w:bookmarkEnd w:id="310"/>
      <w:bookmarkEnd w:id="311"/>
      <w:bookmarkEnd w:id="312"/>
      <w:bookmarkEnd w:id="313"/>
    </w:p>
    <w:p w14:paraId="5118705A">
      <w:pPr>
        <w:rPr>
          <w:rFonts w:hint="eastAsia"/>
          <w:color w:val="auto"/>
          <w:lang w:val="en-US" w:eastAsia="zh-CN"/>
        </w:rPr>
      </w:pPr>
      <w:r>
        <w:rPr>
          <w:rFonts w:hint="eastAsia"/>
          <w:color w:val="auto"/>
          <w:lang w:val="en-US" w:eastAsia="zh-CN"/>
        </w:rPr>
        <w:t>根据矿山所处的环境和工程地质条件，按照《金属非金属矿山安全规程》、《金属非金属地下矿山通风技术规范 通风系统》、《金属非金属地下矿山通风技术规范 局部通风》的要求，通过安全检查表法对矿山通风</w:t>
      </w:r>
      <w:r>
        <w:rPr>
          <w:rFonts w:hint="default"/>
          <w:color w:val="auto"/>
          <w:lang w:val="en-US" w:eastAsia="zh-CN"/>
        </w:rPr>
        <w:t>系统</w:t>
      </w:r>
      <w:r>
        <w:rPr>
          <w:rFonts w:hint="eastAsia" w:ascii="Times New Roman" w:eastAsia="宋体"/>
          <w:color w:val="auto"/>
          <w:lang w:val="en-US" w:eastAsia="zh-CN"/>
        </w:rPr>
        <w:t>单元</w:t>
      </w:r>
      <w:r>
        <w:rPr>
          <w:rFonts w:hint="eastAsia"/>
          <w:color w:val="auto"/>
          <w:lang w:val="en-US" w:eastAsia="zh-CN"/>
        </w:rPr>
        <w:t>进行评价，具体评价见表3.6-2。</w:t>
      </w:r>
    </w:p>
    <w:p w14:paraId="02A2D3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color w:val="auto"/>
          <w:lang w:val="en-US" w:eastAsia="zh-CN"/>
        </w:rPr>
        <w:t>3.6-2</w:t>
      </w:r>
      <w:r>
        <w:rPr>
          <w:rFonts w:hint="eastAsia" w:ascii="Times New Roman" w:hAnsi="Times New Roman" w:eastAsia="宋体" w:cs="Times New Roman"/>
          <w:color w:val="auto"/>
          <w:lang w:val="en-US" w:eastAsia="zh-CN"/>
        </w:rPr>
        <w:t xml:space="preserve"> </w:t>
      </w:r>
      <w:r>
        <w:rPr>
          <w:rFonts w:hint="eastAsia"/>
          <w:color w:val="auto"/>
          <w:lang w:val="en-US" w:eastAsia="zh-CN"/>
        </w:rPr>
        <w:t>通风</w:t>
      </w:r>
      <w:r>
        <w:rPr>
          <w:rFonts w:hint="default"/>
          <w:color w:val="auto"/>
          <w:lang w:val="en-US" w:eastAsia="zh-CN"/>
        </w:rPr>
        <w:t>系统</w:t>
      </w:r>
      <w:r>
        <w:rPr>
          <w:rFonts w:hint="eastAsia" w:ascii="Times New Roman" w:eastAsia="宋体"/>
          <w:color w:val="auto"/>
          <w:lang w:val="en-US" w:eastAsia="zh-CN"/>
        </w:rPr>
        <w:t>单元</w:t>
      </w:r>
      <w:r>
        <w:rPr>
          <w:rFonts w:ascii="Times New Roman" w:hAnsi="Times New Roman" w:eastAsia="宋体" w:cs="Times New Roman"/>
          <w:color w:val="auto"/>
          <w:lang w:val="en-US" w:eastAsia="zh-CN"/>
        </w:rPr>
        <w:t>安全检查表</w:t>
      </w:r>
    </w:p>
    <w:tbl>
      <w:tblPr>
        <w:tblStyle w:val="17"/>
        <w:tblW w:w="502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97"/>
        <w:gridCol w:w="957"/>
        <w:gridCol w:w="2877"/>
        <w:gridCol w:w="1800"/>
        <w:gridCol w:w="2318"/>
        <w:gridCol w:w="674"/>
      </w:tblGrid>
      <w:tr w14:paraId="0D581E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273" w:type="pct"/>
            <w:tcBorders>
              <w:left w:val="single" w:color="000000" w:sz="2" w:space="0"/>
              <w:right w:val="single" w:color="000000" w:sz="2" w:space="0"/>
            </w:tcBorders>
            <w:vAlign w:val="center"/>
          </w:tcPr>
          <w:p w14:paraId="3983F7D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524" w:type="pct"/>
            <w:tcBorders>
              <w:left w:val="single" w:color="000000" w:sz="2" w:space="0"/>
              <w:right w:val="single" w:color="000000" w:sz="2" w:space="0"/>
            </w:tcBorders>
            <w:vAlign w:val="center"/>
          </w:tcPr>
          <w:p w14:paraId="09C31F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576" w:type="pct"/>
            <w:tcBorders>
              <w:left w:val="single" w:color="000000" w:sz="2" w:space="0"/>
              <w:right w:val="single" w:color="000000" w:sz="2" w:space="0"/>
            </w:tcBorders>
            <w:vAlign w:val="center"/>
          </w:tcPr>
          <w:p w14:paraId="27C034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cs="Times New Roman"/>
                <w:b/>
                <w:bCs/>
                <w:snapToGrid w:val="0"/>
                <w:color w:val="auto"/>
                <w:kern w:val="0"/>
                <w:sz w:val="21"/>
                <w:szCs w:val="21"/>
                <w:lang w:val="en-US" w:eastAsia="zh-CN" w:bidi="ar-SA"/>
              </w:rPr>
              <w:t>检查内容</w:t>
            </w:r>
          </w:p>
        </w:tc>
        <w:tc>
          <w:tcPr>
            <w:tcW w:w="986" w:type="pct"/>
            <w:tcBorders>
              <w:left w:val="single" w:color="000000" w:sz="2" w:space="0"/>
              <w:right w:val="single" w:color="000000" w:sz="2" w:space="0"/>
            </w:tcBorders>
            <w:vAlign w:val="center"/>
          </w:tcPr>
          <w:p w14:paraId="470D308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270" w:type="pct"/>
            <w:tcBorders>
              <w:left w:val="single" w:color="000000" w:sz="2" w:space="0"/>
              <w:right w:val="single" w:color="000000" w:sz="2" w:space="0"/>
            </w:tcBorders>
            <w:vAlign w:val="center"/>
          </w:tcPr>
          <w:p w14:paraId="1E67A4B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69" w:type="pct"/>
            <w:tcBorders>
              <w:left w:val="single" w:color="000000" w:sz="2" w:space="0"/>
              <w:right w:val="single" w:color="000000" w:sz="2" w:space="0"/>
            </w:tcBorders>
            <w:vAlign w:val="center"/>
          </w:tcPr>
          <w:p w14:paraId="3CA648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4045A0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273" w:type="pct"/>
            <w:vMerge w:val="restart"/>
            <w:tcBorders>
              <w:top w:val="single" w:color="000000" w:sz="2" w:space="0"/>
              <w:left w:val="single" w:color="000000" w:sz="2" w:space="0"/>
              <w:right w:val="single" w:color="000000" w:sz="2" w:space="0"/>
            </w:tcBorders>
            <w:vAlign w:val="center"/>
          </w:tcPr>
          <w:p w14:paraId="494B2F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524" w:type="pct"/>
            <w:vMerge w:val="restart"/>
            <w:tcBorders>
              <w:top w:val="single" w:color="000000" w:sz="2" w:space="0"/>
              <w:left w:val="single" w:color="000000" w:sz="2" w:space="0"/>
              <w:right w:val="single" w:color="000000" w:sz="2" w:space="0"/>
            </w:tcBorders>
            <w:vAlign w:val="center"/>
          </w:tcPr>
          <w:p w14:paraId="7093AF3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通风设备设施</w:t>
            </w:r>
          </w:p>
        </w:tc>
        <w:tc>
          <w:tcPr>
            <w:tcW w:w="1576" w:type="pct"/>
            <w:tcBorders>
              <w:top w:val="single" w:color="000000" w:sz="2" w:space="0"/>
              <w:left w:val="single" w:color="000000" w:sz="2" w:space="0"/>
              <w:bottom w:val="single" w:color="000000" w:sz="2" w:space="0"/>
              <w:right w:val="single" w:color="000000" w:sz="2" w:space="0"/>
            </w:tcBorders>
            <w:vAlign w:val="center"/>
          </w:tcPr>
          <w:p w14:paraId="1CC95DB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每台主通风机电机均应有备用，并能迅速更换。同一个硐室或风机房内使用多台同型号电机时，可以只备用1台。</w:t>
            </w:r>
          </w:p>
        </w:tc>
        <w:tc>
          <w:tcPr>
            <w:tcW w:w="986" w:type="pct"/>
            <w:tcBorders>
              <w:top w:val="single" w:color="000000" w:sz="2" w:space="0"/>
              <w:left w:val="single" w:color="000000" w:sz="2" w:space="0"/>
              <w:bottom w:val="single" w:color="000000" w:sz="2" w:space="0"/>
              <w:right w:val="single" w:color="000000" w:sz="2" w:space="0"/>
            </w:tcBorders>
            <w:vAlign w:val="center"/>
          </w:tcPr>
          <w:p w14:paraId="5803C5D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eastAsia="zh-CN"/>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6BDA4ED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宋体"/>
                <w:color w:val="auto"/>
                <w:sz w:val="21"/>
                <w:szCs w:val="21"/>
              </w:rPr>
              <w:t>第6.</w:t>
            </w:r>
            <w:r>
              <w:rPr>
                <w:rFonts w:hint="eastAsia" w:cs="宋体"/>
                <w:color w:val="auto"/>
                <w:sz w:val="21"/>
                <w:szCs w:val="21"/>
                <w:lang w:val="en-US" w:eastAsia="zh-CN"/>
              </w:rPr>
              <w:t>6</w:t>
            </w:r>
            <w:r>
              <w:rPr>
                <w:rFonts w:hint="eastAsia" w:ascii="Times New Roman" w:hAnsi="Times New Roman" w:eastAsia="宋体" w:cs="宋体"/>
                <w:color w:val="auto"/>
                <w:sz w:val="21"/>
                <w:szCs w:val="21"/>
              </w:rPr>
              <w:t>.</w:t>
            </w:r>
            <w:r>
              <w:rPr>
                <w:rFonts w:hint="eastAsia" w:cs="宋体"/>
                <w:color w:val="auto"/>
                <w:sz w:val="21"/>
                <w:szCs w:val="21"/>
                <w:lang w:val="en-US" w:eastAsia="zh-CN"/>
              </w:rPr>
              <w:t>3</w:t>
            </w:r>
            <w:r>
              <w:rPr>
                <w:rFonts w:hint="eastAsia" w:ascii="Times New Roman" w:hAnsi="Times New Roman" w:eastAsia="宋体" w:cs="宋体"/>
                <w:color w:val="auto"/>
                <w:sz w:val="21"/>
                <w:szCs w:val="21"/>
              </w:rPr>
              <w:t>.</w:t>
            </w:r>
            <w:r>
              <w:rPr>
                <w:rFonts w:hint="eastAsia" w:cs="宋体"/>
                <w:color w:val="auto"/>
                <w:sz w:val="21"/>
                <w:szCs w:val="21"/>
                <w:lang w:val="en-US" w:eastAsia="zh-CN"/>
              </w:rPr>
              <w:t>2</w:t>
            </w:r>
            <w:r>
              <w:rPr>
                <w:rFonts w:hint="eastAsia" w:ascii="Times New Roman" w:hAnsi="Times New Roman" w:eastAsia="宋体" w:cs="宋体"/>
                <w:color w:val="auto"/>
                <w:sz w:val="21"/>
                <w:szCs w:val="21"/>
              </w:rPr>
              <w:t>条</w:t>
            </w:r>
          </w:p>
        </w:tc>
        <w:tc>
          <w:tcPr>
            <w:tcW w:w="1270" w:type="pct"/>
            <w:tcBorders>
              <w:top w:val="single" w:color="000000" w:sz="2" w:space="0"/>
              <w:left w:val="single" w:color="000000" w:sz="2" w:space="0"/>
              <w:bottom w:val="single" w:color="000000" w:sz="2" w:space="0"/>
              <w:right w:val="single" w:color="000000" w:sz="2" w:space="0"/>
            </w:tcBorders>
            <w:vAlign w:val="center"/>
          </w:tcPr>
          <w:p w14:paraId="508CDB9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主扇配备了同规格型号的备用电机1台</w:t>
            </w:r>
            <w:r>
              <w:rPr>
                <w:rFonts w:hint="eastAsia"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能迅速更换。</w:t>
            </w:r>
          </w:p>
        </w:tc>
        <w:tc>
          <w:tcPr>
            <w:tcW w:w="369" w:type="pct"/>
            <w:tcBorders>
              <w:top w:val="single" w:color="000000" w:sz="2" w:space="0"/>
              <w:left w:val="single" w:color="000000" w:sz="2" w:space="0"/>
              <w:bottom w:val="single" w:color="000000" w:sz="2" w:space="0"/>
              <w:right w:val="single" w:color="000000" w:sz="2" w:space="0"/>
            </w:tcBorders>
            <w:vAlign w:val="center"/>
          </w:tcPr>
          <w:p w14:paraId="37296F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748FC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jc w:val="center"/>
        </w:trPr>
        <w:tc>
          <w:tcPr>
            <w:tcW w:w="273" w:type="pct"/>
            <w:vMerge w:val="continue"/>
            <w:tcBorders>
              <w:left w:val="single" w:color="000000" w:sz="2" w:space="0"/>
              <w:right w:val="single" w:color="000000" w:sz="2" w:space="0"/>
            </w:tcBorders>
            <w:vAlign w:val="center"/>
          </w:tcPr>
          <w:p w14:paraId="415895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24" w:type="pct"/>
            <w:vMerge w:val="continue"/>
            <w:tcBorders>
              <w:left w:val="single" w:color="000000" w:sz="2" w:space="0"/>
              <w:right w:val="single" w:color="000000" w:sz="2" w:space="0"/>
            </w:tcBorders>
            <w:vAlign w:val="center"/>
          </w:tcPr>
          <w:p w14:paraId="6568A01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p>
        </w:tc>
        <w:tc>
          <w:tcPr>
            <w:tcW w:w="1576" w:type="pct"/>
            <w:tcBorders>
              <w:top w:val="single" w:color="000000" w:sz="2" w:space="0"/>
              <w:left w:val="single" w:color="000000" w:sz="2" w:space="0"/>
              <w:bottom w:val="single" w:color="000000" w:sz="2" w:space="0"/>
              <w:right w:val="single" w:color="000000" w:sz="2" w:space="0"/>
            </w:tcBorders>
            <w:vAlign w:val="center"/>
          </w:tcPr>
          <w:p w14:paraId="3259CC1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主通风设施应能使矿井风流在10min内反向，反风量不小于正常运转时风量的60%。采用多级机站通风的矿山，主通风系统的每台通风机都应满足反风要求，以保证整个系统可以反风。</w:t>
            </w:r>
          </w:p>
          <w:p w14:paraId="728F2A5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每年应至少进行1次反风试验，并测定主要风路的风量。</w:t>
            </w:r>
          </w:p>
        </w:tc>
        <w:tc>
          <w:tcPr>
            <w:tcW w:w="986" w:type="pct"/>
            <w:tcBorders>
              <w:top w:val="single" w:color="000000" w:sz="2" w:space="0"/>
              <w:left w:val="single" w:color="000000" w:sz="2" w:space="0"/>
              <w:bottom w:val="single" w:color="000000" w:sz="2" w:space="0"/>
              <w:right w:val="single" w:color="000000" w:sz="2" w:space="0"/>
            </w:tcBorders>
            <w:vAlign w:val="center"/>
          </w:tcPr>
          <w:p w14:paraId="1F61A5F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35D1CB0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rPr>
              <w:t>第6.</w:t>
            </w:r>
            <w:r>
              <w:rPr>
                <w:rFonts w:hint="eastAsia" w:cs="宋体"/>
                <w:color w:val="auto"/>
                <w:sz w:val="21"/>
                <w:szCs w:val="21"/>
                <w:lang w:val="en-US" w:eastAsia="zh-CN"/>
              </w:rPr>
              <w:t>6</w:t>
            </w:r>
            <w:r>
              <w:rPr>
                <w:rFonts w:hint="eastAsia" w:ascii="Times New Roman" w:hAnsi="Times New Roman" w:eastAsia="宋体" w:cs="宋体"/>
                <w:color w:val="auto"/>
                <w:sz w:val="21"/>
                <w:szCs w:val="21"/>
              </w:rPr>
              <w:t>.</w:t>
            </w:r>
            <w:r>
              <w:rPr>
                <w:rFonts w:hint="eastAsia" w:cs="宋体"/>
                <w:color w:val="auto"/>
                <w:sz w:val="21"/>
                <w:szCs w:val="21"/>
                <w:lang w:val="en-US" w:eastAsia="zh-CN"/>
              </w:rPr>
              <w:t>3</w:t>
            </w:r>
            <w:r>
              <w:rPr>
                <w:rFonts w:hint="eastAsia" w:ascii="Times New Roman" w:hAnsi="Times New Roman" w:eastAsia="宋体" w:cs="宋体"/>
                <w:color w:val="auto"/>
                <w:sz w:val="21"/>
                <w:szCs w:val="21"/>
              </w:rPr>
              <w:t>.</w:t>
            </w:r>
            <w:r>
              <w:rPr>
                <w:rFonts w:hint="eastAsia" w:cs="宋体"/>
                <w:color w:val="auto"/>
                <w:sz w:val="21"/>
                <w:szCs w:val="21"/>
                <w:lang w:val="en-US" w:eastAsia="zh-CN"/>
              </w:rPr>
              <w:t>3</w:t>
            </w:r>
            <w:r>
              <w:rPr>
                <w:rFonts w:hint="eastAsia" w:ascii="Times New Roman" w:hAnsi="Times New Roman" w:eastAsia="宋体" w:cs="宋体"/>
                <w:color w:val="auto"/>
                <w:sz w:val="21"/>
                <w:szCs w:val="21"/>
              </w:rPr>
              <w:t>条</w:t>
            </w:r>
          </w:p>
        </w:tc>
        <w:tc>
          <w:tcPr>
            <w:tcW w:w="1270" w:type="pct"/>
            <w:tcBorders>
              <w:top w:val="single" w:color="000000" w:sz="2" w:space="0"/>
              <w:left w:val="single" w:color="000000" w:sz="2" w:space="0"/>
              <w:bottom w:val="single" w:color="000000" w:sz="2" w:space="0"/>
              <w:right w:val="single" w:color="000000" w:sz="2" w:space="0"/>
            </w:tcBorders>
            <w:vAlign w:val="center"/>
          </w:tcPr>
          <w:p w14:paraId="384678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主扇装设有反风装置</w:t>
            </w:r>
            <w:r>
              <w:rPr>
                <w:rFonts w:hint="eastAsia"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反风量</w:t>
            </w:r>
            <w:r>
              <w:rPr>
                <w:rFonts w:hint="eastAsia" w:cs="Times New Roman"/>
                <w:snapToGrid w:val="0"/>
                <w:color w:val="auto"/>
                <w:spacing w:val="6"/>
                <w:kern w:val="0"/>
                <w:sz w:val="21"/>
                <w:szCs w:val="21"/>
                <w:lang w:val="en-US" w:eastAsia="zh-CN" w:bidi="ar-SA"/>
              </w:rPr>
              <w:t>大于</w:t>
            </w:r>
            <w:r>
              <w:rPr>
                <w:rFonts w:hint="default" w:ascii="Times New Roman" w:hAnsi="Times New Roman" w:eastAsia="宋体" w:cs="Times New Roman"/>
                <w:snapToGrid w:val="0"/>
                <w:color w:val="auto"/>
                <w:spacing w:val="6"/>
                <w:kern w:val="0"/>
                <w:sz w:val="21"/>
                <w:szCs w:val="21"/>
                <w:lang w:val="en-US" w:eastAsia="zh-CN" w:bidi="ar-SA"/>
              </w:rPr>
              <w:t>正常运转时风量的60%。</w:t>
            </w:r>
          </w:p>
        </w:tc>
        <w:tc>
          <w:tcPr>
            <w:tcW w:w="369" w:type="pct"/>
            <w:tcBorders>
              <w:top w:val="single" w:color="000000" w:sz="2" w:space="0"/>
              <w:left w:val="single" w:color="000000" w:sz="2" w:space="0"/>
              <w:bottom w:val="single" w:color="000000" w:sz="2" w:space="0"/>
              <w:right w:val="single" w:color="000000" w:sz="2" w:space="0"/>
            </w:tcBorders>
            <w:vAlign w:val="center"/>
          </w:tcPr>
          <w:p w14:paraId="6F15A60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264FD0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273" w:type="pct"/>
            <w:vMerge w:val="continue"/>
            <w:tcBorders>
              <w:left w:val="single" w:color="000000" w:sz="2" w:space="0"/>
              <w:right w:val="single" w:color="000000" w:sz="2" w:space="0"/>
            </w:tcBorders>
            <w:vAlign w:val="center"/>
          </w:tcPr>
          <w:p w14:paraId="7DAA43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24" w:type="pct"/>
            <w:vMerge w:val="continue"/>
            <w:tcBorders>
              <w:left w:val="single" w:color="000000" w:sz="2" w:space="0"/>
              <w:right w:val="single" w:color="000000" w:sz="2" w:space="0"/>
            </w:tcBorders>
            <w:vAlign w:val="center"/>
          </w:tcPr>
          <w:p w14:paraId="1EEE975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p>
        </w:tc>
        <w:tc>
          <w:tcPr>
            <w:tcW w:w="1576" w:type="pct"/>
            <w:tcBorders>
              <w:top w:val="single" w:color="000000" w:sz="2" w:space="0"/>
              <w:left w:val="single" w:color="000000" w:sz="2" w:space="0"/>
              <w:bottom w:val="single" w:color="000000" w:sz="2" w:space="0"/>
              <w:right w:val="single" w:color="000000" w:sz="2" w:space="0"/>
            </w:tcBorders>
            <w:vAlign w:val="center"/>
          </w:tcPr>
          <w:p w14:paraId="22D55FD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主通风机房应设有测量风压、风量、电流、电压和轴承温度等的仪表。每班都应对通风机运转情况进行检查，并有运转记录。采用自动控制的主通风机，每两周应进行1次自控系统的检查。</w:t>
            </w:r>
          </w:p>
        </w:tc>
        <w:tc>
          <w:tcPr>
            <w:tcW w:w="986" w:type="pct"/>
            <w:tcBorders>
              <w:top w:val="single" w:color="000000" w:sz="2" w:space="0"/>
              <w:left w:val="single" w:color="000000" w:sz="2" w:space="0"/>
              <w:bottom w:val="single" w:color="000000" w:sz="2" w:space="0"/>
              <w:right w:val="single" w:color="000000" w:sz="2" w:space="0"/>
            </w:tcBorders>
            <w:vAlign w:val="center"/>
          </w:tcPr>
          <w:p w14:paraId="6DDC280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3E6154F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eastAsia" w:ascii="Times New Roman" w:hAnsi="Times New Roman" w:eastAsia="宋体" w:cs="宋体"/>
                <w:color w:val="auto"/>
                <w:sz w:val="21"/>
                <w:szCs w:val="21"/>
              </w:rPr>
              <w:t>第6.</w:t>
            </w:r>
            <w:r>
              <w:rPr>
                <w:rFonts w:hint="eastAsia" w:cs="宋体"/>
                <w:color w:val="auto"/>
                <w:sz w:val="21"/>
                <w:szCs w:val="21"/>
                <w:lang w:val="en-US" w:eastAsia="zh-CN"/>
              </w:rPr>
              <w:t>6</w:t>
            </w:r>
            <w:r>
              <w:rPr>
                <w:rFonts w:hint="eastAsia" w:ascii="Times New Roman" w:hAnsi="Times New Roman" w:eastAsia="宋体" w:cs="宋体"/>
                <w:color w:val="auto"/>
                <w:sz w:val="21"/>
                <w:szCs w:val="21"/>
              </w:rPr>
              <w:t>.</w:t>
            </w:r>
            <w:r>
              <w:rPr>
                <w:rFonts w:hint="eastAsia" w:cs="宋体"/>
                <w:color w:val="auto"/>
                <w:sz w:val="21"/>
                <w:szCs w:val="21"/>
                <w:lang w:val="en-US" w:eastAsia="zh-CN"/>
              </w:rPr>
              <w:t>3</w:t>
            </w:r>
            <w:r>
              <w:rPr>
                <w:rFonts w:hint="eastAsia" w:ascii="Times New Roman" w:hAnsi="Times New Roman" w:eastAsia="宋体" w:cs="宋体"/>
                <w:color w:val="auto"/>
                <w:sz w:val="21"/>
                <w:szCs w:val="21"/>
              </w:rPr>
              <w:t>.</w:t>
            </w:r>
            <w:r>
              <w:rPr>
                <w:rFonts w:hint="eastAsia" w:cs="宋体"/>
                <w:color w:val="auto"/>
                <w:sz w:val="21"/>
                <w:szCs w:val="21"/>
                <w:lang w:val="en-US" w:eastAsia="zh-CN"/>
              </w:rPr>
              <w:t>4</w:t>
            </w:r>
            <w:r>
              <w:rPr>
                <w:rFonts w:hint="eastAsia" w:ascii="Times New Roman" w:hAnsi="Times New Roman" w:eastAsia="宋体" w:cs="宋体"/>
                <w:color w:val="auto"/>
                <w:sz w:val="21"/>
                <w:szCs w:val="21"/>
              </w:rPr>
              <w:t>条</w:t>
            </w:r>
          </w:p>
        </w:tc>
        <w:tc>
          <w:tcPr>
            <w:tcW w:w="1270" w:type="pct"/>
            <w:tcBorders>
              <w:top w:val="single" w:color="000000" w:sz="2" w:space="0"/>
              <w:left w:val="single" w:color="000000" w:sz="2" w:space="0"/>
              <w:bottom w:val="single" w:color="000000" w:sz="2" w:space="0"/>
              <w:right w:val="single" w:color="000000" w:sz="2" w:space="0"/>
            </w:tcBorders>
            <w:vAlign w:val="center"/>
          </w:tcPr>
          <w:p w14:paraId="2FACFB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主通风机房设有测量风压、风量、电流、电压和轴承温度等的仪表</w:t>
            </w:r>
            <w:r>
              <w:rPr>
                <w:rFonts w:hint="eastAsia" w:cs="Times New Roman"/>
                <w:snapToGrid w:val="0"/>
                <w:color w:val="auto"/>
                <w:spacing w:val="6"/>
                <w:kern w:val="0"/>
                <w:sz w:val="21"/>
                <w:szCs w:val="21"/>
                <w:lang w:val="en-US" w:eastAsia="zh-CN" w:bidi="ar-SA"/>
              </w:rPr>
              <w:t>，有运行、检查记录</w:t>
            </w:r>
            <w:r>
              <w:rPr>
                <w:rFonts w:hint="default" w:ascii="Times New Roman" w:hAnsi="Times New Roman" w:eastAsia="宋体" w:cs="Times New Roman"/>
                <w:snapToGrid w:val="0"/>
                <w:color w:val="auto"/>
                <w:spacing w:val="6"/>
                <w:kern w:val="0"/>
                <w:sz w:val="21"/>
                <w:szCs w:val="21"/>
                <w:lang w:val="en-US" w:eastAsia="zh-CN" w:bidi="ar-SA"/>
              </w:rPr>
              <w:t>。</w:t>
            </w:r>
          </w:p>
        </w:tc>
        <w:tc>
          <w:tcPr>
            <w:tcW w:w="369" w:type="pct"/>
            <w:tcBorders>
              <w:top w:val="single" w:color="000000" w:sz="2" w:space="0"/>
              <w:left w:val="single" w:color="000000" w:sz="2" w:space="0"/>
              <w:bottom w:val="single" w:color="000000" w:sz="2" w:space="0"/>
              <w:right w:val="single" w:color="000000" w:sz="2" w:space="0"/>
            </w:tcBorders>
            <w:vAlign w:val="center"/>
          </w:tcPr>
          <w:p w14:paraId="43CE23F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75C417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2" w:hRule="atLeast"/>
          <w:jc w:val="center"/>
        </w:trPr>
        <w:tc>
          <w:tcPr>
            <w:tcW w:w="273" w:type="pct"/>
            <w:vMerge w:val="continue"/>
            <w:tcBorders>
              <w:left w:val="single" w:color="000000" w:sz="2" w:space="0"/>
              <w:right w:val="single" w:color="000000" w:sz="2" w:space="0"/>
            </w:tcBorders>
            <w:vAlign w:val="center"/>
          </w:tcPr>
          <w:p w14:paraId="2C62B7C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24" w:type="pct"/>
            <w:vMerge w:val="continue"/>
            <w:tcBorders>
              <w:left w:val="single" w:color="000000" w:sz="2" w:space="0"/>
              <w:right w:val="single" w:color="000000" w:sz="2" w:space="0"/>
            </w:tcBorders>
            <w:vAlign w:val="center"/>
          </w:tcPr>
          <w:p w14:paraId="7EC8F6C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p>
        </w:tc>
        <w:tc>
          <w:tcPr>
            <w:tcW w:w="1576" w:type="pct"/>
            <w:tcBorders>
              <w:top w:val="single" w:color="000000" w:sz="2" w:space="0"/>
              <w:left w:val="single" w:color="000000" w:sz="2" w:space="0"/>
              <w:bottom w:val="single" w:color="000000" w:sz="2" w:space="0"/>
              <w:right w:val="single" w:color="000000" w:sz="2" w:space="0"/>
            </w:tcBorders>
            <w:vAlign w:val="center"/>
          </w:tcPr>
          <w:p w14:paraId="5DBEA93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掘进工作面和通风不良的工作场所，应设局部通风设施，并应有防止其被撞击破坏的措施。</w:t>
            </w:r>
          </w:p>
        </w:tc>
        <w:tc>
          <w:tcPr>
            <w:tcW w:w="986" w:type="pct"/>
            <w:tcBorders>
              <w:top w:val="single" w:color="000000" w:sz="2" w:space="0"/>
              <w:left w:val="single" w:color="000000" w:sz="2" w:space="0"/>
              <w:bottom w:val="single" w:color="000000" w:sz="2" w:space="0"/>
              <w:right w:val="single" w:color="000000" w:sz="2" w:space="0"/>
            </w:tcBorders>
            <w:vAlign w:val="center"/>
          </w:tcPr>
          <w:p w14:paraId="6B43C8C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4814503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rPr>
              <w:t>第6.</w:t>
            </w:r>
            <w:r>
              <w:rPr>
                <w:rFonts w:hint="eastAsia" w:cs="宋体"/>
                <w:color w:val="auto"/>
                <w:sz w:val="21"/>
                <w:szCs w:val="21"/>
                <w:lang w:val="en-US" w:eastAsia="zh-CN"/>
              </w:rPr>
              <w:t>6</w:t>
            </w:r>
            <w:r>
              <w:rPr>
                <w:rFonts w:hint="eastAsia" w:ascii="Times New Roman" w:hAnsi="Times New Roman" w:eastAsia="宋体" w:cs="宋体"/>
                <w:color w:val="auto"/>
                <w:sz w:val="21"/>
                <w:szCs w:val="21"/>
              </w:rPr>
              <w:t>.</w:t>
            </w:r>
            <w:r>
              <w:rPr>
                <w:rFonts w:hint="eastAsia" w:cs="宋体"/>
                <w:color w:val="auto"/>
                <w:sz w:val="21"/>
                <w:szCs w:val="21"/>
                <w:lang w:val="en-US" w:eastAsia="zh-CN"/>
              </w:rPr>
              <w:t>3</w:t>
            </w:r>
            <w:r>
              <w:rPr>
                <w:rFonts w:hint="eastAsia" w:ascii="Times New Roman" w:hAnsi="Times New Roman" w:eastAsia="宋体" w:cs="宋体"/>
                <w:color w:val="auto"/>
                <w:sz w:val="21"/>
                <w:szCs w:val="21"/>
              </w:rPr>
              <w:t>.</w:t>
            </w:r>
            <w:r>
              <w:rPr>
                <w:rFonts w:hint="eastAsia" w:cs="宋体"/>
                <w:color w:val="auto"/>
                <w:sz w:val="21"/>
                <w:szCs w:val="21"/>
                <w:lang w:val="en-US" w:eastAsia="zh-CN"/>
              </w:rPr>
              <w:t>5</w:t>
            </w:r>
            <w:r>
              <w:rPr>
                <w:rFonts w:hint="eastAsia" w:ascii="Times New Roman" w:hAnsi="Times New Roman" w:eastAsia="宋体" w:cs="宋体"/>
                <w:color w:val="auto"/>
                <w:sz w:val="21"/>
                <w:szCs w:val="21"/>
              </w:rPr>
              <w:t>条、《金属非金属地下矿山通风技术规范 局部通风》（AQ2013.2-2008）</w:t>
            </w:r>
            <w:r>
              <w:rPr>
                <w:rFonts w:hint="eastAsia" w:cs="宋体"/>
                <w:color w:val="auto"/>
                <w:sz w:val="21"/>
                <w:szCs w:val="21"/>
                <w:lang w:val="en-US" w:eastAsia="zh-CN"/>
              </w:rPr>
              <w:t>第4.1条</w:t>
            </w:r>
          </w:p>
          <w:p w14:paraId="21F9EDA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p>
        </w:tc>
        <w:tc>
          <w:tcPr>
            <w:tcW w:w="1270" w:type="pct"/>
            <w:tcBorders>
              <w:top w:val="single" w:color="000000" w:sz="2" w:space="0"/>
              <w:left w:val="single" w:color="000000" w:sz="2" w:space="0"/>
              <w:bottom w:val="single" w:color="000000" w:sz="2" w:space="0"/>
              <w:right w:val="single" w:color="000000" w:sz="2" w:space="0"/>
            </w:tcBorders>
            <w:vAlign w:val="center"/>
          </w:tcPr>
          <w:p w14:paraId="4A3851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矿山配有局扇，主要对独头作业面、采场、采掘作业点及其它通风困难地段进行通风，改善作业环境。</w:t>
            </w:r>
          </w:p>
        </w:tc>
        <w:tc>
          <w:tcPr>
            <w:tcW w:w="369" w:type="pct"/>
            <w:tcBorders>
              <w:top w:val="single" w:color="000000" w:sz="2" w:space="0"/>
              <w:left w:val="single" w:color="000000" w:sz="2" w:space="0"/>
              <w:bottom w:val="single" w:color="000000" w:sz="2" w:space="0"/>
              <w:right w:val="single" w:color="000000" w:sz="2" w:space="0"/>
            </w:tcBorders>
            <w:vAlign w:val="center"/>
          </w:tcPr>
          <w:p w14:paraId="77F7916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70906F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273" w:type="pct"/>
            <w:vMerge w:val="restart"/>
            <w:tcBorders>
              <w:left w:val="single" w:color="000000" w:sz="2" w:space="0"/>
              <w:right w:val="single" w:color="000000" w:sz="2" w:space="0"/>
            </w:tcBorders>
            <w:vAlign w:val="center"/>
          </w:tcPr>
          <w:p w14:paraId="4AD03B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2</w:t>
            </w:r>
          </w:p>
        </w:tc>
        <w:tc>
          <w:tcPr>
            <w:tcW w:w="524" w:type="pct"/>
            <w:vMerge w:val="restart"/>
            <w:tcBorders>
              <w:left w:val="single" w:color="000000" w:sz="2" w:space="0"/>
              <w:right w:val="single" w:color="000000" w:sz="2" w:space="0"/>
            </w:tcBorders>
            <w:vAlign w:val="center"/>
          </w:tcPr>
          <w:p w14:paraId="11B713F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r>
              <w:rPr>
                <w:rFonts w:hint="eastAsia" w:ascii="Times New Roman" w:hAnsi="Times New Roman" w:eastAsia="宋体" w:cs="宋体"/>
                <w:color w:val="auto"/>
                <w:sz w:val="21"/>
                <w:szCs w:val="21"/>
                <w:lang w:val="en-US" w:eastAsia="zh-CN"/>
              </w:rPr>
              <w:t>通风效果与质量</w:t>
            </w:r>
          </w:p>
        </w:tc>
        <w:tc>
          <w:tcPr>
            <w:tcW w:w="1576" w:type="pct"/>
            <w:tcBorders>
              <w:top w:val="single" w:color="000000" w:sz="2" w:space="0"/>
              <w:left w:val="single" w:color="000000" w:sz="2" w:space="0"/>
              <w:bottom w:val="single" w:color="000000" w:sz="2" w:space="0"/>
              <w:right w:val="single" w:color="000000" w:sz="2" w:space="0"/>
            </w:tcBorders>
            <w:vAlign w:val="center"/>
          </w:tcPr>
          <w:p w14:paraId="2AFDE2D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井下空气成分应符合下列要求:</w:t>
            </w:r>
          </w:p>
          <w:p w14:paraId="7DA81FE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--采掘工作面进风风流中的O</w:t>
            </w:r>
            <w:r>
              <w:rPr>
                <w:rFonts w:hint="eastAsia" w:cs="Times New Roman"/>
                <w:snapToGrid w:val="0"/>
                <w:color w:val="auto"/>
                <w:spacing w:val="6"/>
                <w:kern w:val="0"/>
                <w:sz w:val="21"/>
                <w:szCs w:val="21"/>
                <w:vertAlign w:val="subscript"/>
                <w:lang w:val="en-US" w:eastAsia="zh-CN" w:bidi="ar-SA"/>
              </w:rPr>
              <w:t>2</w:t>
            </w:r>
            <w:r>
              <w:rPr>
                <w:rFonts w:hint="default" w:ascii="Times New Roman" w:hAnsi="Times New Roman" w:eastAsia="宋体" w:cs="Times New Roman"/>
                <w:snapToGrid w:val="0"/>
                <w:color w:val="auto"/>
                <w:spacing w:val="6"/>
                <w:kern w:val="0"/>
                <w:sz w:val="21"/>
                <w:szCs w:val="21"/>
                <w:lang w:val="en-US" w:eastAsia="zh-CN" w:bidi="ar-SA"/>
              </w:rPr>
              <w:t>体积浓度不低于20%，CO</w:t>
            </w:r>
            <w:r>
              <w:rPr>
                <w:rFonts w:hint="eastAsia" w:cs="Times New Roman"/>
                <w:snapToGrid w:val="0"/>
                <w:color w:val="auto"/>
                <w:spacing w:val="6"/>
                <w:kern w:val="0"/>
                <w:sz w:val="21"/>
                <w:szCs w:val="21"/>
                <w:vertAlign w:val="subscript"/>
                <w:lang w:val="en-US" w:eastAsia="zh-CN" w:bidi="ar-SA"/>
              </w:rPr>
              <w:t>2</w:t>
            </w:r>
            <w:r>
              <w:rPr>
                <w:rFonts w:hint="default" w:ascii="Times New Roman" w:hAnsi="Times New Roman" w:eastAsia="宋体" w:cs="Times New Roman"/>
                <w:snapToGrid w:val="0"/>
                <w:color w:val="auto"/>
                <w:spacing w:val="6"/>
                <w:kern w:val="0"/>
                <w:sz w:val="21"/>
                <w:szCs w:val="21"/>
                <w:lang w:val="en-US" w:eastAsia="zh-CN" w:bidi="ar-SA"/>
              </w:rPr>
              <w:t>不高于0.5%;</w:t>
            </w:r>
          </w:p>
          <w:p w14:paraId="519B761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--入风井巷和采掘工作面的风源含尘量不大于0.5mg/m</w:t>
            </w:r>
            <w:r>
              <w:rPr>
                <w:rFonts w:hint="eastAsia" w:cs="Times New Roman"/>
                <w:snapToGrid w:val="0"/>
                <w:color w:val="auto"/>
                <w:spacing w:val="6"/>
                <w:kern w:val="0"/>
                <w:sz w:val="21"/>
                <w:szCs w:val="21"/>
                <w:vertAlign w:val="superscript"/>
                <w:lang w:val="en-US" w:eastAsia="zh-CN" w:bidi="ar-SA"/>
              </w:rPr>
              <w:t>3</w:t>
            </w:r>
            <w:r>
              <w:rPr>
                <w:rFonts w:hint="default" w:ascii="Times New Roman" w:hAnsi="Times New Roman" w:eastAsia="宋体" w:cs="Times New Roman"/>
                <w:snapToGrid w:val="0"/>
                <w:color w:val="auto"/>
                <w:spacing w:val="6"/>
                <w:kern w:val="0"/>
                <w:sz w:val="21"/>
                <w:szCs w:val="21"/>
                <w:lang w:val="en-US" w:eastAsia="zh-CN" w:bidi="ar-SA"/>
              </w:rPr>
              <w:t xml:space="preserve"> ;</w:t>
            </w:r>
          </w:p>
          <w:p w14:paraId="61295F6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作业场所空气中有害气体浓度不超过表4规定;</w:t>
            </w:r>
          </w:p>
          <w:p w14:paraId="1D1BBC1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作业场所空气中粉尘(总粉尘、呼吸性粉尘)浓度不超过表5的规定。</w:t>
            </w:r>
          </w:p>
        </w:tc>
        <w:tc>
          <w:tcPr>
            <w:tcW w:w="986" w:type="pct"/>
            <w:tcBorders>
              <w:top w:val="single" w:color="000000" w:sz="2" w:space="0"/>
              <w:left w:val="single" w:color="000000" w:sz="2" w:space="0"/>
              <w:bottom w:val="single" w:color="000000" w:sz="2" w:space="0"/>
              <w:right w:val="single" w:color="000000" w:sz="2" w:space="0"/>
            </w:tcBorders>
            <w:vAlign w:val="center"/>
          </w:tcPr>
          <w:p w14:paraId="6F124CA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63254A8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cs="宋体"/>
                <w:color w:val="auto"/>
                <w:sz w:val="21"/>
                <w:szCs w:val="21"/>
                <w:lang w:val="en-US" w:eastAsia="zh-CN"/>
              </w:rPr>
            </w:pPr>
            <w:r>
              <w:rPr>
                <w:rFonts w:hint="eastAsia" w:ascii="Times New Roman" w:hAnsi="Times New Roman" w:eastAsia="宋体" w:cs="宋体"/>
                <w:color w:val="auto"/>
                <w:sz w:val="21"/>
                <w:szCs w:val="21"/>
              </w:rPr>
              <w:t>第6.</w:t>
            </w:r>
            <w:r>
              <w:rPr>
                <w:rFonts w:hint="eastAsia" w:cs="宋体"/>
                <w:color w:val="auto"/>
                <w:sz w:val="21"/>
                <w:szCs w:val="21"/>
                <w:lang w:val="en-US" w:eastAsia="zh-CN"/>
              </w:rPr>
              <w:t>6</w:t>
            </w:r>
            <w:r>
              <w:rPr>
                <w:rFonts w:hint="eastAsia" w:ascii="Times New Roman" w:hAnsi="Times New Roman" w:eastAsia="宋体" w:cs="宋体"/>
                <w:color w:val="auto"/>
                <w:sz w:val="21"/>
                <w:szCs w:val="21"/>
              </w:rPr>
              <w:t>.</w:t>
            </w:r>
            <w:r>
              <w:rPr>
                <w:rFonts w:hint="eastAsia" w:cs="宋体"/>
                <w:color w:val="auto"/>
                <w:sz w:val="21"/>
                <w:szCs w:val="21"/>
                <w:lang w:val="en-US" w:eastAsia="zh-CN"/>
              </w:rPr>
              <w:t>1</w:t>
            </w:r>
            <w:r>
              <w:rPr>
                <w:rFonts w:hint="eastAsia" w:ascii="Times New Roman" w:hAnsi="Times New Roman" w:eastAsia="宋体" w:cs="宋体"/>
                <w:color w:val="auto"/>
                <w:sz w:val="21"/>
                <w:szCs w:val="21"/>
              </w:rPr>
              <w:t>.</w:t>
            </w:r>
            <w:r>
              <w:rPr>
                <w:rFonts w:hint="eastAsia" w:cs="宋体"/>
                <w:color w:val="auto"/>
                <w:sz w:val="21"/>
                <w:szCs w:val="21"/>
                <w:lang w:val="en-US" w:eastAsia="zh-CN"/>
              </w:rPr>
              <w:t>1</w:t>
            </w:r>
            <w:r>
              <w:rPr>
                <w:rFonts w:hint="eastAsia" w:ascii="Times New Roman" w:hAnsi="Times New Roman" w:eastAsia="宋体" w:cs="宋体"/>
                <w:color w:val="auto"/>
                <w:sz w:val="21"/>
                <w:szCs w:val="21"/>
              </w:rPr>
              <w:t>条</w:t>
            </w:r>
          </w:p>
          <w:p w14:paraId="4EB139A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cs="宋体"/>
                <w:color w:val="auto"/>
                <w:sz w:val="21"/>
                <w:szCs w:val="21"/>
                <w:lang w:val="en-US" w:eastAsia="zh-CN"/>
              </w:rPr>
            </w:pPr>
            <w:r>
              <w:rPr>
                <w:rFonts w:hint="default" w:cs="宋体"/>
                <w:color w:val="auto"/>
                <w:sz w:val="21"/>
                <w:szCs w:val="21"/>
                <w:lang w:val="en-US" w:eastAsia="zh-CN"/>
              </w:rPr>
              <w:t>《金属非金属地下矿山通风技术规范 通风系统》（AQ2013.1-2008）</w:t>
            </w:r>
            <w:r>
              <w:rPr>
                <w:rFonts w:hint="eastAsia" w:cs="宋体"/>
                <w:color w:val="auto"/>
                <w:sz w:val="21"/>
                <w:szCs w:val="21"/>
                <w:lang w:val="en-US" w:eastAsia="zh-CN"/>
              </w:rPr>
              <w:t>第4.1条、4.2条、4.3条</w:t>
            </w:r>
          </w:p>
        </w:tc>
        <w:tc>
          <w:tcPr>
            <w:tcW w:w="1270" w:type="pct"/>
            <w:tcBorders>
              <w:top w:val="single" w:color="000000" w:sz="2" w:space="0"/>
              <w:left w:val="single" w:color="000000" w:sz="2" w:space="0"/>
              <w:bottom w:val="single" w:color="000000" w:sz="2" w:space="0"/>
              <w:right w:val="single" w:color="000000" w:sz="2" w:space="0"/>
            </w:tcBorders>
            <w:vAlign w:val="center"/>
          </w:tcPr>
          <w:p w14:paraId="06669E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目前</w:t>
            </w:r>
            <w:r>
              <w:rPr>
                <w:rFonts w:hint="default" w:ascii="Times New Roman" w:hAnsi="Times New Roman" w:eastAsia="宋体" w:cs="Times New Roman"/>
                <w:snapToGrid w:val="0"/>
                <w:color w:val="auto"/>
                <w:spacing w:val="26"/>
                <w:kern w:val="0"/>
                <w:sz w:val="21"/>
                <w:szCs w:val="21"/>
                <w:lang w:val="en-US" w:eastAsia="zh-CN" w:bidi="ar-SA"/>
              </w:rPr>
              <w:t>经江西华安检测技术有限公司对通风系统及主通风机进行了检测检验，检测结论合格</w:t>
            </w:r>
            <w:r>
              <w:rPr>
                <w:rFonts w:hint="eastAsia" w:cs="Times New Roman"/>
                <w:snapToGrid w:val="0"/>
                <w:color w:val="auto"/>
                <w:spacing w:val="26"/>
                <w:kern w:val="0"/>
                <w:sz w:val="21"/>
                <w:szCs w:val="21"/>
                <w:lang w:val="en-US" w:eastAsia="zh-CN" w:bidi="ar-SA"/>
              </w:rPr>
              <w:t>，对作业环境空气质量进行了监测，空气成分符合要求，有害气体浓度未超过规定。</w:t>
            </w:r>
          </w:p>
        </w:tc>
        <w:tc>
          <w:tcPr>
            <w:tcW w:w="369" w:type="pct"/>
            <w:tcBorders>
              <w:top w:val="single" w:color="000000" w:sz="2" w:space="0"/>
              <w:left w:val="single" w:color="000000" w:sz="2" w:space="0"/>
              <w:bottom w:val="single" w:color="000000" w:sz="2" w:space="0"/>
              <w:right w:val="single" w:color="000000" w:sz="2" w:space="0"/>
            </w:tcBorders>
            <w:vAlign w:val="center"/>
          </w:tcPr>
          <w:p w14:paraId="75C8531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6BA9A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273" w:type="pct"/>
            <w:vMerge w:val="continue"/>
            <w:tcBorders>
              <w:left w:val="single" w:color="000000" w:sz="2" w:space="0"/>
              <w:right w:val="single" w:color="000000" w:sz="2" w:space="0"/>
            </w:tcBorders>
            <w:vAlign w:val="center"/>
          </w:tcPr>
          <w:p w14:paraId="627BBE9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24" w:type="pct"/>
            <w:vMerge w:val="continue"/>
            <w:tcBorders>
              <w:left w:val="single" w:color="000000" w:sz="2" w:space="0"/>
              <w:right w:val="single" w:color="000000" w:sz="2" w:space="0"/>
            </w:tcBorders>
            <w:vAlign w:val="center"/>
          </w:tcPr>
          <w:p w14:paraId="587E861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p>
        </w:tc>
        <w:tc>
          <w:tcPr>
            <w:tcW w:w="1576" w:type="pct"/>
            <w:tcBorders>
              <w:top w:val="single" w:color="000000" w:sz="2" w:space="0"/>
              <w:left w:val="single" w:color="000000" w:sz="2" w:space="0"/>
              <w:bottom w:val="single" w:color="000000" w:sz="2" w:space="0"/>
              <w:right w:val="single" w:color="000000" w:sz="2" w:space="0"/>
            </w:tcBorders>
            <w:vAlign w:val="center"/>
          </w:tcPr>
          <w:p w14:paraId="5B94E91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有人员作业场所的井下气象条件应符合下列要求:</w:t>
            </w:r>
          </w:p>
          <w:p w14:paraId="0D8978A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--人员连续作业场所的湿球温度不高于27℃，通风降温不能满足要求时，应采取制冷降温或其他防护措施;</w:t>
            </w:r>
          </w:p>
          <w:p w14:paraId="62C9C96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湿球温度超过30℃时，应停止作业;</w:t>
            </w:r>
          </w:p>
          <w:p w14:paraId="111298E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湿球温度为27℃~30℃时，人员连续作业时间不应超过2h，且风速不小于1.0m</w:t>
            </w: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s;</w:t>
            </w:r>
          </w:p>
          <w:p w14:paraId="5050B01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湿球温度为25℃℃~27C时，风速不小于0.5m/s;</w:t>
            </w:r>
          </w:p>
          <w:p w14:paraId="11C834B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w:t>
            </w:r>
            <w:r>
              <w:rPr>
                <w:rFonts w:hint="default" w:ascii="Times New Roman" w:hAnsi="Times New Roman" w:eastAsia="宋体" w:cs="Times New Roman"/>
                <w:snapToGrid w:val="0"/>
                <w:color w:val="auto"/>
                <w:spacing w:val="6"/>
                <w:kern w:val="0"/>
                <w:sz w:val="21"/>
                <w:szCs w:val="21"/>
                <w:lang w:val="en-US" w:eastAsia="zh-CN" w:bidi="ar-SA"/>
              </w:rPr>
              <w:t>湿球温度20C~25°℃时，风速不小于0.25m/s;</w:t>
            </w:r>
          </w:p>
          <w:p w14:paraId="79EC349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--湿球温度低于20C时，风速不小于0.15m/s.</w:t>
            </w:r>
          </w:p>
        </w:tc>
        <w:tc>
          <w:tcPr>
            <w:tcW w:w="986" w:type="pct"/>
            <w:tcBorders>
              <w:top w:val="single" w:color="000000" w:sz="2" w:space="0"/>
              <w:left w:val="single" w:color="000000" w:sz="2" w:space="0"/>
              <w:bottom w:val="single" w:color="000000" w:sz="2" w:space="0"/>
              <w:right w:val="single" w:color="000000" w:sz="2" w:space="0"/>
            </w:tcBorders>
            <w:vAlign w:val="center"/>
          </w:tcPr>
          <w:p w14:paraId="0E76902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05743C35">
            <w:pPr>
              <w:ind w:left="0" w:leftChars="0" w:firstLine="0" w:firstLineChars="0"/>
              <w:jc w:val="center"/>
              <w:rPr>
                <w:color w:val="auto"/>
              </w:rPr>
            </w:pPr>
            <w:r>
              <w:rPr>
                <w:rFonts w:hint="eastAsia" w:cs="宋体"/>
                <w:color w:val="auto"/>
                <w:sz w:val="21"/>
                <w:szCs w:val="21"/>
                <w:lang w:val="en-US" w:eastAsia="zh-CN"/>
              </w:rPr>
              <w:t>第6.6.1.4条</w:t>
            </w:r>
          </w:p>
          <w:p w14:paraId="0C040A3E">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cs="宋体"/>
                <w:color w:val="auto"/>
                <w:sz w:val="21"/>
                <w:szCs w:val="21"/>
                <w:lang w:val="en-US" w:eastAsia="zh-CN"/>
              </w:rPr>
            </w:pPr>
          </w:p>
        </w:tc>
        <w:tc>
          <w:tcPr>
            <w:tcW w:w="1270" w:type="pct"/>
            <w:tcBorders>
              <w:top w:val="single" w:color="000000" w:sz="2" w:space="0"/>
              <w:left w:val="single" w:color="000000" w:sz="2" w:space="0"/>
              <w:bottom w:val="single" w:color="000000" w:sz="2" w:space="0"/>
              <w:right w:val="single" w:color="000000" w:sz="2" w:space="0"/>
            </w:tcBorders>
            <w:vAlign w:val="center"/>
          </w:tcPr>
          <w:p w14:paraId="5BA9A56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井下</w:t>
            </w:r>
            <w:r>
              <w:rPr>
                <w:rFonts w:hint="default" w:ascii="Times New Roman" w:hAnsi="Times New Roman" w:eastAsia="宋体" w:cs="Times New Roman"/>
                <w:snapToGrid w:val="0"/>
                <w:color w:val="auto"/>
                <w:spacing w:val="6"/>
                <w:kern w:val="0"/>
                <w:sz w:val="21"/>
                <w:szCs w:val="21"/>
                <w:lang w:val="en-US" w:eastAsia="zh-CN" w:bidi="ar-SA"/>
              </w:rPr>
              <w:t>气象条件</w:t>
            </w:r>
            <w:r>
              <w:rPr>
                <w:rFonts w:hint="eastAsia" w:cs="Times New Roman"/>
                <w:snapToGrid w:val="0"/>
                <w:color w:val="auto"/>
                <w:spacing w:val="6"/>
                <w:kern w:val="0"/>
                <w:sz w:val="21"/>
                <w:szCs w:val="21"/>
                <w:lang w:val="en-US" w:eastAsia="zh-CN" w:bidi="ar-SA"/>
              </w:rPr>
              <w:t>符合要求</w:t>
            </w:r>
          </w:p>
        </w:tc>
        <w:tc>
          <w:tcPr>
            <w:tcW w:w="369" w:type="pct"/>
            <w:tcBorders>
              <w:top w:val="single" w:color="000000" w:sz="2" w:space="0"/>
              <w:left w:val="single" w:color="000000" w:sz="2" w:space="0"/>
              <w:bottom w:val="single" w:color="000000" w:sz="2" w:space="0"/>
              <w:right w:val="single" w:color="000000" w:sz="2" w:space="0"/>
            </w:tcBorders>
            <w:vAlign w:val="center"/>
          </w:tcPr>
          <w:p w14:paraId="0C90679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41CA41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273" w:type="pct"/>
            <w:vMerge w:val="continue"/>
            <w:tcBorders>
              <w:left w:val="single" w:color="000000" w:sz="2" w:space="0"/>
              <w:bottom w:val="single" w:color="000000" w:sz="2" w:space="0"/>
              <w:right w:val="single" w:color="000000" w:sz="2" w:space="0"/>
            </w:tcBorders>
            <w:vAlign w:val="center"/>
          </w:tcPr>
          <w:p w14:paraId="53A862E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24" w:type="pct"/>
            <w:vMerge w:val="continue"/>
            <w:tcBorders>
              <w:left w:val="single" w:color="000000" w:sz="2" w:space="0"/>
              <w:bottom w:val="single" w:color="000000" w:sz="2" w:space="0"/>
              <w:right w:val="single" w:color="000000" w:sz="2" w:space="0"/>
            </w:tcBorders>
            <w:vAlign w:val="center"/>
          </w:tcPr>
          <w:p w14:paraId="64933B1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lang w:val="en-US" w:eastAsia="zh-CN"/>
              </w:rPr>
            </w:pPr>
          </w:p>
        </w:tc>
        <w:tc>
          <w:tcPr>
            <w:tcW w:w="1576" w:type="pct"/>
            <w:tcBorders>
              <w:top w:val="single" w:color="000000" w:sz="2" w:space="0"/>
              <w:left w:val="single" w:color="000000" w:sz="2" w:space="0"/>
              <w:bottom w:val="single" w:color="000000" w:sz="2" w:space="0"/>
              <w:right w:val="single" w:color="000000" w:sz="2" w:space="0"/>
            </w:tcBorders>
            <w:vAlign w:val="center"/>
          </w:tcPr>
          <w:p w14:paraId="07B6113A">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井巷内平均风速应不超过表6的规定。</w:t>
            </w:r>
          </w:p>
        </w:tc>
        <w:tc>
          <w:tcPr>
            <w:tcW w:w="986" w:type="pct"/>
            <w:tcBorders>
              <w:top w:val="single" w:color="000000" w:sz="2" w:space="0"/>
              <w:left w:val="single" w:color="000000" w:sz="2" w:space="0"/>
              <w:bottom w:val="single" w:color="000000" w:sz="2" w:space="0"/>
              <w:right w:val="single" w:color="000000" w:sz="2" w:space="0"/>
            </w:tcBorders>
            <w:vAlign w:val="center"/>
          </w:tcPr>
          <w:p w14:paraId="496D8AC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Times New Roman" w:hAnsi="Times New Roman" w:eastAsia="宋体" w:cs="宋体"/>
                <w:color w:val="auto"/>
                <w:sz w:val="21"/>
                <w:szCs w:val="21"/>
              </w:rPr>
            </w:pPr>
            <w:r>
              <w:rPr>
                <w:rFonts w:hint="default" w:ascii="Times New Roman" w:hAnsi="Times New Roman" w:eastAsia="宋体" w:cs="宋体"/>
                <w:color w:val="auto"/>
                <w:sz w:val="21"/>
                <w:szCs w:val="21"/>
                <w:lang w:val="en-US" w:eastAsia="zh-CN"/>
              </w:rPr>
              <w:t>《金属非金属矿山安全规程》</w:t>
            </w:r>
            <w:r>
              <w:rPr>
                <w:rFonts w:hint="eastAsia" w:cs="宋体"/>
                <w:color w:val="auto"/>
                <w:sz w:val="21"/>
                <w:szCs w:val="21"/>
                <w:lang w:val="en-US" w:eastAsia="zh-CN"/>
              </w:rPr>
              <w:t>（</w:t>
            </w:r>
            <w:r>
              <w:rPr>
                <w:rFonts w:hint="eastAsia" w:ascii="Times New Roman" w:hAnsi="Times New Roman" w:eastAsia="宋体" w:cs="宋体"/>
                <w:color w:val="auto"/>
                <w:sz w:val="21"/>
                <w:szCs w:val="21"/>
              </w:rPr>
              <w:t>GB16423-2020</w:t>
            </w:r>
            <w:r>
              <w:rPr>
                <w:rFonts w:hint="eastAsia" w:cs="宋体"/>
                <w:color w:val="auto"/>
                <w:sz w:val="21"/>
                <w:szCs w:val="21"/>
                <w:lang w:eastAsia="zh-CN"/>
              </w:rPr>
              <w:t>）</w:t>
            </w:r>
          </w:p>
          <w:p w14:paraId="3724557E">
            <w:pPr>
              <w:ind w:left="0" w:leftChars="0" w:firstLine="0" w:firstLineChars="0"/>
              <w:jc w:val="center"/>
              <w:rPr>
                <w:rFonts w:hint="default" w:cs="宋体"/>
                <w:color w:val="auto"/>
                <w:sz w:val="21"/>
                <w:szCs w:val="21"/>
                <w:lang w:val="en-US" w:eastAsia="zh-CN"/>
              </w:rPr>
            </w:pPr>
            <w:r>
              <w:rPr>
                <w:rFonts w:hint="eastAsia" w:cs="宋体"/>
                <w:color w:val="auto"/>
                <w:sz w:val="21"/>
                <w:szCs w:val="21"/>
                <w:lang w:val="en-US" w:eastAsia="zh-CN"/>
              </w:rPr>
              <w:t>第6.6.1.6条</w:t>
            </w:r>
          </w:p>
        </w:tc>
        <w:tc>
          <w:tcPr>
            <w:tcW w:w="1270" w:type="pct"/>
            <w:tcBorders>
              <w:top w:val="single" w:color="000000" w:sz="2" w:space="0"/>
              <w:left w:val="single" w:color="000000" w:sz="2" w:space="0"/>
              <w:bottom w:val="single" w:color="000000" w:sz="2" w:space="0"/>
              <w:right w:val="single" w:color="000000" w:sz="2" w:space="0"/>
            </w:tcBorders>
            <w:vAlign w:val="center"/>
          </w:tcPr>
          <w:p w14:paraId="1557B0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6"/>
                <w:kern w:val="0"/>
                <w:sz w:val="21"/>
                <w:szCs w:val="21"/>
                <w:lang w:val="en-US" w:eastAsia="zh-CN" w:bidi="ar-SA"/>
              </w:rPr>
              <w:t>风速</w:t>
            </w:r>
            <w:r>
              <w:rPr>
                <w:rFonts w:hint="eastAsia" w:cs="Times New Roman"/>
                <w:snapToGrid w:val="0"/>
                <w:color w:val="auto"/>
                <w:spacing w:val="6"/>
                <w:kern w:val="0"/>
                <w:sz w:val="21"/>
                <w:szCs w:val="21"/>
                <w:lang w:val="en-US" w:eastAsia="zh-CN" w:bidi="ar-SA"/>
              </w:rPr>
              <w:t>满足要求</w:t>
            </w:r>
          </w:p>
        </w:tc>
        <w:tc>
          <w:tcPr>
            <w:tcW w:w="369" w:type="pct"/>
            <w:tcBorders>
              <w:top w:val="single" w:color="000000" w:sz="2" w:space="0"/>
              <w:left w:val="single" w:color="000000" w:sz="2" w:space="0"/>
              <w:bottom w:val="single" w:color="000000" w:sz="2" w:space="0"/>
              <w:right w:val="single" w:color="000000" w:sz="2" w:space="0"/>
            </w:tcBorders>
            <w:vAlign w:val="center"/>
          </w:tcPr>
          <w:p w14:paraId="58B1384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bl>
    <w:p w14:paraId="2853799E">
      <w:pPr>
        <w:pStyle w:val="4"/>
        <w:bidi w:val="0"/>
        <w:rPr>
          <w:rFonts w:hint="default"/>
          <w:color w:val="auto"/>
          <w:lang w:val="en-US" w:eastAsia="zh-CN"/>
        </w:rPr>
      </w:pPr>
      <w:bookmarkStart w:id="314" w:name="_Toc10565"/>
      <w:bookmarkStart w:id="315" w:name="_Toc29235"/>
      <w:bookmarkStart w:id="316" w:name="_Toc16181"/>
      <w:bookmarkStart w:id="317" w:name="_Toc19455"/>
      <w:r>
        <w:rPr>
          <w:rFonts w:hint="eastAsia"/>
          <w:color w:val="auto"/>
          <w:lang w:val="en-US" w:eastAsia="zh-CN"/>
        </w:rPr>
        <w:t>3.6.3 通风系统能力验算</w:t>
      </w:r>
      <w:bookmarkEnd w:id="314"/>
      <w:bookmarkEnd w:id="315"/>
      <w:bookmarkEnd w:id="316"/>
      <w:bookmarkEnd w:id="317"/>
    </w:p>
    <w:p w14:paraId="23DF0F4E">
      <w:pPr>
        <w:bidi w:val="0"/>
        <w:rPr>
          <w:rFonts w:hint="default"/>
          <w:b/>
          <w:bCs/>
          <w:color w:val="auto"/>
          <w:lang w:val="en-US" w:eastAsia="zh-CN"/>
        </w:rPr>
      </w:pPr>
      <w:bookmarkStart w:id="318" w:name="_Toc13248"/>
      <w:r>
        <w:rPr>
          <w:rFonts w:hint="eastAsia"/>
          <w:b/>
          <w:bCs/>
          <w:color w:val="auto"/>
          <w:lang w:val="en-US" w:eastAsia="zh-CN"/>
        </w:rPr>
        <w:t>一</w:t>
      </w:r>
      <w:r>
        <w:rPr>
          <w:rFonts w:hint="eastAsia" w:ascii="Times New Roman" w:eastAsia="宋体"/>
          <w:b/>
          <w:bCs/>
          <w:color w:val="auto"/>
          <w:lang w:val="en-US" w:eastAsia="zh-CN"/>
        </w:rPr>
        <w:t>、</w:t>
      </w:r>
      <w:r>
        <w:rPr>
          <w:rFonts w:hint="default"/>
          <w:b/>
          <w:bCs/>
          <w:color w:val="auto"/>
          <w:lang w:val="en-US" w:eastAsia="zh-CN"/>
        </w:rPr>
        <w:t>风量计算</w:t>
      </w:r>
    </w:p>
    <w:p w14:paraId="694FC3F8">
      <w:pPr>
        <w:bidi w:val="0"/>
        <w:rPr>
          <w:rFonts w:hint="default"/>
          <w:b w:val="0"/>
          <w:bCs w:val="0"/>
          <w:color w:val="auto"/>
          <w:lang w:val="en-US" w:eastAsia="zh-CN"/>
        </w:rPr>
      </w:pPr>
      <w:r>
        <w:rPr>
          <w:rFonts w:hint="default"/>
          <w:b w:val="0"/>
          <w:bCs w:val="0"/>
          <w:color w:val="auto"/>
          <w:lang w:val="en-US" w:eastAsia="zh-CN"/>
        </w:rPr>
        <w:t>矿井总风量具体应为井下各个工作面所需风量与各个硐室所需风量之和。同时考虑矿井的漏风、生产不均衡及风量调节不及时和地热等因素，给予一定的备用风量。分项计算全矿风量的公式如下：</w:t>
      </w:r>
    </w:p>
    <w:p w14:paraId="349574F1">
      <w:pPr>
        <w:bidi w:val="0"/>
        <w:ind w:left="0" w:leftChars="0" w:firstLine="0" w:firstLineChars="0"/>
        <w:jc w:val="center"/>
        <w:rPr>
          <w:rFonts w:hint="eastAsia" w:hAnsi="Cambria Math" w:cs="Times New Roman"/>
          <w:b w:val="0"/>
          <w:bCs w:val="0"/>
          <w:i w:val="0"/>
          <w:color w:val="auto"/>
          <w:kern w:val="2"/>
          <w:sz w:val="24"/>
          <w:szCs w:val="24"/>
          <w:lang w:val="en-US" w:eastAsia="zh-CN" w:bidi="ar-SA"/>
        </w:rPr>
      </w:pPr>
      <m:oMathPara>
        <m:oMath>
          <m:r>
            <m:rPr>
              <m:sty m:val="p"/>
            </m:rPr>
            <w:rPr>
              <w:rFonts w:hint="default" w:ascii="Cambria Math" w:hAnsi="Cambria Math" w:cs="Times New Roman"/>
              <w:color w:val="auto"/>
              <w:kern w:val="2"/>
              <w:sz w:val="24"/>
              <w:szCs w:val="24"/>
              <w:lang w:val="en-US" w:eastAsia="zh-CN" w:bidi="ar-SA"/>
            </w:rPr>
            <m:t>Q=K(</m:t>
          </m:r>
          <m:nary>
            <m:naryPr>
              <m:chr m:val="∑"/>
              <m:limLoc m:val="undOvr"/>
              <m:subHide m:val="1"/>
              <m:supHide m:val="1"/>
              <m:ctrlPr>
                <w:rPr>
                  <w:rFonts w:hint="default" w:ascii="Cambria Math" w:hAnsi="Cambria Math" w:cs="Times New Roman"/>
                  <w:b w:val="0"/>
                  <w:bCs w:val="0"/>
                  <w:color w:val="auto"/>
                  <w:kern w:val="2"/>
                  <w:sz w:val="24"/>
                  <w:szCs w:val="24"/>
                  <w:lang w:val="en-US" w:eastAsia="zh-CN" w:bidi="ar-SA"/>
                </w:rPr>
              </m:ctrlPr>
            </m:naryPr>
            <m:sub>
              <m:ctrlPr>
                <w:rPr>
                  <w:rFonts w:hint="default" w:ascii="Cambria Math" w:hAnsi="Cambria Math" w:cs="Times New Roman"/>
                  <w:b w:val="0"/>
                  <w:bCs w:val="0"/>
                  <w:color w:val="auto"/>
                  <w:kern w:val="2"/>
                  <w:sz w:val="24"/>
                  <w:szCs w:val="24"/>
                  <w:lang w:val="en-US" w:eastAsia="zh-CN" w:bidi="ar-SA"/>
                </w:rPr>
              </m:ctrlPr>
            </m:sub>
            <m:sup>
              <m:ctrlPr>
                <w:rPr>
                  <w:rFonts w:hint="default" w:ascii="Cambria Math" w:hAnsi="Cambria Math" w:cs="Times New Roman"/>
                  <w:b w:val="0"/>
                  <w:bCs w:val="0"/>
                  <w:color w:val="auto"/>
                  <w:kern w:val="2"/>
                  <w:sz w:val="24"/>
                  <w:szCs w:val="24"/>
                  <w:lang w:val="en-US" w:eastAsia="zh-CN" w:bidi="ar-SA"/>
                </w:rPr>
              </m:ctrlPr>
            </m:sup>
            <m:e>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default" w:ascii="Cambria Math" w:hAnsi="Cambria Math" w:cs="Times New Roman"/>
                      <w:color w:val="auto"/>
                      <w:kern w:val="2"/>
                      <w:sz w:val="24"/>
                      <w:szCs w:val="24"/>
                      <w:lang w:val="en-US" w:eastAsia="zh-CN" w:bidi="ar-SA"/>
                    </w:rPr>
                    <m:t>n</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采</m:t>
                  </m:r>
                  <m:ctrlPr>
                    <w:rPr>
                      <w:rFonts w:hint="default" w:ascii="Cambria Math" w:hAnsi="Cambria Math" w:cs="Times New Roman"/>
                      <w:b w:val="0"/>
                      <w:bCs w:val="0"/>
                      <w:i w:val="0"/>
                      <w:color w:val="auto"/>
                      <w:kern w:val="2"/>
                      <w:sz w:val="24"/>
                      <w:szCs w:val="24"/>
                      <w:lang w:val="en-US" w:eastAsia="zh-CN" w:bidi="ar-SA"/>
                    </w:rPr>
                  </m:ctrlPr>
                </m:sub>
              </m:sSub>
              <m:ctrlPr>
                <w:rPr>
                  <w:rFonts w:hint="default" w:ascii="Cambria Math" w:hAnsi="Cambria Math" w:cs="Times New Roman"/>
                  <w:b w:val="0"/>
                  <w:bCs w:val="0"/>
                  <w:color w:val="auto"/>
                  <w:kern w:val="2"/>
                  <w:sz w:val="24"/>
                  <w:szCs w:val="24"/>
                  <w:lang w:val="en-US" w:eastAsia="zh-CN" w:bidi="ar-SA"/>
                </w:rPr>
              </m:ctrlPr>
            </m:e>
          </m:nary>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eastAsia" w:ascii="Cambria Math" w:hAnsi="Cambria Math" w:cs="Times New Roman"/>
                  <w:color w:val="auto"/>
                  <w:kern w:val="2"/>
                  <w:sz w:val="24"/>
                  <w:szCs w:val="24"/>
                  <w:lang w:val="en-US" w:eastAsia="zh-CN" w:bidi="ar-SA"/>
                </w:rPr>
                <m:t>q</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采</m:t>
              </m:r>
              <m:ctrlPr>
                <w:rPr>
                  <w:rFonts w:hint="default" w:ascii="Cambria Math" w:hAnsi="Cambria Math" w:cs="Times New Roman"/>
                  <w:b w:val="0"/>
                  <w:bCs w:val="0"/>
                  <w:i w:val="0"/>
                  <w:color w:val="auto"/>
                  <w:kern w:val="2"/>
                  <w:sz w:val="24"/>
                  <w:szCs w:val="24"/>
                  <w:lang w:val="en-US" w:eastAsia="zh-CN" w:bidi="ar-SA"/>
                </w:rPr>
              </m:ctrlPr>
            </m:sub>
          </m:sSub>
          <m:r>
            <m:rPr>
              <m:sty m:val="p"/>
            </m:rPr>
            <w:rPr>
              <w:rFonts w:hint="default" w:ascii="Cambria Math" w:hAnsi="Cambria Math" w:cs="Times New Roman"/>
              <w:color w:val="auto"/>
              <w:kern w:val="2"/>
              <w:sz w:val="24"/>
              <w:szCs w:val="24"/>
              <w:lang w:val="en-US" w:eastAsia="zh-CN" w:bidi="ar-SA"/>
            </w:rPr>
            <m:t>+</m:t>
          </m:r>
          <m:nary>
            <m:naryPr>
              <m:chr m:val="∑"/>
              <m:limLoc m:val="undOvr"/>
              <m:subHide m:val="1"/>
              <m:supHide m:val="1"/>
              <m:ctrlPr>
                <w:rPr>
                  <w:rFonts w:hint="default" w:ascii="Cambria Math" w:hAnsi="Cambria Math" w:cs="Times New Roman"/>
                  <w:b w:val="0"/>
                  <w:bCs w:val="0"/>
                  <w:color w:val="auto"/>
                  <w:kern w:val="2"/>
                  <w:sz w:val="24"/>
                  <w:szCs w:val="24"/>
                  <w:lang w:val="en-US" w:eastAsia="zh-CN" w:bidi="ar-SA"/>
                </w:rPr>
              </m:ctrlPr>
            </m:naryPr>
            <m:sub>
              <m:ctrlPr>
                <w:rPr>
                  <w:rFonts w:hint="default" w:ascii="Cambria Math" w:hAnsi="Cambria Math" w:cs="Times New Roman"/>
                  <w:b w:val="0"/>
                  <w:bCs w:val="0"/>
                  <w:color w:val="auto"/>
                  <w:kern w:val="2"/>
                  <w:sz w:val="24"/>
                  <w:szCs w:val="24"/>
                  <w:lang w:val="en-US" w:eastAsia="zh-CN" w:bidi="ar-SA"/>
                </w:rPr>
              </m:ctrlPr>
            </m:sub>
            <m:sup>
              <m:ctrlPr>
                <w:rPr>
                  <w:rFonts w:hint="default" w:ascii="Cambria Math" w:hAnsi="Cambria Math" w:cs="Times New Roman"/>
                  <w:b w:val="0"/>
                  <w:bCs w:val="0"/>
                  <w:color w:val="auto"/>
                  <w:kern w:val="2"/>
                  <w:sz w:val="24"/>
                  <w:szCs w:val="24"/>
                  <w:lang w:val="en-US" w:eastAsia="zh-CN" w:bidi="ar-SA"/>
                </w:rPr>
              </m:ctrlPr>
            </m:sup>
            <m:e>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default" w:ascii="Cambria Math" w:hAnsi="Cambria Math" w:cs="Times New Roman"/>
                      <w:color w:val="auto"/>
                      <w:kern w:val="2"/>
                      <w:sz w:val="24"/>
                      <w:szCs w:val="24"/>
                      <w:lang w:val="en-US" w:eastAsia="zh-CN" w:bidi="ar-SA"/>
                    </w:rPr>
                    <m:t>n</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备</m:t>
                  </m:r>
                  <m:ctrlPr>
                    <w:rPr>
                      <w:rFonts w:hint="default" w:ascii="Cambria Math" w:hAnsi="Cambria Math" w:cs="Times New Roman"/>
                      <w:b w:val="0"/>
                      <w:bCs w:val="0"/>
                      <w:i w:val="0"/>
                      <w:color w:val="auto"/>
                      <w:kern w:val="2"/>
                      <w:sz w:val="24"/>
                      <w:szCs w:val="24"/>
                      <w:lang w:val="en-US" w:eastAsia="zh-CN" w:bidi="ar-SA"/>
                    </w:rPr>
                  </m:ctrlPr>
                </m:sub>
              </m:sSub>
              <m:ctrlPr>
                <w:rPr>
                  <w:rFonts w:hint="default" w:ascii="Cambria Math" w:hAnsi="Cambria Math" w:cs="Times New Roman"/>
                  <w:b w:val="0"/>
                  <w:bCs w:val="0"/>
                  <w:color w:val="auto"/>
                  <w:kern w:val="2"/>
                  <w:sz w:val="24"/>
                  <w:szCs w:val="24"/>
                  <w:lang w:val="en-US" w:eastAsia="zh-CN" w:bidi="ar-SA"/>
                </w:rPr>
              </m:ctrlPr>
            </m:e>
          </m:nary>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eastAsia" w:ascii="Cambria Math" w:hAnsi="Cambria Math" w:cs="Times New Roman"/>
                  <w:color w:val="auto"/>
                  <w:kern w:val="2"/>
                  <w:sz w:val="24"/>
                  <w:szCs w:val="24"/>
                  <w:lang w:val="en-US" w:eastAsia="zh-CN" w:bidi="ar-SA"/>
                </w:rPr>
                <m:t>q</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备</m:t>
              </m:r>
              <m:ctrlPr>
                <w:rPr>
                  <w:rFonts w:hint="default" w:ascii="Cambria Math" w:hAnsi="Cambria Math" w:cs="Times New Roman"/>
                  <w:b w:val="0"/>
                  <w:bCs w:val="0"/>
                  <w:i w:val="0"/>
                  <w:color w:val="auto"/>
                  <w:kern w:val="2"/>
                  <w:sz w:val="24"/>
                  <w:szCs w:val="24"/>
                  <w:lang w:val="en-US" w:eastAsia="zh-CN" w:bidi="ar-SA"/>
                </w:rPr>
              </m:ctrlPr>
            </m:sub>
          </m:sSub>
          <m:r>
            <m:rPr>
              <m:sty m:val="p"/>
            </m:rPr>
            <w:rPr>
              <w:rFonts w:hint="default" w:ascii="Cambria Math" w:hAnsi="Cambria Math" w:cs="Times New Roman"/>
              <w:color w:val="auto"/>
              <w:kern w:val="2"/>
              <w:sz w:val="24"/>
              <w:szCs w:val="24"/>
              <w:lang w:val="en-US" w:eastAsia="zh-CN" w:bidi="ar-SA"/>
            </w:rPr>
            <m:t>+</m:t>
          </m:r>
          <m:nary>
            <m:naryPr>
              <m:chr m:val="∑"/>
              <m:limLoc m:val="undOvr"/>
              <m:subHide m:val="1"/>
              <m:supHide m:val="1"/>
              <m:ctrlPr>
                <w:rPr>
                  <w:rFonts w:hint="default" w:ascii="Cambria Math" w:hAnsi="Cambria Math" w:cs="Times New Roman"/>
                  <w:b w:val="0"/>
                  <w:bCs w:val="0"/>
                  <w:color w:val="auto"/>
                  <w:kern w:val="2"/>
                  <w:sz w:val="24"/>
                  <w:szCs w:val="24"/>
                  <w:lang w:val="en-US" w:eastAsia="zh-CN" w:bidi="ar-SA"/>
                </w:rPr>
              </m:ctrlPr>
            </m:naryPr>
            <m:sub>
              <m:ctrlPr>
                <w:rPr>
                  <w:rFonts w:hint="default" w:ascii="Cambria Math" w:hAnsi="Cambria Math" w:cs="Times New Roman"/>
                  <w:b w:val="0"/>
                  <w:bCs w:val="0"/>
                  <w:color w:val="auto"/>
                  <w:kern w:val="2"/>
                  <w:sz w:val="24"/>
                  <w:szCs w:val="24"/>
                  <w:lang w:val="en-US" w:eastAsia="zh-CN" w:bidi="ar-SA"/>
                </w:rPr>
              </m:ctrlPr>
            </m:sub>
            <m:sup>
              <m:ctrlPr>
                <w:rPr>
                  <w:rFonts w:hint="default" w:ascii="Cambria Math" w:hAnsi="Cambria Math" w:cs="Times New Roman"/>
                  <w:b w:val="0"/>
                  <w:bCs w:val="0"/>
                  <w:color w:val="auto"/>
                  <w:kern w:val="2"/>
                  <w:sz w:val="24"/>
                  <w:szCs w:val="24"/>
                  <w:lang w:val="en-US" w:eastAsia="zh-CN" w:bidi="ar-SA"/>
                </w:rPr>
              </m:ctrlPr>
            </m:sup>
            <m:e>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default" w:ascii="Cambria Math" w:hAnsi="Cambria Math" w:cs="Times New Roman"/>
                      <w:color w:val="auto"/>
                      <w:kern w:val="2"/>
                      <w:sz w:val="24"/>
                      <w:szCs w:val="24"/>
                      <w:lang w:val="en-US" w:eastAsia="zh-CN" w:bidi="ar-SA"/>
                    </w:rPr>
                    <m:t>n</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掘</m:t>
                  </m:r>
                  <m:ctrlPr>
                    <w:rPr>
                      <w:rFonts w:hint="default" w:ascii="Cambria Math" w:hAnsi="Cambria Math" w:cs="Times New Roman"/>
                      <w:b w:val="0"/>
                      <w:bCs w:val="0"/>
                      <w:i w:val="0"/>
                      <w:color w:val="auto"/>
                      <w:kern w:val="2"/>
                      <w:sz w:val="24"/>
                      <w:szCs w:val="24"/>
                      <w:lang w:val="en-US" w:eastAsia="zh-CN" w:bidi="ar-SA"/>
                    </w:rPr>
                  </m:ctrlPr>
                </m:sub>
              </m:sSub>
              <m:ctrlPr>
                <w:rPr>
                  <w:rFonts w:hint="default" w:ascii="Cambria Math" w:hAnsi="Cambria Math" w:cs="Times New Roman"/>
                  <w:b w:val="0"/>
                  <w:bCs w:val="0"/>
                  <w:color w:val="auto"/>
                  <w:kern w:val="2"/>
                  <w:sz w:val="24"/>
                  <w:szCs w:val="24"/>
                  <w:lang w:val="en-US" w:eastAsia="zh-CN" w:bidi="ar-SA"/>
                </w:rPr>
              </m:ctrlPr>
            </m:e>
          </m:nary>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eastAsia" w:ascii="Cambria Math" w:hAnsi="Cambria Math" w:cs="Times New Roman"/>
                  <w:color w:val="auto"/>
                  <w:kern w:val="2"/>
                  <w:sz w:val="24"/>
                  <w:szCs w:val="24"/>
                  <w:lang w:val="en-US" w:eastAsia="zh-CN" w:bidi="ar-SA"/>
                </w:rPr>
                <m:t>q</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掘</m:t>
              </m:r>
              <m:ctrlPr>
                <w:rPr>
                  <w:rFonts w:hint="default" w:ascii="Cambria Math" w:hAnsi="Cambria Math" w:cs="Times New Roman"/>
                  <w:b w:val="0"/>
                  <w:bCs w:val="0"/>
                  <w:i w:val="0"/>
                  <w:color w:val="auto"/>
                  <w:kern w:val="2"/>
                  <w:sz w:val="24"/>
                  <w:szCs w:val="24"/>
                  <w:lang w:val="en-US" w:eastAsia="zh-CN" w:bidi="ar-SA"/>
                </w:rPr>
              </m:ctrlPr>
            </m:sub>
          </m:sSub>
          <m:r>
            <m:rPr>
              <m:sty m:val="p"/>
            </m:rPr>
            <w:rPr>
              <w:rFonts w:hint="default" w:ascii="Cambria Math" w:hAnsi="Cambria Math" w:cs="Times New Roman"/>
              <w:color w:val="auto"/>
              <w:kern w:val="2"/>
              <w:sz w:val="24"/>
              <w:szCs w:val="24"/>
              <w:lang w:val="en-US" w:eastAsia="zh-CN" w:bidi="ar-SA"/>
            </w:rPr>
            <m:t>+</m:t>
          </m:r>
          <m:nary>
            <m:naryPr>
              <m:chr m:val="∑"/>
              <m:limLoc m:val="undOvr"/>
              <m:subHide m:val="1"/>
              <m:supHide m:val="1"/>
              <m:ctrlPr>
                <w:rPr>
                  <w:rFonts w:hint="default" w:ascii="Cambria Math" w:hAnsi="Cambria Math" w:cs="Times New Roman"/>
                  <w:b w:val="0"/>
                  <w:bCs w:val="0"/>
                  <w:color w:val="auto"/>
                  <w:kern w:val="2"/>
                  <w:sz w:val="24"/>
                  <w:szCs w:val="24"/>
                  <w:lang w:val="en-US" w:eastAsia="zh-CN" w:bidi="ar-SA"/>
                </w:rPr>
              </m:ctrlPr>
            </m:naryPr>
            <m:sub>
              <m:ctrlPr>
                <w:rPr>
                  <w:rFonts w:hint="default" w:ascii="Cambria Math" w:hAnsi="Cambria Math" w:cs="Times New Roman"/>
                  <w:b w:val="0"/>
                  <w:bCs w:val="0"/>
                  <w:color w:val="auto"/>
                  <w:kern w:val="2"/>
                  <w:sz w:val="24"/>
                  <w:szCs w:val="24"/>
                  <w:lang w:val="en-US" w:eastAsia="zh-CN" w:bidi="ar-SA"/>
                </w:rPr>
              </m:ctrlPr>
            </m:sub>
            <m:sup>
              <m:ctrlPr>
                <w:rPr>
                  <w:rFonts w:hint="default" w:ascii="Cambria Math" w:hAnsi="Cambria Math" w:cs="Times New Roman"/>
                  <w:b w:val="0"/>
                  <w:bCs w:val="0"/>
                  <w:color w:val="auto"/>
                  <w:kern w:val="2"/>
                  <w:sz w:val="24"/>
                  <w:szCs w:val="24"/>
                  <w:lang w:val="en-US" w:eastAsia="zh-CN" w:bidi="ar-SA"/>
                </w:rPr>
              </m:ctrlPr>
            </m:sup>
            <m:e>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default" w:ascii="Cambria Math" w:hAnsi="Cambria Math" w:cs="Times New Roman"/>
                      <w:color w:val="auto"/>
                      <w:kern w:val="2"/>
                      <w:sz w:val="24"/>
                      <w:szCs w:val="24"/>
                      <w:lang w:val="en-US" w:eastAsia="zh-CN" w:bidi="ar-SA"/>
                    </w:rPr>
                    <m:t>n</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硐</m:t>
                  </m:r>
                  <m:ctrlPr>
                    <w:rPr>
                      <w:rFonts w:hint="default" w:ascii="Cambria Math" w:hAnsi="Cambria Math" w:cs="Times New Roman"/>
                      <w:b w:val="0"/>
                      <w:bCs w:val="0"/>
                      <w:i w:val="0"/>
                      <w:color w:val="auto"/>
                      <w:kern w:val="2"/>
                      <w:sz w:val="24"/>
                      <w:szCs w:val="24"/>
                      <w:lang w:val="en-US" w:eastAsia="zh-CN" w:bidi="ar-SA"/>
                    </w:rPr>
                  </m:ctrlPr>
                </m:sub>
              </m:sSub>
              <m:ctrlPr>
                <w:rPr>
                  <w:rFonts w:hint="default" w:ascii="Cambria Math" w:hAnsi="Cambria Math" w:cs="Times New Roman"/>
                  <w:b w:val="0"/>
                  <w:bCs w:val="0"/>
                  <w:color w:val="auto"/>
                  <w:kern w:val="2"/>
                  <w:sz w:val="24"/>
                  <w:szCs w:val="24"/>
                  <w:lang w:val="en-US" w:eastAsia="zh-CN" w:bidi="ar-SA"/>
                </w:rPr>
              </m:ctrlPr>
            </m:e>
          </m:nary>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eastAsia" w:ascii="Cambria Math" w:hAnsi="Cambria Math" w:cs="Times New Roman"/>
                  <w:color w:val="auto"/>
                  <w:kern w:val="2"/>
                  <w:sz w:val="24"/>
                  <w:szCs w:val="24"/>
                  <w:lang w:val="en-US" w:eastAsia="zh-CN" w:bidi="ar-SA"/>
                </w:rPr>
                <m:t>q</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硐</m:t>
              </m:r>
              <m:ctrlPr>
                <w:rPr>
                  <w:rFonts w:hint="default" w:ascii="Cambria Math" w:hAnsi="Cambria Math" w:cs="Times New Roman"/>
                  <w:b w:val="0"/>
                  <w:bCs w:val="0"/>
                  <w:i w:val="0"/>
                  <w:color w:val="auto"/>
                  <w:kern w:val="2"/>
                  <w:sz w:val="24"/>
                  <w:szCs w:val="24"/>
                  <w:lang w:val="en-US" w:eastAsia="zh-CN" w:bidi="ar-SA"/>
                </w:rPr>
              </m:ctrlPr>
            </m:sub>
          </m:sSub>
          <m:r>
            <m:rPr>
              <m:sty m:val="p"/>
            </m:rPr>
            <w:rPr>
              <w:rFonts w:hint="default" w:ascii="Cambria Math" w:hAnsi="Cambria Math" w:cs="Times New Roman"/>
              <w:color w:val="auto"/>
              <w:kern w:val="2"/>
              <w:sz w:val="24"/>
              <w:szCs w:val="24"/>
              <w:lang w:val="en-US" w:eastAsia="zh-CN" w:bidi="ar-SA"/>
            </w:rPr>
            <m:t>+</m:t>
          </m:r>
          <m:nary>
            <m:naryPr>
              <m:chr m:val="∑"/>
              <m:limLoc m:val="undOvr"/>
              <m:subHide m:val="1"/>
              <m:supHide m:val="1"/>
              <m:ctrlPr>
                <w:rPr>
                  <w:rFonts w:hint="default" w:ascii="Cambria Math" w:hAnsi="Cambria Math" w:cs="Times New Roman"/>
                  <w:b w:val="0"/>
                  <w:bCs w:val="0"/>
                  <w:color w:val="auto"/>
                  <w:kern w:val="2"/>
                  <w:sz w:val="24"/>
                  <w:szCs w:val="24"/>
                  <w:lang w:val="en-US" w:eastAsia="zh-CN" w:bidi="ar-SA"/>
                </w:rPr>
              </m:ctrlPr>
            </m:naryPr>
            <m:sub>
              <m:ctrlPr>
                <w:rPr>
                  <w:rFonts w:hint="default" w:ascii="Cambria Math" w:hAnsi="Cambria Math" w:cs="Times New Roman"/>
                  <w:b w:val="0"/>
                  <w:bCs w:val="0"/>
                  <w:color w:val="auto"/>
                  <w:kern w:val="2"/>
                  <w:sz w:val="24"/>
                  <w:szCs w:val="24"/>
                  <w:lang w:val="en-US" w:eastAsia="zh-CN" w:bidi="ar-SA"/>
                </w:rPr>
              </m:ctrlPr>
            </m:sub>
            <m:sup>
              <m:ctrlPr>
                <w:rPr>
                  <w:rFonts w:hint="default" w:ascii="Cambria Math" w:hAnsi="Cambria Math" w:cs="Times New Roman"/>
                  <w:b w:val="0"/>
                  <w:bCs w:val="0"/>
                  <w:color w:val="auto"/>
                  <w:kern w:val="2"/>
                  <w:sz w:val="24"/>
                  <w:szCs w:val="24"/>
                  <w:lang w:val="en-US" w:eastAsia="zh-CN" w:bidi="ar-SA"/>
                </w:rPr>
              </m:ctrlPr>
            </m:sup>
            <m:e>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default" w:ascii="Cambria Math" w:hAnsi="Cambria Math" w:cs="Times New Roman"/>
                      <w:color w:val="auto"/>
                      <w:kern w:val="2"/>
                      <w:sz w:val="24"/>
                      <w:szCs w:val="24"/>
                      <w:lang w:val="en-US" w:eastAsia="zh-CN" w:bidi="ar-SA"/>
                    </w:rPr>
                    <m:t>n</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其他</m:t>
                  </m:r>
                  <m:ctrlPr>
                    <w:rPr>
                      <w:rFonts w:hint="default" w:ascii="Cambria Math" w:hAnsi="Cambria Math" w:cs="Times New Roman"/>
                      <w:b w:val="0"/>
                      <w:bCs w:val="0"/>
                      <w:i w:val="0"/>
                      <w:color w:val="auto"/>
                      <w:kern w:val="2"/>
                      <w:sz w:val="24"/>
                      <w:szCs w:val="24"/>
                      <w:lang w:val="en-US" w:eastAsia="zh-CN" w:bidi="ar-SA"/>
                    </w:rPr>
                  </m:ctrlPr>
                </m:sub>
              </m:sSub>
              <m:ctrlPr>
                <w:rPr>
                  <w:rFonts w:hint="default" w:ascii="Cambria Math" w:hAnsi="Cambria Math" w:cs="Times New Roman"/>
                  <w:b w:val="0"/>
                  <w:bCs w:val="0"/>
                  <w:color w:val="auto"/>
                  <w:kern w:val="2"/>
                  <w:sz w:val="24"/>
                  <w:szCs w:val="24"/>
                  <w:lang w:val="en-US" w:eastAsia="zh-CN" w:bidi="ar-SA"/>
                </w:rPr>
              </m:ctrlPr>
            </m:e>
          </m:nary>
          <m:sSub>
            <m:sSubPr>
              <m:ctrlPr>
                <w:rPr>
                  <w:rFonts w:hint="default" w:ascii="Cambria Math" w:hAnsi="Cambria Math" w:cs="Times New Roman"/>
                  <w:b w:val="0"/>
                  <w:bCs w:val="0"/>
                  <w:i w:val="0"/>
                  <w:color w:val="auto"/>
                  <w:kern w:val="2"/>
                  <w:sz w:val="24"/>
                  <w:szCs w:val="24"/>
                  <w:lang w:val="en-US" w:eastAsia="zh-CN" w:bidi="ar-SA"/>
                </w:rPr>
              </m:ctrlPr>
            </m:sSubPr>
            <m:e>
              <m:r>
                <m:rPr>
                  <m:sty m:val="p"/>
                </m:rPr>
                <w:rPr>
                  <w:rFonts w:hint="eastAsia" w:ascii="Cambria Math" w:hAnsi="Cambria Math" w:cs="Times New Roman"/>
                  <w:color w:val="auto"/>
                  <w:kern w:val="2"/>
                  <w:sz w:val="24"/>
                  <w:szCs w:val="24"/>
                  <w:lang w:val="en-US" w:eastAsia="zh-CN" w:bidi="ar-SA"/>
                </w:rPr>
                <m:t>q</m:t>
              </m:r>
              <m:ctrlPr>
                <w:rPr>
                  <w:rFonts w:hint="default" w:ascii="Cambria Math" w:hAnsi="Cambria Math" w:cs="Times New Roman"/>
                  <w:b w:val="0"/>
                  <w:bCs w:val="0"/>
                  <w:i w:val="0"/>
                  <w:color w:val="auto"/>
                  <w:kern w:val="2"/>
                  <w:sz w:val="24"/>
                  <w:szCs w:val="24"/>
                  <w:lang w:val="en-US" w:eastAsia="zh-CN" w:bidi="ar-SA"/>
                </w:rPr>
              </m:ctrlPr>
            </m:e>
            <m:sub>
              <m:r>
                <m:rPr>
                  <m:sty m:val="p"/>
                </m:rPr>
                <w:rPr>
                  <w:rFonts w:hint="eastAsia" w:ascii="Cambria Math" w:hAnsi="Cambria Math" w:cs="Times New Roman"/>
                  <w:color w:val="auto"/>
                  <w:kern w:val="2"/>
                  <w:sz w:val="24"/>
                  <w:szCs w:val="24"/>
                  <w:lang w:val="en-US" w:eastAsia="zh-CN" w:bidi="ar-SA"/>
                </w:rPr>
                <m:t>其他</m:t>
              </m:r>
              <m:ctrlPr>
                <w:rPr>
                  <w:rFonts w:hint="default" w:ascii="Cambria Math" w:hAnsi="Cambria Math" w:cs="Times New Roman"/>
                  <w:b w:val="0"/>
                  <w:bCs w:val="0"/>
                  <w:i w:val="0"/>
                  <w:color w:val="auto"/>
                  <w:kern w:val="2"/>
                  <w:sz w:val="24"/>
                  <w:szCs w:val="24"/>
                  <w:lang w:val="en-US" w:eastAsia="zh-CN" w:bidi="ar-SA"/>
                </w:rPr>
              </m:ctrlPr>
            </m:sub>
          </m:sSub>
          <m:r>
            <m:rPr>
              <m:sty m:val="p"/>
            </m:rPr>
            <w:rPr>
              <w:rFonts w:hint="default" w:ascii="Cambria Math" w:hAnsi="Cambria Math" w:cs="Times New Roman"/>
              <w:color w:val="auto"/>
              <w:kern w:val="2"/>
              <w:sz w:val="24"/>
              <w:szCs w:val="24"/>
              <w:lang w:val="en-US" w:eastAsia="zh-CN" w:bidi="ar-SA"/>
            </w:rPr>
            <m:t>)</m:t>
          </m:r>
          <m:sSup>
            <m:sSupPr>
              <m:ctrlPr>
                <w:rPr>
                  <w:rFonts w:hint="default" w:ascii="Cambria Math" w:hAnsi="Cambria Math" w:cs="Times New Roman"/>
                  <w:b w:val="0"/>
                  <w:bCs w:val="0"/>
                  <w:color w:val="auto"/>
                  <w:kern w:val="2"/>
                  <w:sz w:val="24"/>
                  <w:szCs w:val="24"/>
                  <w:lang w:val="en-US" w:eastAsia="zh-CN" w:bidi="ar-SA"/>
                </w:rPr>
              </m:ctrlPr>
            </m:sSupPr>
            <m:e>
              <m:r>
                <m:rPr>
                  <m:sty m:val="p"/>
                </m:rPr>
                <w:rPr>
                  <w:rFonts w:hint="eastAsia" w:ascii="Cambria Math" w:hAnsi="Cambria Math" w:cs="Times New Roman"/>
                  <w:color w:val="auto"/>
                  <w:kern w:val="2"/>
                  <w:sz w:val="24"/>
                  <w:szCs w:val="24"/>
                  <w:lang w:val="en-US" w:eastAsia="zh-CN" w:bidi="ar-SA"/>
                </w:rPr>
                <m:t>m</m:t>
              </m:r>
              <m:ctrlPr>
                <w:rPr>
                  <w:rFonts w:hint="default" w:ascii="Cambria Math" w:hAnsi="Cambria Math" w:cs="Times New Roman"/>
                  <w:b w:val="0"/>
                  <w:bCs w:val="0"/>
                  <w:color w:val="auto"/>
                  <w:kern w:val="2"/>
                  <w:sz w:val="24"/>
                  <w:szCs w:val="24"/>
                  <w:lang w:val="en-US" w:eastAsia="zh-CN" w:bidi="ar-SA"/>
                </w:rPr>
              </m:ctrlPr>
            </m:e>
            <m:sup>
              <m:r>
                <m:rPr>
                  <m:sty m:val="p"/>
                </m:rPr>
                <w:rPr>
                  <w:rFonts w:hint="default" w:ascii="Cambria Math" w:hAnsi="Cambria Math" w:cs="Times New Roman"/>
                  <w:color w:val="auto"/>
                  <w:kern w:val="2"/>
                  <w:sz w:val="24"/>
                  <w:szCs w:val="24"/>
                  <w:lang w:val="en-US" w:eastAsia="zh-CN" w:bidi="ar-SA"/>
                </w:rPr>
                <m:t>3</m:t>
              </m:r>
              <m:ctrlPr>
                <w:rPr>
                  <w:rFonts w:hint="default" w:ascii="Cambria Math" w:hAnsi="Cambria Math" w:cs="Times New Roman"/>
                  <w:b w:val="0"/>
                  <w:bCs w:val="0"/>
                  <w:color w:val="auto"/>
                  <w:kern w:val="2"/>
                  <w:sz w:val="24"/>
                  <w:szCs w:val="24"/>
                  <w:lang w:val="en-US" w:eastAsia="zh-CN" w:bidi="ar-SA"/>
                </w:rPr>
              </m:ctrlPr>
            </m:sup>
          </m:sSup>
          <m:r>
            <m:rPr>
              <m:sty m:val="p"/>
            </m:rPr>
            <w:rPr>
              <w:rFonts w:hint="default" w:ascii="Cambria Math" w:hAnsi="Cambria Math" w:cs="Times New Roman"/>
              <w:color w:val="auto"/>
              <w:kern w:val="2"/>
              <w:sz w:val="24"/>
              <w:szCs w:val="24"/>
              <w:lang w:val="en-US" w:eastAsia="zh-CN" w:bidi="ar-SA"/>
            </w:rPr>
            <m:t>/</m:t>
          </m:r>
          <m:r>
            <m:rPr>
              <m:sty m:val="p"/>
            </m:rPr>
            <w:rPr>
              <w:rFonts w:hint="eastAsia" w:ascii="Cambria Math" w:hAnsi="Cambria Math" w:cs="Times New Roman"/>
              <w:color w:val="auto"/>
              <w:kern w:val="2"/>
              <w:sz w:val="24"/>
              <w:szCs w:val="24"/>
              <w:lang w:val="en-US" w:eastAsia="zh-CN" w:bidi="ar-SA"/>
            </w:rPr>
            <m:t>s</m:t>
          </m:r>
        </m:oMath>
      </m:oMathPara>
    </w:p>
    <w:p w14:paraId="57161EA5">
      <w:pPr>
        <w:bidi w:val="0"/>
        <w:rPr>
          <w:rFonts w:hint="default"/>
          <w:color w:val="auto"/>
          <w:sz w:val="24"/>
          <w:szCs w:val="24"/>
          <w:lang w:val="en-US" w:eastAsia="zh-CN"/>
        </w:rPr>
      </w:pPr>
      <w:r>
        <w:rPr>
          <w:rFonts w:hint="default"/>
          <w:color w:val="auto"/>
          <w:sz w:val="24"/>
          <w:szCs w:val="24"/>
          <w:lang w:val="en-US" w:eastAsia="zh-CN"/>
        </w:rPr>
        <w:t>式中：K—矿井漏风系数，取1.2；</w:t>
      </w:r>
    </w:p>
    <w:p w14:paraId="28B4B316">
      <w:pPr>
        <w:bidi w:val="0"/>
        <w:ind w:firstLine="1200" w:firstLineChars="500"/>
        <w:rPr>
          <w:rFonts w:hint="default"/>
          <w:color w:val="auto"/>
          <w:sz w:val="24"/>
          <w:szCs w:val="24"/>
          <w:lang w:val="en-US" w:eastAsia="zh-CN"/>
        </w:rPr>
      </w:pPr>
      <w:r>
        <w:rPr>
          <w:rFonts w:hint="default"/>
          <w:color w:val="auto"/>
          <w:sz w:val="24"/>
          <w:szCs w:val="24"/>
          <w:lang w:val="en-US" w:eastAsia="zh-CN"/>
        </w:rPr>
        <w:t>n</w:t>
      </w:r>
      <w:r>
        <w:rPr>
          <w:rFonts w:hint="default"/>
          <w:color w:val="auto"/>
          <w:sz w:val="24"/>
          <w:szCs w:val="24"/>
          <w:vertAlign w:val="subscript"/>
          <w:lang w:val="en-US" w:eastAsia="zh-CN"/>
        </w:rPr>
        <w:t>采</w:t>
      </w:r>
      <w:r>
        <w:rPr>
          <w:rFonts w:hint="default"/>
          <w:color w:val="auto"/>
          <w:sz w:val="24"/>
          <w:szCs w:val="24"/>
          <w:lang w:val="en-US" w:eastAsia="zh-CN"/>
        </w:rPr>
        <w:t>—同时工作的回采工作面数量；</w:t>
      </w:r>
    </w:p>
    <w:p w14:paraId="085D0E7F">
      <w:pPr>
        <w:bidi w:val="0"/>
        <w:ind w:firstLine="1200" w:firstLineChars="500"/>
        <w:rPr>
          <w:rFonts w:hint="default"/>
          <w:color w:val="auto"/>
          <w:sz w:val="24"/>
          <w:szCs w:val="24"/>
          <w:lang w:val="en-US" w:eastAsia="zh-CN"/>
        </w:rPr>
      </w:pPr>
      <w:r>
        <w:rPr>
          <w:rFonts w:hint="default"/>
          <w:color w:val="auto"/>
          <w:sz w:val="24"/>
          <w:szCs w:val="24"/>
          <w:lang w:val="en-US" w:eastAsia="zh-CN"/>
        </w:rPr>
        <w:t>q</w:t>
      </w:r>
      <w:r>
        <w:rPr>
          <w:rFonts w:hint="default"/>
          <w:color w:val="auto"/>
          <w:sz w:val="24"/>
          <w:szCs w:val="24"/>
          <w:vertAlign w:val="subscript"/>
          <w:lang w:val="en-US" w:eastAsia="zh-CN"/>
        </w:rPr>
        <w:t>采</w:t>
      </w:r>
      <w:r>
        <w:rPr>
          <w:rFonts w:hint="default"/>
          <w:color w:val="auto"/>
          <w:sz w:val="24"/>
          <w:szCs w:val="24"/>
          <w:lang w:val="en-US" w:eastAsia="zh-CN"/>
        </w:rPr>
        <w:t>—回采工作面的计算风量，m</w:t>
      </w:r>
      <w:r>
        <w:rPr>
          <w:rFonts w:hint="default"/>
          <w:color w:val="auto"/>
          <w:sz w:val="24"/>
          <w:szCs w:val="24"/>
          <w:vertAlign w:val="superscript"/>
          <w:lang w:val="en-US" w:eastAsia="zh-CN"/>
        </w:rPr>
        <w:t>3</w:t>
      </w:r>
      <w:r>
        <w:rPr>
          <w:rFonts w:hint="default"/>
          <w:color w:val="auto"/>
          <w:sz w:val="24"/>
          <w:szCs w:val="24"/>
          <w:lang w:val="en-US" w:eastAsia="zh-CN"/>
        </w:rPr>
        <w:t>/s；</w:t>
      </w:r>
    </w:p>
    <w:p w14:paraId="0A59203E">
      <w:pPr>
        <w:bidi w:val="0"/>
        <w:ind w:firstLine="1200" w:firstLineChars="500"/>
        <w:rPr>
          <w:rFonts w:hint="default"/>
          <w:color w:val="auto"/>
          <w:sz w:val="24"/>
          <w:szCs w:val="24"/>
          <w:lang w:val="en-US" w:eastAsia="zh-CN"/>
        </w:rPr>
      </w:pPr>
      <w:r>
        <w:rPr>
          <w:rFonts w:hint="default"/>
          <w:color w:val="auto"/>
          <w:sz w:val="24"/>
          <w:szCs w:val="24"/>
          <w:lang w:val="en-US" w:eastAsia="zh-CN"/>
        </w:rPr>
        <w:t>n</w:t>
      </w:r>
      <w:r>
        <w:rPr>
          <w:rFonts w:hint="default"/>
          <w:color w:val="auto"/>
          <w:sz w:val="24"/>
          <w:szCs w:val="24"/>
          <w:vertAlign w:val="subscript"/>
          <w:lang w:val="en-US" w:eastAsia="zh-CN"/>
        </w:rPr>
        <w:t>备</w:t>
      </w:r>
      <w:r>
        <w:rPr>
          <w:rFonts w:hint="default"/>
          <w:color w:val="auto"/>
          <w:sz w:val="24"/>
          <w:szCs w:val="24"/>
          <w:lang w:val="en-US" w:eastAsia="zh-CN"/>
        </w:rPr>
        <w:t>—备用工作面数量；</w:t>
      </w:r>
    </w:p>
    <w:p w14:paraId="1CD442BA">
      <w:pPr>
        <w:bidi w:val="0"/>
        <w:ind w:firstLine="1200" w:firstLineChars="500"/>
        <w:rPr>
          <w:rFonts w:hint="default"/>
          <w:color w:val="auto"/>
          <w:sz w:val="24"/>
          <w:szCs w:val="24"/>
          <w:lang w:val="en-US" w:eastAsia="zh-CN"/>
        </w:rPr>
      </w:pPr>
      <w:r>
        <w:rPr>
          <w:rFonts w:hint="default"/>
          <w:color w:val="auto"/>
          <w:sz w:val="24"/>
          <w:szCs w:val="24"/>
          <w:lang w:val="en-US" w:eastAsia="zh-CN"/>
        </w:rPr>
        <w:t>q</w:t>
      </w:r>
      <w:r>
        <w:rPr>
          <w:rFonts w:hint="default"/>
          <w:color w:val="auto"/>
          <w:sz w:val="24"/>
          <w:szCs w:val="24"/>
          <w:vertAlign w:val="subscript"/>
          <w:lang w:val="en-US" w:eastAsia="zh-CN"/>
        </w:rPr>
        <w:t>备</w:t>
      </w:r>
      <w:r>
        <w:rPr>
          <w:rFonts w:hint="default"/>
          <w:color w:val="auto"/>
          <w:sz w:val="24"/>
          <w:szCs w:val="24"/>
          <w:lang w:val="en-US" w:eastAsia="zh-CN"/>
        </w:rPr>
        <w:t>—备用工作面的计算风量，m</w:t>
      </w:r>
      <w:r>
        <w:rPr>
          <w:rFonts w:hint="default"/>
          <w:color w:val="auto"/>
          <w:sz w:val="24"/>
          <w:szCs w:val="24"/>
          <w:vertAlign w:val="superscript"/>
          <w:lang w:val="en-US" w:eastAsia="zh-CN"/>
        </w:rPr>
        <w:t>3</w:t>
      </w:r>
      <w:r>
        <w:rPr>
          <w:rFonts w:hint="default"/>
          <w:color w:val="auto"/>
          <w:sz w:val="24"/>
          <w:szCs w:val="24"/>
          <w:lang w:val="en-US" w:eastAsia="zh-CN"/>
        </w:rPr>
        <w:t>/s；</w:t>
      </w:r>
    </w:p>
    <w:p w14:paraId="1E80E8BE">
      <w:pPr>
        <w:bidi w:val="0"/>
        <w:ind w:firstLine="1200" w:firstLineChars="500"/>
        <w:rPr>
          <w:rFonts w:hint="default"/>
          <w:color w:val="auto"/>
          <w:sz w:val="24"/>
          <w:szCs w:val="24"/>
          <w:lang w:val="en-US" w:eastAsia="zh-CN"/>
        </w:rPr>
      </w:pPr>
      <w:r>
        <w:rPr>
          <w:rFonts w:hint="default"/>
          <w:color w:val="auto"/>
          <w:sz w:val="24"/>
          <w:szCs w:val="24"/>
          <w:lang w:val="en-US" w:eastAsia="zh-CN"/>
        </w:rPr>
        <w:t>n</w:t>
      </w:r>
      <w:r>
        <w:rPr>
          <w:rFonts w:hint="default"/>
          <w:color w:val="auto"/>
          <w:sz w:val="24"/>
          <w:szCs w:val="24"/>
          <w:vertAlign w:val="subscript"/>
          <w:lang w:val="en-US" w:eastAsia="zh-CN"/>
        </w:rPr>
        <w:t>掘</w:t>
      </w:r>
      <w:r>
        <w:rPr>
          <w:rFonts w:hint="default"/>
          <w:color w:val="auto"/>
          <w:sz w:val="24"/>
          <w:szCs w:val="24"/>
          <w:lang w:val="en-US" w:eastAsia="zh-CN"/>
        </w:rPr>
        <w:t>—井下掘进工作面的数量；</w:t>
      </w:r>
    </w:p>
    <w:p w14:paraId="5857B495">
      <w:pPr>
        <w:bidi w:val="0"/>
        <w:ind w:firstLine="1200" w:firstLineChars="500"/>
        <w:rPr>
          <w:rFonts w:hint="default"/>
          <w:color w:val="auto"/>
          <w:sz w:val="24"/>
          <w:szCs w:val="24"/>
          <w:lang w:val="en-US" w:eastAsia="zh-CN"/>
        </w:rPr>
      </w:pPr>
      <w:r>
        <w:rPr>
          <w:rFonts w:hint="default"/>
          <w:color w:val="auto"/>
          <w:sz w:val="24"/>
          <w:szCs w:val="24"/>
          <w:lang w:val="en-US" w:eastAsia="zh-CN"/>
        </w:rPr>
        <w:t>q</w:t>
      </w:r>
      <w:r>
        <w:rPr>
          <w:rFonts w:hint="default"/>
          <w:color w:val="auto"/>
          <w:sz w:val="24"/>
          <w:szCs w:val="24"/>
          <w:vertAlign w:val="subscript"/>
          <w:lang w:val="en-US" w:eastAsia="zh-CN"/>
        </w:rPr>
        <w:t>掘</w:t>
      </w:r>
      <w:r>
        <w:rPr>
          <w:rFonts w:hint="default"/>
          <w:color w:val="auto"/>
          <w:sz w:val="24"/>
          <w:szCs w:val="24"/>
          <w:lang w:val="en-US" w:eastAsia="zh-CN"/>
        </w:rPr>
        <w:t>—掘进工作面的计算风量，m</w:t>
      </w:r>
      <w:r>
        <w:rPr>
          <w:rFonts w:hint="default"/>
          <w:color w:val="auto"/>
          <w:sz w:val="24"/>
          <w:szCs w:val="24"/>
          <w:vertAlign w:val="superscript"/>
          <w:lang w:val="en-US" w:eastAsia="zh-CN"/>
        </w:rPr>
        <w:t>3</w:t>
      </w:r>
      <w:r>
        <w:rPr>
          <w:rFonts w:hint="default"/>
          <w:color w:val="auto"/>
          <w:sz w:val="24"/>
          <w:szCs w:val="24"/>
          <w:lang w:val="en-US" w:eastAsia="zh-CN"/>
        </w:rPr>
        <w:t>/s；</w:t>
      </w:r>
    </w:p>
    <w:p w14:paraId="0B67F438">
      <w:pPr>
        <w:bidi w:val="0"/>
        <w:ind w:firstLine="1200" w:firstLineChars="500"/>
        <w:rPr>
          <w:rFonts w:hint="default"/>
          <w:color w:val="auto"/>
          <w:sz w:val="24"/>
          <w:szCs w:val="24"/>
          <w:lang w:val="en-US" w:eastAsia="zh-CN"/>
        </w:rPr>
      </w:pPr>
      <w:r>
        <w:rPr>
          <w:rFonts w:hint="default"/>
          <w:color w:val="auto"/>
          <w:sz w:val="24"/>
          <w:szCs w:val="24"/>
          <w:lang w:val="en-US" w:eastAsia="zh-CN"/>
        </w:rPr>
        <w:t>n</w:t>
      </w:r>
      <w:r>
        <w:rPr>
          <w:rFonts w:hint="default"/>
          <w:color w:val="auto"/>
          <w:sz w:val="24"/>
          <w:szCs w:val="24"/>
          <w:vertAlign w:val="subscript"/>
          <w:lang w:val="en-US" w:eastAsia="zh-CN"/>
        </w:rPr>
        <w:t>硐</w:t>
      </w:r>
      <w:r>
        <w:rPr>
          <w:rFonts w:hint="default"/>
          <w:color w:val="auto"/>
          <w:sz w:val="24"/>
          <w:szCs w:val="24"/>
          <w:lang w:val="en-US" w:eastAsia="zh-CN"/>
        </w:rPr>
        <w:t>—硐室需风点的数量；</w:t>
      </w:r>
    </w:p>
    <w:p w14:paraId="654A9402">
      <w:pPr>
        <w:bidi w:val="0"/>
        <w:ind w:firstLine="1200" w:firstLineChars="500"/>
        <w:rPr>
          <w:rFonts w:hint="default"/>
          <w:color w:val="auto"/>
          <w:sz w:val="24"/>
          <w:szCs w:val="24"/>
          <w:lang w:val="en-US" w:eastAsia="zh-CN"/>
        </w:rPr>
      </w:pPr>
      <w:r>
        <w:rPr>
          <w:rFonts w:hint="default"/>
          <w:color w:val="auto"/>
          <w:sz w:val="24"/>
          <w:szCs w:val="24"/>
          <w:lang w:val="en-US" w:eastAsia="zh-CN"/>
        </w:rPr>
        <w:t>q</w:t>
      </w:r>
      <w:r>
        <w:rPr>
          <w:rFonts w:hint="default"/>
          <w:color w:val="auto"/>
          <w:sz w:val="24"/>
          <w:szCs w:val="24"/>
          <w:vertAlign w:val="subscript"/>
          <w:lang w:val="en-US" w:eastAsia="zh-CN"/>
        </w:rPr>
        <w:t>硐</w:t>
      </w:r>
      <w:r>
        <w:rPr>
          <w:rFonts w:hint="default"/>
          <w:color w:val="auto"/>
          <w:sz w:val="24"/>
          <w:szCs w:val="24"/>
          <w:lang w:val="en-US" w:eastAsia="zh-CN"/>
        </w:rPr>
        <w:t>—硐室的计算风量，m</w:t>
      </w:r>
      <w:r>
        <w:rPr>
          <w:rFonts w:hint="default"/>
          <w:color w:val="auto"/>
          <w:sz w:val="24"/>
          <w:szCs w:val="24"/>
          <w:vertAlign w:val="superscript"/>
          <w:lang w:val="en-US" w:eastAsia="zh-CN"/>
        </w:rPr>
        <w:t>3</w:t>
      </w:r>
      <w:r>
        <w:rPr>
          <w:rFonts w:hint="default"/>
          <w:color w:val="auto"/>
          <w:sz w:val="24"/>
          <w:szCs w:val="24"/>
          <w:lang w:val="en-US" w:eastAsia="zh-CN"/>
        </w:rPr>
        <w:t>/s；</w:t>
      </w:r>
    </w:p>
    <w:p w14:paraId="05131C9C">
      <w:pPr>
        <w:bidi w:val="0"/>
        <w:ind w:firstLine="1200" w:firstLineChars="500"/>
        <w:rPr>
          <w:rFonts w:hint="default"/>
          <w:color w:val="auto"/>
          <w:sz w:val="24"/>
          <w:szCs w:val="24"/>
          <w:lang w:val="en-US" w:eastAsia="zh-CN"/>
        </w:rPr>
      </w:pPr>
      <w:r>
        <w:rPr>
          <w:rFonts w:hint="default"/>
          <w:color w:val="auto"/>
          <w:sz w:val="24"/>
          <w:szCs w:val="24"/>
          <w:lang w:val="en-US" w:eastAsia="zh-CN"/>
        </w:rPr>
        <w:t>n</w:t>
      </w:r>
      <w:r>
        <w:rPr>
          <w:rFonts w:hint="default"/>
          <w:color w:val="auto"/>
          <w:sz w:val="24"/>
          <w:szCs w:val="24"/>
          <w:vertAlign w:val="subscript"/>
          <w:lang w:val="en-US" w:eastAsia="zh-CN"/>
        </w:rPr>
        <w:t>其他</w:t>
      </w:r>
      <w:r>
        <w:rPr>
          <w:rFonts w:hint="default"/>
          <w:color w:val="auto"/>
          <w:sz w:val="24"/>
          <w:szCs w:val="24"/>
          <w:lang w:val="en-US" w:eastAsia="zh-CN"/>
        </w:rPr>
        <w:t>—其他需风点的数量；</w:t>
      </w:r>
    </w:p>
    <w:p w14:paraId="2A68F2F3">
      <w:pPr>
        <w:bidi w:val="0"/>
        <w:ind w:firstLine="1200" w:firstLineChars="500"/>
        <w:rPr>
          <w:rFonts w:hint="default"/>
          <w:color w:val="auto"/>
          <w:sz w:val="24"/>
          <w:szCs w:val="24"/>
          <w:lang w:val="en-US" w:eastAsia="zh-CN"/>
        </w:rPr>
      </w:pPr>
      <w:r>
        <w:rPr>
          <w:rFonts w:hint="default"/>
          <w:color w:val="auto"/>
          <w:sz w:val="24"/>
          <w:szCs w:val="24"/>
          <w:lang w:val="en-US" w:eastAsia="zh-CN"/>
        </w:rPr>
        <w:t>q</w:t>
      </w:r>
      <w:r>
        <w:rPr>
          <w:rFonts w:hint="default"/>
          <w:color w:val="auto"/>
          <w:sz w:val="24"/>
          <w:szCs w:val="24"/>
          <w:vertAlign w:val="subscript"/>
          <w:lang w:val="en-US" w:eastAsia="zh-CN"/>
        </w:rPr>
        <w:t>其他</w:t>
      </w:r>
      <w:r>
        <w:rPr>
          <w:rFonts w:hint="default"/>
          <w:color w:val="auto"/>
          <w:sz w:val="24"/>
          <w:szCs w:val="24"/>
          <w:lang w:val="en-US" w:eastAsia="zh-CN"/>
        </w:rPr>
        <w:t>—其他需风点的计算风量，m</w:t>
      </w:r>
      <w:r>
        <w:rPr>
          <w:rFonts w:hint="default"/>
          <w:color w:val="auto"/>
          <w:sz w:val="24"/>
          <w:szCs w:val="24"/>
          <w:vertAlign w:val="superscript"/>
          <w:lang w:val="en-US" w:eastAsia="zh-CN"/>
        </w:rPr>
        <w:t>3</w:t>
      </w:r>
      <w:r>
        <w:rPr>
          <w:rFonts w:hint="default"/>
          <w:color w:val="auto"/>
          <w:sz w:val="24"/>
          <w:szCs w:val="24"/>
          <w:lang w:val="en-US" w:eastAsia="zh-CN"/>
        </w:rPr>
        <w:t>/s；</w:t>
      </w:r>
    </w:p>
    <w:p w14:paraId="644DB145">
      <w:pPr>
        <w:bidi w:val="0"/>
        <w:rPr>
          <w:rFonts w:hint="default"/>
          <w:color w:val="auto"/>
          <w:lang w:val="en-US" w:eastAsia="zh-CN"/>
        </w:rPr>
      </w:pPr>
      <w:r>
        <w:rPr>
          <w:rFonts w:hint="eastAsia" w:ascii="Times New Roman" w:hAnsi="Times New Roman" w:eastAsia="宋体" w:cs="Times New Roman"/>
          <w:color w:val="auto"/>
          <w:spacing w:val="-2"/>
          <w:sz w:val="27"/>
          <w:szCs w:val="27"/>
          <w:lang w:val="en-US" w:eastAsia="zh-CN"/>
        </w:rPr>
        <w:t>（</w:t>
      </w:r>
      <w:r>
        <w:rPr>
          <w:rFonts w:ascii="Times New Roman" w:hAnsi="Times New Roman" w:eastAsia="Times New Roman" w:cs="Times New Roman"/>
          <w:color w:val="auto"/>
          <w:spacing w:val="-2"/>
          <w:sz w:val="27"/>
          <w:szCs w:val="27"/>
        </w:rPr>
        <w:t>1</w:t>
      </w:r>
      <w:r>
        <w:rPr>
          <w:rFonts w:ascii="仿宋" w:hAnsi="仿宋" w:eastAsia="仿宋" w:cs="仿宋"/>
          <w:color w:val="auto"/>
          <w:spacing w:val="-2"/>
          <w:sz w:val="27"/>
          <w:szCs w:val="27"/>
        </w:rPr>
        <w:t>）</w:t>
      </w:r>
      <w:r>
        <w:rPr>
          <w:rFonts w:hint="default"/>
          <w:color w:val="auto"/>
          <w:lang w:val="en-US" w:eastAsia="zh-CN"/>
        </w:rPr>
        <w:t>回采工作面风量计算</w:t>
      </w:r>
    </w:p>
    <w:p w14:paraId="06AE7DDB">
      <w:pPr>
        <w:bidi w:val="0"/>
        <w:rPr>
          <w:rFonts w:hint="default"/>
          <w:color w:val="auto"/>
          <w:lang w:val="en-US" w:eastAsia="zh-CN"/>
        </w:rPr>
      </w:pPr>
      <w:r>
        <w:rPr>
          <w:rFonts w:hint="default"/>
          <w:color w:val="auto"/>
          <w:lang w:val="en-US" w:eastAsia="zh-CN"/>
        </w:rPr>
        <w:t>A</w:t>
      </w:r>
      <w:r>
        <w:rPr>
          <w:rFonts w:hint="eastAsia" w:ascii="Times New Roman" w:eastAsia="宋体"/>
          <w:color w:val="auto"/>
          <w:lang w:val="en-US" w:eastAsia="zh-CN"/>
        </w:rPr>
        <w:t xml:space="preserve">. </w:t>
      </w:r>
      <w:r>
        <w:rPr>
          <w:rFonts w:hint="default"/>
          <w:color w:val="auto"/>
          <w:lang w:val="en-US" w:eastAsia="zh-CN"/>
        </w:rPr>
        <w:t>按排尘风速计算风量</w:t>
      </w:r>
    </w:p>
    <w:p w14:paraId="6CA95856">
      <w:pPr>
        <w:bidi w:val="0"/>
        <w:rPr>
          <w:rFonts w:hint="default"/>
          <w:color w:val="auto"/>
          <w:lang w:val="en-US" w:eastAsia="zh-CN"/>
        </w:rPr>
      </w:pPr>
      <w:r>
        <w:rPr>
          <w:rFonts w:hint="default"/>
          <w:color w:val="auto"/>
          <w:lang w:val="en-US" w:eastAsia="zh-CN"/>
        </w:rPr>
        <w:t>该矿井下采场为巷道型采场，采用一台YT-28凿岩机工作。每个回采工作面需风量为：q</w:t>
      </w:r>
      <w:r>
        <w:rPr>
          <w:rFonts w:hint="default"/>
          <w:color w:val="auto"/>
          <w:vertAlign w:val="subscript"/>
          <w:lang w:val="en-US" w:eastAsia="zh-CN"/>
        </w:rPr>
        <w:t>采</w:t>
      </w:r>
      <w:r>
        <w:rPr>
          <w:rFonts w:hint="default"/>
          <w:color w:val="auto"/>
          <w:lang w:val="en-US" w:eastAsia="zh-CN"/>
        </w:rPr>
        <w:t>=4m</w:t>
      </w:r>
      <w:r>
        <w:rPr>
          <w:rFonts w:hint="default"/>
          <w:color w:val="auto"/>
          <w:vertAlign w:val="superscript"/>
          <w:lang w:val="en-US" w:eastAsia="zh-CN"/>
        </w:rPr>
        <w:t>3</w:t>
      </w:r>
      <w:r>
        <w:rPr>
          <w:rFonts w:hint="default"/>
          <w:color w:val="auto"/>
          <w:lang w:val="en-US" w:eastAsia="zh-CN"/>
        </w:rPr>
        <w:t>/s</w:t>
      </w:r>
    </w:p>
    <w:p w14:paraId="15749A59">
      <w:pPr>
        <w:bidi w:val="0"/>
        <w:rPr>
          <w:rFonts w:hint="default"/>
          <w:color w:val="auto"/>
          <w:lang w:val="en-US" w:eastAsia="zh-CN"/>
        </w:rPr>
      </w:pPr>
      <w:r>
        <w:rPr>
          <w:rFonts w:hint="default"/>
          <w:color w:val="auto"/>
          <w:lang w:val="en-US" w:eastAsia="zh-CN"/>
        </w:rPr>
        <w:t>B</w:t>
      </w:r>
      <w:r>
        <w:rPr>
          <w:rFonts w:hint="eastAsia" w:ascii="Times New Roman" w:eastAsia="宋体"/>
          <w:color w:val="auto"/>
          <w:lang w:val="en-US" w:eastAsia="zh-CN"/>
        </w:rPr>
        <w:t xml:space="preserve">. </w:t>
      </w:r>
      <w:r>
        <w:rPr>
          <w:rFonts w:hint="default"/>
          <w:color w:val="auto"/>
          <w:lang w:val="en-US" w:eastAsia="zh-CN"/>
        </w:rPr>
        <w:t>按排除炮烟计算回采工作面风量，根据巷道型采场计算公式：</w:t>
      </w:r>
    </w:p>
    <w:p w14:paraId="15C72580">
      <w:pPr>
        <w:bidi w:val="0"/>
        <w:ind w:left="0" w:leftChars="0" w:firstLine="0" w:firstLineChars="0"/>
        <w:jc w:val="center"/>
        <w:rPr>
          <w:rFonts w:hint="default"/>
          <w:color w:val="auto"/>
          <w:lang w:val="en-US" w:eastAsia="zh-CN"/>
        </w:rPr>
      </w:pPr>
      <m:oMathPara>
        <m:oMath>
          <m:sSub>
            <m:sSubPr>
              <m:ctrlPr>
                <w:rPr>
                  <w:rFonts w:hint="default" w:ascii="Cambria Math" w:hAnsi="Cambria Math" w:cs="Times New Roman"/>
                  <w:i w:val="0"/>
                  <w:color w:val="auto"/>
                  <w:kern w:val="2"/>
                  <w:sz w:val="28"/>
                  <w:szCs w:val="24"/>
                  <w:lang w:val="en-US" w:eastAsia="zh-CN" w:bidi="ar-SA"/>
                </w:rPr>
              </m:ctrlPr>
            </m:sSubPr>
            <m:e>
              <m:r>
                <m:rPr>
                  <m:sty m:val="p"/>
                </m:rPr>
                <w:rPr>
                  <w:rFonts w:hint="default" w:ascii="Cambria Math" w:hAnsi="Cambria Math" w:cs="Times New Roman"/>
                  <w:color w:val="auto"/>
                  <w:kern w:val="2"/>
                  <w:sz w:val="28"/>
                  <w:szCs w:val="24"/>
                  <w:lang w:val="en-US" w:eastAsia="zh-CN" w:bidi="ar-SA"/>
                </w:rPr>
                <m:t>q</m:t>
              </m:r>
              <m:ctrlPr>
                <w:rPr>
                  <w:rFonts w:hint="default" w:ascii="Cambria Math" w:hAnsi="Cambria Math" w:cs="Times New Roman"/>
                  <w:i w:val="0"/>
                  <w:color w:val="auto"/>
                  <w:kern w:val="2"/>
                  <w:sz w:val="28"/>
                  <w:szCs w:val="24"/>
                  <w:lang w:val="en-US" w:eastAsia="zh-CN" w:bidi="ar-SA"/>
                </w:rPr>
              </m:ctrlPr>
            </m:e>
            <m:sub>
              <m:r>
                <m:rPr>
                  <m:sty m:val="p"/>
                </m:rPr>
                <w:rPr>
                  <w:rFonts w:hint="eastAsia" w:ascii="Cambria Math" w:hAnsi="Cambria Math" w:cs="Times New Roman"/>
                  <w:color w:val="auto"/>
                  <w:kern w:val="2"/>
                  <w:sz w:val="28"/>
                  <w:szCs w:val="24"/>
                  <w:lang w:val="en-US" w:eastAsia="zh-CN" w:bidi="ar-SA"/>
                </w:rPr>
                <m:t>采</m:t>
              </m:r>
              <m:ctrlPr>
                <w:rPr>
                  <w:rFonts w:hint="default" w:ascii="Cambria Math" w:hAnsi="Cambria Math" w:cs="Times New Roman"/>
                  <w:i w:val="0"/>
                  <w:color w:val="auto"/>
                  <w:kern w:val="2"/>
                  <w:sz w:val="28"/>
                  <w:szCs w:val="24"/>
                  <w:lang w:val="en-US" w:eastAsia="zh-CN" w:bidi="ar-SA"/>
                </w:rPr>
              </m:ctrlPr>
            </m:sub>
          </m:sSub>
          <m:r>
            <m:rPr>
              <m:sty m:val="p"/>
            </m:rPr>
            <w:rPr>
              <w:rFonts w:hint="default" w:ascii="Cambria Math" w:hAnsi="Cambria Math" w:cs="Times New Roman"/>
              <w:color w:val="auto"/>
              <w:kern w:val="2"/>
              <w:sz w:val="28"/>
              <w:szCs w:val="24"/>
              <w:lang w:val="en-US" w:eastAsia="zh-CN" w:bidi="ar-SA"/>
            </w:rPr>
            <m:t>=</m:t>
          </m:r>
          <m:f>
            <m:fPr>
              <m:ctrlPr>
                <w:rPr>
                  <w:rFonts w:hint="default" w:ascii="Cambria Math" w:hAnsi="Cambria Math" w:cs="Times New Roman"/>
                  <w:color w:val="auto"/>
                  <w:kern w:val="2"/>
                  <w:sz w:val="28"/>
                  <w:szCs w:val="24"/>
                  <w:lang w:val="en-US" w:eastAsia="zh-CN" w:bidi="ar-SA"/>
                </w:rPr>
              </m:ctrlPr>
            </m:fPr>
            <m:num>
              <m:r>
                <m:rPr>
                  <m:sty m:val="p"/>
                </m:rPr>
                <w:rPr>
                  <w:rFonts w:hint="default" w:ascii="Cambria Math" w:hAnsi="Cambria Math" w:cs="Times New Roman"/>
                  <w:color w:val="auto"/>
                  <w:kern w:val="2"/>
                  <w:sz w:val="28"/>
                  <w:szCs w:val="24"/>
                  <w:lang w:val="en-US" w:eastAsia="zh-CN" w:bidi="ar-SA"/>
                </w:rPr>
                <m:t>25.5</m:t>
              </m:r>
              <m:ctrlPr>
                <w:rPr>
                  <w:rFonts w:hint="default" w:ascii="Cambria Math" w:hAnsi="Cambria Math" w:cs="Times New Roman"/>
                  <w:color w:val="auto"/>
                  <w:kern w:val="2"/>
                  <w:sz w:val="28"/>
                  <w:szCs w:val="24"/>
                  <w:lang w:val="en-US" w:eastAsia="zh-CN" w:bidi="ar-SA"/>
                </w:rPr>
              </m:ctrlPr>
            </m:num>
            <m:den>
              <m:r>
                <m:rPr>
                  <m:sty m:val="p"/>
                </m:rPr>
                <w:rPr>
                  <w:rFonts w:hint="eastAsia" w:ascii="Cambria Math" w:hAnsi="Cambria Math" w:cs="Times New Roman"/>
                  <w:color w:val="auto"/>
                  <w:kern w:val="2"/>
                  <w:sz w:val="28"/>
                  <w:szCs w:val="24"/>
                  <w:lang w:val="en-US" w:eastAsia="zh-CN" w:bidi="ar-SA"/>
                </w:rPr>
                <m:t>t</m:t>
              </m:r>
              <m:ctrlPr>
                <w:rPr>
                  <w:rFonts w:hint="default" w:ascii="Cambria Math" w:hAnsi="Cambria Math" w:cs="Times New Roman"/>
                  <w:color w:val="auto"/>
                  <w:kern w:val="2"/>
                  <w:sz w:val="28"/>
                  <w:szCs w:val="24"/>
                  <w:lang w:val="en-US" w:eastAsia="zh-CN" w:bidi="ar-SA"/>
                </w:rPr>
              </m:ctrlPr>
            </m:den>
          </m:f>
          <m:rad>
            <m:radPr>
              <m:degHide m:val="1"/>
              <m:ctrlPr>
                <w:rPr>
                  <w:rFonts w:hint="default" w:ascii="Cambria Math" w:hAnsi="Cambria Math" w:cs="Times New Roman"/>
                  <w:color w:val="auto"/>
                  <w:kern w:val="2"/>
                  <w:sz w:val="28"/>
                  <w:szCs w:val="24"/>
                  <w:lang w:val="en-US" w:eastAsia="zh-CN" w:bidi="ar-SA"/>
                </w:rPr>
              </m:ctrlPr>
            </m:radPr>
            <m:deg>
              <m:ctrlPr>
                <w:rPr>
                  <w:rFonts w:hint="default" w:ascii="Cambria Math" w:hAnsi="Cambria Math" w:cs="Times New Roman"/>
                  <w:color w:val="auto"/>
                  <w:kern w:val="2"/>
                  <w:sz w:val="28"/>
                  <w:szCs w:val="24"/>
                  <w:lang w:val="en-US" w:eastAsia="zh-CN" w:bidi="ar-SA"/>
                </w:rPr>
              </m:ctrlPr>
            </m:deg>
            <m:e>
              <m:r>
                <m:rPr>
                  <m:sty m:val="p"/>
                </m:rPr>
                <w:rPr>
                  <w:rFonts w:hint="default" w:ascii="Cambria Math" w:hAnsi="Cambria Math" w:cs="Times New Roman"/>
                  <w:color w:val="auto"/>
                  <w:kern w:val="2"/>
                  <w:sz w:val="28"/>
                  <w:szCs w:val="24"/>
                  <w:lang w:val="en-US" w:eastAsia="zh-CN" w:bidi="ar-SA"/>
                </w:rPr>
                <m:t>A</m:t>
              </m:r>
              <m:r>
                <m:rPr>
                  <m:sty m:val="p"/>
                </m:rPr>
                <w:rPr>
                  <w:rFonts w:ascii="Cambria Math" w:hAnsi="Cambria Math" w:cs="Times New Roman"/>
                  <w:color w:val="auto"/>
                  <w:kern w:val="2"/>
                  <w:sz w:val="28"/>
                  <w:szCs w:val="24"/>
                  <w:lang w:val="en-US" w:bidi="ar-SA"/>
                </w:rPr>
                <m:t>×</m:t>
              </m:r>
              <m:sSub>
                <m:sSubPr>
                  <m:ctrlPr>
                    <w:rPr>
                      <w:rFonts w:ascii="Cambria Math" w:hAnsi="Cambria Math" w:cs="Times New Roman"/>
                      <w:color w:val="auto"/>
                      <w:kern w:val="2"/>
                      <w:sz w:val="28"/>
                      <w:szCs w:val="24"/>
                      <w:lang w:val="en-US" w:bidi="ar-SA"/>
                    </w:rPr>
                  </m:ctrlPr>
                </m:sSubPr>
                <m:e>
                  <m:r>
                    <m:rPr>
                      <m:sty m:val="p"/>
                    </m:rPr>
                    <w:rPr>
                      <w:rFonts w:hint="default" w:ascii="Cambria Math" w:hAnsi="Cambria Math" w:cs="Times New Roman"/>
                      <w:color w:val="auto"/>
                      <w:kern w:val="2"/>
                      <w:sz w:val="28"/>
                      <w:szCs w:val="24"/>
                      <w:lang w:val="en-US" w:eastAsia="zh-CN" w:bidi="ar-SA"/>
                    </w:rPr>
                    <m:t>S</m:t>
                  </m:r>
                  <m:ctrlPr>
                    <w:rPr>
                      <w:rFonts w:ascii="Cambria Math" w:hAnsi="Cambria Math" w:cs="Times New Roman"/>
                      <w:color w:val="auto"/>
                      <w:kern w:val="2"/>
                      <w:sz w:val="28"/>
                      <w:szCs w:val="24"/>
                      <w:lang w:val="en-US" w:bidi="ar-SA"/>
                    </w:rPr>
                  </m:ctrlPr>
                </m:e>
                <m:sub>
                  <m:r>
                    <m:rPr>
                      <m:sty m:val="p"/>
                    </m:rPr>
                    <w:rPr>
                      <w:rFonts w:hint="eastAsia" w:ascii="Cambria Math" w:hAnsi="Cambria Math" w:cs="Times New Roman"/>
                      <w:color w:val="auto"/>
                      <w:kern w:val="2"/>
                      <w:sz w:val="28"/>
                      <w:szCs w:val="24"/>
                      <w:lang w:val="en-US" w:eastAsia="zh-CN" w:bidi="ar-SA"/>
                    </w:rPr>
                    <m:t>采</m:t>
                  </m:r>
                  <m:ctrlPr>
                    <w:rPr>
                      <w:rFonts w:ascii="Cambria Math" w:hAnsi="Cambria Math" w:cs="Times New Roman"/>
                      <w:color w:val="auto"/>
                      <w:kern w:val="2"/>
                      <w:sz w:val="28"/>
                      <w:szCs w:val="24"/>
                      <w:lang w:val="en-US" w:bidi="ar-SA"/>
                    </w:rPr>
                  </m:ctrlPr>
                </m:sub>
              </m:sSub>
              <m:r>
                <m:rPr>
                  <m:sty m:val="p"/>
                </m:rPr>
                <w:rPr>
                  <w:rFonts w:ascii="Cambria Math" w:hAnsi="Cambria Math" w:cs="Times New Roman"/>
                  <w:color w:val="auto"/>
                  <w:kern w:val="2"/>
                  <w:sz w:val="28"/>
                  <w:szCs w:val="24"/>
                  <w:lang w:val="en-US" w:bidi="ar-SA"/>
                </w:rPr>
                <m:t>×</m:t>
              </m:r>
              <m:sSub>
                <m:sSubPr>
                  <m:ctrlPr>
                    <w:rPr>
                      <w:rFonts w:ascii="Cambria Math" w:hAnsi="Cambria Math" w:cs="Times New Roman"/>
                      <w:color w:val="auto"/>
                      <w:kern w:val="2"/>
                      <w:sz w:val="28"/>
                      <w:szCs w:val="24"/>
                      <w:lang w:val="en-US" w:bidi="ar-SA"/>
                    </w:rPr>
                  </m:ctrlPr>
                </m:sSubPr>
                <m:e>
                  <m:r>
                    <m:rPr>
                      <m:sty m:val="p"/>
                    </m:rPr>
                    <w:rPr>
                      <w:rFonts w:hint="default" w:ascii="Cambria Math" w:hAnsi="Cambria Math" w:cs="Times New Roman"/>
                      <w:color w:val="auto"/>
                      <w:kern w:val="2"/>
                      <w:sz w:val="28"/>
                      <w:szCs w:val="24"/>
                      <w:lang w:val="en-US" w:eastAsia="zh-CN" w:bidi="ar-SA"/>
                    </w:rPr>
                    <m:t>L</m:t>
                  </m:r>
                  <m:ctrlPr>
                    <w:rPr>
                      <w:rFonts w:ascii="Cambria Math" w:hAnsi="Cambria Math" w:cs="Times New Roman"/>
                      <w:color w:val="auto"/>
                      <w:kern w:val="2"/>
                      <w:sz w:val="28"/>
                      <w:szCs w:val="24"/>
                      <w:lang w:val="en-US" w:bidi="ar-SA"/>
                    </w:rPr>
                  </m:ctrlPr>
                </m:e>
                <m:sub>
                  <m:r>
                    <m:rPr>
                      <m:sty m:val="p"/>
                    </m:rPr>
                    <w:rPr>
                      <w:rFonts w:hint="eastAsia" w:ascii="Cambria Math" w:hAnsi="Cambria Math" w:cs="Times New Roman"/>
                      <w:color w:val="auto"/>
                      <w:kern w:val="2"/>
                      <w:sz w:val="28"/>
                      <w:szCs w:val="24"/>
                      <w:lang w:val="en-US" w:eastAsia="zh-CN" w:bidi="ar-SA"/>
                    </w:rPr>
                    <m:t>烟</m:t>
                  </m:r>
                  <m:ctrlPr>
                    <w:rPr>
                      <w:rFonts w:ascii="Cambria Math" w:hAnsi="Cambria Math" w:cs="Times New Roman"/>
                      <w:color w:val="auto"/>
                      <w:kern w:val="2"/>
                      <w:sz w:val="28"/>
                      <w:szCs w:val="24"/>
                      <w:lang w:val="en-US" w:bidi="ar-SA"/>
                    </w:rPr>
                  </m:ctrlPr>
                </m:sub>
              </m:sSub>
              <m:ctrlPr>
                <w:rPr>
                  <w:rFonts w:hint="default" w:ascii="Cambria Math" w:hAnsi="Cambria Math" w:cs="Times New Roman"/>
                  <w:color w:val="auto"/>
                  <w:kern w:val="2"/>
                  <w:sz w:val="28"/>
                  <w:szCs w:val="24"/>
                  <w:lang w:val="en-US" w:eastAsia="zh-CN" w:bidi="ar-SA"/>
                </w:rPr>
              </m:ctrlPr>
            </m:e>
          </m:rad>
          <m:sSup>
            <m:sSupPr>
              <m:ctrlPr>
                <w:rPr>
                  <w:rFonts w:hint="eastAsia" w:ascii="Cambria Math" w:hAnsi="Cambria Math" w:cs="Times New Roman"/>
                  <w:color w:val="auto"/>
                  <w:kern w:val="2"/>
                  <w:sz w:val="28"/>
                  <w:szCs w:val="24"/>
                  <w:lang w:val="en-US" w:eastAsia="zh-CN" w:bidi="ar-SA"/>
                </w:rPr>
              </m:ctrlPr>
            </m:sSupPr>
            <m:e>
              <m:r>
                <m:rPr>
                  <m:sty m:val="p"/>
                </m:rPr>
                <w:rPr>
                  <w:rFonts w:hint="eastAsia" w:ascii="Cambria Math" w:hAnsi="Cambria Math" w:cs="Times New Roman"/>
                  <w:color w:val="auto"/>
                  <w:kern w:val="2"/>
                  <w:sz w:val="28"/>
                  <w:szCs w:val="24"/>
                  <w:lang w:val="en-US" w:eastAsia="zh-CN" w:bidi="ar-SA"/>
                </w:rPr>
                <m:t>m</m:t>
              </m:r>
              <m:ctrlPr>
                <w:rPr>
                  <w:rFonts w:hint="eastAsia" w:ascii="Cambria Math" w:hAnsi="Cambria Math" w:cs="Times New Roman"/>
                  <w:color w:val="auto"/>
                  <w:kern w:val="2"/>
                  <w:sz w:val="28"/>
                  <w:szCs w:val="24"/>
                  <w:lang w:val="en-US" w:eastAsia="zh-CN" w:bidi="ar-SA"/>
                </w:rPr>
              </m:ctrlPr>
            </m:e>
            <m:sup>
              <m:r>
                <m:rPr>
                  <m:sty m:val="p"/>
                </m:rPr>
                <w:rPr>
                  <w:rFonts w:hint="default" w:ascii="Cambria Math" w:hAnsi="Cambria Math" w:cs="Times New Roman"/>
                  <w:color w:val="auto"/>
                  <w:kern w:val="2"/>
                  <w:sz w:val="28"/>
                  <w:szCs w:val="24"/>
                  <w:lang w:val="en-US" w:eastAsia="zh-CN" w:bidi="ar-SA"/>
                </w:rPr>
                <m:t>3</m:t>
              </m:r>
              <m:ctrlPr>
                <w:rPr>
                  <w:rFonts w:hint="eastAsia" w:ascii="Cambria Math" w:hAnsi="Cambria Math" w:cs="Times New Roman"/>
                  <w:color w:val="auto"/>
                  <w:kern w:val="2"/>
                  <w:sz w:val="28"/>
                  <w:szCs w:val="24"/>
                  <w:lang w:val="en-US" w:eastAsia="zh-CN" w:bidi="ar-SA"/>
                </w:rPr>
              </m:ctrlPr>
            </m:sup>
          </m:sSup>
          <m:r>
            <m:rPr>
              <m:sty m:val="p"/>
            </m:rPr>
            <w:rPr>
              <w:rFonts w:hint="default" w:ascii="Cambria Math" w:hAnsi="Cambria Math" w:cs="Times New Roman"/>
              <w:color w:val="auto"/>
              <w:kern w:val="2"/>
              <w:sz w:val="28"/>
              <w:szCs w:val="24"/>
              <w:lang w:val="en-US" w:eastAsia="zh-CN" w:bidi="ar-SA"/>
            </w:rPr>
            <m:t>/</m:t>
          </m:r>
          <m:r>
            <m:rPr>
              <m:sty m:val="p"/>
            </m:rPr>
            <w:rPr>
              <w:rFonts w:hint="eastAsia" w:ascii="Cambria Math" w:hAnsi="Cambria Math" w:cs="Times New Roman"/>
              <w:color w:val="auto"/>
              <w:kern w:val="2"/>
              <w:sz w:val="28"/>
              <w:szCs w:val="24"/>
              <w:lang w:val="en-US" w:eastAsia="zh-CN" w:bidi="ar-SA"/>
            </w:rPr>
            <m:t>s</m:t>
          </m:r>
        </m:oMath>
      </m:oMathPara>
    </w:p>
    <w:p w14:paraId="258E33FE">
      <w:pPr>
        <w:bidi w:val="0"/>
        <w:rPr>
          <w:rFonts w:hint="default"/>
          <w:color w:val="auto"/>
          <w:sz w:val="24"/>
          <w:szCs w:val="24"/>
          <w:lang w:val="en-US" w:eastAsia="zh-CN"/>
        </w:rPr>
      </w:pPr>
      <w:r>
        <w:rPr>
          <w:rFonts w:hint="default"/>
          <w:color w:val="auto"/>
          <w:sz w:val="24"/>
          <w:szCs w:val="24"/>
          <w:lang w:val="en-US" w:eastAsia="zh-CN"/>
        </w:rPr>
        <w:t>式中：q</w:t>
      </w:r>
      <w:r>
        <w:rPr>
          <w:rFonts w:hint="default"/>
          <w:color w:val="auto"/>
          <w:sz w:val="24"/>
          <w:szCs w:val="24"/>
          <w:vertAlign w:val="subscript"/>
          <w:lang w:val="en-US" w:eastAsia="zh-CN"/>
        </w:rPr>
        <w:t>采</w:t>
      </w:r>
      <w:r>
        <w:rPr>
          <w:rFonts w:hint="default"/>
          <w:color w:val="auto"/>
          <w:sz w:val="24"/>
          <w:szCs w:val="24"/>
          <w:lang w:val="en-US" w:eastAsia="zh-CN"/>
        </w:rPr>
        <w:t>—采场计算风量值，m</w:t>
      </w:r>
      <w:r>
        <w:rPr>
          <w:rFonts w:hint="default"/>
          <w:color w:val="auto"/>
          <w:sz w:val="24"/>
          <w:szCs w:val="24"/>
          <w:vertAlign w:val="superscript"/>
          <w:lang w:val="en-US" w:eastAsia="zh-CN"/>
        </w:rPr>
        <w:t>3</w:t>
      </w:r>
      <w:r>
        <w:rPr>
          <w:rFonts w:hint="default"/>
          <w:color w:val="auto"/>
          <w:sz w:val="24"/>
          <w:szCs w:val="24"/>
          <w:lang w:val="en-US" w:eastAsia="zh-CN"/>
        </w:rPr>
        <w:t>/s；</w:t>
      </w:r>
    </w:p>
    <w:p w14:paraId="41ED8FE3">
      <w:pPr>
        <w:bidi w:val="0"/>
        <w:ind w:firstLine="1200" w:firstLineChars="500"/>
        <w:rPr>
          <w:rFonts w:hint="default"/>
          <w:color w:val="auto"/>
          <w:sz w:val="24"/>
          <w:szCs w:val="24"/>
          <w:lang w:val="en-US" w:eastAsia="zh-CN"/>
        </w:rPr>
      </w:pPr>
      <w:r>
        <w:rPr>
          <w:rFonts w:hint="default"/>
          <w:color w:val="auto"/>
          <w:sz w:val="24"/>
          <w:szCs w:val="24"/>
          <w:lang w:val="en-US" w:eastAsia="zh-CN"/>
        </w:rPr>
        <w:t>t—通风时间，一般取1200～2400s，取1200s；</w:t>
      </w:r>
    </w:p>
    <w:p w14:paraId="3D7DD41D">
      <w:pPr>
        <w:bidi w:val="0"/>
        <w:ind w:firstLine="1200" w:firstLineChars="500"/>
        <w:rPr>
          <w:rFonts w:hint="default"/>
          <w:color w:val="auto"/>
          <w:sz w:val="24"/>
          <w:szCs w:val="24"/>
          <w:lang w:val="en-US" w:eastAsia="zh-CN"/>
        </w:rPr>
      </w:pPr>
      <w:r>
        <w:rPr>
          <w:rFonts w:hint="default"/>
          <w:color w:val="auto"/>
          <w:sz w:val="24"/>
          <w:szCs w:val="24"/>
          <w:lang w:val="en-US" w:eastAsia="zh-CN"/>
        </w:rPr>
        <w:t>A—采场中一次爆破炸药量，kg；由炸药单耗0.3kg/t以及采场日生产能力120t/d，取最大值计算得A=30kg；</w:t>
      </w:r>
    </w:p>
    <w:p w14:paraId="71672BD7">
      <w:pPr>
        <w:bidi w:val="0"/>
        <w:ind w:firstLine="1200" w:firstLineChars="500"/>
        <w:rPr>
          <w:rFonts w:hint="default"/>
          <w:color w:val="auto"/>
          <w:sz w:val="24"/>
          <w:szCs w:val="24"/>
          <w:lang w:val="en-US" w:eastAsia="zh-CN"/>
        </w:rPr>
      </w:pPr>
      <w:r>
        <w:rPr>
          <w:rFonts w:hint="default"/>
          <w:color w:val="auto"/>
          <w:sz w:val="24"/>
          <w:szCs w:val="24"/>
          <w:lang w:val="en-US" w:eastAsia="zh-CN"/>
        </w:rPr>
        <w:t>S</w:t>
      </w:r>
      <w:r>
        <w:rPr>
          <w:rFonts w:hint="default"/>
          <w:color w:val="auto"/>
          <w:sz w:val="24"/>
          <w:szCs w:val="24"/>
          <w:vertAlign w:val="subscript"/>
          <w:lang w:val="en-US" w:eastAsia="zh-CN"/>
        </w:rPr>
        <w:t>采</w:t>
      </w:r>
      <w:r>
        <w:rPr>
          <w:rFonts w:hint="default"/>
          <w:color w:val="auto"/>
          <w:sz w:val="24"/>
          <w:szCs w:val="24"/>
          <w:lang w:val="en-US" w:eastAsia="zh-CN"/>
        </w:rPr>
        <w:t>—采场过风断面，m</w:t>
      </w:r>
      <w:r>
        <w:rPr>
          <w:rFonts w:hint="default"/>
          <w:color w:val="auto"/>
          <w:sz w:val="24"/>
          <w:szCs w:val="24"/>
          <w:vertAlign w:val="superscript"/>
          <w:lang w:val="en-US" w:eastAsia="zh-CN"/>
        </w:rPr>
        <w:t>2</w:t>
      </w:r>
      <w:r>
        <w:rPr>
          <w:rFonts w:hint="default"/>
          <w:color w:val="auto"/>
          <w:sz w:val="24"/>
          <w:szCs w:val="24"/>
          <w:lang w:val="en-US" w:eastAsia="zh-CN"/>
        </w:rPr>
        <w:t>；根据采场平均水平厚度3m，回采工作面高度10m，得S</w:t>
      </w:r>
      <w:r>
        <w:rPr>
          <w:rFonts w:hint="default"/>
          <w:color w:val="auto"/>
          <w:sz w:val="24"/>
          <w:szCs w:val="24"/>
          <w:vertAlign w:val="subscript"/>
          <w:lang w:val="en-US" w:eastAsia="zh-CN"/>
        </w:rPr>
        <w:t>采</w:t>
      </w:r>
      <w:r>
        <w:rPr>
          <w:rFonts w:hint="default"/>
          <w:color w:val="auto"/>
          <w:sz w:val="24"/>
          <w:szCs w:val="24"/>
          <w:lang w:val="en-US" w:eastAsia="zh-CN"/>
        </w:rPr>
        <w:t>=30m</w:t>
      </w:r>
      <w:r>
        <w:rPr>
          <w:rFonts w:hint="default"/>
          <w:color w:val="auto"/>
          <w:sz w:val="24"/>
          <w:szCs w:val="24"/>
          <w:vertAlign w:val="superscript"/>
          <w:lang w:val="en-US" w:eastAsia="zh-CN"/>
        </w:rPr>
        <w:t>2</w:t>
      </w:r>
      <w:r>
        <w:rPr>
          <w:rFonts w:hint="default"/>
          <w:color w:val="auto"/>
          <w:sz w:val="24"/>
          <w:szCs w:val="24"/>
          <w:lang w:val="en-US" w:eastAsia="zh-CN"/>
        </w:rPr>
        <w:t>；</w:t>
      </w:r>
    </w:p>
    <w:p w14:paraId="2CD77B40">
      <w:pPr>
        <w:bidi w:val="0"/>
        <w:ind w:firstLine="1200" w:firstLineChars="500"/>
        <w:rPr>
          <w:rFonts w:hint="default"/>
          <w:color w:val="auto"/>
          <w:sz w:val="24"/>
          <w:szCs w:val="24"/>
          <w:lang w:val="en-US" w:eastAsia="zh-CN"/>
        </w:rPr>
      </w:pPr>
      <w:r>
        <w:rPr>
          <w:rFonts w:hint="default"/>
          <w:color w:val="auto"/>
          <w:sz w:val="24"/>
          <w:szCs w:val="24"/>
          <w:lang w:val="en-US" w:eastAsia="zh-CN"/>
        </w:rPr>
        <w:t>L</w:t>
      </w:r>
      <w:r>
        <w:rPr>
          <w:rFonts w:hint="default"/>
          <w:color w:val="auto"/>
          <w:sz w:val="24"/>
          <w:szCs w:val="24"/>
          <w:vertAlign w:val="subscript"/>
          <w:lang w:val="en-US" w:eastAsia="zh-CN"/>
        </w:rPr>
        <w:t>烟</w:t>
      </w:r>
      <w:r>
        <w:rPr>
          <w:rFonts w:hint="default"/>
          <w:color w:val="auto"/>
          <w:sz w:val="24"/>
          <w:szCs w:val="24"/>
          <w:lang w:val="en-US" w:eastAsia="zh-CN"/>
        </w:rPr>
        <w:t>—采场爆破后炮眼中心至回风巷道距离，取25m。</w:t>
      </w:r>
    </w:p>
    <w:p w14:paraId="4A168B8A">
      <w:pPr>
        <w:bidi w:val="0"/>
        <w:rPr>
          <w:rFonts w:hint="default"/>
          <w:color w:val="auto"/>
          <w:lang w:val="en-US" w:eastAsia="zh-CN"/>
        </w:rPr>
      </w:pPr>
      <w:r>
        <w:rPr>
          <w:rFonts w:hint="default"/>
          <w:color w:val="auto"/>
          <w:lang w:val="en-US" w:eastAsia="zh-CN"/>
        </w:rPr>
        <w:t>将上面各值代入公式中，计算得排烟需风量：q</w:t>
      </w:r>
      <w:r>
        <w:rPr>
          <w:rFonts w:hint="default"/>
          <w:color w:val="auto"/>
          <w:vertAlign w:val="subscript"/>
          <w:lang w:val="en-US" w:eastAsia="zh-CN"/>
        </w:rPr>
        <w:t>采</w:t>
      </w:r>
      <w:r>
        <w:rPr>
          <w:rFonts w:hint="default"/>
          <w:color w:val="auto"/>
          <w:lang w:val="en-US" w:eastAsia="zh-CN"/>
        </w:rPr>
        <w:t>=3.19m</w:t>
      </w:r>
      <w:r>
        <w:rPr>
          <w:rFonts w:hint="default"/>
          <w:color w:val="auto"/>
          <w:vertAlign w:val="superscript"/>
          <w:lang w:val="en-US" w:eastAsia="zh-CN"/>
        </w:rPr>
        <w:t>3</w:t>
      </w:r>
      <w:r>
        <w:rPr>
          <w:rFonts w:hint="default"/>
          <w:color w:val="auto"/>
          <w:lang w:val="en-US" w:eastAsia="zh-CN"/>
        </w:rPr>
        <w:t>/s。</w:t>
      </w:r>
    </w:p>
    <w:p w14:paraId="6602AF76">
      <w:pPr>
        <w:bidi w:val="0"/>
        <w:rPr>
          <w:rFonts w:hint="default"/>
          <w:color w:val="auto"/>
          <w:lang w:val="en-US" w:eastAsia="zh-CN"/>
        </w:rPr>
      </w:pPr>
      <w:r>
        <w:rPr>
          <w:rFonts w:hint="default"/>
          <w:color w:val="auto"/>
          <w:lang w:val="en-US" w:eastAsia="zh-CN"/>
        </w:rPr>
        <w:t>上述二项计算较大值。选取大值为q</w:t>
      </w:r>
      <w:r>
        <w:rPr>
          <w:rFonts w:hint="default"/>
          <w:color w:val="auto"/>
          <w:vertAlign w:val="subscript"/>
          <w:lang w:val="en-US" w:eastAsia="zh-CN"/>
        </w:rPr>
        <w:t>采</w:t>
      </w:r>
      <w:r>
        <w:rPr>
          <w:rFonts w:hint="default"/>
          <w:color w:val="auto"/>
          <w:lang w:val="en-US" w:eastAsia="zh-CN"/>
        </w:rPr>
        <w:t>=4m</w:t>
      </w:r>
      <w:r>
        <w:rPr>
          <w:rFonts w:hint="default"/>
          <w:color w:val="auto"/>
          <w:vertAlign w:val="superscript"/>
          <w:lang w:val="en-US" w:eastAsia="zh-CN"/>
        </w:rPr>
        <w:t>3</w:t>
      </w:r>
      <w:r>
        <w:rPr>
          <w:rFonts w:hint="default"/>
          <w:color w:val="auto"/>
          <w:lang w:val="en-US" w:eastAsia="zh-CN"/>
        </w:rPr>
        <w:t>/s。</w:t>
      </w:r>
    </w:p>
    <w:p w14:paraId="409CD6F6">
      <w:pPr>
        <w:bidi w:val="0"/>
        <w:rPr>
          <w:rFonts w:hint="default"/>
          <w:color w:val="auto"/>
          <w:lang w:val="en-US" w:eastAsia="zh-CN"/>
        </w:rPr>
      </w:pPr>
      <w:r>
        <w:rPr>
          <w:rFonts w:hint="default"/>
          <w:color w:val="auto"/>
          <w:lang w:val="en-US" w:eastAsia="zh-CN"/>
        </w:rPr>
        <w:t>同时回采工作面为8个，所需风量为：</w:t>
      </w:r>
    </w:p>
    <w:p w14:paraId="6DDA5D6C">
      <w:pPr>
        <w:bidi w:val="0"/>
        <w:ind w:left="0" w:leftChars="0" w:firstLine="0" w:firstLineChars="0"/>
        <w:jc w:val="center"/>
        <w:rPr>
          <w:rFonts w:hint="default"/>
          <w:color w:val="auto"/>
          <w:lang w:val="en-US" w:eastAsia="zh-CN"/>
        </w:rPr>
      </w:pPr>
      <w:r>
        <w:rPr>
          <w:rFonts w:hint="default"/>
          <w:color w:val="auto"/>
          <w:lang w:val="en-US" w:eastAsia="zh-CN"/>
        </w:rPr>
        <w:t>Q</w:t>
      </w:r>
      <w:r>
        <w:rPr>
          <w:rFonts w:hint="default"/>
          <w:color w:val="auto"/>
          <w:vertAlign w:val="subscript"/>
          <w:lang w:val="en-US" w:eastAsia="zh-CN"/>
        </w:rPr>
        <w:t>1</w:t>
      </w:r>
      <w:r>
        <w:rPr>
          <w:rFonts w:hint="default"/>
          <w:color w:val="auto"/>
          <w:lang w:val="en-US" w:eastAsia="zh-CN"/>
        </w:rPr>
        <w:t>=4</w:t>
      </w:r>
      <w:r>
        <w:rPr>
          <w:rFonts w:hint="eastAsia" w:ascii="宋体" w:hAnsi="宋体" w:eastAsia="宋体" w:cs="宋体"/>
          <w:color w:val="auto"/>
          <w:lang w:val="en-US" w:eastAsia="zh-CN"/>
        </w:rPr>
        <w:t>×</w:t>
      </w:r>
      <w:r>
        <w:rPr>
          <w:rFonts w:hint="default"/>
          <w:color w:val="auto"/>
          <w:lang w:val="en-US" w:eastAsia="zh-CN"/>
        </w:rPr>
        <w:t>8=32m</w:t>
      </w:r>
      <w:r>
        <w:rPr>
          <w:rFonts w:hint="default"/>
          <w:color w:val="auto"/>
          <w:vertAlign w:val="superscript"/>
          <w:lang w:val="en-US" w:eastAsia="zh-CN"/>
        </w:rPr>
        <w:t>3</w:t>
      </w:r>
      <w:r>
        <w:rPr>
          <w:rFonts w:hint="default"/>
          <w:color w:val="auto"/>
          <w:lang w:val="en-US" w:eastAsia="zh-CN"/>
        </w:rPr>
        <w:t>/s</w:t>
      </w:r>
    </w:p>
    <w:p w14:paraId="524D008E">
      <w:pPr>
        <w:bidi w:val="0"/>
        <w:rPr>
          <w:rFonts w:hint="default"/>
          <w:color w:val="auto"/>
          <w:lang w:val="en-US" w:eastAsia="zh-CN"/>
        </w:rPr>
      </w:pPr>
      <w:r>
        <w:rPr>
          <w:rFonts w:hint="default"/>
          <w:color w:val="auto"/>
          <w:lang w:val="en-US" w:eastAsia="zh-CN"/>
        </w:rPr>
        <w:t>备采工作面3个，其风量可取回采工作面风量的一半。所需风量为：</w:t>
      </w:r>
    </w:p>
    <w:p w14:paraId="6AD766BC">
      <w:pPr>
        <w:bidi w:val="0"/>
        <w:ind w:left="0" w:leftChars="0" w:firstLine="0" w:firstLineChars="0"/>
        <w:jc w:val="center"/>
        <w:rPr>
          <w:rFonts w:hint="default"/>
          <w:color w:val="auto"/>
          <w:lang w:val="en-US" w:eastAsia="zh-CN"/>
        </w:rPr>
      </w:pPr>
      <w:r>
        <w:rPr>
          <w:rFonts w:hint="default"/>
          <w:color w:val="auto"/>
          <w:lang w:val="en-US" w:eastAsia="zh-CN"/>
        </w:rPr>
        <w:t>Q</w:t>
      </w:r>
      <w:r>
        <w:rPr>
          <w:rFonts w:hint="eastAsia" w:ascii="Times New Roman" w:eastAsia="宋体"/>
          <w:color w:val="auto"/>
          <w:vertAlign w:val="subscript"/>
          <w:lang w:val="en-US" w:eastAsia="zh-CN"/>
        </w:rPr>
        <w:t>2</w:t>
      </w:r>
      <w:r>
        <w:rPr>
          <w:rFonts w:hint="default"/>
          <w:color w:val="auto"/>
          <w:lang w:val="en-US" w:eastAsia="zh-CN"/>
        </w:rPr>
        <w:t>=4</w:t>
      </w:r>
      <w:r>
        <w:rPr>
          <w:rFonts w:hint="eastAsia" w:ascii="宋体" w:hAnsi="宋体" w:eastAsia="宋体" w:cs="宋体"/>
          <w:color w:val="auto"/>
          <w:lang w:val="en-US" w:eastAsia="zh-CN"/>
        </w:rPr>
        <w:t>×</w:t>
      </w:r>
      <w:r>
        <w:rPr>
          <w:rFonts w:hint="default"/>
          <w:color w:val="auto"/>
          <w:lang w:val="en-US" w:eastAsia="zh-CN"/>
        </w:rPr>
        <w:t>4</w:t>
      </w:r>
      <w:r>
        <w:rPr>
          <w:rFonts w:hint="eastAsia" w:ascii="宋体" w:hAnsi="宋体" w:eastAsia="宋体" w:cs="宋体"/>
          <w:color w:val="auto"/>
          <w:lang w:val="en-US" w:eastAsia="zh-CN"/>
        </w:rPr>
        <w:t>×</w:t>
      </w:r>
      <w:r>
        <w:rPr>
          <w:rFonts w:hint="default"/>
          <w:color w:val="auto"/>
          <w:lang w:val="en-US" w:eastAsia="zh-CN"/>
        </w:rPr>
        <w:t>0.5=</w:t>
      </w:r>
      <w:r>
        <w:rPr>
          <w:rFonts w:ascii="Times New Roman" w:hAnsi="Times New Roman" w:eastAsia="Times New Roman" w:cs="Times New Roman"/>
          <w:color w:val="auto"/>
          <w:spacing w:val="4"/>
          <w:sz w:val="27"/>
          <w:szCs w:val="27"/>
        </w:rPr>
        <w:t>8</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/s</w:t>
      </w:r>
    </w:p>
    <w:p w14:paraId="08CCD3D8">
      <w:pPr>
        <w:bidi w:val="0"/>
        <w:rPr>
          <w:rFonts w:hint="default"/>
          <w:color w:val="auto"/>
          <w:lang w:val="en-US" w:eastAsia="zh-CN"/>
        </w:rPr>
      </w:pPr>
      <w:r>
        <w:rPr>
          <w:rFonts w:hint="eastAsia" w:ascii="Times New Roman" w:hAnsi="Times New Roman" w:eastAsia="宋体" w:cs="Times New Roman"/>
          <w:color w:val="auto"/>
          <w:spacing w:val="-2"/>
          <w:sz w:val="27"/>
          <w:szCs w:val="27"/>
          <w:lang w:val="en-US" w:eastAsia="zh-CN"/>
        </w:rPr>
        <w:t>（</w:t>
      </w:r>
      <w:r>
        <w:rPr>
          <w:rFonts w:hint="eastAsia" w:eastAsia="宋体" w:cs="Times New Roman"/>
          <w:color w:val="auto"/>
          <w:spacing w:val="-2"/>
          <w:sz w:val="27"/>
          <w:szCs w:val="27"/>
          <w:lang w:val="en-US" w:eastAsia="zh-CN"/>
        </w:rPr>
        <w:t>2</w:t>
      </w:r>
      <w:r>
        <w:rPr>
          <w:rFonts w:ascii="仿宋" w:hAnsi="仿宋" w:eastAsia="仿宋" w:cs="仿宋"/>
          <w:color w:val="auto"/>
          <w:spacing w:val="-2"/>
          <w:sz w:val="27"/>
          <w:szCs w:val="27"/>
        </w:rPr>
        <w:t>）</w:t>
      </w:r>
      <w:r>
        <w:rPr>
          <w:rFonts w:hint="default"/>
          <w:color w:val="auto"/>
          <w:lang w:val="en-US" w:eastAsia="zh-CN"/>
        </w:rPr>
        <w:t>掘进工作面风量计算</w:t>
      </w:r>
    </w:p>
    <w:p w14:paraId="624A2525">
      <w:pPr>
        <w:bidi w:val="0"/>
        <w:rPr>
          <w:rFonts w:hint="default"/>
          <w:color w:val="auto"/>
          <w:lang w:val="en-US" w:eastAsia="zh-CN"/>
        </w:rPr>
      </w:pPr>
      <w:r>
        <w:rPr>
          <w:rFonts w:hint="default"/>
          <w:color w:val="auto"/>
          <w:lang w:val="en-US" w:eastAsia="zh-CN"/>
        </w:rPr>
        <w:t>该矿最大掘进面的规格为12.87m</w:t>
      </w:r>
      <w:r>
        <w:rPr>
          <w:rFonts w:hint="default"/>
          <w:color w:val="auto"/>
          <w:vertAlign w:val="superscript"/>
          <w:lang w:val="en-US" w:eastAsia="zh-CN"/>
        </w:rPr>
        <w:t>2</w:t>
      </w:r>
      <w:r>
        <w:rPr>
          <w:rFonts w:hint="default"/>
          <w:color w:val="auto"/>
          <w:lang w:val="en-US" w:eastAsia="zh-CN"/>
        </w:rPr>
        <w:t>，掘进断面为</w:t>
      </w:r>
      <w:r>
        <w:rPr>
          <w:rFonts w:hint="eastAsia" w:ascii="宋体" w:hAnsi="宋体" w:eastAsia="宋体" w:cs="宋体"/>
          <w:color w:val="auto"/>
          <w:lang w:val="en-US" w:eastAsia="zh-CN"/>
        </w:rPr>
        <w:t>＞</w:t>
      </w:r>
      <w:r>
        <w:rPr>
          <w:rFonts w:hint="default"/>
          <w:color w:val="auto"/>
          <w:lang w:val="en-US" w:eastAsia="zh-CN"/>
        </w:rPr>
        <w:t>9m</w:t>
      </w:r>
      <w:r>
        <w:rPr>
          <w:rFonts w:hint="default"/>
          <w:color w:val="auto"/>
          <w:vertAlign w:val="superscript"/>
          <w:lang w:val="en-US" w:eastAsia="zh-CN"/>
        </w:rPr>
        <w:t>2</w:t>
      </w:r>
      <w:r>
        <w:rPr>
          <w:rFonts w:hint="default"/>
          <w:color w:val="auto"/>
          <w:lang w:val="en-US" w:eastAsia="zh-CN"/>
        </w:rPr>
        <w:t>，查表得掘进工作面风量值：</w:t>
      </w:r>
      <w:r>
        <w:rPr>
          <w:rFonts w:hint="eastAsia" w:ascii="宋体" w:hAnsi="宋体" w:eastAsia="宋体" w:cs="宋体"/>
          <w:color w:val="auto"/>
          <w:lang w:val="en-US" w:eastAsia="zh-CN"/>
        </w:rPr>
        <w:t>＞</w:t>
      </w:r>
      <w:r>
        <w:rPr>
          <w:rFonts w:hint="default"/>
          <w:color w:val="auto"/>
          <w:lang w:val="en-US" w:eastAsia="zh-CN"/>
        </w:rPr>
        <w:t>2.5m</w:t>
      </w:r>
      <w:r>
        <w:rPr>
          <w:rFonts w:hint="default"/>
          <w:color w:val="auto"/>
          <w:vertAlign w:val="superscript"/>
          <w:lang w:val="en-US" w:eastAsia="zh-CN"/>
        </w:rPr>
        <w:t>3</w:t>
      </w:r>
      <w:r>
        <w:rPr>
          <w:rFonts w:hint="default"/>
          <w:color w:val="auto"/>
          <w:lang w:val="en-US" w:eastAsia="zh-CN"/>
        </w:rPr>
        <w:t>/s，取Q</w:t>
      </w:r>
      <w:r>
        <w:rPr>
          <w:rFonts w:hint="default"/>
          <w:color w:val="auto"/>
          <w:vertAlign w:val="subscript"/>
          <w:lang w:val="en-US" w:eastAsia="zh-CN"/>
        </w:rPr>
        <w:t>掘进</w:t>
      </w:r>
      <w:r>
        <w:rPr>
          <w:rFonts w:hint="default"/>
          <w:color w:val="auto"/>
          <w:lang w:val="en-US" w:eastAsia="zh-CN"/>
        </w:rPr>
        <w:t>=3m</w:t>
      </w:r>
      <w:r>
        <w:rPr>
          <w:rFonts w:hint="default"/>
          <w:color w:val="auto"/>
          <w:vertAlign w:val="superscript"/>
          <w:lang w:val="en-US" w:eastAsia="zh-CN"/>
        </w:rPr>
        <w:t>3</w:t>
      </w:r>
      <w:r>
        <w:rPr>
          <w:rFonts w:hint="default"/>
          <w:color w:val="auto"/>
          <w:lang w:val="en-US" w:eastAsia="zh-CN"/>
        </w:rPr>
        <w:t>/s。</w:t>
      </w:r>
    </w:p>
    <w:p w14:paraId="77A8CB05">
      <w:pPr>
        <w:bidi w:val="0"/>
        <w:rPr>
          <w:rFonts w:hint="default"/>
          <w:color w:val="auto"/>
          <w:lang w:val="en-US" w:eastAsia="zh-CN"/>
        </w:rPr>
      </w:pPr>
      <w:r>
        <w:rPr>
          <w:rFonts w:hint="eastAsia" w:ascii="Times New Roman" w:hAnsi="Times New Roman" w:eastAsia="宋体" w:cs="Times New Roman"/>
          <w:color w:val="auto"/>
          <w:spacing w:val="-2"/>
          <w:sz w:val="27"/>
          <w:szCs w:val="27"/>
          <w:lang w:val="en-US" w:eastAsia="zh-CN"/>
        </w:rPr>
        <w:t>（</w:t>
      </w:r>
      <w:r>
        <w:rPr>
          <w:rFonts w:hint="default"/>
          <w:color w:val="auto"/>
          <w:lang w:val="en-US" w:eastAsia="zh-CN"/>
        </w:rPr>
        <w:t>3）其它用风点</w:t>
      </w:r>
    </w:p>
    <w:p w14:paraId="3E12AADD">
      <w:pPr>
        <w:bidi w:val="0"/>
        <w:rPr>
          <w:rFonts w:hint="eastAsia"/>
          <w:color w:val="auto"/>
          <w:lang w:val="en-US" w:eastAsia="zh-CN"/>
        </w:rPr>
      </w:pPr>
      <w:r>
        <w:rPr>
          <w:rFonts w:hint="eastAsia" w:ascii="Times New Roman" w:eastAsia="宋体"/>
          <w:color w:val="auto"/>
          <w:lang w:val="en-US" w:eastAsia="zh-CN"/>
        </w:rPr>
        <w:t>水泵房及服务硐室需风量Q</w:t>
      </w:r>
      <w:r>
        <w:rPr>
          <w:rFonts w:hint="eastAsia" w:ascii="Times New Roman" w:eastAsia="宋体"/>
          <w:color w:val="auto"/>
          <w:vertAlign w:val="subscript"/>
          <w:lang w:val="en-US" w:eastAsia="zh-CN"/>
        </w:rPr>
        <w:t>其它</w:t>
      </w:r>
      <w:r>
        <w:rPr>
          <w:rFonts w:hint="eastAsia" w:ascii="Times New Roman" w:eastAsia="宋体"/>
          <w:color w:val="auto"/>
          <w:lang w:val="en-US" w:eastAsia="zh-CN"/>
        </w:rPr>
        <w:t>=3m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w:t>
      </w:r>
    </w:p>
    <w:p w14:paraId="2E14605D">
      <w:pPr>
        <w:bidi w:val="0"/>
        <w:rPr>
          <w:rFonts w:hint="eastAsia"/>
          <w:color w:val="auto"/>
          <w:lang w:val="en-US" w:eastAsia="zh-CN"/>
        </w:rPr>
      </w:pPr>
      <w:r>
        <w:rPr>
          <w:rFonts w:hint="eastAsia" w:ascii="Times New Roman" w:hAnsi="Times New Roman" w:eastAsia="宋体" w:cs="Times New Roman"/>
          <w:color w:val="auto"/>
          <w:spacing w:val="-2"/>
          <w:sz w:val="27"/>
          <w:szCs w:val="27"/>
          <w:lang w:val="en-US" w:eastAsia="zh-CN"/>
        </w:rPr>
        <w:t>（</w:t>
      </w:r>
      <w:r>
        <w:rPr>
          <w:rFonts w:hint="eastAsia" w:ascii="Times New Roman" w:eastAsia="宋体"/>
          <w:color w:val="auto"/>
          <w:lang w:val="en-US" w:eastAsia="zh-CN"/>
        </w:rPr>
        <w:t>4）根据以上计算所得全矿总风量见表</w:t>
      </w:r>
      <w:r>
        <w:rPr>
          <w:rFonts w:hint="eastAsia"/>
          <w:color w:val="auto"/>
          <w:lang w:val="en-US" w:eastAsia="zh-CN"/>
        </w:rPr>
        <w:t>3.6</w:t>
      </w:r>
      <w:r>
        <w:rPr>
          <w:rFonts w:hint="eastAsia" w:ascii="Times New Roman" w:eastAsia="宋体"/>
          <w:color w:val="auto"/>
          <w:lang w:val="en-US" w:eastAsia="zh-CN"/>
        </w:rPr>
        <w:t>-</w:t>
      </w:r>
      <w:r>
        <w:rPr>
          <w:rFonts w:hint="eastAsia"/>
          <w:color w:val="auto"/>
          <w:lang w:val="en-US" w:eastAsia="zh-CN"/>
        </w:rPr>
        <w:t>3</w:t>
      </w:r>
      <w:r>
        <w:rPr>
          <w:rFonts w:hint="eastAsia" w:ascii="Times New Roman" w:eastAsia="宋体"/>
          <w:color w:val="auto"/>
          <w:lang w:val="en-US" w:eastAsia="zh-CN"/>
        </w:rPr>
        <w:t>。</w:t>
      </w:r>
    </w:p>
    <w:p w14:paraId="366F4544">
      <w:pPr>
        <w:bidi w:val="0"/>
        <w:ind w:left="0" w:leftChars="0" w:firstLine="0" w:firstLineChars="0"/>
        <w:jc w:val="center"/>
        <w:rPr>
          <w:rFonts w:hint="eastAsia"/>
          <w:color w:val="auto"/>
          <w:lang w:val="en-US" w:eastAsia="zh-CN"/>
        </w:rPr>
      </w:pPr>
      <w:r>
        <w:rPr>
          <w:rFonts w:hint="eastAsia" w:ascii="Times New Roman" w:eastAsia="宋体"/>
          <w:color w:val="auto"/>
          <w:lang w:val="en-US" w:eastAsia="zh-CN"/>
        </w:rPr>
        <w:t>表</w:t>
      </w:r>
      <w:r>
        <w:rPr>
          <w:rFonts w:hint="eastAsia"/>
          <w:color w:val="auto"/>
          <w:lang w:val="en-US" w:eastAsia="zh-CN"/>
        </w:rPr>
        <w:t>3.6</w:t>
      </w:r>
      <w:r>
        <w:rPr>
          <w:rFonts w:hint="eastAsia" w:ascii="Times New Roman" w:eastAsia="宋体"/>
          <w:color w:val="auto"/>
          <w:lang w:val="en-US" w:eastAsia="zh-CN"/>
        </w:rPr>
        <w:t>-</w:t>
      </w:r>
      <w:r>
        <w:rPr>
          <w:rFonts w:hint="eastAsia"/>
          <w:color w:val="auto"/>
          <w:lang w:val="en-US" w:eastAsia="zh-CN"/>
        </w:rPr>
        <w:t>3</w:t>
      </w:r>
      <w:r>
        <w:rPr>
          <w:rFonts w:hint="eastAsia" w:ascii="Times New Roman" w:eastAsia="宋体"/>
          <w:color w:val="auto"/>
          <w:lang w:val="en-US" w:eastAsia="zh-CN"/>
        </w:rPr>
        <w:t xml:space="preserve"> 需风量情况表</w:t>
      </w:r>
    </w:p>
    <w:tbl>
      <w:tblPr>
        <w:tblStyle w:val="36"/>
        <w:tblW w:w="9100"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1"/>
        <w:gridCol w:w="2601"/>
        <w:gridCol w:w="1451"/>
        <w:gridCol w:w="1770"/>
        <w:gridCol w:w="2060"/>
        <w:gridCol w:w="607"/>
      </w:tblGrid>
      <w:tr w14:paraId="6781A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11" w:type="dxa"/>
            <w:tcBorders>
              <w:top w:val="single" w:color="000000" w:sz="12" w:space="0"/>
              <w:left w:val="single" w:color="000000" w:sz="12" w:space="0"/>
            </w:tcBorders>
            <w:vAlign w:val="center"/>
          </w:tcPr>
          <w:p w14:paraId="716E354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序号</w:t>
            </w:r>
          </w:p>
        </w:tc>
        <w:tc>
          <w:tcPr>
            <w:tcW w:w="2601" w:type="dxa"/>
            <w:tcBorders>
              <w:top w:val="single" w:color="000000" w:sz="12" w:space="0"/>
            </w:tcBorders>
            <w:vAlign w:val="center"/>
          </w:tcPr>
          <w:p w14:paraId="49EF0DF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用风项目</w:t>
            </w:r>
          </w:p>
        </w:tc>
        <w:tc>
          <w:tcPr>
            <w:tcW w:w="1451" w:type="dxa"/>
            <w:tcBorders>
              <w:top w:val="single" w:color="000000" w:sz="12" w:space="0"/>
            </w:tcBorders>
            <w:vAlign w:val="center"/>
          </w:tcPr>
          <w:p w14:paraId="586963E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用风点数目</w:t>
            </w:r>
          </w:p>
        </w:tc>
        <w:tc>
          <w:tcPr>
            <w:tcW w:w="1770" w:type="dxa"/>
            <w:tcBorders>
              <w:top w:val="single" w:color="000000" w:sz="12" w:space="0"/>
            </w:tcBorders>
            <w:vAlign w:val="center"/>
          </w:tcPr>
          <w:p w14:paraId="78A6213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用风量（m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/s）</w:t>
            </w:r>
          </w:p>
        </w:tc>
        <w:tc>
          <w:tcPr>
            <w:tcW w:w="2060" w:type="dxa"/>
            <w:tcBorders>
              <w:top w:val="single" w:color="000000" w:sz="12" w:space="0"/>
            </w:tcBorders>
            <w:vAlign w:val="center"/>
          </w:tcPr>
          <w:p w14:paraId="4B16DA2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总需风量（m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/s）</w:t>
            </w:r>
          </w:p>
        </w:tc>
        <w:tc>
          <w:tcPr>
            <w:tcW w:w="607" w:type="dxa"/>
            <w:tcBorders>
              <w:top w:val="single" w:color="000000" w:sz="12" w:space="0"/>
              <w:right w:val="single" w:color="000000" w:sz="12" w:space="0"/>
            </w:tcBorders>
            <w:vAlign w:val="center"/>
          </w:tcPr>
          <w:p w14:paraId="57506BA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备注</w:t>
            </w:r>
          </w:p>
        </w:tc>
      </w:tr>
      <w:tr w14:paraId="5789B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611" w:type="dxa"/>
            <w:tcBorders>
              <w:left w:val="single" w:color="000000" w:sz="12" w:space="0"/>
            </w:tcBorders>
            <w:vAlign w:val="center"/>
          </w:tcPr>
          <w:p w14:paraId="22FA1B2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w:t>
            </w:r>
          </w:p>
        </w:tc>
        <w:tc>
          <w:tcPr>
            <w:tcW w:w="2601" w:type="dxa"/>
            <w:vAlign w:val="center"/>
          </w:tcPr>
          <w:p w14:paraId="6B01E5B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采矿工作面</w:t>
            </w:r>
          </w:p>
        </w:tc>
        <w:tc>
          <w:tcPr>
            <w:tcW w:w="1451" w:type="dxa"/>
            <w:vAlign w:val="center"/>
          </w:tcPr>
          <w:p w14:paraId="7007072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8</w:t>
            </w:r>
          </w:p>
        </w:tc>
        <w:tc>
          <w:tcPr>
            <w:tcW w:w="1770" w:type="dxa"/>
            <w:vAlign w:val="center"/>
          </w:tcPr>
          <w:p w14:paraId="0962258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4</w:t>
            </w:r>
          </w:p>
        </w:tc>
        <w:tc>
          <w:tcPr>
            <w:tcW w:w="2060" w:type="dxa"/>
            <w:vAlign w:val="center"/>
          </w:tcPr>
          <w:p w14:paraId="2EF84A2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32</w:t>
            </w:r>
          </w:p>
        </w:tc>
        <w:tc>
          <w:tcPr>
            <w:tcW w:w="607" w:type="dxa"/>
            <w:tcBorders>
              <w:right w:val="single" w:color="000000" w:sz="12" w:space="0"/>
            </w:tcBorders>
            <w:vAlign w:val="center"/>
          </w:tcPr>
          <w:p w14:paraId="57831C9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r w14:paraId="12ACA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11" w:type="dxa"/>
            <w:tcBorders>
              <w:left w:val="single" w:color="000000" w:sz="12" w:space="0"/>
            </w:tcBorders>
            <w:vAlign w:val="center"/>
          </w:tcPr>
          <w:p w14:paraId="34A8CF1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2601" w:type="dxa"/>
            <w:vAlign w:val="center"/>
          </w:tcPr>
          <w:p w14:paraId="6763253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备采工作面</w:t>
            </w:r>
          </w:p>
        </w:tc>
        <w:tc>
          <w:tcPr>
            <w:tcW w:w="1451" w:type="dxa"/>
            <w:vAlign w:val="center"/>
          </w:tcPr>
          <w:p w14:paraId="48D47A0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4</w:t>
            </w:r>
          </w:p>
        </w:tc>
        <w:tc>
          <w:tcPr>
            <w:tcW w:w="1770" w:type="dxa"/>
            <w:vAlign w:val="center"/>
          </w:tcPr>
          <w:p w14:paraId="7BF7AE2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2</w:t>
            </w:r>
          </w:p>
        </w:tc>
        <w:tc>
          <w:tcPr>
            <w:tcW w:w="2060" w:type="dxa"/>
            <w:vAlign w:val="center"/>
          </w:tcPr>
          <w:p w14:paraId="79519D1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8</w:t>
            </w:r>
          </w:p>
        </w:tc>
        <w:tc>
          <w:tcPr>
            <w:tcW w:w="607" w:type="dxa"/>
            <w:tcBorders>
              <w:right w:val="single" w:color="000000" w:sz="12" w:space="0"/>
            </w:tcBorders>
            <w:vAlign w:val="center"/>
          </w:tcPr>
          <w:p w14:paraId="023884F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r w14:paraId="56BC0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11" w:type="dxa"/>
            <w:tcBorders>
              <w:left w:val="single" w:color="000000" w:sz="12" w:space="0"/>
            </w:tcBorders>
            <w:vAlign w:val="center"/>
          </w:tcPr>
          <w:p w14:paraId="446BD6E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2</w:t>
            </w:r>
          </w:p>
        </w:tc>
        <w:tc>
          <w:tcPr>
            <w:tcW w:w="2601" w:type="dxa"/>
            <w:vAlign w:val="center"/>
          </w:tcPr>
          <w:p w14:paraId="14E13F59">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掘进工作面</w:t>
            </w:r>
          </w:p>
        </w:tc>
        <w:tc>
          <w:tcPr>
            <w:tcW w:w="1451" w:type="dxa"/>
            <w:vAlign w:val="center"/>
          </w:tcPr>
          <w:p w14:paraId="12627A3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4</w:t>
            </w:r>
          </w:p>
        </w:tc>
        <w:tc>
          <w:tcPr>
            <w:tcW w:w="1770" w:type="dxa"/>
            <w:vAlign w:val="center"/>
          </w:tcPr>
          <w:p w14:paraId="1932B27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w:t>
            </w:r>
          </w:p>
        </w:tc>
        <w:tc>
          <w:tcPr>
            <w:tcW w:w="2060" w:type="dxa"/>
            <w:vAlign w:val="center"/>
          </w:tcPr>
          <w:p w14:paraId="62BE15D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12</w:t>
            </w:r>
          </w:p>
        </w:tc>
        <w:tc>
          <w:tcPr>
            <w:tcW w:w="607" w:type="dxa"/>
            <w:tcBorders>
              <w:right w:val="single" w:color="000000" w:sz="12" w:space="0"/>
            </w:tcBorders>
            <w:vAlign w:val="center"/>
          </w:tcPr>
          <w:p w14:paraId="40DFF9DE">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r w14:paraId="75D28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11" w:type="dxa"/>
            <w:tcBorders>
              <w:left w:val="single" w:color="000000" w:sz="12" w:space="0"/>
            </w:tcBorders>
            <w:vAlign w:val="center"/>
          </w:tcPr>
          <w:p w14:paraId="332EFDD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w:t>
            </w:r>
          </w:p>
        </w:tc>
        <w:tc>
          <w:tcPr>
            <w:tcW w:w="2601" w:type="dxa"/>
            <w:vAlign w:val="center"/>
          </w:tcPr>
          <w:p w14:paraId="49414F19">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其它用风点</w:t>
            </w:r>
          </w:p>
        </w:tc>
        <w:tc>
          <w:tcPr>
            <w:tcW w:w="1451" w:type="dxa"/>
            <w:vAlign w:val="center"/>
          </w:tcPr>
          <w:p w14:paraId="2C64CAE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1770" w:type="dxa"/>
            <w:vAlign w:val="center"/>
          </w:tcPr>
          <w:p w14:paraId="0BC053F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w:t>
            </w:r>
          </w:p>
        </w:tc>
        <w:tc>
          <w:tcPr>
            <w:tcW w:w="2060" w:type="dxa"/>
            <w:vAlign w:val="center"/>
          </w:tcPr>
          <w:p w14:paraId="011D75C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3</w:t>
            </w:r>
          </w:p>
        </w:tc>
        <w:tc>
          <w:tcPr>
            <w:tcW w:w="607" w:type="dxa"/>
            <w:tcBorders>
              <w:right w:val="single" w:color="000000" w:sz="12" w:space="0"/>
            </w:tcBorders>
            <w:vAlign w:val="center"/>
          </w:tcPr>
          <w:p w14:paraId="01AE5A8D">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r w14:paraId="590A1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11" w:type="dxa"/>
            <w:tcBorders>
              <w:left w:val="single" w:color="000000" w:sz="12" w:space="0"/>
            </w:tcBorders>
            <w:vAlign w:val="center"/>
          </w:tcPr>
          <w:p w14:paraId="06C9FD77">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4</w:t>
            </w:r>
          </w:p>
        </w:tc>
        <w:tc>
          <w:tcPr>
            <w:tcW w:w="2601" w:type="dxa"/>
            <w:vAlign w:val="center"/>
          </w:tcPr>
          <w:p w14:paraId="0D16FD2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合计</w:t>
            </w:r>
          </w:p>
        </w:tc>
        <w:tc>
          <w:tcPr>
            <w:tcW w:w="1451" w:type="dxa"/>
            <w:vAlign w:val="center"/>
          </w:tcPr>
          <w:p w14:paraId="40B8312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1770" w:type="dxa"/>
            <w:vAlign w:val="center"/>
          </w:tcPr>
          <w:p w14:paraId="57936A7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2060" w:type="dxa"/>
            <w:vAlign w:val="center"/>
          </w:tcPr>
          <w:p w14:paraId="5DE5B74E">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55</w:t>
            </w:r>
          </w:p>
        </w:tc>
        <w:tc>
          <w:tcPr>
            <w:tcW w:w="607" w:type="dxa"/>
            <w:tcBorders>
              <w:right w:val="single" w:color="000000" w:sz="12" w:space="0"/>
            </w:tcBorders>
            <w:vAlign w:val="center"/>
          </w:tcPr>
          <w:p w14:paraId="089252C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r w14:paraId="31D6E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611" w:type="dxa"/>
            <w:tcBorders>
              <w:left w:val="single" w:color="000000" w:sz="12" w:space="0"/>
              <w:bottom w:val="single" w:color="000000" w:sz="12" w:space="0"/>
            </w:tcBorders>
            <w:vAlign w:val="center"/>
          </w:tcPr>
          <w:p w14:paraId="77D9E1F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5</w:t>
            </w:r>
          </w:p>
        </w:tc>
        <w:tc>
          <w:tcPr>
            <w:tcW w:w="2601" w:type="dxa"/>
            <w:tcBorders>
              <w:bottom w:val="single" w:color="000000" w:sz="12" w:space="0"/>
            </w:tcBorders>
            <w:vAlign w:val="center"/>
          </w:tcPr>
          <w:p w14:paraId="74C1CE9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计算风量</w:t>
            </w:r>
          </w:p>
          <w:p w14:paraId="1A47FD4E">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（漏风系数按1.2）</w:t>
            </w:r>
          </w:p>
        </w:tc>
        <w:tc>
          <w:tcPr>
            <w:tcW w:w="1451" w:type="dxa"/>
            <w:tcBorders>
              <w:bottom w:val="single" w:color="000000" w:sz="12" w:space="0"/>
            </w:tcBorders>
            <w:vAlign w:val="center"/>
          </w:tcPr>
          <w:p w14:paraId="00079A3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1770" w:type="dxa"/>
            <w:tcBorders>
              <w:bottom w:val="single" w:color="000000" w:sz="12" w:space="0"/>
            </w:tcBorders>
            <w:vAlign w:val="center"/>
          </w:tcPr>
          <w:p w14:paraId="655F6BB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c>
          <w:tcPr>
            <w:tcW w:w="2060" w:type="dxa"/>
            <w:tcBorders>
              <w:bottom w:val="single" w:color="000000" w:sz="12" w:space="0"/>
            </w:tcBorders>
            <w:vAlign w:val="center"/>
          </w:tcPr>
          <w:p w14:paraId="57E176E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66</w:t>
            </w:r>
          </w:p>
        </w:tc>
        <w:tc>
          <w:tcPr>
            <w:tcW w:w="607" w:type="dxa"/>
            <w:tcBorders>
              <w:bottom w:val="single" w:color="000000" w:sz="12" w:space="0"/>
              <w:right w:val="single" w:color="000000" w:sz="12" w:space="0"/>
            </w:tcBorders>
            <w:vAlign w:val="center"/>
          </w:tcPr>
          <w:p w14:paraId="3EDE6F5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p>
        </w:tc>
      </w:tr>
    </w:tbl>
    <w:p w14:paraId="16376EBF">
      <w:pPr>
        <w:bidi w:val="0"/>
        <w:rPr>
          <w:rFonts w:hint="default"/>
          <w:b/>
          <w:bCs/>
          <w:color w:val="auto"/>
          <w:lang w:val="en-US" w:eastAsia="zh-CN"/>
        </w:rPr>
      </w:pPr>
      <w:r>
        <w:rPr>
          <w:rFonts w:hint="eastAsia"/>
          <w:b/>
          <w:bCs/>
          <w:color w:val="auto"/>
          <w:lang w:val="en-US" w:eastAsia="zh-CN"/>
        </w:rPr>
        <w:t>二</w:t>
      </w:r>
      <w:r>
        <w:rPr>
          <w:rFonts w:hint="eastAsia" w:ascii="Times New Roman" w:eastAsia="宋体"/>
          <w:b/>
          <w:bCs/>
          <w:color w:val="auto"/>
          <w:lang w:val="en-US" w:eastAsia="zh-CN"/>
        </w:rPr>
        <w:t>、通风设备</w:t>
      </w:r>
      <w:r>
        <w:rPr>
          <w:rFonts w:hint="eastAsia"/>
          <w:b/>
          <w:bCs/>
          <w:color w:val="auto"/>
          <w:lang w:val="en-US" w:eastAsia="zh-CN"/>
        </w:rPr>
        <w:t>校核</w:t>
      </w:r>
    </w:p>
    <w:p w14:paraId="6531F384">
      <w:pPr>
        <w:bidi w:val="0"/>
        <w:rPr>
          <w:rFonts w:hint="eastAsia"/>
          <w:b/>
          <w:bCs/>
          <w:color w:val="auto"/>
          <w:lang w:val="en-US" w:eastAsia="zh-CN"/>
        </w:rPr>
      </w:pPr>
      <w:r>
        <w:rPr>
          <w:rFonts w:hint="eastAsia" w:ascii="Times New Roman" w:eastAsia="宋体"/>
          <w:b/>
          <w:bCs/>
          <w:color w:val="auto"/>
          <w:lang w:val="en-US" w:eastAsia="zh-CN"/>
        </w:rPr>
        <w:t>1. 南风井通风设备校核</w:t>
      </w:r>
    </w:p>
    <w:p w14:paraId="56CD4566">
      <w:pPr>
        <w:bidi w:val="0"/>
        <w:rPr>
          <w:rFonts w:hint="default"/>
          <w:color w:val="auto"/>
          <w:lang w:val="en-US" w:eastAsia="zh-CN"/>
        </w:rPr>
      </w:pPr>
      <w:r>
        <w:rPr>
          <w:rFonts w:hint="eastAsia" w:ascii="Times New Roman" w:eastAsia="宋体"/>
          <w:color w:val="auto"/>
          <w:lang w:val="en-US" w:eastAsia="zh-CN"/>
        </w:rPr>
        <w:t>（1）校核依据</w:t>
      </w:r>
    </w:p>
    <w:p w14:paraId="72FFA839">
      <w:pPr>
        <w:bidi w:val="0"/>
        <w:rPr>
          <w:rFonts w:hint="eastAsia"/>
          <w:color w:val="auto"/>
          <w:lang w:val="en-US" w:eastAsia="zh-CN"/>
        </w:rPr>
      </w:pPr>
      <w:r>
        <w:rPr>
          <w:rFonts w:hint="eastAsia" w:ascii="Times New Roman" w:eastAsia="宋体"/>
          <w:color w:val="auto"/>
          <w:lang w:val="en-US" w:eastAsia="zh-CN"/>
        </w:rPr>
        <w:t>1）通风方式：机械抽出式；</w:t>
      </w:r>
    </w:p>
    <w:p w14:paraId="288608E0">
      <w:pPr>
        <w:bidi w:val="0"/>
        <w:rPr>
          <w:rFonts w:hint="eastAsia"/>
          <w:color w:val="auto"/>
          <w:lang w:val="en-US" w:eastAsia="zh-CN"/>
        </w:rPr>
      </w:pPr>
      <w:r>
        <w:rPr>
          <w:rFonts w:hint="eastAsia" w:ascii="Times New Roman" w:eastAsia="宋体"/>
          <w:color w:val="auto"/>
          <w:lang w:val="en-US" w:eastAsia="zh-CN"/>
        </w:rPr>
        <w:t>2）矿井需要的风量及负压；</w:t>
      </w:r>
    </w:p>
    <w:p w14:paraId="3CFEE1E3">
      <w:pPr>
        <w:bidi w:val="0"/>
        <w:rPr>
          <w:rFonts w:hint="eastAsia"/>
          <w:color w:val="auto"/>
          <w:lang w:val="en-US" w:eastAsia="zh-CN"/>
        </w:rPr>
      </w:pPr>
      <w:r>
        <w:rPr>
          <w:rFonts w:hint="eastAsia" w:ascii="Times New Roman" w:eastAsia="宋体"/>
          <w:color w:val="auto"/>
          <w:lang w:val="en-US" w:eastAsia="zh-CN"/>
        </w:rPr>
        <w:t>初期：风量Q</w:t>
      </w:r>
      <w:r>
        <w:rPr>
          <w:rFonts w:hint="eastAsia" w:ascii="Times New Roman" w:eastAsia="宋体"/>
          <w:color w:val="auto"/>
          <w:vertAlign w:val="subscript"/>
          <w:lang w:val="en-US" w:eastAsia="zh-CN"/>
        </w:rPr>
        <w:t>1</w:t>
      </w:r>
      <w:r>
        <w:rPr>
          <w:rFonts w:hint="eastAsia" w:ascii="Times New Roman" w:eastAsia="宋体"/>
          <w:color w:val="auto"/>
          <w:lang w:val="en-US" w:eastAsia="zh-CN"/>
        </w:rPr>
        <w:t>=66m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     负压h</w:t>
      </w:r>
      <w:r>
        <w:rPr>
          <w:rFonts w:hint="eastAsia" w:ascii="Times New Roman" w:eastAsia="宋体"/>
          <w:color w:val="auto"/>
          <w:vertAlign w:val="subscript"/>
          <w:lang w:val="en-US" w:eastAsia="zh-CN"/>
        </w:rPr>
        <w:t>1</w:t>
      </w:r>
      <w:r>
        <w:rPr>
          <w:rFonts w:hint="eastAsia" w:ascii="Times New Roman" w:eastAsia="宋体"/>
          <w:color w:val="auto"/>
          <w:lang w:val="en-US" w:eastAsia="zh-CN"/>
        </w:rPr>
        <w:t>=685.71Pa</w:t>
      </w:r>
    </w:p>
    <w:p w14:paraId="048F3515">
      <w:pPr>
        <w:bidi w:val="0"/>
        <w:rPr>
          <w:rFonts w:hint="eastAsia"/>
          <w:color w:val="auto"/>
          <w:lang w:val="en-US" w:eastAsia="zh-CN"/>
        </w:rPr>
      </w:pPr>
      <w:r>
        <w:rPr>
          <w:rFonts w:hint="eastAsia" w:ascii="Times New Roman" w:eastAsia="宋体"/>
          <w:color w:val="auto"/>
          <w:lang w:val="en-US" w:eastAsia="zh-CN"/>
        </w:rPr>
        <w:t>后期：风量Q</w:t>
      </w:r>
      <w:r>
        <w:rPr>
          <w:rFonts w:hint="eastAsia" w:ascii="Times New Roman" w:eastAsia="宋体"/>
          <w:color w:val="auto"/>
          <w:vertAlign w:val="subscript"/>
          <w:lang w:val="en-US" w:eastAsia="zh-CN"/>
        </w:rPr>
        <w:t>2</w:t>
      </w:r>
      <w:r>
        <w:rPr>
          <w:rFonts w:hint="eastAsia" w:ascii="Times New Roman" w:eastAsia="宋体"/>
          <w:color w:val="auto"/>
          <w:lang w:val="en-US" w:eastAsia="zh-CN"/>
        </w:rPr>
        <w:t>=66m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     负压h</w:t>
      </w:r>
      <w:r>
        <w:rPr>
          <w:rFonts w:hint="eastAsia" w:ascii="Times New Roman" w:eastAsia="宋体"/>
          <w:color w:val="auto"/>
          <w:vertAlign w:val="subscript"/>
          <w:lang w:val="en-US" w:eastAsia="zh-CN"/>
        </w:rPr>
        <w:t>2</w:t>
      </w:r>
      <w:r>
        <w:rPr>
          <w:rFonts w:hint="eastAsia" w:ascii="Times New Roman" w:eastAsia="宋体"/>
          <w:color w:val="auto"/>
          <w:lang w:val="en-US" w:eastAsia="zh-CN"/>
        </w:rPr>
        <w:t>=1299.74Pa</w:t>
      </w:r>
    </w:p>
    <w:p w14:paraId="4A69423C">
      <w:pPr>
        <w:bidi w:val="0"/>
        <w:rPr>
          <w:rFonts w:hint="eastAsia"/>
          <w:color w:val="auto"/>
          <w:lang w:val="en-US" w:eastAsia="zh-CN"/>
        </w:rPr>
      </w:pPr>
      <w:r>
        <w:rPr>
          <w:rFonts w:hint="eastAsia" w:ascii="Times New Roman" w:eastAsia="宋体"/>
          <w:color w:val="auto"/>
          <w:lang w:val="en-US" w:eastAsia="zh-CN"/>
        </w:rPr>
        <w:t>（2）确定风机的风量及静压：</w:t>
      </w:r>
    </w:p>
    <w:p w14:paraId="51A21833">
      <w:pPr>
        <w:bidi w:val="0"/>
        <w:rPr>
          <w:rFonts w:hint="eastAsia"/>
          <w:color w:val="auto"/>
          <w:lang w:val="en-US" w:eastAsia="zh-CN"/>
        </w:rPr>
      </w:pPr>
      <w:r>
        <w:rPr>
          <w:rFonts w:hint="eastAsia" w:ascii="Times New Roman" w:eastAsia="宋体"/>
          <w:color w:val="auto"/>
          <w:lang w:val="en-US" w:eastAsia="zh-CN"/>
        </w:rPr>
        <w:t>初期：风量Q</w:t>
      </w:r>
      <w:r>
        <w:rPr>
          <w:rFonts w:hint="eastAsia" w:ascii="Times New Roman" w:eastAsia="宋体"/>
          <w:color w:val="auto"/>
          <w:vertAlign w:val="subscript"/>
          <w:lang w:val="en-US" w:eastAsia="zh-CN"/>
        </w:rPr>
        <w:t>初</w:t>
      </w:r>
      <w:r>
        <w:rPr>
          <w:rFonts w:hint="eastAsia" w:ascii="Times New Roman" w:eastAsia="宋体"/>
          <w:color w:val="auto"/>
          <w:lang w:val="en-US" w:eastAsia="zh-CN"/>
        </w:rPr>
        <w:t>=K</w:t>
      </w:r>
      <w:r>
        <w:rPr>
          <w:rFonts w:hint="eastAsia" w:ascii="Times New Roman" w:eastAsia="宋体"/>
          <w:color w:val="auto"/>
          <w:vertAlign w:val="subscript"/>
          <w:lang w:val="en-US" w:eastAsia="zh-CN"/>
        </w:rPr>
        <w:t>L</w:t>
      </w:r>
      <w:r>
        <w:rPr>
          <w:rFonts w:hint="eastAsia" w:ascii="Times New Roman" w:eastAsia="宋体"/>
          <w:color w:val="auto"/>
          <w:lang w:val="en-US" w:eastAsia="zh-CN"/>
        </w:rPr>
        <w:t>Q</w:t>
      </w:r>
      <w:r>
        <w:rPr>
          <w:rFonts w:hint="eastAsia" w:ascii="Times New Roman" w:eastAsia="宋体"/>
          <w:color w:val="auto"/>
          <w:vertAlign w:val="subscript"/>
          <w:lang w:val="en-US" w:eastAsia="zh-CN"/>
        </w:rPr>
        <w:t>1</w:t>
      </w:r>
      <w:r>
        <w:rPr>
          <w:rFonts w:hint="eastAsia" w:ascii="Times New Roman" w:eastAsia="宋体"/>
          <w:color w:val="auto"/>
          <w:lang w:val="en-US" w:eastAsia="zh-CN"/>
        </w:rPr>
        <w:t>=1.05×66=69.3m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/s=4158m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/min</w:t>
      </w:r>
    </w:p>
    <w:p w14:paraId="6B765AF3">
      <w:pPr>
        <w:bidi w:val="0"/>
        <w:rPr>
          <w:rFonts w:hint="eastAsia"/>
          <w:color w:val="auto"/>
          <w:lang w:val="en-US" w:eastAsia="zh-CN"/>
        </w:rPr>
      </w:pPr>
      <w:r>
        <w:rPr>
          <w:rFonts w:hint="eastAsia" w:ascii="Times New Roman" w:eastAsia="宋体"/>
          <w:color w:val="auto"/>
          <w:lang w:val="en-US" w:eastAsia="zh-CN"/>
        </w:rPr>
        <w:t>风机静压：H</w:t>
      </w:r>
      <w:r>
        <w:rPr>
          <w:rFonts w:hint="eastAsia" w:ascii="Times New Roman" w:eastAsia="宋体"/>
          <w:color w:val="auto"/>
          <w:vertAlign w:val="subscript"/>
          <w:lang w:val="en-US" w:eastAsia="zh-CN"/>
        </w:rPr>
        <w:t>初</w:t>
      </w:r>
      <w:r>
        <w:rPr>
          <w:rFonts w:hint="eastAsia" w:ascii="Times New Roman" w:eastAsia="宋体"/>
          <w:color w:val="auto"/>
          <w:lang w:val="en-US" w:eastAsia="zh-CN"/>
        </w:rPr>
        <w:t>=h</w:t>
      </w:r>
      <w:r>
        <w:rPr>
          <w:rFonts w:hint="eastAsia" w:ascii="Times New Roman" w:eastAsia="宋体"/>
          <w:color w:val="auto"/>
          <w:vertAlign w:val="subscript"/>
          <w:lang w:val="en-US" w:eastAsia="zh-CN"/>
        </w:rPr>
        <w:t>1</w:t>
      </w:r>
      <w:r>
        <w:rPr>
          <w:rFonts w:hint="eastAsia" w:ascii="Times New Roman" w:eastAsia="宋体"/>
          <w:color w:val="auto"/>
          <w:lang w:val="en-US" w:eastAsia="zh-CN"/>
        </w:rPr>
        <w:t>+△h+h</w:t>
      </w:r>
      <w:r>
        <w:rPr>
          <w:rFonts w:hint="eastAsia" w:ascii="Times New Roman" w:eastAsia="宋体"/>
          <w:color w:val="auto"/>
          <w:vertAlign w:val="subscript"/>
          <w:lang w:val="en-US" w:eastAsia="zh-CN"/>
        </w:rPr>
        <w:t>z</w:t>
      </w:r>
    </w:p>
    <w:p w14:paraId="5EE50908">
      <w:pPr>
        <w:bidi w:val="0"/>
        <w:ind w:firstLine="2240" w:firstLineChars="800"/>
        <w:rPr>
          <w:rFonts w:hint="eastAsia"/>
          <w:color w:val="auto"/>
          <w:lang w:val="en-US" w:eastAsia="zh-CN"/>
        </w:rPr>
      </w:pPr>
      <w:r>
        <w:rPr>
          <w:rFonts w:hint="eastAsia" w:ascii="Times New Roman" w:eastAsia="宋体"/>
          <w:color w:val="auto"/>
          <w:lang w:val="en-US" w:eastAsia="zh-CN"/>
        </w:rPr>
        <w:t>=685.71+15×9.8+10×9.8=930.71</w:t>
      </w:r>
      <w:r>
        <w:rPr>
          <w:rFonts w:ascii="Times New Roman" w:hAnsi="Times New Roman" w:eastAsia="Times New Roman" w:cs="Times New Roman"/>
          <w:color w:val="auto"/>
          <w:sz w:val="27"/>
          <w:szCs w:val="27"/>
        </w:rPr>
        <w:t>P</w:t>
      </w:r>
      <w:r>
        <w:rPr>
          <w:rFonts w:hint="eastAsia" w:ascii="Times New Roman" w:eastAsia="宋体"/>
          <w:color w:val="auto"/>
          <w:lang w:val="en-US" w:eastAsia="zh-CN"/>
        </w:rPr>
        <w:t>a</w:t>
      </w:r>
    </w:p>
    <w:p w14:paraId="4486E01C">
      <w:pPr>
        <w:bidi w:val="0"/>
        <w:rPr>
          <w:rFonts w:hint="eastAsia"/>
          <w:color w:val="auto"/>
          <w:lang w:val="en-US" w:eastAsia="zh-CN"/>
        </w:rPr>
      </w:pPr>
      <w:r>
        <w:rPr>
          <w:rFonts w:hint="eastAsia" w:ascii="Times New Roman" w:eastAsia="宋体"/>
          <w:color w:val="auto"/>
          <w:lang w:val="en-US" w:eastAsia="zh-CN"/>
        </w:rPr>
        <w:t>后期：风量Q</w:t>
      </w:r>
      <w:r>
        <w:rPr>
          <w:rFonts w:hint="eastAsia" w:ascii="Times New Roman" w:eastAsia="宋体"/>
          <w:color w:val="auto"/>
          <w:vertAlign w:val="subscript"/>
          <w:lang w:val="en-US" w:eastAsia="zh-CN"/>
        </w:rPr>
        <w:t>后</w:t>
      </w:r>
      <w:r>
        <w:rPr>
          <w:rFonts w:hint="eastAsia" w:ascii="Times New Roman" w:eastAsia="宋体"/>
          <w:color w:val="auto"/>
          <w:lang w:val="en-US" w:eastAsia="zh-CN"/>
        </w:rPr>
        <w:t>=K</w:t>
      </w:r>
      <w:r>
        <w:rPr>
          <w:rFonts w:hint="eastAsia" w:ascii="Times New Roman" w:eastAsia="宋体"/>
          <w:color w:val="auto"/>
          <w:vertAlign w:val="subscript"/>
          <w:lang w:val="en-US" w:eastAsia="zh-CN"/>
        </w:rPr>
        <w:t>L</w:t>
      </w:r>
      <w:r>
        <w:rPr>
          <w:rFonts w:hint="eastAsia" w:ascii="Times New Roman" w:eastAsia="宋体"/>
          <w:color w:val="auto"/>
          <w:lang w:val="en-US" w:eastAsia="zh-CN"/>
        </w:rPr>
        <w:t>Q</w:t>
      </w:r>
      <w:r>
        <w:rPr>
          <w:rFonts w:hint="eastAsia" w:ascii="Times New Roman" w:eastAsia="宋体"/>
          <w:color w:val="auto"/>
          <w:vertAlign w:val="subscript"/>
          <w:lang w:val="en-US" w:eastAsia="zh-CN"/>
        </w:rPr>
        <w:t>2</w:t>
      </w:r>
      <w:r>
        <w:rPr>
          <w:rFonts w:hint="eastAsia" w:ascii="Times New Roman" w:eastAsia="宋体"/>
          <w:color w:val="auto"/>
          <w:lang w:val="en-US" w:eastAsia="zh-CN"/>
        </w:rPr>
        <w:t>=1.05×66=69.3m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/s=4158m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/min</w:t>
      </w:r>
    </w:p>
    <w:p w14:paraId="1605937F">
      <w:pPr>
        <w:bidi w:val="0"/>
        <w:rPr>
          <w:rFonts w:hint="eastAsia"/>
          <w:color w:val="auto"/>
          <w:lang w:val="en-US" w:eastAsia="zh-CN"/>
        </w:rPr>
      </w:pPr>
      <w:r>
        <w:rPr>
          <w:rFonts w:hint="eastAsia" w:ascii="Times New Roman" w:eastAsia="宋体"/>
          <w:color w:val="auto"/>
          <w:lang w:val="en-US" w:eastAsia="zh-CN"/>
        </w:rPr>
        <w:t>风机静压：H</w:t>
      </w:r>
      <w:r>
        <w:rPr>
          <w:rFonts w:hint="eastAsia" w:ascii="Times New Roman" w:eastAsia="宋体"/>
          <w:color w:val="auto"/>
          <w:vertAlign w:val="subscript"/>
          <w:lang w:val="en-US" w:eastAsia="zh-CN"/>
        </w:rPr>
        <w:t>后</w:t>
      </w:r>
      <w:r>
        <w:rPr>
          <w:rFonts w:hint="eastAsia" w:ascii="Times New Roman" w:eastAsia="宋体"/>
          <w:color w:val="auto"/>
          <w:lang w:val="en-US" w:eastAsia="zh-CN"/>
        </w:rPr>
        <w:t>=h</w:t>
      </w:r>
      <w:r>
        <w:rPr>
          <w:rFonts w:hint="eastAsia" w:ascii="Times New Roman" w:eastAsia="宋体"/>
          <w:color w:val="auto"/>
          <w:vertAlign w:val="subscript"/>
          <w:lang w:val="en-US" w:eastAsia="zh-CN"/>
        </w:rPr>
        <w:t>2</w:t>
      </w:r>
      <w:r>
        <w:rPr>
          <w:rFonts w:hint="eastAsia" w:ascii="Times New Roman" w:eastAsia="宋体"/>
          <w:color w:val="auto"/>
          <w:lang w:val="en-US" w:eastAsia="zh-CN"/>
        </w:rPr>
        <w:t>+△h+h</w:t>
      </w:r>
      <w:r>
        <w:rPr>
          <w:rFonts w:hint="eastAsia" w:ascii="Times New Roman" w:eastAsia="宋体"/>
          <w:color w:val="auto"/>
          <w:vertAlign w:val="subscript"/>
          <w:lang w:val="en-US" w:eastAsia="zh-CN"/>
        </w:rPr>
        <w:t>z</w:t>
      </w:r>
    </w:p>
    <w:p w14:paraId="23C6694C">
      <w:pPr>
        <w:bidi w:val="0"/>
        <w:ind w:firstLine="2520" w:firstLineChars="900"/>
        <w:rPr>
          <w:rFonts w:hint="eastAsia"/>
          <w:color w:val="auto"/>
          <w:lang w:val="en-US" w:eastAsia="zh-CN"/>
        </w:rPr>
      </w:pPr>
      <w:r>
        <w:rPr>
          <w:rFonts w:hint="eastAsia" w:ascii="Times New Roman" w:eastAsia="宋体"/>
          <w:color w:val="auto"/>
          <w:lang w:val="en-US" w:eastAsia="zh-CN"/>
        </w:rPr>
        <w:t>=1299.74+15×9.8+10×9.8=1544.74Pa</w:t>
      </w:r>
    </w:p>
    <w:p w14:paraId="3B67B048">
      <w:pPr>
        <w:bidi w:val="0"/>
        <w:rPr>
          <w:rFonts w:hint="default"/>
          <w:color w:val="auto"/>
          <w:lang w:val="en-US" w:eastAsia="zh-CN"/>
        </w:rPr>
      </w:pPr>
      <w:r>
        <w:rPr>
          <w:rFonts w:hint="eastAsia" w:ascii="Times New Roman" w:eastAsia="宋体"/>
          <w:color w:val="auto"/>
          <w:lang w:val="en-US" w:eastAsia="zh-CN"/>
        </w:rPr>
        <w:t>南风井井口矿山现有一台FKZ-6-N</w:t>
      </w:r>
      <w:r>
        <w:rPr>
          <w:rFonts w:hint="eastAsia" w:ascii="Times New Roman" w:eastAsia="宋体"/>
          <w:color w:val="auto"/>
          <w:vertAlign w:val="subscript"/>
          <w:lang w:val="en-US" w:eastAsia="zh-CN"/>
        </w:rPr>
        <w:t>o</w:t>
      </w:r>
      <w:r>
        <w:rPr>
          <w:rFonts w:hint="eastAsia" w:ascii="Times New Roman" w:eastAsia="宋体"/>
          <w:color w:val="auto"/>
          <w:lang w:val="en-US" w:eastAsia="zh-CN"/>
        </w:rPr>
        <w:t>19/200型轴流通风机，风机参数如下表</w:t>
      </w:r>
      <w:r>
        <w:rPr>
          <w:rFonts w:hint="eastAsia"/>
          <w:color w:val="auto"/>
          <w:lang w:val="en-US" w:eastAsia="zh-CN"/>
        </w:rPr>
        <w:t>3.6-4</w:t>
      </w:r>
      <w:r>
        <w:rPr>
          <w:rFonts w:hint="eastAsia" w:ascii="Times New Roman" w:eastAsia="宋体"/>
          <w:color w:val="auto"/>
          <w:lang w:val="en-US" w:eastAsia="zh-CN"/>
        </w:rPr>
        <w:t>。</w:t>
      </w:r>
    </w:p>
    <w:p w14:paraId="6C3EE269">
      <w:pPr>
        <w:bidi w:val="0"/>
        <w:ind w:left="0" w:leftChars="0" w:firstLine="0" w:firstLineChars="0"/>
        <w:jc w:val="center"/>
        <w:rPr>
          <w:rFonts w:hint="eastAsia"/>
          <w:color w:val="auto"/>
          <w:lang w:val="en-US" w:eastAsia="zh-CN"/>
        </w:rPr>
      </w:pPr>
      <w:r>
        <w:rPr>
          <w:rFonts w:hint="eastAsia" w:ascii="Times New Roman" w:eastAsia="宋体"/>
          <w:color w:val="auto"/>
          <w:lang w:val="en-US" w:eastAsia="zh-CN"/>
        </w:rPr>
        <w:t>表</w:t>
      </w:r>
      <w:r>
        <w:rPr>
          <w:rFonts w:hint="eastAsia"/>
          <w:color w:val="auto"/>
          <w:lang w:val="en-US" w:eastAsia="zh-CN"/>
        </w:rPr>
        <w:t>3.6-4</w:t>
      </w:r>
      <w:r>
        <w:rPr>
          <w:rFonts w:hint="eastAsia" w:ascii="Times New Roman" w:eastAsia="宋体"/>
          <w:color w:val="auto"/>
          <w:lang w:val="en-US" w:eastAsia="zh-CN"/>
        </w:rPr>
        <w:t xml:space="preserve"> 通风机参数表</w:t>
      </w:r>
    </w:p>
    <w:tbl>
      <w:tblPr>
        <w:tblStyle w:val="36"/>
        <w:tblW w:w="966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3"/>
        <w:gridCol w:w="644"/>
        <w:gridCol w:w="2099"/>
        <w:gridCol w:w="1499"/>
        <w:gridCol w:w="838"/>
        <w:gridCol w:w="2915"/>
      </w:tblGrid>
      <w:tr w14:paraId="34BBB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1" w:hRule="atLeast"/>
        </w:trPr>
        <w:tc>
          <w:tcPr>
            <w:tcW w:w="1673" w:type="dxa"/>
            <w:vAlign w:val="center"/>
          </w:tcPr>
          <w:p w14:paraId="4885F45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风机型号</w:t>
            </w:r>
          </w:p>
        </w:tc>
        <w:tc>
          <w:tcPr>
            <w:tcW w:w="644" w:type="dxa"/>
            <w:vAlign w:val="center"/>
          </w:tcPr>
          <w:p w14:paraId="7D4F0F91">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台数</w:t>
            </w:r>
          </w:p>
        </w:tc>
        <w:tc>
          <w:tcPr>
            <w:tcW w:w="2099" w:type="dxa"/>
            <w:vAlign w:val="center"/>
          </w:tcPr>
          <w:p w14:paraId="2E515F77">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风量Q（m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/S）</w:t>
            </w:r>
          </w:p>
        </w:tc>
        <w:tc>
          <w:tcPr>
            <w:tcW w:w="1499" w:type="dxa"/>
            <w:vAlign w:val="center"/>
          </w:tcPr>
          <w:p w14:paraId="026FDA8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静压H（Pa）</w:t>
            </w:r>
          </w:p>
        </w:tc>
        <w:tc>
          <w:tcPr>
            <w:tcW w:w="838" w:type="dxa"/>
            <w:vAlign w:val="center"/>
          </w:tcPr>
          <w:p w14:paraId="7278977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效率η（%）</w:t>
            </w:r>
          </w:p>
        </w:tc>
        <w:tc>
          <w:tcPr>
            <w:tcW w:w="2915" w:type="dxa"/>
            <w:vAlign w:val="center"/>
          </w:tcPr>
          <w:p w14:paraId="6F300740">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电动机</w:t>
            </w:r>
          </w:p>
        </w:tc>
      </w:tr>
      <w:tr w14:paraId="321CB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1673" w:type="dxa"/>
            <w:vAlign w:val="center"/>
          </w:tcPr>
          <w:p w14:paraId="6AF86B7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FKZ-6-N</w:t>
            </w:r>
            <w:r>
              <w:rPr>
                <w:rFonts w:hint="default" w:ascii="Times New Roman" w:hAnsi="Times New Roman" w:eastAsia="Times New Roman" w:cs="Times New Roman"/>
                <w:color w:val="auto"/>
                <w:spacing w:val="-4"/>
                <w:sz w:val="21"/>
                <w:szCs w:val="21"/>
                <w:vertAlign w:val="subscript"/>
              </w:rPr>
              <w:t>o</w:t>
            </w:r>
            <w:r>
              <w:rPr>
                <w:rFonts w:hint="default" w:ascii="Times New Roman" w:hAnsi="Times New Roman" w:eastAsia="Times New Roman" w:cs="Times New Roman"/>
                <w:color w:val="auto"/>
                <w:spacing w:val="-4"/>
                <w:sz w:val="21"/>
                <w:szCs w:val="21"/>
              </w:rPr>
              <w:t>19</w:t>
            </w:r>
          </w:p>
        </w:tc>
        <w:tc>
          <w:tcPr>
            <w:tcW w:w="644" w:type="dxa"/>
            <w:vAlign w:val="center"/>
          </w:tcPr>
          <w:p w14:paraId="5C376C6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w:t>
            </w:r>
          </w:p>
        </w:tc>
        <w:tc>
          <w:tcPr>
            <w:tcW w:w="2099" w:type="dxa"/>
            <w:vAlign w:val="center"/>
          </w:tcPr>
          <w:p w14:paraId="2AC5F62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59.8～113.2</w:t>
            </w:r>
          </w:p>
        </w:tc>
        <w:tc>
          <w:tcPr>
            <w:tcW w:w="1499" w:type="dxa"/>
            <w:vAlign w:val="center"/>
          </w:tcPr>
          <w:p w14:paraId="13ED0C8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920～1760</w:t>
            </w:r>
          </w:p>
        </w:tc>
        <w:tc>
          <w:tcPr>
            <w:tcW w:w="838" w:type="dxa"/>
            <w:vAlign w:val="center"/>
          </w:tcPr>
          <w:p w14:paraId="132B6125">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80</w:t>
            </w:r>
          </w:p>
        </w:tc>
        <w:tc>
          <w:tcPr>
            <w:tcW w:w="2915" w:type="dxa"/>
            <w:vAlign w:val="center"/>
          </w:tcPr>
          <w:p w14:paraId="43241BDF">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Y355M-6、200kW、380V</w:t>
            </w:r>
          </w:p>
        </w:tc>
      </w:tr>
    </w:tbl>
    <w:p w14:paraId="4AEBDAF3">
      <w:pPr>
        <w:bidi w:val="0"/>
        <w:rPr>
          <w:rFonts w:hint="eastAsia"/>
          <w:color w:val="auto"/>
          <w:lang w:val="en-US" w:eastAsia="zh-CN"/>
        </w:rPr>
      </w:pPr>
      <w:r>
        <w:rPr>
          <w:rFonts w:hint="eastAsia" w:ascii="Times New Roman" w:eastAsia="宋体"/>
          <w:color w:val="auto"/>
          <w:lang w:val="en-US" w:eastAsia="zh-CN"/>
        </w:rPr>
        <w:t>（3）工况确定</w:t>
      </w:r>
    </w:p>
    <w:p w14:paraId="2CED96EE">
      <w:pPr>
        <w:bidi w:val="0"/>
        <w:rPr>
          <w:rFonts w:hint="eastAsia"/>
          <w:color w:val="auto"/>
          <w:lang w:val="en-US" w:eastAsia="zh-CN"/>
        </w:rPr>
      </w:pPr>
      <w:r>
        <w:rPr>
          <w:rFonts w:hint="eastAsia" w:ascii="Times New Roman" w:eastAsia="宋体"/>
          <w:color w:val="auto"/>
          <w:lang w:val="en-US" w:eastAsia="zh-CN"/>
        </w:rPr>
        <w:t>1）容易时期</w:t>
      </w:r>
    </w:p>
    <w:p w14:paraId="6C72A124">
      <w:pPr>
        <w:bidi w:val="0"/>
        <w:rPr>
          <w:rFonts w:hint="eastAsia"/>
          <w:color w:val="auto"/>
          <w:lang w:val="en-US" w:eastAsia="zh-CN"/>
        </w:rPr>
      </w:pPr>
      <w:r>
        <w:rPr>
          <w:rFonts w:hint="eastAsia" w:ascii="Times New Roman" w:eastAsia="宋体"/>
          <w:color w:val="auto"/>
          <w:lang w:val="en-US" w:eastAsia="zh-CN"/>
        </w:rPr>
        <w:t>通风网路静压特性方程</w:t>
      </w:r>
    </w:p>
    <w:p w14:paraId="4F99FD5F">
      <w:pPr>
        <w:bidi w:val="0"/>
        <w:rPr>
          <w:rFonts w:hint="eastAsia"/>
          <w:color w:val="auto"/>
          <w:lang w:val="en-US" w:eastAsia="zh-CN"/>
        </w:rPr>
      </w:pPr>
      <w:r>
        <w:rPr>
          <w:rFonts w:hint="eastAsia" w:ascii="Times New Roman" w:eastAsia="宋体"/>
          <w:color w:val="auto"/>
          <w:lang w:val="en-US" w:eastAsia="zh-CN"/>
        </w:rPr>
        <w:t>H=0.1938Q</w:t>
      </w:r>
      <w:r>
        <w:rPr>
          <w:rFonts w:hint="eastAsia" w:ascii="Times New Roman" w:eastAsia="宋体"/>
          <w:color w:val="auto"/>
          <w:vertAlign w:val="superscript"/>
          <w:lang w:val="en-US" w:eastAsia="zh-CN"/>
        </w:rPr>
        <w:t>2</w:t>
      </w:r>
      <w:r>
        <w:rPr>
          <w:rFonts w:hint="eastAsia" w:ascii="Times New Roman" w:eastAsia="宋体"/>
          <w:color w:val="auto"/>
          <w:lang w:val="en-US" w:eastAsia="zh-CN"/>
        </w:rPr>
        <w:t>（Pa）</w:t>
      </w:r>
    </w:p>
    <w:p w14:paraId="189294CA">
      <w:pPr>
        <w:bidi w:val="0"/>
        <w:rPr>
          <w:rFonts w:hint="eastAsia"/>
          <w:color w:val="auto"/>
          <w:lang w:val="en-US" w:eastAsia="zh-CN"/>
        </w:rPr>
      </w:pPr>
      <w:r>
        <w:rPr>
          <w:rFonts w:hint="eastAsia" w:ascii="Times New Roman" w:eastAsia="宋体"/>
          <w:color w:val="auto"/>
          <w:lang w:val="en-US" w:eastAsia="zh-CN"/>
        </w:rPr>
        <w:t>风机及网路特性曲线见下图</w:t>
      </w:r>
      <w:r>
        <w:rPr>
          <w:rFonts w:hint="eastAsia"/>
          <w:color w:val="auto"/>
          <w:lang w:val="en-US" w:eastAsia="zh-CN"/>
        </w:rPr>
        <w:t>3.6</w:t>
      </w:r>
      <w:r>
        <w:rPr>
          <w:rFonts w:hint="eastAsia" w:ascii="Times New Roman" w:eastAsia="宋体"/>
          <w:color w:val="auto"/>
          <w:lang w:val="en-US" w:eastAsia="zh-CN"/>
        </w:rPr>
        <w:t>-1</w:t>
      </w:r>
    </w:p>
    <w:p w14:paraId="11AEFFF3">
      <w:pPr>
        <w:bidi w:val="0"/>
        <w:rPr>
          <w:rFonts w:hint="eastAsia"/>
          <w:color w:val="auto"/>
          <w:lang w:val="en-US" w:eastAsia="zh-CN"/>
        </w:rPr>
      </w:pPr>
      <w:r>
        <w:rPr>
          <w:rFonts w:hint="eastAsia" w:ascii="Times New Roman" w:eastAsia="宋体"/>
          <w:color w:val="auto"/>
          <w:lang w:val="en-US" w:eastAsia="zh-CN"/>
        </w:rPr>
        <w:t>工况点M1参数：</w:t>
      </w:r>
    </w:p>
    <w:p w14:paraId="6CA41B35">
      <w:pPr>
        <w:bidi w:val="0"/>
        <w:rPr>
          <w:rFonts w:hint="eastAsia"/>
          <w:color w:val="auto"/>
          <w:lang w:val="en-US" w:eastAsia="zh-CN"/>
        </w:rPr>
      </w:pPr>
      <w:r>
        <w:rPr>
          <w:rFonts w:hint="eastAsia" w:ascii="Times New Roman" w:eastAsia="宋体"/>
          <w:color w:val="auto"/>
          <w:lang w:val="en-US" w:eastAsia="zh-CN"/>
        </w:rPr>
        <w:t>风量：Q=80m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w:t>
      </w:r>
    </w:p>
    <w:p w14:paraId="54970E84">
      <w:pPr>
        <w:bidi w:val="0"/>
        <w:rPr>
          <w:rFonts w:hint="eastAsia"/>
          <w:color w:val="auto"/>
          <w:lang w:val="en-US" w:eastAsia="zh-CN"/>
        </w:rPr>
      </w:pPr>
      <w:r>
        <w:rPr>
          <w:rFonts w:hint="eastAsia" w:ascii="Times New Roman" w:eastAsia="宋体"/>
          <w:color w:val="auto"/>
          <w:lang w:val="en-US" w:eastAsia="zh-CN"/>
        </w:rPr>
        <w:t>风压：H=1340Pa=136.73mmH</w:t>
      </w:r>
      <w:r>
        <w:rPr>
          <w:rFonts w:hint="eastAsia" w:ascii="Times New Roman" w:eastAsia="宋体"/>
          <w:color w:val="auto"/>
          <w:vertAlign w:val="subscript"/>
          <w:lang w:val="en-US" w:eastAsia="zh-CN"/>
        </w:rPr>
        <w:t>2</w:t>
      </w:r>
      <w:r>
        <w:rPr>
          <w:rFonts w:hint="eastAsia" w:ascii="Times New Roman" w:eastAsia="宋体"/>
          <w:color w:val="auto"/>
          <w:lang w:val="en-US" w:eastAsia="zh-CN"/>
        </w:rPr>
        <w:t>O</w:t>
      </w:r>
    </w:p>
    <w:p w14:paraId="3446B082">
      <w:pPr>
        <w:bidi w:val="0"/>
        <w:rPr>
          <w:rFonts w:hint="eastAsia"/>
          <w:color w:val="auto"/>
          <w:lang w:val="en-US" w:eastAsia="zh-CN"/>
        </w:rPr>
      </w:pPr>
      <w:r>
        <w:rPr>
          <w:rFonts w:hint="eastAsia" w:ascii="Times New Roman" w:eastAsia="宋体"/>
          <w:color w:val="auto"/>
          <w:lang w:val="en-US" w:eastAsia="zh-CN"/>
        </w:rPr>
        <w:t>效率η=83%</w:t>
      </w:r>
    </w:p>
    <w:p w14:paraId="5799F743">
      <w:pPr>
        <w:bidi w:val="0"/>
        <w:rPr>
          <w:rFonts w:hint="eastAsia"/>
          <w:color w:val="auto"/>
          <w:lang w:val="en-US" w:eastAsia="zh-CN"/>
        </w:rPr>
      </w:pPr>
      <w:r>
        <w:rPr>
          <w:rFonts w:hint="eastAsia" w:ascii="Times New Roman" w:eastAsia="宋体"/>
          <w:color w:val="auto"/>
          <w:lang w:val="en-US" w:eastAsia="zh-CN"/>
        </w:rPr>
        <w:t>叶片角α=32°</w:t>
      </w:r>
    </w:p>
    <w:p w14:paraId="7E6DF422">
      <w:pPr>
        <w:bidi w:val="0"/>
        <w:ind w:left="0" w:leftChars="0" w:firstLine="0" w:firstLineChars="0"/>
        <w:jc w:val="center"/>
        <w:rPr>
          <w:color w:val="auto"/>
        </w:rPr>
      </w:pPr>
      <w:r>
        <w:rPr>
          <w:color w:val="auto"/>
        </w:rPr>
        <w:drawing>
          <wp:inline distT="0" distB="0" distL="114300" distR="114300">
            <wp:extent cx="4319905" cy="2871470"/>
            <wp:effectExtent l="0" t="0" r="444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4319905" cy="2871470"/>
                    </a:xfrm>
                    <a:prstGeom prst="rect">
                      <a:avLst/>
                    </a:prstGeom>
                    <a:noFill/>
                    <a:ln>
                      <a:noFill/>
                    </a:ln>
                  </pic:spPr>
                </pic:pic>
              </a:graphicData>
            </a:graphic>
          </wp:inline>
        </w:drawing>
      </w:r>
    </w:p>
    <w:p w14:paraId="153DA966">
      <w:pPr>
        <w:bidi w:val="0"/>
        <w:ind w:left="0" w:leftChars="0" w:firstLine="0" w:firstLineChars="0"/>
        <w:jc w:val="center"/>
        <w:rPr>
          <w:rFonts w:hint="default"/>
          <w:color w:val="auto"/>
          <w:lang w:val="en-US" w:eastAsia="zh-CN"/>
        </w:rPr>
      </w:pPr>
      <w:r>
        <w:rPr>
          <w:rFonts w:hint="eastAsia" w:ascii="Times New Roman" w:eastAsia="宋体"/>
          <w:color w:val="auto"/>
          <w:lang w:val="en-US" w:eastAsia="zh-CN"/>
        </w:rPr>
        <w:t>图</w:t>
      </w:r>
      <w:r>
        <w:rPr>
          <w:rFonts w:hint="eastAsia"/>
          <w:color w:val="auto"/>
          <w:lang w:val="en-US" w:eastAsia="zh-CN"/>
        </w:rPr>
        <w:t>3.6</w:t>
      </w:r>
      <w:r>
        <w:rPr>
          <w:rFonts w:hint="eastAsia" w:ascii="Times New Roman" w:eastAsia="宋体"/>
          <w:color w:val="auto"/>
          <w:lang w:val="en-US" w:eastAsia="zh-CN"/>
        </w:rPr>
        <w:t>-1 风机特性曲线图</w:t>
      </w:r>
    </w:p>
    <w:p w14:paraId="7EDB96BD">
      <w:pPr>
        <w:bidi w:val="0"/>
        <w:rPr>
          <w:color w:val="auto"/>
        </w:rPr>
      </w:pPr>
      <w:r>
        <w:rPr>
          <w:rFonts w:hint="eastAsia"/>
          <w:color w:val="auto"/>
        </w:rPr>
        <w:t>2）困难时期</w:t>
      </w:r>
    </w:p>
    <w:p w14:paraId="1EB9C09D">
      <w:pPr>
        <w:bidi w:val="0"/>
        <w:rPr>
          <w:rFonts w:hint="default"/>
          <w:color w:val="auto"/>
          <w:lang w:val="en-US" w:eastAsia="zh-CN"/>
        </w:rPr>
      </w:pPr>
      <w:r>
        <w:rPr>
          <w:rFonts w:hint="default"/>
          <w:color w:val="auto"/>
          <w:lang w:val="en-US" w:eastAsia="zh-CN"/>
        </w:rPr>
        <w:t>通风路静压特性方程H=0.32165Q</w:t>
      </w:r>
      <w:r>
        <w:rPr>
          <w:rFonts w:hint="default"/>
          <w:color w:val="auto"/>
          <w:vertAlign w:val="superscript"/>
          <w:lang w:val="en-US" w:eastAsia="zh-CN"/>
        </w:rPr>
        <w:t>2</w:t>
      </w:r>
      <w:r>
        <w:rPr>
          <w:rFonts w:hint="default"/>
          <w:color w:val="auto"/>
          <w:lang w:val="en-US" w:eastAsia="zh-CN"/>
        </w:rPr>
        <w:t>（Pa）</w:t>
      </w:r>
    </w:p>
    <w:p w14:paraId="78A51EF8">
      <w:pPr>
        <w:bidi w:val="0"/>
        <w:rPr>
          <w:rFonts w:hint="eastAsia"/>
          <w:color w:val="auto"/>
          <w:lang w:val="en-US" w:eastAsia="zh-CN"/>
        </w:rPr>
      </w:pPr>
      <w:r>
        <w:rPr>
          <w:rFonts w:hint="default"/>
          <w:color w:val="auto"/>
          <w:lang w:val="en-US" w:eastAsia="zh-CN"/>
        </w:rPr>
        <w:t>风机及网路特性曲线见</w:t>
      </w:r>
      <w:r>
        <w:rPr>
          <w:rFonts w:hint="eastAsia" w:ascii="Times New Roman" w:eastAsia="宋体"/>
          <w:color w:val="auto"/>
          <w:lang w:val="en-US" w:eastAsia="zh-CN"/>
        </w:rPr>
        <w:t>图2.4-1</w:t>
      </w:r>
    </w:p>
    <w:p w14:paraId="5C72EAC6">
      <w:pPr>
        <w:bidi w:val="0"/>
        <w:rPr>
          <w:rFonts w:hint="default"/>
          <w:color w:val="auto"/>
          <w:lang w:val="en-US" w:eastAsia="zh-CN"/>
        </w:rPr>
      </w:pPr>
      <w:r>
        <w:rPr>
          <w:rFonts w:hint="default"/>
          <w:color w:val="auto"/>
          <w:lang w:val="en-US" w:eastAsia="zh-CN"/>
        </w:rPr>
        <w:t>工况点M2参数：</w:t>
      </w:r>
    </w:p>
    <w:p w14:paraId="7904DDC2">
      <w:pPr>
        <w:bidi w:val="0"/>
        <w:rPr>
          <w:rFonts w:hint="default"/>
          <w:color w:val="auto"/>
          <w:lang w:val="en-US" w:eastAsia="zh-CN"/>
        </w:rPr>
      </w:pPr>
      <w:r>
        <w:rPr>
          <w:rFonts w:hint="default"/>
          <w:color w:val="auto"/>
          <w:lang w:val="en-US" w:eastAsia="zh-CN"/>
        </w:rPr>
        <w:t>风量：Q=70m</w:t>
      </w:r>
      <w:r>
        <w:rPr>
          <w:rFonts w:hint="default" w:ascii="Times New Roman" w:hAnsi="Times New Roman" w:eastAsia="宋体" w:cs="Times New Roman"/>
          <w:color w:val="auto"/>
          <w:vertAlign w:val="superscript"/>
          <w:lang w:val="en-US" w:eastAsia="zh-CN"/>
        </w:rPr>
        <w:t>3</w:t>
      </w:r>
      <w:r>
        <w:rPr>
          <w:rFonts w:hint="default"/>
          <w:color w:val="auto"/>
          <w:lang w:val="en-US" w:eastAsia="zh-CN"/>
        </w:rPr>
        <w:t>/s</w:t>
      </w:r>
    </w:p>
    <w:p w14:paraId="30A164BF">
      <w:pPr>
        <w:bidi w:val="0"/>
        <w:rPr>
          <w:rFonts w:hint="default"/>
          <w:color w:val="auto"/>
          <w:lang w:val="en-US" w:eastAsia="zh-CN"/>
        </w:rPr>
      </w:pPr>
      <w:r>
        <w:rPr>
          <w:rFonts w:hint="default"/>
          <w:color w:val="auto"/>
          <w:lang w:val="en-US" w:eastAsia="zh-CN"/>
        </w:rPr>
        <w:t>风压：H=1576Pa=160.83mmH</w:t>
      </w:r>
      <w:r>
        <w:rPr>
          <w:rFonts w:hint="default"/>
          <w:color w:val="auto"/>
          <w:vertAlign w:val="subscript"/>
          <w:lang w:val="en-US" w:eastAsia="zh-CN"/>
        </w:rPr>
        <w:t>2</w:t>
      </w:r>
      <w:r>
        <w:rPr>
          <w:rFonts w:hint="default"/>
          <w:color w:val="auto"/>
          <w:lang w:val="en-US" w:eastAsia="zh-CN"/>
        </w:rPr>
        <w:t>O</w:t>
      </w:r>
    </w:p>
    <w:p w14:paraId="727873D7">
      <w:pPr>
        <w:bidi w:val="0"/>
        <w:rPr>
          <w:rFonts w:hint="default"/>
          <w:color w:val="auto"/>
          <w:lang w:val="en-US" w:eastAsia="zh-CN"/>
        </w:rPr>
      </w:pPr>
      <w:r>
        <w:rPr>
          <w:rFonts w:hint="default"/>
          <w:color w:val="auto"/>
          <w:lang w:val="en-US" w:eastAsia="zh-CN"/>
        </w:rPr>
        <w:t>效率η=74%</w:t>
      </w:r>
    </w:p>
    <w:p w14:paraId="20EAA54D">
      <w:pPr>
        <w:bidi w:val="0"/>
        <w:rPr>
          <w:rFonts w:hint="default"/>
          <w:color w:val="auto"/>
          <w:lang w:val="en-US" w:eastAsia="zh-CN"/>
        </w:rPr>
      </w:pPr>
      <w:r>
        <w:rPr>
          <w:rFonts w:hint="default"/>
          <w:color w:val="auto"/>
          <w:lang w:val="en-US" w:eastAsia="zh-CN"/>
        </w:rPr>
        <w:t>叶片角α=35</w:t>
      </w:r>
      <w:r>
        <w:rPr>
          <w:rFonts w:hint="eastAsia" w:ascii="宋体" w:hAnsi="宋体" w:eastAsia="宋体" w:cs="宋体"/>
          <w:color w:val="auto"/>
          <w:lang w:val="en-US" w:eastAsia="zh-CN"/>
        </w:rPr>
        <w:t>°</w:t>
      </w:r>
    </w:p>
    <w:p w14:paraId="35374AE7">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电动机校核</w:t>
      </w:r>
    </w:p>
    <w:p w14:paraId="0D16C99A">
      <w:pPr>
        <w:bidi w:val="0"/>
        <w:rPr>
          <w:rFonts w:hint="default" w:eastAsia="宋体"/>
          <w:color w:val="auto"/>
          <w:lang w:val="en-US" w:eastAsia="zh-CN"/>
        </w:rPr>
      </w:pPr>
      <w:r>
        <w:rPr>
          <w:rFonts w:hint="default"/>
          <w:color w:val="auto"/>
          <w:lang w:val="en-US" w:eastAsia="zh-CN"/>
        </w:rPr>
        <w:t xml:space="preserve">容易时期 </w:t>
      </w:r>
      <w:r>
        <w:rPr>
          <w:color w:val="auto"/>
          <w:position w:val="-23"/>
          <w:sz w:val="27"/>
          <w:szCs w:val="27"/>
        </w:rPr>
        <w:drawing>
          <wp:inline distT="0" distB="0" distL="0" distR="0">
            <wp:extent cx="2085340" cy="407035"/>
            <wp:effectExtent l="0" t="0" r="10160" b="1270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15"/>
                    <a:stretch>
                      <a:fillRect/>
                    </a:stretch>
                  </pic:blipFill>
                  <pic:spPr>
                    <a:xfrm>
                      <a:off x="0" y="0"/>
                      <a:ext cx="2085963" cy="407213"/>
                    </a:xfrm>
                    <a:prstGeom prst="rect">
                      <a:avLst/>
                    </a:prstGeom>
                  </pic:spPr>
                </pic:pic>
              </a:graphicData>
            </a:graphic>
          </wp:inline>
        </w:drawing>
      </w:r>
      <w:r>
        <w:rPr>
          <w:rFonts w:hint="eastAsia" w:ascii="Times New Roman" w:eastAsia="宋体"/>
          <w:color w:val="auto"/>
          <w:lang w:val="en-US" w:eastAsia="zh-CN"/>
        </w:rPr>
        <w:t>=145.02kW＜200kW</w:t>
      </w:r>
    </w:p>
    <w:p w14:paraId="3C04851C">
      <w:pPr>
        <w:bidi w:val="0"/>
        <w:rPr>
          <w:rFonts w:hint="default" w:eastAsia="宋体"/>
          <w:color w:val="auto"/>
          <w:lang w:val="en-US" w:eastAsia="zh-CN"/>
        </w:rPr>
      </w:pPr>
      <w:r>
        <w:rPr>
          <w:rFonts w:hint="default"/>
          <w:color w:val="auto"/>
          <w:lang w:val="en-US" w:eastAsia="zh-CN"/>
        </w:rPr>
        <w:t xml:space="preserve">困难时期 </w:t>
      </w:r>
      <w:r>
        <w:rPr>
          <w:color w:val="auto"/>
          <w:position w:val="-23"/>
          <w:sz w:val="27"/>
          <w:szCs w:val="27"/>
        </w:rPr>
        <w:drawing>
          <wp:inline distT="0" distB="0" distL="0" distR="0">
            <wp:extent cx="2083435" cy="406400"/>
            <wp:effectExtent l="0" t="0" r="12065" b="13335"/>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16"/>
                    <a:stretch>
                      <a:fillRect/>
                    </a:stretch>
                  </pic:blipFill>
                  <pic:spPr>
                    <a:xfrm>
                      <a:off x="0" y="0"/>
                      <a:ext cx="2083685" cy="406942"/>
                    </a:xfrm>
                    <a:prstGeom prst="rect">
                      <a:avLst/>
                    </a:prstGeom>
                  </pic:spPr>
                </pic:pic>
              </a:graphicData>
            </a:graphic>
          </wp:inline>
        </w:drawing>
      </w:r>
      <w:r>
        <w:rPr>
          <w:rFonts w:hint="eastAsia" w:ascii="Times New Roman" w:eastAsia="宋体"/>
          <w:color w:val="auto"/>
          <w:lang w:val="en-US" w:eastAsia="zh-CN"/>
        </w:rPr>
        <w:t>=167.42kW＜200kW</w:t>
      </w:r>
    </w:p>
    <w:p w14:paraId="54B528E0">
      <w:pPr>
        <w:bidi w:val="0"/>
        <w:rPr>
          <w:rFonts w:hint="eastAsia" w:eastAsia="宋体"/>
          <w:color w:val="auto"/>
          <w:lang w:val="en-US" w:eastAsia="zh-CN"/>
        </w:rPr>
      </w:pPr>
      <w:r>
        <w:rPr>
          <w:rFonts w:hint="eastAsia" w:eastAsia="宋体"/>
          <w:color w:val="auto"/>
          <w:lang w:val="en-US" w:eastAsia="zh-CN"/>
        </w:rPr>
        <w:t>电动机满足要求，故</w:t>
      </w:r>
      <w:r>
        <w:rPr>
          <w:rFonts w:hint="eastAsia" w:ascii="Times New Roman" w:eastAsia="宋体"/>
          <w:color w:val="auto"/>
          <w:lang w:val="en-US" w:eastAsia="zh-CN"/>
        </w:rPr>
        <w:t>南风井</w:t>
      </w:r>
      <w:r>
        <w:rPr>
          <w:rFonts w:hint="eastAsia" w:eastAsia="宋体"/>
          <w:color w:val="auto"/>
          <w:lang w:val="en-US" w:eastAsia="zh-CN"/>
        </w:rPr>
        <w:t>井口选用</w:t>
      </w:r>
      <w:r>
        <w:rPr>
          <w:rFonts w:hint="eastAsia" w:ascii="Times New Roman" w:eastAsia="宋体"/>
          <w:color w:val="auto"/>
          <w:lang w:val="en-US" w:eastAsia="zh-CN"/>
        </w:rPr>
        <w:t>FKZ-6-N</w:t>
      </w:r>
      <w:r>
        <w:rPr>
          <w:rFonts w:hint="eastAsia" w:ascii="Times New Roman" w:eastAsia="宋体"/>
          <w:color w:val="auto"/>
          <w:vertAlign w:val="subscript"/>
          <w:lang w:val="en-US" w:eastAsia="zh-CN"/>
        </w:rPr>
        <w:t>o</w:t>
      </w:r>
      <w:r>
        <w:rPr>
          <w:rFonts w:hint="eastAsia" w:ascii="Times New Roman" w:eastAsia="宋体"/>
          <w:color w:val="auto"/>
          <w:lang w:val="en-US" w:eastAsia="zh-CN"/>
        </w:rPr>
        <w:t>19/200</w:t>
      </w:r>
      <w:r>
        <w:rPr>
          <w:rFonts w:hint="eastAsia" w:eastAsia="宋体"/>
          <w:color w:val="auto"/>
          <w:lang w:val="en-US" w:eastAsia="zh-CN"/>
        </w:rPr>
        <w:t>满足供风要求。主扇配</w:t>
      </w:r>
      <w:r>
        <w:rPr>
          <w:rFonts w:hint="eastAsia"/>
          <w:color w:val="auto"/>
          <w:lang w:val="en-US" w:eastAsia="zh-CN"/>
        </w:rPr>
        <w:t>备了</w:t>
      </w:r>
      <w:r>
        <w:rPr>
          <w:rFonts w:hint="eastAsia" w:eastAsia="宋体"/>
          <w:color w:val="auto"/>
          <w:lang w:val="en-US" w:eastAsia="zh-CN"/>
        </w:rPr>
        <w:t>1台相同型号和规格的备用电动机，并能迅速调换电动机的设施。</w:t>
      </w:r>
    </w:p>
    <w:p w14:paraId="425FF73D">
      <w:pPr>
        <w:bidi w:val="0"/>
        <w:rPr>
          <w:rFonts w:hint="eastAsia"/>
          <w:b/>
          <w:bCs/>
          <w:color w:val="auto"/>
          <w:lang w:val="en-US" w:eastAsia="zh-CN"/>
        </w:rPr>
      </w:pPr>
      <w:r>
        <w:rPr>
          <w:rFonts w:hint="eastAsia" w:ascii="Times New Roman" w:eastAsia="宋体"/>
          <w:b/>
          <w:bCs/>
          <w:color w:val="auto"/>
          <w:lang w:val="en-US" w:eastAsia="zh-CN"/>
        </w:rPr>
        <w:t>2. 北风井通风设备校核</w:t>
      </w:r>
    </w:p>
    <w:p w14:paraId="6EB85451">
      <w:pPr>
        <w:bidi w:val="0"/>
        <w:rPr>
          <w:rFonts w:hint="default"/>
          <w:color w:val="auto"/>
          <w:lang w:val="en-US" w:eastAsia="zh-CN"/>
        </w:rPr>
      </w:pPr>
      <w:r>
        <w:rPr>
          <w:rFonts w:hint="eastAsia" w:ascii="Times New Roman" w:eastAsia="宋体"/>
          <w:color w:val="auto"/>
          <w:lang w:val="en-US" w:eastAsia="zh-CN"/>
        </w:rPr>
        <w:t>（1）校核依据</w:t>
      </w:r>
    </w:p>
    <w:p w14:paraId="2EC4151C">
      <w:pPr>
        <w:bidi w:val="0"/>
        <w:rPr>
          <w:rFonts w:hint="eastAsia"/>
          <w:color w:val="auto"/>
          <w:lang w:val="en-US" w:eastAsia="zh-CN"/>
        </w:rPr>
      </w:pPr>
      <w:r>
        <w:rPr>
          <w:rFonts w:hint="eastAsia" w:ascii="Times New Roman" w:eastAsia="宋体"/>
          <w:color w:val="auto"/>
          <w:lang w:val="en-US" w:eastAsia="zh-CN"/>
        </w:rPr>
        <w:t>1）通风方式：机械抽出式；</w:t>
      </w:r>
    </w:p>
    <w:p w14:paraId="6AF92AB0">
      <w:pPr>
        <w:bidi w:val="0"/>
        <w:rPr>
          <w:rFonts w:hint="eastAsia"/>
          <w:color w:val="auto"/>
          <w:lang w:val="en-US" w:eastAsia="zh-CN"/>
        </w:rPr>
      </w:pPr>
      <w:r>
        <w:rPr>
          <w:rFonts w:hint="eastAsia" w:ascii="Times New Roman" w:eastAsia="宋体"/>
          <w:color w:val="auto"/>
          <w:lang w:val="en-US" w:eastAsia="zh-CN"/>
        </w:rPr>
        <w:t>2）矿井需要的风量及负压；</w:t>
      </w:r>
    </w:p>
    <w:p w14:paraId="7C5BFA1E">
      <w:pPr>
        <w:bidi w:val="0"/>
        <w:rPr>
          <w:rFonts w:hint="eastAsia"/>
          <w:color w:val="auto"/>
          <w:lang w:val="en-US" w:eastAsia="zh-CN"/>
        </w:rPr>
      </w:pPr>
      <w:r>
        <w:rPr>
          <w:rFonts w:hint="eastAsia" w:ascii="Times New Roman" w:eastAsia="宋体"/>
          <w:color w:val="auto"/>
          <w:lang w:val="en-US" w:eastAsia="zh-CN"/>
        </w:rPr>
        <w:t>初期：风量Q</w:t>
      </w:r>
      <w:r>
        <w:rPr>
          <w:rFonts w:hint="eastAsia" w:ascii="Times New Roman" w:eastAsia="宋体"/>
          <w:color w:val="auto"/>
          <w:vertAlign w:val="subscript"/>
          <w:lang w:val="en-US" w:eastAsia="zh-CN"/>
        </w:rPr>
        <w:t>1</w:t>
      </w:r>
      <w:r>
        <w:rPr>
          <w:rFonts w:hint="eastAsia" w:ascii="Times New Roman" w:eastAsia="宋体"/>
          <w:color w:val="auto"/>
          <w:lang w:val="en-US" w:eastAsia="zh-CN"/>
        </w:rPr>
        <w:t>=66m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     负压h</w:t>
      </w:r>
      <w:r>
        <w:rPr>
          <w:rFonts w:hint="eastAsia" w:ascii="Times New Roman" w:eastAsia="宋体"/>
          <w:color w:val="auto"/>
          <w:vertAlign w:val="subscript"/>
          <w:lang w:val="en-US" w:eastAsia="zh-CN"/>
        </w:rPr>
        <w:t>1</w:t>
      </w:r>
      <w:r>
        <w:rPr>
          <w:rFonts w:hint="eastAsia" w:ascii="Times New Roman" w:eastAsia="宋体"/>
          <w:color w:val="auto"/>
          <w:lang w:val="en-US" w:eastAsia="zh-CN"/>
        </w:rPr>
        <w:t>=621.28Pa</w:t>
      </w:r>
    </w:p>
    <w:p w14:paraId="39A123F5">
      <w:pPr>
        <w:bidi w:val="0"/>
        <w:rPr>
          <w:rFonts w:hint="eastAsia"/>
          <w:color w:val="auto"/>
          <w:lang w:val="en-US" w:eastAsia="zh-CN"/>
        </w:rPr>
      </w:pPr>
      <w:r>
        <w:rPr>
          <w:rFonts w:hint="eastAsia" w:ascii="Times New Roman" w:eastAsia="宋体"/>
          <w:color w:val="auto"/>
          <w:lang w:val="en-US" w:eastAsia="zh-CN"/>
        </w:rPr>
        <w:t>后期：风量Q</w:t>
      </w:r>
      <w:r>
        <w:rPr>
          <w:rFonts w:hint="eastAsia" w:ascii="Times New Roman" w:eastAsia="宋体"/>
          <w:color w:val="auto"/>
          <w:vertAlign w:val="subscript"/>
          <w:lang w:val="en-US" w:eastAsia="zh-CN"/>
        </w:rPr>
        <w:t>2</w:t>
      </w:r>
      <w:r>
        <w:rPr>
          <w:rFonts w:hint="eastAsia" w:ascii="Times New Roman" w:eastAsia="宋体"/>
          <w:color w:val="auto"/>
          <w:lang w:val="en-US" w:eastAsia="zh-CN"/>
        </w:rPr>
        <w:t>=66m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     负压h</w:t>
      </w:r>
      <w:r>
        <w:rPr>
          <w:rFonts w:hint="eastAsia" w:ascii="Times New Roman" w:eastAsia="宋体"/>
          <w:color w:val="auto"/>
          <w:vertAlign w:val="subscript"/>
          <w:lang w:val="en-US" w:eastAsia="zh-CN"/>
        </w:rPr>
        <w:t>2</w:t>
      </w:r>
      <w:r>
        <w:rPr>
          <w:rFonts w:hint="eastAsia" w:ascii="Times New Roman" w:eastAsia="宋体"/>
          <w:color w:val="auto"/>
          <w:lang w:val="en-US" w:eastAsia="zh-CN"/>
        </w:rPr>
        <w:t>=1408.16Pa</w:t>
      </w:r>
    </w:p>
    <w:p w14:paraId="3ED12AEE">
      <w:pPr>
        <w:bidi w:val="0"/>
        <w:rPr>
          <w:rFonts w:hint="eastAsia"/>
          <w:color w:val="auto"/>
          <w:lang w:val="en-US" w:eastAsia="zh-CN"/>
        </w:rPr>
      </w:pPr>
      <w:r>
        <w:rPr>
          <w:rFonts w:hint="eastAsia" w:ascii="Times New Roman" w:eastAsia="宋体"/>
          <w:color w:val="auto"/>
          <w:lang w:val="en-US" w:eastAsia="zh-CN"/>
        </w:rPr>
        <w:t>（2）确定风机的风量及静压：</w:t>
      </w:r>
    </w:p>
    <w:p w14:paraId="10A902D1">
      <w:pPr>
        <w:bidi w:val="0"/>
        <w:rPr>
          <w:rFonts w:hint="eastAsia"/>
          <w:color w:val="auto"/>
          <w:lang w:val="en-US" w:eastAsia="zh-CN"/>
        </w:rPr>
      </w:pPr>
      <w:r>
        <w:rPr>
          <w:rFonts w:hint="eastAsia" w:ascii="Times New Roman" w:eastAsia="宋体"/>
          <w:color w:val="auto"/>
          <w:lang w:val="en-US" w:eastAsia="zh-CN"/>
        </w:rPr>
        <w:t>初期：风量Q</w:t>
      </w:r>
      <w:r>
        <w:rPr>
          <w:rFonts w:hint="eastAsia" w:ascii="Times New Roman" w:eastAsia="宋体"/>
          <w:color w:val="auto"/>
          <w:vertAlign w:val="subscript"/>
          <w:lang w:val="en-US" w:eastAsia="zh-CN"/>
        </w:rPr>
        <w:t>初</w:t>
      </w:r>
      <w:r>
        <w:rPr>
          <w:rFonts w:hint="eastAsia" w:ascii="Times New Roman" w:eastAsia="宋体"/>
          <w:color w:val="auto"/>
          <w:lang w:val="en-US" w:eastAsia="zh-CN"/>
        </w:rPr>
        <w:t>=K</w:t>
      </w:r>
      <w:r>
        <w:rPr>
          <w:rFonts w:hint="eastAsia" w:ascii="Times New Roman" w:eastAsia="宋体"/>
          <w:color w:val="auto"/>
          <w:vertAlign w:val="subscript"/>
          <w:lang w:val="en-US" w:eastAsia="zh-CN"/>
        </w:rPr>
        <w:t>L</w:t>
      </w:r>
      <w:r>
        <w:rPr>
          <w:rFonts w:hint="eastAsia" w:ascii="Times New Roman" w:eastAsia="宋体"/>
          <w:color w:val="auto"/>
          <w:lang w:val="en-US" w:eastAsia="zh-CN"/>
        </w:rPr>
        <w:t>Q</w:t>
      </w:r>
      <w:r>
        <w:rPr>
          <w:rFonts w:hint="eastAsia" w:ascii="Times New Roman" w:eastAsia="宋体"/>
          <w:color w:val="auto"/>
          <w:vertAlign w:val="subscript"/>
          <w:lang w:val="en-US" w:eastAsia="zh-CN"/>
        </w:rPr>
        <w:t>1</w:t>
      </w:r>
      <w:r>
        <w:rPr>
          <w:rFonts w:hint="eastAsia" w:ascii="Times New Roman" w:eastAsia="宋体"/>
          <w:color w:val="auto"/>
          <w:lang w:val="en-US" w:eastAsia="zh-CN"/>
        </w:rPr>
        <w:t>=1.05×66=69.3m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/s=4158m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/min</w:t>
      </w:r>
    </w:p>
    <w:p w14:paraId="2544EAED">
      <w:pPr>
        <w:bidi w:val="0"/>
        <w:rPr>
          <w:rFonts w:hint="eastAsia"/>
          <w:color w:val="auto"/>
          <w:lang w:val="en-US" w:eastAsia="zh-CN"/>
        </w:rPr>
      </w:pPr>
      <w:r>
        <w:rPr>
          <w:rFonts w:hint="eastAsia" w:ascii="Times New Roman" w:eastAsia="宋体"/>
          <w:color w:val="auto"/>
          <w:lang w:val="en-US" w:eastAsia="zh-CN"/>
        </w:rPr>
        <w:t>风机静压：H</w:t>
      </w:r>
      <w:r>
        <w:rPr>
          <w:rFonts w:hint="eastAsia" w:ascii="Times New Roman" w:eastAsia="宋体"/>
          <w:color w:val="auto"/>
          <w:vertAlign w:val="subscript"/>
          <w:lang w:val="en-US" w:eastAsia="zh-CN"/>
        </w:rPr>
        <w:t>初</w:t>
      </w:r>
      <w:r>
        <w:rPr>
          <w:rFonts w:hint="eastAsia" w:ascii="Times New Roman" w:eastAsia="宋体"/>
          <w:color w:val="auto"/>
          <w:lang w:val="en-US" w:eastAsia="zh-CN"/>
        </w:rPr>
        <w:t>=h</w:t>
      </w:r>
      <w:r>
        <w:rPr>
          <w:rFonts w:hint="eastAsia" w:ascii="Times New Roman" w:eastAsia="宋体"/>
          <w:color w:val="auto"/>
          <w:vertAlign w:val="subscript"/>
          <w:lang w:val="en-US" w:eastAsia="zh-CN"/>
        </w:rPr>
        <w:t>1</w:t>
      </w:r>
      <w:r>
        <w:rPr>
          <w:rFonts w:hint="eastAsia" w:ascii="Times New Roman" w:eastAsia="宋体"/>
          <w:color w:val="auto"/>
          <w:lang w:val="en-US" w:eastAsia="zh-CN"/>
        </w:rPr>
        <w:t>+△h+h</w:t>
      </w:r>
      <w:r>
        <w:rPr>
          <w:rFonts w:hint="eastAsia" w:ascii="Times New Roman" w:eastAsia="宋体"/>
          <w:color w:val="auto"/>
          <w:vertAlign w:val="subscript"/>
          <w:lang w:val="en-US" w:eastAsia="zh-CN"/>
        </w:rPr>
        <w:t>z</w:t>
      </w:r>
    </w:p>
    <w:p w14:paraId="028AF0A5">
      <w:pPr>
        <w:bidi w:val="0"/>
        <w:ind w:firstLine="2240" w:firstLineChars="800"/>
        <w:rPr>
          <w:rFonts w:hint="eastAsia"/>
          <w:color w:val="auto"/>
          <w:lang w:val="en-US" w:eastAsia="zh-CN"/>
        </w:rPr>
      </w:pPr>
      <w:r>
        <w:rPr>
          <w:rFonts w:hint="eastAsia" w:ascii="Times New Roman" w:eastAsia="宋体"/>
          <w:color w:val="auto"/>
          <w:lang w:val="en-US" w:eastAsia="zh-CN"/>
        </w:rPr>
        <w:t>=621.28+15×9.8+10×9.8=866.28</w:t>
      </w:r>
      <w:r>
        <w:rPr>
          <w:rFonts w:ascii="Times New Roman" w:hAnsi="Times New Roman" w:eastAsia="Times New Roman" w:cs="Times New Roman"/>
          <w:color w:val="auto"/>
          <w:sz w:val="27"/>
          <w:szCs w:val="27"/>
        </w:rPr>
        <w:t>P</w:t>
      </w:r>
      <w:r>
        <w:rPr>
          <w:rFonts w:hint="eastAsia" w:ascii="Times New Roman" w:eastAsia="宋体"/>
          <w:color w:val="auto"/>
          <w:lang w:val="en-US" w:eastAsia="zh-CN"/>
        </w:rPr>
        <w:t>a</w:t>
      </w:r>
    </w:p>
    <w:p w14:paraId="0AFB7819">
      <w:pPr>
        <w:bidi w:val="0"/>
        <w:rPr>
          <w:rFonts w:hint="eastAsia"/>
          <w:color w:val="auto"/>
          <w:lang w:val="en-US" w:eastAsia="zh-CN"/>
        </w:rPr>
      </w:pPr>
      <w:r>
        <w:rPr>
          <w:rFonts w:hint="eastAsia" w:ascii="Times New Roman" w:eastAsia="宋体"/>
          <w:color w:val="auto"/>
          <w:lang w:val="en-US" w:eastAsia="zh-CN"/>
        </w:rPr>
        <w:t>后期：风量Q</w:t>
      </w:r>
      <w:r>
        <w:rPr>
          <w:rFonts w:hint="eastAsia" w:ascii="Times New Roman" w:eastAsia="宋体"/>
          <w:color w:val="auto"/>
          <w:vertAlign w:val="subscript"/>
          <w:lang w:val="en-US" w:eastAsia="zh-CN"/>
        </w:rPr>
        <w:t>后</w:t>
      </w:r>
      <w:r>
        <w:rPr>
          <w:rFonts w:hint="eastAsia" w:ascii="Times New Roman" w:eastAsia="宋体"/>
          <w:color w:val="auto"/>
          <w:lang w:val="en-US" w:eastAsia="zh-CN"/>
        </w:rPr>
        <w:t>=K</w:t>
      </w:r>
      <w:r>
        <w:rPr>
          <w:rFonts w:hint="eastAsia" w:ascii="Times New Roman" w:eastAsia="宋体"/>
          <w:color w:val="auto"/>
          <w:vertAlign w:val="subscript"/>
          <w:lang w:val="en-US" w:eastAsia="zh-CN"/>
        </w:rPr>
        <w:t>L</w:t>
      </w:r>
      <w:r>
        <w:rPr>
          <w:rFonts w:hint="eastAsia" w:ascii="Times New Roman" w:eastAsia="宋体"/>
          <w:color w:val="auto"/>
          <w:lang w:val="en-US" w:eastAsia="zh-CN"/>
        </w:rPr>
        <w:t>Q</w:t>
      </w:r>
      <w:r>
        <w:rPr>
          <w:rFonts w:hint="eastAsia" w:ascii="Times New Roman" w:eastAsia="宋体"/>
          <w:color w:val="auto"/>
          <w:vertAlign w:val="subscript"/>
          <w:lang w:val="en-US" w:eastAsia="zh-CN"/>
        </w:rPr>
        <w:t>2</w:t>
      </w:r>
      <w:r>
        <w:rPr>
          <w:rFonts w:hint="eastAsia" w:ascii="Times New Roman" w:eastAsia="宋体"/>
          <w:color w:val="auto"/>
          <w:lang w:val="en-US" w:eastAsia="zh-CN"/>
        </w:rPr>
        <w:t>=1.05×66=69.3m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/s=4158m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/min</w:t>
      </w:r>
    </w:p>
    <w:p w14:paraId="6A93F88A">
      <w:pPr>
        <w:bidi w:val="0"/>
        <w:rPr>
          <w:rFonts w:hint="eastAsia"/>
          <w:color w:val="auto"/>
          <w:lang w:val="en-US" w:eastAsia="zh-CN"/>
        </w:rPr>
      </w:pPr>
      <w:r>
        <w:rPr>
          <w:rFonts w:hint="eastAsia" w:ascii="Times New Roman" w:eastAsia="宋体"/>
          <w:color w:val="auto"/>
          <w:lang w:val="en-US" w:eastAsia="zh-CN"/>
        </w:rPr>
        <w:t>风机静压：H</w:t>
      </w:r>
      <w:r>
        <w:rPr>
          <w:rFonts w:hint="eastAsia" w:ascii="Times New Roman" w:eastAsia="宋体"/>
          <w:color w:val="auto"/>
          <w:vertAlign w:val="subscript"/>
          <w:lang w:val="en-US" w:eastAsia="zh-CN"/>
        </w:rPr>
        <w:t>后</w:t>
      </w:r>
      <w:r>
        <w:rPr>
          <w:rFonts w:hint="eastAsia" w:ascii="Times New Roman" w:eastAsia="宋体"/>
          <w:color w:val="auto"/>
          <w:lang w:val="en-US" w:eastAsia="zh-CN"/>
        </w:rPr>
        <w:t>=h</w:t>
      </w:r>
      <w:r>
        <w:rPr>
          <w:rFonts w:hint="eastAsia" w:ascii="Times New Roman" w:eastAsia="宋体"/>
          <w:color w:val="auto"/>
          <w:vertAlign w:val="subscript"/>
          <w:lang w:val="en-US" w:eastAsia="zh-CN"/>
        </w:rPr>
        <w:t>2</w:t>
      </w:r>
      <w:r>
        <w:rPr>
          <w:rFonts w:hint="eastAsia" w:ascii="Times New Roman" w:eastAsia="宋体"/>
          <w:color w:val="auto"/>
          <w:lang w:val="en-US" w:eastAsia="zh-CN"/>
        </w:rPr>
        <w:t>+△h+h</w:t>
      </w:r>
      <w:r>
        <w:rPr>
          <w:rFonts w:hint="eastAsia" w:ascii="Times New Roman" w:eastAsia="宋体"/>
          <w:color w:val="auto"/>
          <w:vertAlign w:val="subscript"/>
          <w:lang w:val="en-US" w:eastAsia="zh-CN"/>
        </w:rPr>
        <w:t>z</w:t>
      </w:r>
    </w:p>
    <w:p w14:paraId="126A4649">
      <w:pPr>
        <w:bidi w:val="0"/>
        <w:ind w:firstLine="2520" w:firstLineChars="900"/>
        <w:rPr>
          <w:rFonts w:hint="eastAsia"/>
          <w:color w:val="auto"/>
          <w:lang w:val="en-US" w:eastAsia="zh-CN"/>
        </w:rPr>
      </w:pPr>
      <w:r>
        <w:rPr>
          <w:rFonts w:hint="eastAsia" w:ascii="Times New Roman" w:eastAsia="宋体"/>
          <w:color w:val="auto"/>
          <w:lang w:val="en-US" w:eastAsia="zh-CN"/>
        </w:rPr>
        <w:t>=1408.16+15×9.8+10×9.8=1653.16Pa</w:t>
      </w:r>
    </w:p>
    <w:p w14:paraId="6EACE0A7">
      <w:pPr>
        <w:bidi w:val="0"/>
        <w:rPr>
          <w:rFonts w:hint="default"/>
          <w:color w:val="auto"/>
          <w:lang w:val="en-US" w:eastAsia="zh-CN"/>
        </w:rPr>
      </w:pPr>
      <w:r>
        <w:rPr>
          <w:rFonts w:hint="eastAsia" w:ascii="Times New Roman" w:eastAsia="宋体"/>
          <w:color w:val="auto"/>
          <w:lang w:val="en-US" w:eastAsia="zh-CN"/>
        </w:rPr>
        <w:t>矿山现有一台FKZ-6-N</w:t>
      </w:r>
      <w:r>
        <w:rPr>
          <w:rFonts w:hint="eastAsia" w:ascii="Times New Roman" w:eastAsia="宋体"/>
          <w:color w:val="auto"/>
          <w:vertAlign w:val="subscript"/>
          <w:lang w:val="en-US" w:eastAsia="zh-CN"/>
        </w:rPr>
        <w:t>o</w:t>
      </w:r>
      <w:r>
        <w:rPr>
          <w:rFonts w:hint="eastAsia" w:ascii="Times New Roman" w:eastAsia="宋体"/>
          <w:color w:val="auto"/>
          <w:lang w:val="en-US" w:eastAsia="zh-CN"/>
        </w:rPr>
        <w:t>19/200型轴流通风机，风机参数如下表</w:t>
      </w:r>
      <w:r>
        <w:rPr>
          <w:rFonts w:hint="eastAsia"/>
          <w:color w:val="auto"/>
          <w:lang w:val="en-US" w:eastAsia="zh-CN"/>
        </w:rPr>
        <w:t>3.6</w:t>
      </w:r>
      <w:r>
        <w:rPr>
          <w:rFonts w:hint="eastAsia" w:ascii="Times New Roman" w:eastAsia="宋体"/>
          <w:color w:val="auto"/>
          <w:lang w:val="en-US" w:eastAsia="zh-CN"/>
        </w:rPr>
        <w:t>-</w:t>
      </w:r>
      <w:r>
        <w:rPr>
          <w:rFonts w:hint="eastAsia"/>
          <w:color w:val="auto"/>
          <w:lang w:val="en-US" w:eastAsia="zh-CN"/>
        </w:rPr>
        <w:t>5</w:t>
      </w:r>
      <w:r>
        <w:rPr>
          <w:rFonts w:hint="eastAsia" w:ascii="Times New Roman" w:eastAsia="宋体"/>
          <w:color w:val="auto"/>
          <w:lang w:val="en-US" w:eastAsia="zh-CN"/>
        </w:rPr>
        <w:t>。</w:t>
      </w:r>
    </w:p>
    <w:p w14:paraId="19FC4990">
      <w:pPr>
        <w:bidi w:val="0"/>
        <w:ind w:left="0" w:leftChars="0" w:firstLine="0" w:firstLineChars="0"/>
        <w:jc w:val="center"/>
        <w:rPr>
          <w:rFonts w:hint="eastAsia"/>
          <w:color w:val="auto"/>
          <w:lang w:val="en-US" w:eastAsia="zh-CN"/>
        </w:rPr>
      </w:pPr>
      <w:r>
        <w:rPr>
          <w:rFonts w:hint="eastAsia" w:ascii="Times New Roman" w:eastAsia="宋体"/>
          <w:color w:val="auto"/>
          <w:lang w:val="en-US" w:eastAsia="zh-CN"/>
        </w:rPr>
        <w:t>表</w:t>
      </w:r>
      <w:r>
        <w:rPr>
          <w:rFonts w:hint="eastAsia"/>
          <w:color w:val="auto"/>
          <w:lang w:val="en-US" w:eastAsia="zh-CN"/>
        </w:rPr>
        <w:t>3.6</w:t>
      </w:r>
      <w:r>
        <w:rPr>
          <w:rFonts w:hint="eastAsia" w:ascii="Times New Roman" w:eastAsia="宋体"/>
          <w:color w:val="auto"/>
          <w:lang w:val="en-US" w:eastAsia="zh-CN"/>
        </w:rPr>
        <w:t>-</w:t>
      </w:r>
      <w:r>
        <w:rPr>
          <w:rFonts w:hint="eastAsia"/>
          <w:color w:val="auto"/>
          <w:lang w:val="en-US" w:eastAsia="zh-CN"/>
        </w:rPr>
        <w:t>5</w:t>
      </w:r>
      <w:r>
        <w:rPr>
          <w:rFonts w:hint="eastAsia" w:ascii="Times New Roman" w:eastAsia="宋体"/>
          <w:color w:val="auto"/>
          <w:lang w:val="en-US" w:eastAsia="zh-CN"/>
        </w:rPr>
        <w:t xml:space="preserve"> 通风机参数表</w:t>
      </w:r>
    </w:p>
    <w:tbl>
      <w:tblPr>
        <w:tblStyle w:val="36"/>
        <w:tblW w:w="966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3"/>
        <w:gridCol w:w="644"/>
        <w:gridCol w:w="2099"/>
        <w:gridCol w:w="1499"/>
        <w:gridCol w:w="838"/>
        <w:gridCol w:w="2915"/>
      </w:tblGrid>
      <w:tr w14:paraId="54706E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1" w:hRule="atLeast"/>
        </w:trPr>
        <w:tc>
          <w:tcPr>
            <w:tcW w:w="1673" w:type="dxa"/>
            <w:vAlign w:val="center"/>
          </w:tcPr>
          <w:p w14:paraId="779BCCE7">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风机型号</w:t>
            </w:r>
          </w:p>
        </w:tc>
        <w:tc>
          <w:tcPr>
            <w:tcW w:w="644" w:type="dxa"/>
            <w:vAlign w:val="center"/>
          </w:tcPr>
          <w:p w14:paraId="5F5CF0A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台数</w:t>
            </w:r>
          </w:p>
        </w:tc>
        <w:tc>
          <w:tcPr>
            <w:tcW w:w="2099" w:type="dxa"/>
            <w:vAlign w:val="center"/>
          </w:tcPr>
          <w:p w14:paraId="72CFDFC4">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风量Q（m</w:t>
            </w:r>
            <w:r>
              <w:rPr>
                <w:rFonts w:hint="default" w:ascii="Times New Roman" w:hAnsi="Times New Roman" w:eastAsia="Times New Roman" w:cs="Times New Roman"/>
                <w:b/>
                <w:bCs/>
                <w:color w:val="auto"/>
                <w:spacing w:val="-4"/>
                <w:sz w:val="21"/>
                <w:szCs w:val="21"/>
                <w:vertAlign w:val="superscript"/>
              </w:rPr>
              <w:t>3</w:t>
            </w:r>
            <w:r>
              <w:rPr>
                <w:rFonts w:hint="default" w:ascii="Times New Roman" w:hAnsi="Times New Roman" w:eastAsia="Times New Roman" w:cs="Times New Roman"/>
                <w:b/>
                <w:bCs/>
                <w:color w:val="auto"/>
                <w:spacing w:val="-4"/>
                <w:sz w:val="21"/>
                <w:szCs w:val="21"/>
              </w:rPr>
              <w:t>/S）</w:t>
            </w:r>
          </w:p>
        </w:tc>
        <w:tc>
          <w:tcPr>
            <w:tcW w:w="1499" w:type="dxa"/>
            <w:vAlign w:val="center"/>
          </w:tcPr>
          <w:p w14:paraId="2D06E68C">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静压H（Pa）</w:t>
            </w:r>
          </w:p>
        </w:tc>
        <w:tc>
          <w:tcPr>
            <w:tcW w:w="838" w:type="dxa"/>
            <w:vAlign w:val="center"/>
          </w:tcPr>
          <w:p w14:paraId="10FAECD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效率η（%）</w:t>
            </w:r>
          </w:p>
        </w:tc>
        <w:tc>
          <w:tcPr>
            <w:tcW w:w="2915" w:type="dxa"/>
            <w:vAlign w:val="center"/>
          </w:tcPr>
          <w:p w14:paraId="02281226">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b/>
                <w:bCs/>
                <w:color w:val="auto"/>
                <w:spacing w:val="-4"/>
                <w:sz w:val="21"/>
                <w:szCs w:val="21"/>
              </w:rPr>
            </w:pPr>
            <w:r>
              <w:rPr>
                <w:rFonts w:hint="default" w:ascii="Times New Roman" w:hAnsi="Times New Roman" w:eastAsia="Times New Roman" w:cs="Times New Roman"/>
                <w:b/>
                <w:bCs/>
                <w:color w:val="auto"/>
                <w:spacing w:val="-4"/>
                <w:sz w:val="21"/>
                <w:szCs w:val="21"/>
              </w:rPr>
              <w:t>电动机</w:t>
            </w:r>
          </w:p>
        </w:tc>
      </w:tr>
      <w:tr w14:paraId="5D198A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1673" w:type="dxa"/>
            <w:vAlign w:val="center"/>
          </w:tcPr>
          <w:p w14:paraId="20A1B972">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FKZ-6-N</w:t>
            </w:r>
            <w:r>
              <w:rPr>
                <w:rFonts w:hint="default" w:ascii="Times New Roman" w:hAnsi="Times New Roman" w:eastAsia="Times New Roman" w:cs="Times New Roman"/>
                <w:color w:val="auto"/>
                <w:spacing w:val="-4"/>
                <w:sz w:val="21"/>
                <w:szCs w:val="21"/>
                <w:vertAlign w:val="subscript"/>
              </w:rPr>
              <w:t>o</w:t>
            </w:r>
            <w:r>
              <w:rPr>
                <w:rFonts w:hint="default" w:ascii="Times New Roman" w:hAnsi="Times New Roman" w:eastAsia="Times New Roman" w:cs="Times New Roman"/>
                <w:color w:val="auto"/>
                <w:spacing w:val="-4"/>
                <w:sz w:val="21"/>
                <w:szCs w:val="21"/>
              </w:rPr>
              <w:t>19</w:t>
            </w:r>
          </w:p>
        </w:tc>
        <w:tc>
          <w:tcPr>
            <w:tcW w:w="644" w:type="dxa"/>
            <w:vAlign w:val="center"/>
          </w:tcPr>
          <w:p w14:paraId="6C760D53">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1</w:t>
            </w:r>
          </w:p>
        </w:tc>
        <w:tc>
          <w:tcPr>
            <w:tcW w:w="2099" w:type="dxa"/>
            <w:vAlign w:val="center"/>
          </w:tcPr>
          <w:p w14:paraId="336D4CAB">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59.8～113.2</w:t>
            </w:r>
          </w:p>
        </w:tc>
        <w:tc>
          <w:tcPr>
            <w:tcW w:w="1499" w:type="dxa"/>
            <w:vAlign w:val="center"/>
          </w:tcPr>
          <w:p w14:paraId="7BE94238">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920～1760</w:t>
            </w:r>
          </w:p>
        </w:tc>
        <w:tc>
          <w:tcPr>
            <w:tcW w:w="838" w:type="dxa"/>
            <w:vAlign w:val="center"/>
          </w:tcPr>
          <w:p w14:paraId="09239B49">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80</w:t>
            </w:r>
          </w:p>
        </w:tc>
        <w:tc>
          <w:tcPr>
            <w:tcW w:w="2915" w:type="dxa"/>
            <w:vAlign w:val="center"/>
          </w:tcPr>
          <w:p w14:paraId="4B0A3AAA">
            <w:pPr>
              <w:pStyle w:val="35"/>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Times New Roman" w:cs="Times New Roman"/>
                <w:color w:val="auto"/>
                <w:spacing w:val="-4"/>
                <w:sz w:val="21"/>
                <w:szCs w:val="21"/>
              </w:rPr>
            </w:pPr>
            <w:r>
              <w:rPr>
                <w:rFonts w:hint="default" w:ascii="Times New Roman" w:hAnsi="Times New Roman" w:eastAsia="Times New Roman" w:cs="Times New Roman"/>
                <w:color w:val="auto"/>
                <w:spacing w:val="-4"/>
                <w:sz w:val="21"/>
                <w:szCs w:val="21"/>
              </w:rPr>
              <w:t>Y355M-6、200kW、380V</w:t>
            </w:r>
          </w:p>
        </w:tc>
      </w:tr>
    </w:tbl>
    <w:p w14:paraId="04519B3E">
      <w:pPr>
        <w:bidi w:val="0"/>
        <w:rPr>
          <w:rFonts w:hint="eastAsia"/>
          <w:color w:val="auto"/>
          <w:lang w:val="en-US" w:eastAsia="zh-CN"/>
        </w:rPr>
      </w:pPr>
      <w:r>
        <w:rPr>
          <w:rFonts w:hint="eastAsia" w:ascii="Times New Roman" w:eastAsia="宋体"/>
          <w:color w:val="auto"/>
          <w:lang w:val="en-US" w:eastAsia="zh-CN"/>
        </w:rPr>
        <w:t>（3）工况确定</w:t>
      </w:r>
    </w:p>
    <w:p w14:paraId="4370DF33">
      <w:pPr>
        <w:bidi w:val="0"/>
        <w:rPr>
          <w:rFonts w:hint="eastAsia"/>
          <w:color w:val="auto"/>
          <w:lang w:val="en-US" w:eastAsia="zh-CN"/>
        </w:rPr>
      </w:pPr>
      <w:r>
        <w:rPr>
          <w:rFonts w:hint="eastAsia" w:ascii="Times New Roman" w:eastAsia="宋体"/>
          <w:color w:val="auto"/>
          <w:lang w:val="en-US" w:eastAsia="zh-CN"/>
        </w:rPr>
        <w:t>1）容易时期</w:t>
      </w:r>
    </w:p>
    <w:p w14:paraId="120D329C">
      <w:pPr>
        <w:bidi w:val="0"/>
        <w:rPr>
          <w:rFonts w:hint="eastAsia"/>
          <w:color w:val="auto"/>
          <w:lang w:val="en-US" w:eastAsia="zh-CN"/>
        </w:rPr>
      </w:pPr>
      <w:r>
        <w:rPr>
          <w:rFonts w:hint="eastAsia" w:ascii="Times New Roman" w:eastAsia="宋体"/>
          <w:color w:val="auto"/>
          <w:lang w:val="en-US" w:eastAsia="zh-CN"/>
        </w:rPr>
        <w:t>通风网路静压特性方程</w:t>
      </w:r>
    </w:p>
    <w:p w14:paraId="5692E945">
      <w:pPr>
        <w:bidi w:val="0"/>
        <w:rPr>
          <w:rFonts w:hint="eastAsia"/>
          <w:color w:val="auto"/>
          <w:lang w:val="en-US" w:eastAsia="zh-CN"/>
        </w:rPr>
      </w:pPr>
      <w:r>
        <w:rPr>
          <w:rFonts w:hint="eastAsia" w:ascii="Times New Roman" w:eastAsia="宋体"/>
          <w:color w:val="auto"/>
          <w:lang w:val="en-US" w:eastAsia="zh-CN"/>
        </w:rPr>
        <w:t>H=0.18038Q</w:t>
      </w:r>
      <w:r>
        <w:rPr>
          <w:rFonts w:hint="eastAsia" w:ascii="Times New Roman" w:eastAsia="宋体"/>
          <w:color w:val="auto"/>
          <w:vertAlign w:val="superscript"/>
          <w:lang w:val="en-US" w:eastAsia="zh-CN"/>
        </w:rPr>
        <w:t>2</w:t>
      </w:r>
      <w:r>
        <w:rPr>
          <w:rFonts w:hint="eastAsia" w:ascii="Times New Roman" w:eastAsia="宋体"/>
          <w:color w:val="auto"/>
          <w:lang w:val="en-US" w:eastAsia="zh-CN"/>
        </w:rPr>
        <w:t>（Pa）</w:t>
      </w:r>
    </w:p>
    <w:p w14:paraId="462AF50E">
      <w:pPr>
        <w:bidi w:val="0"/>
        <w:rPr>
          <w:rFonts w:hint="eastAsia"/>
          <w:color w:val="auto"/>
          <w:lang w:val="en-US" w:eastAsia="zh-CN"/>
        </w:rPr>
      </w:pPr>
      <w:r>
        <w:rPr>
          <w:rFonts w:hint="eastAsia" w:ascii="Times New Roman" w:eastAsia="宋体"/>
          <w:color w:val="auto"/>
          <w:lang w:val="en-US" w:eastAsia="zh-CN"/>
        </w:rPr>
        <w:t>风机及网路特性曲线见下图</w:t>
      </w:r>
      <w:r>
        <w:rPr>
          <w:rFonts w:hint="eastAsia"/>
          <w:color w:val="auto"/>
          <w:lang w:val="en-US" w:eastAsia="zh-CN"/>
        </w:rPr>
        <w:t>3.6</w:t>
      </w:r>
      <w:r>
        <w:rPr>
          <w:rFonts w:hint="eastAsia" w:ascii="Times New Roman" w:eastAsia="宋体"/>
          <w:color w:val="auto"/>
          <w:lang w:val="en-US" w:eastAsia="zh-CN"/>
        </w:rPr>
        <w:t>-2</w:t>
      </w:r>
    </w:p>
    <w:p w14:paraId="399CD562">
      <w:pPr>
        <w:bidi w:val="0"/>
        <w:rPr>
          <w:rFonts w:hint="eastAsia"/>
          <w:color w:val="auto"/>
          <w:lang w:val="en-US" w:eastAsia="zh-CN"/>
        </w:rPr>
      </w:pPr>
      <w:r>
        <w:rPr>
          <w:rFonts w:hint="eastAsia" w:ascii="Times New Roman" w:eastAsia="宋体"/>
          <w:color w:val="auto"/>
          <w:lang w:val="en-US" w:eastAsia="zh-CN"/>
        </w:rPr>
        <w:t>工况点M1参数：</w:t>
      </w:r>
    </w:p>
    <w:p w14:paraId="4648F61C">
      <w:pPr>
        <w:bidi w:val="0"/>
        <w:rPr>
          <w:rFonts w:hint="eastAsia"/>
          <w:color w:val="auto"/>
          <w:lang w:val="en-US" w:eastAsia="zh-CN"/>
        </w:rPr>
      </w:pPr>
      <w:r>
        <w:rPr>
          <w:rFonts w:hint="eastAsia" w:ascii="Times New Roman" w:eastAsia="宋体"/>
          <w:color w:val="auto"/>
          <w:lang w:val="en-US" w:eastAsia="zh-CN"/>
        </w:rPr>
        <w:t>风量：Q=76m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/s</w:t>
      </w:r>
    </w:p>
    <w:p w14:paraId="754D9915">
      <w:pPr>
        <w:bidi w:val="0"/>
        <w:rPr>
          <w:rFonts w:hint="eastAsia"/>
          <w:color w:val="auto"/>
          <w:lang w:val="en-US" w:eastAsia="zh-CN"/>
        </w:rPr>
      </w:pPr>
      <w:r>
        <w:rPr>
          <w:rFonts w:hint="eastAsia" w:ascii="Times New Roman" w:eastAsia="宋体"/>
          <w:color w:val="auto"/>
          <w:lang w:val="en-US" w:eastAsia="zh-CN"/>
        </w:rPr>
        <w:t>风压：H=1380Pa=140.82mmH</w:t>
      </w:r>
      <w:r>
        <w:rPr>
          <w:rFonts w:hint="eastAsia" w:ascii="Times New Roman" w:eastAsia="宋体"/>
          <w:color w:val="auto"/>
          <w:vertAlign w:val="subscript"/>
          <w:lang w:val="en-US" w:eastAsia="zh-CN"/>
        </w:rPr>
        <w:t>2</w:t>
      </w:r>
      <w:r>
        <w:rPr>
          <w:rFonts w:hint="eastAsia" w:ascii="Times New Roman" w:eastAsia="宋体"/>
          <w:color w:val="auto"/>
          <w:lang w:val="en-US" w:eastAsia="zh-CN"/>
        </w:rPr>
        <w:t>O</w:t>
      </w:r>
    </w:p>
    <w:p w14:paraId="54BACA5F">
      <w:pPr>
        <w:bidi w:val="0"/>
        <w:rPr>
          <w:rFonts w:hint="eastAsia"/>
          <w:color w:val="auto"/>
          <w:lang w:val="en-US" w:eastAsia="zh-CN"/>
        </w:rPr>
      </w:pPr>
      <w:r>
        <w:rPr>
          <w:rFonts w:hint="eastAsia" w:ascii="Times New Roman" w:eastAsia="宋体"/>
          <w:color w:val="auto"/>
          <w:lang w:val="en-US" w:eastAsia="zh-CN"/>
        </w:rPr>
        <w:t>效率η=81%</w:t>
      </w:r>
    </w:p>
    <w:p w14:paraId="5379F84B">
      <w:pPr>
        <w:bidi w:val="0"/>
        <w:rPr>
          <w:rFonts w:hint="eastAsia"/>
          <w:color w:val="auto"/>
          <w:lang w:val="en-US" w:eastAsia="zh-CN"/>
        </w:rPr>
      </w:pPr>
      <w:r>
        <w:rPr>
          <w:rFonts w:hint="eastAsia" w:ascii="Times New Roman" w:eastAsia="宋体"/>
          <w:color w:val="auto"/>
          <w:lang w:val="en-US" w:eastAsia="zh-CN"/>
        </w:rPr>
        <w:t>叶片角α=32°</w:t>
      </w:r>
    </w:p>
    <w:p w14:paraId="1C1B2DB0">
      <w:pPr>
        <w:bidi w:val="0"/>
        <w:ind w:left="0" w:leftChars="0" w:firstLine="0" w:firstLineChars="0"/>
        <w:jc w:val="center"/>
        <w:rPr>
          <w:color w:val="auto"/>
        </w:rPr>
      </w:pPr>
      <w:r>
        <w:rPr>
          <w:color w:val="auto"/>
          <w:position w:val="-101"/>
        </w:rPr>
        <w:drawing>
          <wp:inline distT="0" distB="0" distL="0" distR="0">
            <wp:extent cx="4319905" cy="2665730"/>
            <wp:effectExtent l="0" t="0" r="4445" b="1270"/>
            <wp:docPr id="198" name="IM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 198"/>
                    <pic:cNvPicPr>
                      <a:picLocks noChangeAspect="1"/>
                    </pic:cNvPicPr>
                  </pic:nvPicPr>
                  <pic:blipFill>
                    <a:blip r:embed="rId17"/>
                    <a:stretch>
                      <a:fillRect/>
                    </a:stretch>
                  </pic:blipFill>
                  <pic:spPr>
                    <a:xfrm>
                      <a:off x="0" y="0"/>
                      <a:ext cx="4319905" cy="2665730"/>
                    </a:xfrm>
                    <a:prstGeom prst="rect">
                      <a:avLst/>
                    </a:prstGeom>
                  </pic:spPr>
                </pic:pic>
              </a:graphicData>
            </a:graphic>
          </wp:inline>
        </w:drawing>
      </w:r>
    </w:p>
    <w:p w14:paraId="7966A059">
      <w:pPr>
        <w:bidi w:val="0"/>
        <w:ind w:left="0" w:leftChars="0" w:firstLine="0" w:firstLineChars="0"/>
        <w:jc w:val="center"/>
        <w:rPr>
          <w:rFonts w:hint="default"/>
          <w:color w:val="auto"/>
          <w:lang w:val="en-US" w:eastAsia="zh-CN"/>
        </w:rPr>
      </w:pPr>
      <w:r>
        <w:rPr>
          <w:rFonts w:hint="eastAsia" w:ascii="Times New Roman" w:eastAsia="宋体"/>
          <w:color w:val="auto"/>
          <w:lang w:val="en-US" w:eastAsia="zh-CN"/>
        </w:rPr>
        <w:t>图</w:t>
      </w:r>
      <w:r>
        <w:rPr>
          <w:rFonts w:hint="eastAsia"/>
          <w:color w:val="auto"/>
          <w:lang w:val="en-US" w:eastAsia="zh-CN"/>
        </w:rPr>
        <w:t>3.6</w:t>
      </w:r>
      <w:r>
        <w:rPr>
          <w:rFonts w:hint="eastAsia" w:ascii="Times New Roman" w:eastAsia="宋体"/>
          <w:color w:val="auto"/>
          <w:lang w:val="en-US" w:eastAsia="zh-CN"/>
        </w:rPr>
        <w:t>-2 风机特性曲线图</w:t>
      </w:r>
    </w:p>
    <w:p w14:paraId="3FF80C70">
      <w:pPr>
        <w:bidi w:val="0"/>
        <w:rPr>
          <w:color w:val="auto"/>
        </w:rPr>
      </w:pPr>
      <w:r>
        <w:rPr>
          <w:rFonts w:hint="eastAsia"/>
          <w:color w:val="auto"/>
        </w:rPr>
        <w:t>2）困难时期</w:t>
      </w:r>
    </w:p>
    <w:p w14:paraId="79C39EE6">
      <w:pPr>
        <w:bidi w:val="0"/>
        <w:rPr>
          <w:rFonts w:hint="default"/>
          <w:color w:val="auto"/>
          <w:lang w:val="en-US" w:eastAsia="zh-CN"/>
        </w:rPr>
      </w:pPr>
      <w:r>
        <w:rPr>
          <w:rFonts w:hint="default"/>
          <w:color w:val="auto"/>
          <w:lang w:val="en-US" w:eastAsia="zh-CN"/>
        </w:rPr>
        <w:t>通风路静压特性方程H=0.34423Q</w:t>
      </w:r>
      <w:r>
        <w:rPr>
          <w:rFonts w:hint="default"/>
          <w:color w:val="auto"/>
          <w:vertAlign w:val="superscript"/>
          <w:lang w:val="en-US" w:eastAsia="zh-CN"/>
        </w:rPr>
        <w:t>2</w:t>
      </w:r>
      <w:r>
        <w:rPr>
          <w:rFonts w:hint="default"/>
          <w:color w:val="auto"/>
          <w:lang w:val="en-US" w:eastAsia="zh-CN"/>
        </w:rPr>
        <w:t>（Pa）</w:t>
      </w:r>
    </w:p>
    <w:p w14:paraId="2734C09E">
      <w:pPr>
        <w:bidi w:val="0"/>
        <w:rPr>
          <w:rFonts w:hint="eastAsia"/>
          <w:color w:val="auto"/>
          <w:lang w:val="en-US" w:eastAsia="zh-CN"/>
        </w:rPr>
      </w:pPr>
      <w:r>
        <w:rPr>
          <w:rFonts w:hint="default"/>
          <w:color w:val="auto"/>
          <w:lang w:val="en-US" w:eastAsia="zh-CN"/>
        </w:rPr>
        <w:t>风机及网路特性曲线见</w:t>
      </w:r>
      <w:r>
        <w:rPr>
          <w:rFonts w:hint="eastAsia" w:ascii="Times New Roman" w:eastAsia="宋体"/>
          <w:color w:val="auto"/>
          <w:lang w:val="en-US" w:eastAsia="zh-CN"/>
        </w:rPr>
        <w:t>图2.4-2</w:t>
      </w:r>
    </w:p>
    <w:p w14:paraId="26135B89">
      <w:pPr>
        <w:bidi w:val="0"/>
        <w:rPr>
          <w:rFonts w:hint="default"/>
          <w:color w:val="auto"/>
          <w:lang w:val="en-US" w:eastAsia="zh-CN"/>
        </w:rPr>
      </w:pPr>
      <w:r>
        <w:rPr>
          <w:rFonts w:hint="default"/>
          <w:color w:val="auto"/>
          <w:lang w:val="en-US" w:eastAsia="zh-CN"/>
        </w:rPr>
        <w:t>工况点M2参数：</w:t>
      </w:r>
    </w:p>
    <w:p w14:paraId="6CB9D9FA">
      <w:pPr>
        <w:bidi w:val="0"/>
        <w:rPr>
          <w:rFonts w:hint="default"/>
          <w:color w:val="auto"/>
          <w:lang w:val="en-US" w:eastAsia="zh-CN"/>
        </w:rPr>
      </w:pPr>
      <w:r>
        <w:rPr>
          <w:rFonts w:hint="default"/>
          <w:color w:val="auto"/>
          <w:lang w:val="en-US" w:eastAsia="zh-CN"/>
        </w:rPr>
        <w:t>风量：Q=70m</w:t>
      </w:r>
      <w:r>
        <w:rPr>
          <w:rFonts w:hint="default" w:ascii="Times New Roman" w:hAnsi="Times New Roman" w:eastAsia="宋体" w:cs="Times New Roman"/>
          <w:color w:val="auto"/>
          <w:vertAlign w:val="superscript"/>
          <w:lang w:val="en-US" w:eastAsia="zh-CN"/>
        </w:rPr>
        <w:t>3</w:t>
      </w:r>
      <w:r>
        <w:rPr>
          <w:rFonts w:hint="default"/>
          <w:color w:val="auto"/>
          <w:lang w:val="en-US" w:eastAsia="zh-CN"/>
        </w:rPr>
        <w:t>/s</w:t>
      </w:r>
    </w:p>
    <w:p w14:paraId="679032A1">
      <w:pPr>
        <w:bidi w:val="0"/>
        <w:rPr>
          <w:rFonts w:hint="default"/>
          <w:color w:val="auto"/>
          <w:lang w:val="en-US" w:eastAsia="zh-CN"/>
        </w:rPr>
      </w:pPr>
      <w:r>
        <w:rPr>
          <w:rFonts w:hint="default"/>
          <w:color w:val="auto"/>
          <w:lang w:val="en-US" w:eastAsia="zh-CN"/>
        </w:rPr>
        <w:t>风压：H=1</w:t>
      </w:r>
      <w:r>
        <w:rPr>
          <w:rFonts w:hint="eastAsia" w:ascii="Times New Roman" w:eastAsia="宋体"/>
          <w:color w:val="auto"/>
          <w:lang w:val="en-US" w:eastAsia="zh-CN"/>
        </w:rPr>
        <w:t>600</w:t>
      </w:r>
      <w:r>
        <w:rPr>
          <w:rFonts w:hint="default"/>
          <w:color w:val="auto"/>
          <w:lang w:val="en-US" w:eastAsia="zh-CN"/>
        </w:rPr>
        <w:t>Pa=163.27mmH</w:t>
      </w:r>
      <w:r>
        <w:rPr>
          <w:rFonts w:hint="default"/>
          <w:color w:val="auto"/>
          <w:vertAlign w:val="subscript"/>
          <w:lang w:val="en-US" w:eastAsia="zh-CN"/>
        </w:rPr>
        <w:t>2</w:t>
      </w:r>
      <w:r>
        <w:rPr>
          <w:rFonts w:hint="default"/>
          <w:color w:val="auto"/>
          <w:lang w:val="en-US" w:eastAsia="zh-CN"/>
        </w:rPr>
        <w:t>O</w:t>
      </w:r>
    </w:p>
    <w:p w14:paraId="68B3C274">
      <w:pPr>
        <w:bidi w:val="0"/>
        <w:rPr>
          <w:rFonts w:hint="default"/>
          <w:color w:val="auto"/>
          <w:lang w:val="en-US" w:eastAsia="zh-CN"/>
        </w:rPr>
      </w:pPr>
      <w:r>
        <w:rPr>
          <w:rFonts w:hint="default"/>
          <w:color w:val="auto"/>
          <w:lang w:val="en-US" w:eastAsia="zh-CN"/>
        </w:rPr>
        <w:t>效率η=7</w:t>
      </w:r>
      <w:r>
        <w:rPr>
          <w:rFonts w:hint="eastAsia" w:ascii="Times New Roman" w:eastAsia="宋体"/>
          <w:color w:val="auto"/>
          <w:lang w:val="en-US" w:eastAsia="zh-CN"/>
        </w:rPr>
        <w:t>3</w:t>
      </w:r>
      <w:r>
        <w:rPr>
          <w:rFonts w:hint="default"/>
          <w:color w:val="auto"/>
          <w:lang w:val="en-US" w:eastAsia="zh-CN"/>
        </w:rPr>
        <w:t>%</w:t>
      </w:r>
    </w:p>
    <w:p w14:paraId="70C2C30C">
      <w:pPr>
        <w:bidi w:val="0"/>
        <w:rPr>
          <w:rFonts w:hint="default"/>
          <w:color w:val="auto"/>
          <w:lang w:val="en-US" w:eastAsia="zh-CN"/>
        </w:rPr>
      </w:pPr>
      <w:r>
        <w:rPr>
          <w:rFonts w:hint="default"/>
          <w:color w:val="auto"/>
          <w:lang w:val="en-US" w:eastAsia="zh-CN"/>
        </w:rPr>
        <w:t>叶片角α=35</w:t>
      </w:r>
      <w:r>
        <w:rPr>
          <w:rFonts w:hint="eastAsia" w:ascii="宋体" w:hAnsi="宋体" w:eastAsia="宋体" w:cs="宋体"/>
          <w:color w:val="auto"/>
          <w:lang w:val="en-US" w:eastAsia="zh-CN"/>
        </w:rPr>
        <w:t>°</w:t>
      </w:r>
    </w:p>
    <w:p w14:paraId="54454DA0">
      <w:pPr>
        <w:bidi w:val="0"/>
        <w:rPr>
          <w:rFonts w:hint="default"/>
          <w:color w:val="auto"/>
          <w:lang w:val="en-US" w:eastAsia="zh-CN"/>
        </w:rPr>
      </w:pPr>
      <w:r>
        <w:rPr>
          <w:rFonts w:hint="eastAsia" w:ascii="Times New Roman" w:eastAsia="宋体"/>
          <w:color w:val="auto"/>
          <w:lang w:val="en-US" w:eastAsia="zh-CN"/>
        </w:rPr>
        <w:t>（4）</w:t>
      </w:r>
      <w:r>
        <w:rPr>
          <w:rFonts w:hint="default"/>
          <w:color w:val="auto"/>
          <w:lang w:val="en-US" w:eastAsia="zh-CN"/>
        </w:rPr>
        <w:t>电动机校核</w:t>
      </w:r>
    </w:p>
    <w:p w14:paraId="30A6D1B6">
      <w:pPr>
        <w:bidi w:val="0"/>
        <w:rPr>
          <w:rFonts w:hint="default" w:eastAsia="宋体"/>
          <w:color w:val="auto"/>
          <w:lang w:val="en-US" w:eastAsia="zh-CN"/>
        </w:rPr>
      </w:pPr>
      <w:r>
        <w:rPr>
          <w:rFonts w:hint="default"/>
          <w:color w:val="auto"/>
          <w:lang w:val="en-US" w:eastAsia="zh-CN"/>
        </w:rPr>
        <w:t xml:space="preserve">容易时期 </w:t>
      </w:r>
      <w:r>
        <w:rPr>
          <w:color w:val="auto"/>
          <w:position w:val="-23"/>
          <w:sz w:val="27"/>
          <w:szCs w:val="27"/>
        </w:rPr>
        <w:drawing>
          <wp:inline distT="0" distB="0" distL="0" distR="0">
            <wp:extent cx="2078990" cy="407035"/>
            <wp:effectExtent l="0" t="0" r="16510" b="1270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18"/>
                    <a:stretch>
                      <a:fillRect/>
                    </a:stretch>
                  </pic:blipFill>
                  <pic:spPr>
                    <a:xfrm>
                      <a:off x="0" y="0"/>
                      <a:ext cx="2079125" cy="407214"/>
                    </a:xfrm>
                    <a:prstGeom prst="rect">
                      <a:avLst/>
                    </a:prstGeom>
                  </pic:spPr>
                </pic:pic>
              </a:graphicData>
            </a:graphic>
          </wp:inline>
        </w:drawing>
      </w:r>
      <w:r>
        <w:rPr>
          <w:rFonts w:hint="eastAsia" w:ascii="Times New Roman" w:eastAsia="宋体"/>
          <w:color w:val="auto"/>
          <w:lang w:val="en-US" w:eastAsia="zh-CN"/>
        </w:rPr>
        <w:t>=145.4kW＜200kW</w:t>
      </w:r>
    </w:p>
    <w:p w14:paraId="204A1EAF">
      <w:pPr>
        <w:bidi w:val="0"/>
        <w:rPr>
          <w:rFonts w:hint="default" w:eastAsia="宋体"/>
          <w:color w:val="auto"/>
          <w:lang w:val="en-US" w:eastAsia="zh-CN"/>
        </w:rPr>
      </w:pPr>
      <w:r>
        <w:rPr>
          <w:rFonts w:hint="default"/>
          <w:color w:val="auto"/>
          <w:lang w:val="en-US" w:eastAsia="zh-CN"/>
        </w:rPr>
        <w:t xml:space="preserve">困难时期 </w:t>
      </w:r>
      <w:r>
        <w:rPr>
          <w:color w:val="auto"/>
          <w:position w:val="-23"/>
          <w:sz w:val="27"/>
          <w:szCs w:val="27"/>
        </w:rPr>
        <w:drawing>
          <wp:inline distT="0" distB="0" distL="0" distR="0">
            <wp:extent cx="2078990" cy="406400"/>
            <wp:effectExtent l="0" t="0" r="16510" b="13335"/>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19"/>
                    <a:stretch>
                      <a:fillRect/>
                    </a:stretch>
                  </pic:blipFill>
                  <pic:spPr>
                    <a:xfrm>
                      <a:off x="0" y="0"/>
                      <a:ext cx="2079112" cy="406942"/>
                    </a:xfrm>
                    <a:prstGeom prst="rect">
                      <a:avLst/>
                    </a:prstGeom>
                  </pic:spPr>
                </pic:pic>
              </a:graphicData>
            </a:graphic>
          </wp:inline>
        </w:drawing>
      </w:r>
      <w:r>
        <w:rPr>
          <w:rFonts w:hint="eastAsia" w:ascii="Times New Roman" w:eastAsia="宋体"/>
          <w:color w:val="auto"/>
          <w:lang w:val="en-US" w:eastAsia="zh-CN"/>
        </w:rPr>
        <w:t>=172.29kW＜200kW</w:t>
      </w:r>
    </w:p>
    <w:p w14:paraId="2D9D6F25">
      <w:pPr>
        <w:bidi w:val="0"/>
        <w:rPr>
          <w:rFonts w:hint="eastAsia" w:eastAsia="宋体"/>
          <w:color w:val="auto"/>
          <w:lang w:val="en-US" w:eastAsia="zh-CN"/>
        </w:rPr>
      </w:pPr>
      <w:r>
        <w:rPr>
          <w:rFonts w:hint="eastAsia" w:eastAsia="宋体"/>
          <w:color w:val="auto"/>
          <w:lang w:val="en-US" w:eastAsia="zh-CN"/>
        </w:rPr>
        <w:t>电动机满足要求，故北风井井口选用</w:t>
      </w:r>
      <w:r>
        <w:rPr>
          <w:rFonts w:hint="eastAsia" w:ascii="Times New Roman" w:eastAsia="宋体"/>
          <w:color w:val="auto"/>
          <w:lang w:val="en-US" w:eastAsia="zh-CN"/>
        </w:rPr>
        <w:t>FKZ-6-N</w:t>
      </w:r>
      <w:r>
        <w:rPr>
          <w:rFonts w:hint="eastAsia" w:ascii="Times New Roman" w:eastAsia="宋体"/>
          <w:color w:val="auto"/>
          <w:vertAlign w:val="subscript"/>
          <w:lang w:val="en-US" w:eastAsia="zh-CN"/>
        </w:rPr>
        <w:t>o</w:t>
      </w:r>
      <w:r>
        <w:rPr>
          <w:rFonts w:hint="eastAsia" w:ascii="Times New Roman" w:eastAsia="宋体"/>
          <w:color w:val="auto"/>
          <w:lang w:val="en-US" w:eastAsia="zh-CN"/>
        </w:rPr>
        <w:t>19/200</w:t>
      </w:r>
      <w:r>
        <w:rPr>
          <w:rFonts w:hint="eastAsia" w:eastAsia="宋体"/>
          <w:color w:val="auto"/>
          <w:lang w:val="en-US" w:eastAsia="zh-CN"/>
        </w:rPr>
        <w:t>满足供风要求。开采完3-18号勘探线之间的矿体后将</w:t>
      </w:r>
      <w:r>
        <w:rPr>
          <w:rFonts w:hint="eastAsia" w:ascii="Times New Roman" w:eastAsia="宋体"/>
          <w:color w:val="auto"/>
          <w:lang w:val="en-US" w:eastAsia="zh-CN"/>
        </w:rPr>
        <w:t>南风井</w:t>
      </w:r>
      <w:r>
        <w:rPr>
          <w:rFonts w:hint="eastAsia" w:eastAsia="宋体"/>
          <w:color w:val="auto"/>
          <w:lang w:val="en-US" w:eastAsia="zh-CN"/>
        </w:rPr>
        <w:t>的通风机设备转移至北风井井口。</w:t>
      </w:r>
    </w:p>
    <w:p w14:paraId="58BFDEC6">
      <w:pPr>
        <w:pStyle w:val="4"/>
        <w:bidi w:val="0"/>
        <w:rPr>
          <w:rFonts w:hint="default"/>
          <w:color w:val="auto"/>
          <w:lang w:val="en-US" w:eastAsia="zh-CN"/>
        </w:rPr>
      </w:pPr>
      <w:bookmarkStart w:id="319" w:name="_Toc31601"/>
      <w:bookmarkStart w:id="320" w:name="_Toc11934"/>
      <w:bookmarkStart w:id="321" w:name="_Toc25965"/>
      <w:r>
        <w:rPr>
          <w:rFonts w:hint="default"/>
          <w:color w:val="auto"/>
          <w:lang w:val="en-US" w:eastAsia="zh-CN"/>
        </w:rPr>
        <w:t>3.6.</w:t>
      </w:r>
      <w:r>
        <w:rPr>
          <w:rFonts w:hint="eastAsia"/>
          <w:color w:val="auto"/>
          <w:lang w:val="en-US" w:eastAsia="zh-CN"/>
        </w:rPr>
        <w:t>4</w:t>
      </w:r>
      <w:r>
        <w:rPr>
          <w:rFonts w:hint="default"/>
          <w:color w:val="auto"/>
          <w:lang w:val="en-US" w:eastAsia="zh-CN"/>
        </w:rPr>
        <w:t xml:space="preserve"> 评价小结</w:t>
      </w:r>
      <w:bookmarkEnd w:id="318"/>
      <w:bookmarkEnd w:id="319"/>
      <w:bookmarkEnd w:id="320"/>
      <w:bookmarkEnd w:id="321"/>
    </w:p>
    <w:p w14:paraId="304C2A91">
      <w:pPr>
        <w:rPr>
          <w:rFonts w:hint="eastAsia"/>
          <w:color w:val="auto"/>
          <w:lang w:val="en-US" w:eastAsia="zh-CN"/>
        </w:rPr>
      </w:pPr>
      <w:r>
        <w:rPr>
          <w:rFonts w:hint="eastAsia"/>
          <w:color w:val="auto"/>
          <w:lang w:val="en-US" w:eastAsia="zh-CN"/>
        </w:rPr>
        <w:t>1. 通过预先危险性分析法评价，通风</w:t>
      </w:r>
      <w:r>
        <w:rPr>
          <w:rFonts w:hint="default"/>
          <w:color w:val="auto"/>
          <w:lang w:val="en-US" w:eastAsia="zh-CN"/>
        </w:rPr>
        <w:t>系统</w:t>
      </w:r>
      <w:r>
        <w:rPr>
          <w:rFonts w:hint="eastAsia"/>
          <w:color w:val="auto"/>
          <w:lang w:val="en-US" w:eastAsia="zh-CN"/>
        </w:rPr>
        <w:t>单元存在的危险有害因素主要有：中毒室息、机械伤害、触电、粉尘、噪声与振动等。其中中毒室息、机械伤害、触电等危害等级均为</w:t>
      </w:r>
      <w:r>
        <w:rPr>
          <w:rFonts w:hint="eastAsia" w:ascii="宋体" w:hAnsi="宋体" w:eastAsia="宋体" w:cs="宋体"/>
          <w:color w:val="auto"/>
          <w:lang w:val="en-US" w:eastAsia="zh-CN"/>
        </w:rPr>
        <w:t>Ⅲ</w:t>
      </w:r>
      <w:r>
        <w:rPr>
          <w:rFonts w:hint="eastAsia"/>
          <w:color w:val="auto"/>
          <w:lang w:val="en-US" w:eastAsia="zh-CN"/>
        </w:rPr>
        <w:t>级，应加以重视；粉尘、噪声与振动危害等级为Ⅱ级也应加以注意。采取合理的措施后，以上危险有害因素能控制在可接受范围内。</w:t>
      </w:r>
    </w:p>
    <w:p w14:paraId="08E97FB7">
      <w:pPr>
        <w:rPr>
          <w:rFonts w:hint="default"/>
          <w:color w:val="auto"/>
          <w:lang w:val="en-US" w:eastAsia="zh-CN"/>
        </w:rPr>
      </w:pPr>
      <w:r>
        <w:rPr>
          <w:rFonts w:hint="eastAsia"/>
          <w:color w:val="auto"/>
          <w:lang w:val="en-US" w:eastAsia="zh-CN"/>
        </w:rPr>
        <w:t>2. 通过核算，目前本矿山的风量、风速等参数符合相关规定，选用的主扇通风能力满足矿井需风量要求，且具备风量调节和反风功能。目前江西华安检测技术有限公司对通风系统及主通风机进行了检测检验，检测结论合格，并出具了检测合格的安全检测检验报告，通风系统及主通风机仍可继续沿用。</w:t>
      </w:r>
    </w:p>
    <w:p w14:paraId="2F8556B8">
      <w:pPr>
        <w:rPr>
          <w:rFonts w:hint="default"/>
          <w:color w:val="auto"/>
          <w:lang w:val="en-US" w:eastAsia="zh-CN"/>
        </w:rPr>
      </w:pPr>
      <w:r>
        <w:rPr>
          <w:rFonts w:hint="eastAsia"/>
          <w:color w:val="auto"/>
          <w:lang w:val="en-US" w:eastAsia="zh-CN"/>
        </w:rPr>
        <w:t xml:space="preserve">3. </w:t>
      </w:r>
      <w:r>
        <w:rPr>
          <w:rFonts w:hint="default"/>
          <w:color w:val="auto"/>
          <w:lang w:val="en-US" w:eastAsia="zh-CN"/>
        </w:rPr>
        <w:t>采用安全检查表法对矿山通风系统</w:t>
      </w:r>
      <w:r>
        <w:rPr>
          <w:rFonts w:hint="eastAsia"/>
          <w:color w:val="auto"/>
          <w:lang w:val="en-US" w:eastAsia="zh-CN"/>
        </w:rPr>
        <w:t>单元</w:t>
      </w:r>
      <w:r>
        <w:rPr>
          <w:rFonts w:hint="default"/>
          <w:color w:val="auto"/>
          <w:lang w:val="en-US" w:eastAsia="zh-CN"/>
        </w:rPr>
        <w:t>检查2大项7小项，</w:t>
      </w:r>
      <w:r>
        <w:rPr>
          <w:rFonts w:hint="eastAsia"/>
          <w:color w:val="auto"/>
          <w:lang w:val="en-US" w:eastAsia="zh-CN"/>
        </w:rPr>
        <w:t>全部符合，</w:t>
      </w:r>
      <w:r>
        <w:rPr>
          <w:rFonts w:hint="default"/>
          <w:color w:val="auto"/>
          <w:lang w:val="en-US" w:eastAsia="zh-CN"/>
        </w:rPr>
        <w:t>矿山通风系统</w:t>
      </w:r>
      <w:r>
        <w:rPr>
          <w:rFonts w:hint="eastAsia"/>
          <w:color w:val="auto"/>
          <w:lang w:val="en-US" w:eastAsia="zh-CN"/>
        </w:rPr>
        <w:t>单元</w:t>
      </w:r>
      <w:r>
        <w:rPr>
          <w:rFonts w:hint="default"/>
          <w:color w:val="auto"/>
          <w:lang w:val="en-US" w:eastAsia="zh-CN"/>
        </w:rPr>
        <w:t>总体符合《金属非金属矿山安全规程》、《金属非金属地下矿山通风技术规范 通风系统》、《金属非金属地下矿山通风技术规范 局部通风》的有关要求。</w:t>
      </w:r>
    </w:p>
    <w:p w14:paraId="3D59B3F6">
      <w:pPr>
        <w:pStyle w:val="3"/>
        <w:bidi w:val="0"/>
        <w:rPr>
          <w:rFonts w:hint="default"/>
          <w:color w:val="auto"/>
          <w:lang w:val="en-US" w:eastAsia="zh-CN"/>
        </w:rPr>
      </w:pPr>
      <w:bookmarkStart w:id="322" w:name="_Toc28319"/>
      <w:bookmarkStart w:id="323" w:name="_Toc24828"/>
      <w:bookmarkStart w:id="324" w:name="_Toc19852"/>
      <w:bookmarkStart w:id="325" w:name="_Toc29449"/>
      <w:r>
        <w:rPr>
          <w:rFonts w:hint="default"/>
          <w:color w:val="auto"/>
          <w:lang w:val="en-US" w:eastAsia="zh-CN"/>
        </w:rPr>
        <w:t>3.7 供配电系统单元</w:t>
      </w:r>
      <w:bookmarkEnd w:id="322"/>
      <w:bookmarkEnd w:id="323"/>
      <w:bookmarkEnd w:id="324"/>
      <w:bookmarkEnd w:id="325"/>
    </w:p>
    <w:p w14:paraId="2610C563">
      <w:pPr>
        <w:pStyle w:val="4"/>
        <w:bidi w:val="0"/>
        <w:rPr>
          <w:rFonts w:hint="default"/>
          <w:color w:val="auto"/>
          <w:lang w:val="en-US" w:eastAsia="zh-CN"/>
        </w:rPr>
      </w:pPr>
      <w:bookmarkStart w:id="326" w:name="_Toc9639"/>
      <w:bookmarkStart w:id="327" w:name="_Toc11756"/>
      <w:bookmarkStart w:id="328" w:name="_Toc32213"/>
      <w:bookmarkStart w:id="329" w:name="_Toc24312"/>
      <w:r>
        <w:rPr>
          <w:rFonts w:hint="default"/>
          <w:color w:val="auto"/>
          <w:lang w:val="en-US" w:eastAsia="zh-CN"/>
        </w:rPr>
        <w:t>3.7.1 预先危险性分析</w:t>
      </w:r>
      <w:bookmarkEnd w:id="326"/>
      <w:bookmarkEnd w:id="327"/>
      <w:bookmarkEnd w:id="328"/>
      <w:bookmarkEnd w:id="329"/>
    </w:p>
    <w:p w14:paraId="76DBA54B">
      <w:pPr>
        <w:rPr>
          <w:rFonts w:hint="default"/>
          <w:color w:val="auto"/>
          <w:lang w:val="en-US" w:eastAsia="zh-CN"/>
        </w:rPr>
      </w:pPr>
      <w:r>
        <w:rPr>
          <w:rFonts w:hint="default"/>
          <w:color w:val="auto"/>
          <w:lang w:val="en-US" w:eastAsia="zh-CN"/>
        </w:rPr>
        <w:t>通过预先危险性分析法分析，矿山供配电</w:t>
      </w:r>
      <w:r>
        <w:rPr>
          <w:rFonts w:hint="eastAsia"/>
          <w:color w:val="auto"/>
          <w:lang w:val="en-US" w:eastAsia="zh-CN"/>
        </w:rPr>
        <w:t>系统单元</w:t>
      </w:r>
      <w:r>
        <w:rPr>
          <w:rFonts w:hint="default"/>
          <w:color w:val="auto"/>
          <w:lang w:val="en-US" w:eastAsia="zh-CN"/>
        </w:rPr>
        <w:t>存在的危险有害因素主要有</w:t>
      </w:r>
      <w:r>
        <w:rPr>
          <w:rFonts w:hint="eastAsia"/>
          <w:color w:val="auto"/>
          <w:lang w:val="en-US" w:eastAsia="zh-CN"/>
        </w:rPr>
        <w:t>：</w:t>
      </w:r>
      <w:r>
        <w:rPr>
          <w:rFonts w:hint="default"/>
          <w:color w:val="auto"/>
          <w:lang w:val="en-US" w:eastAsia="zh-CN"/>
        </w:rPr>
        <w:t>触电、火灾等，分析评价表见表</w:t>
      </w:r>
      <w:r>
        <w:rPr>
          <w:rFonts w:hint="eastAsia"/>
          <w:color w:val="auto"/>
          <w:lang w:val="en-US" w:eastAsia="zh-CN"/>
        </w:rPr>
        <w:t>3.7-1</w:t>
      </w:r>
      <w:r>
        <w:rPr>
          <w:rFonts w:hint="default"/>
          <w:color w:val="auto"/>
          <w:lang w:val="en-US" w:eastAsia="zh-CN"/>
        </w:rPr>
        <w:t>。</w:t>
      </w:r>
    </w:p>
    <w:p w14:paraId="2F65EE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w:t>
      </w:r>
      <w:r>
        <w:rPr>
          <w:rFonts w:hint="eastAsia"/>
          <w:color w:val="auto"/>
          <w:lang w:val="en-US" w:eastAsia="zh-CN"/>
        </w:rPr>
        <w:t>3.7-1</w:t>
      </w:r>
      <w:r>
        <w:rPr>
          <w:rFonts w:hint="eastAsia" w:ascii="Times New Roman" w:hAnsi="Times New Roman" w:eastAsia="宋体" w:cs="Times New Roman"/>
          <w:color w:val="auto"/>
          <w:lang w:val="en-US" w:eastAsia="zh-CN"/>
        </w:rPr>
        <w:t xml:space="preserve"> </w:t>
      </w:r>
      <w:r>
        <w:rPr>
          <w:rFonts w:hint="default"/>
          <w:color w:val="auto"/>
          <w:lang w:val="en-US" w:eastAsia="zh-CN"/>
        </w:rPr>
        <w:t>供配电</w:t>
      </w:r>
      <w:r>
        <w:rPr>
          <w:rFonts w:hint="eastAsia"/>
          <w:color w:val="auto"/>
          <w:lang w:val="en-US" w:eastAsia="zh-CN"/>
        </w:rPr>
        <w:t>系统单元</w:t>
      </w:r>
      <w:r>
        <w:rPr>
          <w:rFonts w:hint="eastAsia" w:ascii="Times New Roman" w:hAnsi="Times New Roman" w:eastAsia="宋体" w:cs="Times New Roman"/>
          <w:color w:val="auto"/>
          <w:lang w:val="en-US" w:eastAsia="zh-CN"/>
        </w:rPr>
        <w:t>预先危险性分析评价表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794"/>
        <w:gridCol w:w="750"/>
        <w:gridCol w:w="785"/>
        <w:gridCol w:w="5223"/>
      </w:tblGrid>
      <w:tr w14:paraId="2253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392" w:type="pct"/>
            <w:vAlign w:val="center"/>
          </w:tcPr>
          <w:p w14:paraId="669A3B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危险因素</w:t>
            </w:r>
          </w:p>
        </w:tc>
        <w:tc>
          <w:tcPr>
            <w:tcW w:w="966" w:type="pct"/>
            <w:vAlign w:val="center"/>
          </w:tcPr>
          <w:p w14:paraId="4EE6BA3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原因</w:t>
            </w:r>
          </w:p>
        </w:tc>
        <w:tc>
          <w:tcPr>
            <w:tcW w:w="404" w:type="pct"/>
            <w:vAlign w:val="center"/>
          </w:tcPr>
          <w:p w14:paraId="4EB289E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后果</w:t>
            </w:r>
          </w:p>
        </w:tc>
        <w:tc>
          <w:tcPr>
            <w:tcW w:w="422" w:type="pct"/>
            <w:vAlign w:val="center"/>
          </w:tcPr>
          <w:p w14:paraId="269CF7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危险等级</w:t>
            </w:r>
          </w:p>
        </w:tc>
        <w:tc>
          <w:tcPr>
            <w:tcW w:w="2813" w:type="pct"/>
            <w:vAlign w:val="center"/>
          </w:tcPr>
          <w:p w14:paraId="24E4AA9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对策措施</w:t>
            </w:r>
          </w:p>
        </w:tc>
      </w:tr>
      <w:tr w14:paraId="6B7D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92" w:type="pct"/>
            <w:vAlign w:val="center"/>
          </w:tcPr>
          <w:p w14:paraId="6F21E4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触电</w:t>
            </w:r>
          </w:p>
        </w:tc>
        <w:tc>
          <w:tcPr>
            <w:tcW w:w="966" w:type="pct"/>
            <w:vAlign w:val="center"/>
          </w:tcPr>
          <w:p w14:paraId="55A7C7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1、设备或线路漏电、过热、短路、接头松脱、断线碰壳、绝缘损坏、PE线断线；</w:t>
            </w:r>
          </w:p>
          <w:p w14:paraId="55F047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2、无安全技术措施，或安全技术措施失效；</w:t>
            </w:r>
          </w:p>
          <w:p w14:paraId="5B8149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3、电工或机电设备操作人员操作失误或违章作业；</w:t>
            </w:r>
          </w:p>
          <w:p w14:paraId="4E13FD2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bidi="ar-SA"/>
              </w:rPr>
              <w:t>4、电气设备运行管理不当，安全管理制度制度不完善。</w:t>
            </w:r>
          </w:p>
        </w:tc>
        <w:tc>
          <w:tcPr>
            <w:tcW w:w="404" w:type="pct"/>
            <w:vAlign w:val="center"/>
          </w:tcPr>
          <w:p w14:paraId="73B9E9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p>
          <w:p w14:paraId="44C122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p>
          <w:p w14:paraId="7EB1E0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422" w:type="pct"/>
            <w:vAlign w:val="center"/>
          </w:tcPr>
          <w:p w14:paraId="1C413E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813" w:type="pct"/>
            <w:vAlign w:val="center"/>
          </w:tcPr>
          <w:p w14:paraId="0708DB7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加强作业人员安全教育培训，提高人员素质；</w:t>
            </w:r>
          </w:p>
          <w:p w14:paraId="6B0152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采用漏电、接地、过流保护；</w:t>
            </w:r>
          </w:p>
          <w:p w14:paraId="19FD244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加强安全检查，及时处理安全隐患；</w:t>
            </w:r>
          </w:p>
          <w:p w14:paraId="7D2C6CD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不得带电搬运设备。</w:t>
            </w:r>
          </w:p>
          <w:p w14:paraId="529DCF5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6</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采场工作面电压采用36V；</w:t>
            </w:r>
          </w:p>
          <w:p w14:paraId="4C4077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7</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严格按作业规程操作；</w:t>
            </w:r>
          </w:p>
          <w:p w14:paraId="6C9F70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8</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备有足够容量的保安电源；</w:t>
            </w:r>
          </w:p>
          <w:p w14:paraId="63F6123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9</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总降压变电站应采用独立的避雷系统保护，接地电阻小于10欧姆；</w:t>
            </w:r>
          </w:p>
          <w:p w14:paraId="05D8360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10</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配备绝缘用具；</w:t>
            </w:r>
          </w:p>
          <w:p w14:paraId="5C4DC2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电气设备可能触及人的裸露带电部分，均应设保护罩。</w:t>
            </w:r>
          </w:p>
        </w:tc>
      </w:tr>
      <w:tr w14:paraId="02A0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92" w:type="pct"/>
            <w:vAlign w:val="center"/>
          </w:tcPr>
          <w:p w14:paraId="60820BD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火灾</w:t>
            </w:r>
          </w:p>
        </w:tc>
        <w:tc>
          <w:tcPr>
            <w:tcW w:w="966" w:type="pct"/>
            <w:vAlign w:val="center"/>
          </w:tcPr>
          <w:p w14:paraId="5D7698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电缆选型不合理，电源电缆、负荷电缆截面与负荷不匹配，造成过流、过负荷。</w:t>
            </w:r>
          </w:p>
          <w:p w14:paraId="31EE44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供电线路破损，接线不牢，造成接触不良。</w:t>
            </w:r>
          </w:p>
          <w:p w14:paraId="6DD5ED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接地故障，产生电弧。</w:t>
            </w:r>
          </w:p>
        </w:tc>
        <w:tc>
          <w:tcPr>
            <w:tcW w:w="404" w:type="pct"/>
            <w:vAlign w:val="center"/>
          </w:tcPr>
          <w:p w14:paraId="6D2FA87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设备损坏、人员伤亡</w:t>
            </w:r>
          </w:p>
        </w:tc>
        <w:tc>
          <w:tcPr>
            <w:tcW w:w="422" w:type="pct"/>
            <w:vAlign w:val="center"/>
          </w:tcPr>
          <w:p w14:paraId="1C9D0ED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2813" w:type="pct"/>
            <w:vAlign w:val="center"/>
          </w:tcPr>
          <w:p w14:paraId="132052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井下选用带矿安认证的电气产品，矿山井下使用有矿安标志的阻燃电缆。</w:t>
            </w:r>
          </w:p>
          <w:p w14:paraId="11BB325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电源电缆、负荷电缆依据负荷进行选型号，电缆截面与负荷相匹配。</w:t>
            </w:r>
          </w:p>
          <w:p w14:paraId="5DAFAB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完善供电系统的过负荷、过流、接地保护，并经常检查，确保过负荷、过流、接地保护有效。</w:t>
            </w:r>
          </w:p>
          <w:p w14:paraId="757669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地面、井下变配电所内的电缆沟、电缆桥架内设置温感传感器或烟雾传感器等火灾监测监控设备。</w:t>
            </w:r>
          </w:p>
          <w:p w14:paraId="1677424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5</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根据电缆火灾易产生有毒、有害气体特性及地面、井下电缆火灾烟雾蔓延特点制定电缆火灾志项应急预案并定期演练。</w:t>
            </w:r>
          </w:p>
        </w:tc>
      </w:tr>
    </w:tbl>
    <w:p w14:paraId="476D54B1">
      <w:pPr>
        <w:bidi w:val="0"/>
        <w:rPr>
          <w:rFonts w:hint="eastAsia"/>
          <w:color w:val="auto"/>
          <w:lang w:val="en-US" w:eastAsia="zh-CN"/>
        </w:rPr>
      </w:pPr>
      <w:r>
        <w:rPr>
          <w:rFonts w:hint="eastAsia"/>
          <w:color w:val="auto"/>
          <w:lang w:val="en-US" w:eastAsia="zh-CN"/>
        </w:rPr>
        <w:t>通过预先危险性分析法评价，矿山</w:t>
      </w:r>
      <w:r>
        <w:rPr>
          <w:rFonts w:hint="default"/>
          <w:color w:val="auto"/>
          <w:lang w:val="en-US" w:eastAsia="zh-CN"/>
        </w:rPr>
        <w:t>供配电</w:t>
      </w:r>
      <w:r>
        <w:rPr>
          <w:rFonts w:hint="eastAsia"/>
          <w:color w:val="auto"/>
          <w:lang w:val="en-US" w:eastAsia="zh-CN"/>
        </w:rPr>
        <w:t>系统单元存在的危险有害因素主要有：触电、火灾等。其中触电、火灾危害等级均为Ⅲ级，应加以重视。采取合理的措施后，以上危险有害因素能控制在可接受范围内。</w:t>
      </w:r>
    </w:p>
    <w:p w14:paraId="474BAEEE">
      <w:pPr>
        <w:pStyle w:val="4"/>
        <w:bidi w:val="0"/>
        <w:rPr>
          <w:rFonts w:hint="eastAsia"/>
          <w:color w:val="auto"/>
          <w:lang w:val="en-US" w:eastAsia="zh-CN"/>
        </w:rPr>
      </w:pPr>
      <w:bookmarkStart w:id="330" w:name="_Toc22820"/>
      <w:bookmarkStart w:id="331" w:name="_Toc24944"/>
      <w:bookmarkStart w:id="332" w:name="_Toc3135"/>
      <w:bookmarkStart w:id="333" w:name="_Toc30248"/>
      <w:r>
        <w:rPr>
          <w:rFonts w:hint="eastAsia"/>
          <w:color w:val="auto"/>
          <w:lang w:val="en-US" w:eastAsia="zh-CN"/>
        </w:rPr>
        <w:t>3.7.2 安全检查表</w:t>
      </w:r>
      <w:bookmarkEnd w:id="330"/>
      <w:bookmarkEnd w:id="331"/>
      <w:bookmarkEnd w:id="332"/>
      <w:bookmarkEnd w:id="333"/>
    </w:p>
    <w:p w14:paraId="2A444B45">
      <w:pPr>
        <w:rPr>
          <w:rFonts w:hint="eastAsia"/>
          <w:color w:val="auto"/>
          <w:lang w:val="en-US" w:eastAsia="zh-CN"/>
        </w:rPr>
      </w:pPr>
      <w:r>
        <w:rPr>
          <w:rFonts w:hint="eastAsia"/>
          <w:color w:val="auto"/>
          <w:lang w:val="en-US" w:eastAsia="zh-CN"/>
        </w:rPr>
        <w:t>根据矿山所处的环境和工程地质条件，按照《金属非金属矿山安全规程》（GB16423-2020）、《矿山电力设计标准》（GB50070-2020），通过安全检查表法对矿山供配电系统单元进行评价，具体评价见表3.7-2。</w:t>
      </w:r>
    </w:p>
    <w:p w14:paraId="57D844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color w:val="auto"/>
          <w:lang w:val="en-US" w:eastAsia="zh-CN"/>
        </w:rPr>
        <w:t>3.7-2</w:t>
      </w:r>
      <w:r>
        <w:rPr>
          <w:rFonts w:hint="eastAsia" w:ascii="Times New Roman" w:hAnsi="Times New Roman" w:eastAsia="宋体" w:cs="Times New Roman"/>
          <w:color w:val="auto"/>
          <w:lang w:val="en-US" w:eastAsia="zh-CN"/>
        </w:rPr>
        <w:t xml:space="preserve"> </w:t>
      </w:r>
      <w:r>
        <w:rPr>
          <w:rFonts w:hint="eastAsia" w:ascii="Times New Roman" w:eastAsia="宋体"/>
          <w:color w:val="auto"/>
          <w:lang w:val="en-US" w:eastAsia="zh-CN"/>
        </w:rPr>
        <w:t>供配电</w:t>
      </w:r>
      <w:r>
        <w:rPr>
          <w:rFonts w:hint="eastAsia"/>
          <w:color w:val="auto"/>
          <w:lang w:val="en-US" w:eastAsia="zh-CN"/>
        </w:rPr>
        <w:t>系统</w:t>
      </w:r>
      <w:r>
        <w:rPr>
          <w:rFonts w:hint="eastAsia" w:ascii="Times New Roman" w:eastAsia="宋体"/>
          <w:color w:val="auto"/>
          <w:lang w:val="en-US" w:eastAsia="zh-CN"/>
        </w:rPr>
        <w:t>单元</w:t>
      </w:r>
      <w:r>
        <w:rPr>
          <w:rFonts w:ascii="Times New Roman" w:hAnsi="Times New Roman" w:eastAsia="宋体" w:cs="Times New Roman"/>
          <w:color w:val="auto"/>
          <w:lang w:val="en-US" w:eastAsia="zh-CN"/>
        </w:rPr>
        <w:t>安全检查表</w:t>
      </w:r>
    </w:p>
    <w:tbl>
      <w:tblPr>
        <w:tblStyle w:val="17"/>
        <w:tblW w:w="513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955"/>
        <w:gridCol w:w="3238"/>
        <w:gridCol w:w="1551"/>
        <w:gridCol w:w="2656"/>
        <w:gridCol w:w="586"/>
      </w:tblGrid>
      <w:tr w14:paraId="341DE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184" w:type="pct"/>
            <w:tcBorders>
              <w:left w:val="single" w:color="000000" w:sz="2" w:space="0"/>
              <w:right w:val="single" w:color="000000" w:sz="2" w:space="0"/>
            </w:tcBorders>
            <w:vAlign w:val="center"/>
          </w:tcPr>
          <w:p w14:paraId="6AD23F5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510" w:type="pct"/>
            <w:tcBorders>
              <w:left w:val="single" w:color="000000" w:sz="2" w:space="0"/>
              <w:right w:val="single" w:color="000000" w:sz="2" w:space="0"/>
            </w:tcBorders>
            <w:vAlign w:val="center"/>
          </w:tcPr>
          <w:p w14:paraId="2A41DF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735" w:type="pct"/>
            <w:tcBorders>
              <w:left w:val="single" w:color="000000" w:sz="2" w:space="0"/>
              <w:right w:val="single" w:color="000000" w:sz="2" w:space="0"/>
            </w:tcBorders>
            <w:vAlign w:val="center"/>
          </w:tcPr>
          <w:p w14:paraId="3891B21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831" w:type="pct"/>
            <w:tcBorders>
              <w:left w:val="single" w:color="000000" w:sz="2" w:space="0"/>
              <w:right w:val="single" w:color="000000" w:sz="2" w:space="0"/>
            </w:tcBorders>
            <w:vAlign w:val="center"/>
          </w:tcPr>
          <w:p w14:paraId="5556D2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423" w:type="pct"/>
            <w:tcBorders>
              <w:left w:val="single" w:color="000000" w:sz="2" w:space="0"/>
              <w:right w:val="single" w:color="000000" w:sz="2" w:space="0"/>
            </w:tcBorders>
            <w:vAlign w:val="center"/>
          </w:tcPr>
          <w:p w14:paraId="3B5C62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14" w:type="pct"/>
            <w:tcBorders>
              <w:left w:val="single" w:color="000000" w:sz="2" w:space="0"/>
              <w:right w:val="single" w:color="000000" w:sz="2" w:space="0"/>
            </w:tcBorders>
            <w:vAlign w:val="center"/>
          </w:tcPr>
          <w:p w14:paraId="3F9959E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4A1E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10E0241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510" w:type="pct"/>
            <w:tcBorders>
              <w:top w:val="single" w:color="000000" w:sz="2" w:space="0"/>
              <w:left w:val="single" w:color="000000" w:sz="2" w:space="0"/>
              <w:bottom w:val="single" w:color="000000" w:sz="2" w:space="0"/>
              <w:right w:val="single" w:color="000000" w:sz="2" w:space="0"/>
            </w:tcBorders>
            <w:vAlign w:val="center"/>
          </w:tcPr>
          <w:p w14:paraId="4A6ADB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矿山供电电源</w:t>
            </w:r>
          </w:p>
        </w:tc>
        <w:tc>
          <w:tcPr>
            <w:tcW w:w="1735" w:type="pct"/>
            <w:tcBorders>
              <w:top w:val="single" w:color="000000" w:sz="2" w:space="0"/>
              <w:left w:val="single" w:color="000000" w:sz="2" w:space="0"/>
              <w:bottom w:val="single" w:color="000000" w:sz="2" w:space="0"/>
              <w:right w:val="single" w:color="000000" w:sz="2" w:space="0"/>
            </w:tcBorders>
            <w:vAlign w:val="center"/>
          </w:tcPr>
          <w:p w14:paraId="4B7AF4C2">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有一级负荷的矿山应由双重电源供电;当一电源中断供电，另一电源不应同时受到损坏，且电源容量应至少保证矿山全部一级负荷电力需求，并宜满足矿山二级负荷电力需求。</w:t>
            </w:r>
          </w:p>
          <w:p w14:paraId="069FBC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大、中型矿山宜由两回电源线路供电;两回电源线路中的任一回中断供电时，另一回电源线路应保证供给全部一、二级负荷电力需求。</w:t>
            </w:r>
          </w:p>
          <w:p w14:paraId="1443187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Chars="0" w:right="0" w:right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3</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无一级负荷的小型矿山，可由一回电源线路供电。</w:t>
            </w:r>
          </w:p>
        </w:tc>
        <w:tc>
          <w:tcPr>
            <w:tcW w:w="831" w:type="pct"/>
            <w:tcBorders>
              <w:top w:val="single" w:color="000000" w:sz="2" w:space="0"/>
              <w:left w:val="single" w:color="000000" w:sz="2" w:space="0"/>
              <w:bottom w:val="single" w:color="000000" w:sz="2" w:space="0"/>
              <w:right w:val="single" w:color="000000" w:sz="2" w:space="0"/>
            </w:tcBorders>
            <w:vAlign w:val="center"/>
          </w:tcPr>
          <w:p w14:paraId="08F74C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《矿山电力设计标准》（GB50070-2020）第3.0.3条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5E0FDD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有一级负荷，双回路</w:t>
            </w:r>
            <w:r>
              <w:rPr>
                <w:rFonts w:hint="default" w:ascii="Times New Roman" w:hAnsi="Times New Roman" w:eastAsia="宋体" w:cs="Times New Roman"/>
                <w:snapToGrid w:val="0"/>
                <w:color w:val="auto"/>
                <w:spacing w:val="26"/>
                <w:kern w:val="0"/>
                <w:sz w:val="21"/>
                <w:szCs w:val="21"/>
                <w:lang w:val="en-US" w:eastAsia="zh-CN" w:bidi="ar-SA"/>
              </w:rPr>
              <w:t>供电电源：矿井主电源利用已有一路10kV电源引自青塘变电站，导线型号为LGJ-240</w:t>
            </w:r>
            <w:r>
              <w:rPr>
                <w:rFonts w:hint="default"/>
                <w:snapToGrid w:val="0"/>
                <w:color w:val="auto"/>
                <w:spacing w:val="26"/>
                <w:kern w:val="0"/>
                <w:sz w:val="21"/>
                <w:szCs w:val="21"/>
              </w:rPr>
              <w:t>，线路长度距副斜井口约3km</w:t>
            </w:r>
            <w:r>
              <w:rPr>
                <w:rFonts w:hint="default" w:ascii="Times New Roman" w:hAnsi="Times New Roman" w:eastAsia="宋体" w:cs="Times New Roman"/>
                <w:snapToGrid w:val="0"/>
                <w:color w:val="auto"/>
                <w:spacing w:val="26"/>
                <w:kern w:val="0"/>
                <w:sz w:val="21"/>
                <w:szCs w:val="21"/>
                <w:lang w:val="en-US" w:eastAsia="zh-CN" w:bidi="ar-SA"/>
              </w:rPr>
              <w:t>。备用电源利用现有柴油发电机。</w:t>
            </w:r>
          </w:p>
          <w:p w14:paraId="5C7D64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p>
        </w:tc>
        <w:tc>
          <w:tcPr>
            <w:tcW w:w="314" w:type="pct"/>
            <w:tcBorders>
              <w:top w:val="single" w:color="000000" w:sz="2" w:space="0"/>
              <w:left w:val="single" w:color="000000" w:sz="2" w:space="0"/>
              <w:bottom w:val="single" w:color="000000" w:sz="2" w:space="0"/>
              <w:right w:val="single" w:color="000000" w:sz="2" w:space="0"/>
            </w:tcBorders>
            <w:vAlign w:val="center"/>
          </w:tcPr>
          <w:p w14:paraId="1C2B80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552F71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2E0869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2</w:t>
            </w:r>
          </w:p>
        </w:tc>
        <w:tc>
          <w:tcPr>
            <w:tcW w:w="510" w:type="pct"/>
            <w:tcBorders>
              <w:top w:val="single" w:color="000000" w:sz="2" w:space="0"/>
              <w:left w:val="single" w:color="000000" w:sz="2" w:space="0"/>
              <w:bottom w:val="single" w:color="000000" w:sz="2" w:space="0"/>
              <w:right w:val="single" w:color="000000" w:sz="2" w:space="0"/>
            </w:tcBorders>
            <w:vAlign w:val="center"/>
          </w:tcPr>
          <w:p w14:paraId="59A841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供电电源</w:t>
            </w:r>
            <w:r>
              <w:rPr>
                <w:rFonts w:hint="eastAsia" w:cs="Times New Roman"/>
                <w:snapToGrid w:val="0"/>
                <w:color w:val="auto"/>
                <w:spacing w:val="6"/>
                <w:kern w:val="0"/>
                <w:sz w:val="21"/>
                <w:szCs w:val="21"/>
                <w:lang w:val="en-US" w:eastAsia="zh-CN" w:bidi="ar-SA"/>
              </w:rPr>
              <w:t>电压</w:t>
            </w:r>
          </w:p>
        </w:tc>
        <w:tc>
          <w:tcPr>
            <w:tcW w:w="1735" w:type="pct"/>
            <w:tcBorders>
              <w:top w:val="single" w:color="000000" w:sz="2" w:space="0"/>
              <w:left w:val="single" w:color="000000" w:sz="2" w:space="0"/>
              <w:bottom w:val="single" w:color="000000" w:sz="2" w:space="0"/>
              <w:right w:val="single" w:color="000000" w:sz="2" w:space="0"/>
            </w:tcBorders>
            <w:vAlign w:val="center"/>
          </w:tcPr>
          <w:p w14:paraId="02ECC3B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矿山电源的供电电压宜采用10kV~110kV;经技术经济比较确定合理时,可采用其他等级电压。当两种电压经济技术指标相差不大时,宜采用较高等级电压。</w:t>
            </w:r>
          </w:p>
        </w:tc>
        <w:tc>
          <w:tcPr>
            <w:tcW w:w="831" w:type="pct"/>
            <w:tcBorders>
              <w:top w:val="single" w:color="000000" w:sz="2" w:space="0"/>
              <w:left w:val="single" w:color="000000" w:sz="2" w:space="0"/>
              <w:bottom w:val="single" w:color="000000" w:sz="2" w:space="0"/>
              <w:right w:val="single" w:color="000000" w:sz="2" w:space="0"/>
            </w:tcBorders>
            <w:vAlign w:val="center"/>
          </w:tcPr>
          <w:p w14:paraId="79A176F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《矿山电力设计标准》（GB50070-2020）第3.0.</w:t>
            </w:r>
            <w:r>
              <w:rPr>
                <w:rFonts w:hint="eastAsia" w:cs="Times New Roman"/>
                <w:snapToGrid w:val="0"/>
                <w:color w:val="auto"/>
                <w:spacing w:val="8"/>
                <w:kern w:val="0"/>
                <w:sz w:val="21"/>
                <w:szCs w:val="21"/>
                <w:lang w:val="en-US" w:eastAsia="zh-CN" w:bidi="ar-SA"/>
              </w:rPr>
              <w:t>5</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21802F7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矿山电源的供电电压</w:t>
            </w:r>
            <w:r>
              <w:rPr>
                <w:rFonts w:hint="eastAsia" w:cs="Times New Roman"/>
                <w:snapToGrid w:val="0"/>
                <w:color w:val="auto"/>
                <w:spacing w:val="6"/>
                <w:kern w:val="0"/>
                <w:sz w:val="21"/>
                <w:szCs w:val="21"/>
                <w:lang w:val="en-US" w:eastAsia="zh-CN" w:bidi="ar-SA"/>
              </w:rPr>
              <w:t>为</w:t>
            </w:r>
            <w:r>
              <w:rPr>
                <w:rFonts w:hint="default" w:ascii="Times New Roman" w:hAnsi="Times New Roman" w:eastAsia="宋体" w:cs="Times New Roman"/>
                <w:snapToGrid w:val="0"/>
                <w:color w:val="auto"/>
                <w:spacing w:val="26"/>
                <w:kern w:val="0"/>
                <w:sz w:val="21"/>
                <w:szCs w:val="21"/>
                <w:lang w:val="en-US" w:eastAsia="zh-CN" w:bidi="ar-SA"/>
              </w:rPr>
              <w:t>10kV</w:t>
            </w:r>
            <w:r>
              <w:rPr>
                <w:rFonts w:hint="eastAsia" w:cs="Times New Roman"/>
                <w:snapToGrid w:val="0"/>
                <w:color w:val="auto"/>
                <w:spacing w:val="26"/>
                <w:kern w:val="0"/>
                <w:sz w:val="21"/>
                <w:szCs w:val="21"/>
                <w:lang w:val="en-US" w:eastAsia="zh-CN" w:bidi="ar-SA"/>
              </w:rPr>
              <w:t>。</w:t>
            </w:r>
          </w:p>
        </w:tc>
        <w:tc>
          <w:tcPr>
            <w:tcW w:w="314" w:type="pct"/>
            <w:tcBorders>
              <w:top w:val="single" w:color="000000" w:sz="2" w:space="0"/>
              <w:left w:val="single" w:color="000000" w:sz="2" w:space="0"/>
              <w:bottom w:val="single" w:color="000000" w:sz="2" w:space="0"/>
              <w:right w:val="single" w:color="000000" w:sz="2" w:space="0"/>
            </w:tcBorders>
            <w:vAlign w:val="center"/>
          </w:tcPr>
          <w:p w14:paraId="2DD27AC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337EB3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20B239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3</w:t>
            </w:r>
          </w:p>
        </w:tc>
        <w:tc>
          <w:tcPr>
            <w:tcW w:w="510" w:type="pct"/>
            <w:tcBorders>
              <w:top w:val="single" w:color="000000" w:sz="2" w:space="0"/>
              <w:left w:val="single" w:color="000000" w:sz="2" w:space="0"/>
              <w:bottom w:val="single" w:color="000000" w:sz="2" w:space="0"/>
              <w:right w:val="single" w:color="000000" w:sz="2" w:space="0"/>
            </w:tcBorders>
            <w:vAlign w:val="center"/>
          </w:tcPr>
          <w:p w14:paraId="7A5DAA9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总降压主</w:t>
            </w:r>
          </w:p>
          <w:p w14:paraId="1B3E30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变压器</w:t>
            </w:r>
            <w:r>
              <w:rPr>
                <w:rFonts w:hint="eastAsia" w:cs="Times New Roman"/>
                <w:snapToGrid w:val="0"/>
                <w:color w:val="auto"/>
                <w:spacing w:val="6"/>
                <w:kern w:val="0"/>
                <w:sz w:val="21"/>
                <w:szCs w:val="21"/>
                <w:lang w:val="en-US" w:eastAsia="zh-CN" w:bidi="ar-SA"/>
              </w:rPr>
              <w:t>容量</w:t>
            </w:r>
          </w:p>
        </w:tc>
        <w:tc>
          <w:tcPr>
            <w:tcW w:w="1735" w:type="pct"/>
            <w:tcBorders>
              <w:top w:val="single" w:color="000000" w:sz="2" w:space="0"/>
              <w:left w:val="single" w:color="000000" w:sz="2" w:space="0"/>
              <w:bottom w:val="single" w:color="000000" w:sz="2" w:space="0"/>
              <w:right w:val="single" w:color="000000" w:sz="2" w:space="0"/>
            </w:tcBorders>
            <w:vAlign w:val="center"/>
          </w:tcPr>
          <w:p w14:paraId="21C559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矿山地面主变电所的主变压器台数确定，应符合下列规定:</w:t>
            </w:r>
          </w:p>
          <w:p w14:paraId="2259E58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1.</w:t>
            </w:r>
            <w:r>
              <w:rPr>
                <w:rFonts w:hint="eastAsia" w:ascii="Times New Roman" w:hAnsi="Times New Roman" w:eastAsia="宋体" w:cs="Times New Roman"/>
                <w:snapToGrid w:val="0"/>
                <w:color w:val="auto"/>
                <w:spacing w:val="6"/>
                <w:kern w:val="0"/>
                <w:sz w:val="21"/>
                <w:szCs w:val="21"/>
                <w:lang w:val="en-US" w:bidi="ar-SA"/>
              </w:rPr>
              <w:t>大、中型矿山工程宜采用2台及以上;</w:t>
            </w:r>
          </w:p>
          <w:p w14:paraId="6AC8413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2.</w:t>
            </w:r>
            <w:r>
              <w:rPr>
                <w:rFonts w:hint="eastAsia" w:ascii="Times New Roman" w:hAnsi="Times New Roman" w:eastAsia="宋体" w:cs="Times New Roman"/>
                <w:snapToGrid w:val="0"/>
                <w:color w:val="auto"/>
                <w:spacing w:val="6"/>
                <w:kern w:val="0"/>
                <w:sz w:val="21"/>
                <w:szCs w:val="21"/>
                <w:lang w:val="en-US" w:bidi="ar-SA"/>
              </w:rPr>
              <w:t>矿山一级负荷的两个电源均需经主变压器变压时，应采用2台及以上;</w:t>
            </w:r>
          </w:p>
          <w:p w14:paraId="2E37494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3.</w:t>
            </w:r>
            <w:r>
              <w:rPr>
                <w:rFonts w:hint="eastAsia" w:ascii="Times New Roman" w:hAnsi="Times New Roman" w:eastAsia="宋体" w:cs="Times New Roman"/>
                <w:snapToGrid w:val="0"/>
                <w:color w:val="auto"/>
                <w:spacing w:val="6"/>
                <w:kern w:val="0"/>
                <w:sz w:val="21"/>
                <w:szCs w:val="21"/>
                <w:lang w:val="en-US" w:bidi="ar-SA"/>
              </w:rPr>
              <w:t>无一级负荷的小型矿山工程可采用1台。</w:t>
            </w:r>
          </w:p>
        </w:tc>
        <w:tc>
          <w:tcPr>
            <w:tcW w:w="831" w:type="pct"/>
            <w:tcBorders>
              <w:top w:val="single" w:color="000000" w:sz="2" w:space="0"/>
              <w:left w:val="single" w:color="000000" w:sz="2" w:space="0"/>
              <w:bottom w:val="single" w:color="000000" w:sz="2" w:space="0"/>
              <w:right w:val="single" w:color="000000" w:sz="2" w:space="0"/>
            </w:tcBorders>
            <w:vAlign w:val="center"/>
          </w:tcPr>
          <w:p w14:paraId="22B321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《矿山电力设计标准》（GB50070-2020）第3.0.</w:t>
            </w:r>
            <w:r>
              <w:rPr>
                <w:rFonts w:hint="eastAsia" w:cs="Times New Roman"/>
                <w:snapToGrid w:val="0"/>
                <w:color w:val="auto"/>
                <w:spacing w:val="8"/>
                <w:kern w:val="0"/>
                <w:sz w:val="21"/>
                <w:szCs w:val="21"/>
                <w:lang w:val="en-US" w:eastAsia="zh-CN" w:bidi="ar-SA"/>
              </w:rPr>
              <w:t>8</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45EB47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地面新增1台S20-M-500/10500kVA变压器和利用1台200kW柴油发电机形成双电源供地面设备用电，地面室内利用1台KSG13-500/10500kVA变压器和利用1台500kW柴油发电机形成双电源供井下设备用电。</w:t>
            </w:r>
          </w:p>
        </w:tc>
        <w:tc>
          <w:tcPr>
            <w:tcW w:w="314" w:type="pct"/>
            <w:tcBorders>
              <w:top w:val="single" w:color="000000" w:sz="2" w:space="0"/>
              <w:left w:val="single" w:color="000000" w:sz="2" w:space="0"/>
              <w:bottom w:val="single" w:color="000000" w:sz="2" w:space="0"/>
              <w:right w:val="single" w:color="000000" w:sz="2" w:space="0"/>
            </w:tcBorders>
            <w:vAlign w:val="center"/>
          </w:tcPr>
          <w:p w14:paraId="290281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6CAF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right w:val="single" w:color="000000" w:sz="2" w:space="0"/>
            </w:tcBorders>
            <w:vAlign w:val="center"/>
          </w:tcPr>
          <w:p w14:paraId="2A0AB61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4</w:t>
            </w:r>
          </w:p>
        </w:tc>
        <w:tc>
          <w:tcPr>
            <w:tcW w:w="510" w:type="pct"/>
            <w:tcBorders>
              <w:top w:val="single" w:color="000000" w:sz="2" w:space="0"/>
              <w:left w:val="single" w:color="000000" w:sz="2" w:space="0"/>
              <w:right w:val="single" w:color="000000" w:sz="2" w:space="0"/>
            </w:tcBorders>
            <w:vAlign w:val="center"/>
          </w:tcPr>
          <w:p w14:paraId="317222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井下各级</w:t>
            </w:r>
          </w:p>
          <w:p w14:paraId="62F53C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配电电压等级</w:t>
            </w:r>
          </w:p>
        </w:tc>
        <w:tc>
          <w:tcPr>
            <w:tcW w:w="1735" w:type="pct"/>
            <w:tcBorders>
              <w:top w:val="single" w:color="000000" w:sz="2" w:space="0"/>
              <w:left w:val="single" w:color="000000" w:sz="2" w:space="0"/>
              <w:bottom w:val="single" w:color="000000" w:sz="2" w:space="0"/>
              <w:right w:val="single" w:color="000000" w:sz="2" w:space="0"/>
            </w:tcBorders>
            <w:vAlign w:val="center"/>
          </w:tcPr>
          <w:p w14:paraId="6458C9B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井下采用的电压应符合下列规定:</w:t>
            </w:r>
          </w:p>
          <w:p w14:paraId="12FE61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高压，不超过35kV;</w:t>
            </w:r>
          </w:p>
          <w:p w14:paraId="6B060C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低压，不超过1140V;</w:t>
            </w:r>
          </w:p>
          <w:p w14:paraId="69EAA2A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--运输巷道、井底车场照明，不超过220V;采掘工作面、出矿巷道、天井和天井至回采工作面之间照明，不超过36V;行灯电压不超过36V;</w:t>
            </w:r>
          </w:p>
          <w:p w14:paraId="5D112DC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手持式电气设备电压不超过127V;</w:t>
            </w:r>
          </w:p>
          <w:p w14:paraId="671076D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--电机车牵引网络电压:交流不超过380V;直流不超过750V。</w:t>
            </w:r>
          </w:p>
        </w:tc>
        <w:tc>
          <w:tcPr>
            <w:tcW w:w="831" w:type="pct"/>
            <w:tcBorders>
              <w:top w:val="single" w:color="000000" w:sz="2" w:space="0"/>
              <w:left w:val="single" w:color="000000" w:sz="2" w:space="0"/>
              <w:bottom w:val="single" w:color="000000" w:sz="2" w:space="0"/>
              <w:right w:val="single" w:color="000000" w:sz="2" w:space="0"/>
            </w:tcBorders>
            <w:vAlign w:val="center"/>
          </w:tcPr>
          <w:p w14:paraId="0BCF18F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第6.7.1.4条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6784C24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下井采用交流380V电压</w:t>
            </w:r>
          </w:p>
          <w:p w14:paraId="6E5594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井下车场、运输巷道及各机电设备硐室设固定照明，照明电压为127V。回采工作面、掘进工作面、出矿巷道、天井和天井至回采工作面之间的照明电压为36V</w:t>
            </w:r>
            <w:r>
              <w:rPr>
                <w:rFonts w:hint="eastAsia" w:cs="Times New Roman"/>
                <w:snapToGrid w:val="0"/>
                <w:color w:val="auto"/>
                <w:spacing w:val="6"/>
                <w:kern w:val="0"/>
                <w:sz w:val="21"/>
                <w:szCs w:val="21"/>
                <w:lang w:val="en-US" w:eastAsia="zh-CN" w:bidi="ar-SA"/>
              </w:rPr>
              <w:t>。</w:t>
            </w:r>
          </w:p>
        </w:tc>
        <w:tc>
          <w:tcPr>
            <w:tcW w:w="314" w:type="pct"/>
            <w:tcBorders>
              <w:top w:val="single" w:color="000000" w:sz="2" w:space="0"/>
              <w:left w:val="single" w:color="000000" w:sz="2" w:space="0"/>
              <w:bottom w:val="single" w:color="000000" w:sz="2" w:space="0"/>
              <w:right w:val="single" w:color="000000" w:sz="2" w:space="0"/>
            </w:tcBorders>
            <w:vAlign w:val="center"/>
          </w:tcPr>
          <w:p w14:paraId="021524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A347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662160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6</w:t>
            </w:r>
          </w:p>
        </w:tc>
        <w:tc>
          <w:tcPr>
            <w:tcW w:w="510" w:type="pct"/>
            <w:tcBorders>
              <w:top w:val="single" w:color="000000" w:sz="2" w:space="0"/>
              <w:left w:val="single" w:color="000000" w:sz="2" w:space="0"/>
              <w:bottom w:val="single" w:color="000000" w:sz="2" w:space="0"/>
              <w:right w:val="single" w:color="000000" w:sz="2" w:space="0"/>
            </w:tcBorders>
            <w:vAlign w:val="center"/>
          </w:tcPr>
          <w:p w14:paraId="6276484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电气设备类型</w:t>
            </w:r>
          </w:p>
        </w:tc>
        <w:tc>
          <w:tcPr>
            <w:tcW w:w="1735" w:type="pct"/>
            <w:tcBorders>
              <w:top w:val="single" w:color="000000" w:sz="2" w:space="0"/>
              <w:left w:val="single" w:color="000000" w:sz="2" w:space="0"/>
              <w:bottom w:val="single" w:color="000000" w:sz="2" w:space="0"/>
              <w:right w:val="single" w:color="000000" w:sz="2" w:space="0"/>
            </w:tcBorders>
            <w:vAlign w:val="center"/>
          </w:tcPr>
          <w:p w14:paraId="0861F8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井下电气设备类型选择应符合下列规定:</w:t>
            </w:r>
          </w:p>
          <w:p w14:paraId="30BEDA4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1 无爆炸危险环境矿井，宜采用矿用一般型电气设备;</w:t>
            </w:r>
          </w:p>
          <w:p w14:paraId="5DE408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 有爆炸危险环境矿井，应按国家现行有关标准执行;</w:t>
            </w:r>
          </w:p>
          <w:p w14:paraId="0E5820B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3 井下不应采用油浸式电气设备。</w:t>
            </w:r>
          </w:p>
        </w:tc>
        <w:tc>
          <w:tcPr>
            <w:tcW w:w="831" w:type="pct"/>
            <w:tcBorders>
              <w:top w:val="single" w:color="000000" w:sz="2" w:space="0"/>
              <w:left w:val="single" w:color="000000" w:sz="2" w:space="0"/>
              <w:bottom w:val="single" w:color="000000" w:sz="2" w:space="0"/>
              <w:right w:val="single" w:color="000000" w:sz="2" w:space="0"/>
            </w:tcBorders>
            <w:vAlign w:val="center"/>
          </w:tcPr>
          <w:p w14:paraId="6B8B9E7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w:t>
            </w:r>
            <w:r>
              <w:rPr>
                <w:rFonts w:hint="eastAsia" w:cs="Times New Roman"/>
                <w:snapToGrid w:val="0"/>
                <w:color w:val="auto"/>
                <w:spacing w:val="8"/>
                <w:kern w:val="0"/>
                <w:sz w:val="21"/>
                <w:szCs w:val="21"/>
                <w:lang w:val="en-US" w:eastAsia="zh-CN" w:bidi="ar-SA"/>
              </w:rPr>
              <w:t>4.2.1</w:t>
            </w:r>
            <w:r>
              <w:rPr>
                <w:rFonts w:hint="default" w:ascii="Times New Roman" w:hAnsi="Times New Roman" w:eastAsia="宋体" w:cs="Times New Roman"/>
                <w:snapToGrid w:val="0"/>
                <w:color w:val="auto"/>
                <w:spacing w:val="8"/>
                <w:kern w:val="0"/>
                <w:sz w:val="21"/>
                <w:szCs w:val="21"/>
                <w:lang w:val="en-US" w:eastAsia="zh-CN" w:bidi="ar-SA"/>
              </w:rPr>
              <w:t>条</w:t>
            </w:r>
          </w:p>
          <w:p w14:paraId="4CA8DF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第6.7.3.1条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263C47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井下电气设备均为矿用设备;未采用油浸式电气设备。</w:t>
            </w:r>
          </w:p>
        </w:tc>
        <w:tc>
          <w:tcPr>
            <w:tcW w:w="314" w:type="pct"/>
            <w:tcBorders>
              <w:top w:val="single" w:color="000000" w:sz="2" w:space="0"/>
              <w:left w:val="single" w:color="000000" w:sz="2" w:space="0"/>
              <w:bottom w:val="single" w:color="000000" w:sz="2" w:space="0"/>
              <w:right w:val="single" w:color="000000" w:sz="2" w:space="0"/>
            </w:tcBorders>
            <w:vAlign w:val="center"/>
          </w:tcPr>
          <w:p w14:paraId="7F5081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515A1D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55B99E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7</w:t>
            </w:r>
          </w:p>
        </w:tc>
        <w:tc>
          <w:tcPr>
            <w:tcW w:w="510" w:type="pct"/>
            <w:tcBorders>
              <w:top w:val="single" w:color="000000" w:sz="2" w:space="0"/>
              <w:left w:val="single" w:color="000000" w:sz="2" w:space="0"/>
              <w:bottom w:val="single" w:color="000000" w:sz="2" w:space="0"/>
              <w:right w:val="single" w:color="000000" w:sz="2" w:space="0"/>
            </w:tcBorders>
            <w:vAlign w:val="center"/>
          </w:tcPr>
          <w:p w14:paraId="371D46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高、低压供配电中性点接地</w:t>
            </w:r>
          </w:p>
          <w:p w14:paraId="50FB6C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方式</w:t>
            </w:r>
          </w:p>
        </w:tc>
        <w:tc>
          <w:tcPr>
            <w:tcW w:w="1735" w:type="pct"/>
            <w:tcBorders>
              <w:top w:val="single" w:color="000000" w:sz="2" w:space="0"/>
              <w:left w:val="single" w:color="000000" w:sz="2" w:space="0"/>
              <w:bottom w:val="single" w:color="000000" w:sz="2" w:space="0"/>
              <w:right w:val="single" w:color="000000" w:sz="2" w:space="0"/>
            </w:tcBorders>
            <w:vAlign w:val="center"/>
          </w:tcPr>
          <w:p w14:paraId="06446AF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井下低压配电系统接地型式应符合下列规定:</w:t>
            </w:r>
          </w:p>
          <w:p w14:paraId="5320ABF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1</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井下有爆炸危险环境，应采用IT系统。</w:t>
            </w:r>
          </w:p>
          <w:p w14:paraId="0AD362C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井下无爆炸危险环境，宜采用IT系统;当采用220/380V时，也可采用TN-S系统。</w:t>
            </w:r>
          </w:p>
          <w:p w14:paraId="654E88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3</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当采用T系统时,配电系统电源端的带电部分应不接地或经高阻抗接地，且配电系统相导体和外露可导电部分之间第一次出现阻抗可忽略的故障时，故障电流不应大于SA。</w:t>
            </w:r>
          </w:p>
        </w:tc>
        <w:tc>
          <w:tcPr>
            <w:tcW w:w="831" w:type="pct"/>
            <w:tcBorders>
              <w:top w:val="single" w:color="000000" w:sz="2" w:space="0"/>
              <w:left w:val="single" w:color="000000" w:sz="2" w:space="0"/>
              <w:bottom w:val="single" w:color="000000" w:sz="2" w:space="0"/>
              <w:right w:val="single" w:color="000000" w:sz="2" w:space="0"/>
            </w:tcBorders>
            <w:vAlign w:val="center"/>
          </w:tcPr>
          <w:p w14:paraId="3BCA95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w:t>
            </w:r>
            <w:r>
              <w:rPr>
                <w:rFonts w:hint="eastAsia" w:cs="Times New Roman"/>
                <w:snapToGrid w:val="0"/>
                <w:color w:val="auto"/>
                <w:spacing w:val="8"/>
                <w:kern w:val="0"/>
                <w:sz w:val="21"/>
                <w:szCs w:val="21"/>
                <w:lang w:val="en-US" w:eastAsia="zh-CN" w:bidi="ar-SA"/>
              </w:rPr>
              <w:t>4.1.3</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674301C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接地方式均符合要求。</w:t>
            </w:r>
          </w:p>
        </w:tc>
        <w:tc>
          <w:tcPr>
            <w:tcW w:w="314" w:type="pct"/>
            <w:tcBorders>
              <w:top w:val="single" w:color="000000" w:sz="2" w:space="0"/>
              <w:left w:val="single" w:color="000000" w:sz="2" w:space="0"/>
              <w:bottom w:val="single" w:color="000000" w:sz="2" w:space="0"/>
              <w:right w:val="single" w:color="000000" w:sz="2" w:space="0"/>
            </w:tcBorders>
            <w:vAlign w:val="center"/>
          </w:tcPr>
          <w:p w14:paraId="7019B6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6F27A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63E1979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8</w:t>
            </w:r>
          </w:p>
        </w:tc>
        <w:tc>
          <w:tcPr>
            <w:tcW w:w="510" w:type="pct"/>
            <w:tcBorders>
              <w:top w:val="single" w:color="000000" w:sz="2" w:space="0"/>
              <w:left w:val="single" w:color="000000" w:sz="2" w:space="0"/>
              <w:bottom w:val="single" w:color="000000" w:sz="2" w:space="0"/>
              <w:right w:val="single" w:color="000000" w:sz="2" w:space="0"/>
            </w:tcBorders>
            <w:vAlign w:val="center"/>
          </w:tcPr>
          <w:p w14:paraId="5D97C7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高、低压电缆</w:t>
            </w:r>
          </w:p>
        </w:tc>
        <w:tc>
          <w:tcPr>
            <w:tcW w:w="1735" w:type="pct"/>
            <w:tcBorders>
              <w:top w:val="single" w:color="000000" w:sz="2" w:space="0"/>
              <w:left w:val="single" w:color="000000" w:sz="2" w:space="0"/>
              <w:bottom w:val="single" w:color="000000" w:sz="2" w:space="0"/>
              <w:right w:val="single" w:color="000000" w:sz="2" w:space="0"/>
            </w:tcBorders>
            <w:vAlign w:val="center"/>
          </w:tcPr>
          <w:p w14:paraId="7774889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电力电缆的选择应符合下列规定:</w:t>
            </w:r>
          </w:p>
          <w:p w14:paraId="0C5CB6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1</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在立井井筒或倾角45</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及以上的井巷内，固定敷设的高压电缆采用交联聚乙烯粗钢丝铠装聚氯乙烯护套电力电缆或聚氯乙烯绝缘粗钢丝铠装聚氯乙烯护套电力电缆。</w:t>
            </w:r>
          </w:p>
          <w:p w14:paraId="773E463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2</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在水平巷道或倾角小于45°的井巷内，固定敷设的高压电缆应采用交联聚乙烯绝缘钢带或细钢丝铠装聚氯乙烯护套电力电缆、聚氯乙烯绝缘钢带或细钢丝铠装聚氯乙烯护套电力电缆。</w:t>
            </w:r>
          </w:p>
          <w:p w14:paraId="5181700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3</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移动变电站的电源电缆，应采用矿用监视型屏蔽橡套电缆。</w:t>
            </w:r>
          </w:p>
          <w:p w14:paraId="7079097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4</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eastAsia="zh-CN" w:bidi="ar-SA"/>
              </w:rPr>
              <w:t>固定敷设的低压电缆，宜采用聚氯乙烯绝缘或交联聚乙烯绝缘电缆。</w:t>
            </w:r>
          </w:p>
          <w:p w14:paraId="1265749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5</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eastAsia="zh-CN" w:bidi="ar-SA"/>
              </w:rPr>
              <w:t>非固定敷设的高低压电缆，宜采用矿用橡套软电缆。</w:t>
            </w:r>
          </w:p>
          <w:p w14:paraId="6FF0604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6</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eastAsia="zh-CN" w:bidi="ar-SA"/>
              </w:rPr>
              <w:t>移动式和手持式电气设备宜采用专用套电缆。</w:t>
            </w:r>
          </w:p>
          <w:p w14:paraId="119D4A4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7</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eastAsia="zh-CN" w:bidi="ar-SA"/>
              </w:rPr>
              <w:t>重要电源回路、移动式电气设备的电缆及井下有爆炸危险环境矿井的低压电缆应采用铜芯电缆。</w:t>
            </w:r>
          </w:p>
          <w:p w14:paraId="4B604F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8</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eastAsia="zh-CN" w:bidi="ar-SA"/>
              </w:rPr>
              <w:t>井下所有电缆应采用阳燃电缆。</w:t>
            </w:r>
          </w:p>
        </w:tc>
        <w:tc>
          <w:tcPr>
            <w:tcW w:w="831" w:type="pct"/>
            <w:tcBorders>
              <w:top w:val="single" w:color="000000" w:sz="2" w:space="0"/>
              <w:left w:val="single" w:color="000000" w:sz="2" w:space="0"/>
              <w:bottom w:val="single" w:color="000000" w:sz="2" w:space="0"/>
              <w:right w:val="single" w:color="000000" w:sz="2" w:space="0"/>
            </w:tcBorders>
            <w:vAlign w:val="center"/>
          </w:tcPr>
          <w:p w14:paraId="2589361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w:t>
            </w:r>
            <w:r>
              <w:rPr>
                <w:rFonts w:hint="eastAsia" w:cs="Times New Roman"/>
                <w:snapToGrid w:val="0"/>
                <w:color w:val="auto"/>
                <w:spacing w:val="8"/>
                <w:kern w:val="0"/>
                <w:sz w:val="21"/>
                <w:szCs w:val="21"/>
                <w:lang w:val="en-US" w:eastAsia="zh-CN" w:bidi="ar-SA"/>
              </w:rPr>
              <w:t>4.3.1</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9C44C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WD-MYJY22-1kV3x18电缆</w:t>
            </w:r>
          </w:p>
        </w:tc>
        <w:tc>
          <w:tcPr>
            <w:tcW w:w="314" w:type="pct"/>
            <w:tcBorders>
              <w:top w:val="single" w:color="000000" w:sz="2" w:space="0"/>
              <w:left w:val="single" w:color="000000" w:sz="2" w:space="0"/>
              <w:bottom w:val="single" w:color="000000" w:sz="2" w:space="0"/>
              <w:right w:val="single" w:color="000000" w:sz="2" w:space="0"/>
            </w:tcBorders>
            <w:vAlign w:val="center"/>
          </w:tcPr>
          <w:p w14:paraId="2FDAF11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B5BC7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tcBorders>
              <w:top w:val="single" w:color="000000" w:sz="2" w:space="0"/>
              <w:left w:val="single" w:color="000000" w:sz="2" w:space="0"/>
              <w:bottom w:val="single" w:color="000000" w:sz="2" w:space="0"/>
              <w:right w:val="single" w:color="000000" w:sz="2" w:space="0"/>
            </w:tcBorders>
            <w:vAlign w:val="center"/>
          </w:tcPr>
          <w:p w14:paraId="4E9585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9</w:t>
            </w:r>
          </w:p>
        </w:tc>
        <w:tc>
          <w:tcPr>
            <w:tcW w:w="510" w:type="pct"/>
            <w:tcBorders>
              <w:top w:val="single" w:color="000000" w:sz="2" w:space="0"/>
              <w:left w:val="single" w:color="000000" w:sz="2" w:space="0"/>
              <w:bottom w:val="single" w:color="000000" w:sz="2" w:space="0"/>
              <w:right w:val="single" w:color="000000" w:sz="2" w:space="0"/>
            </w:tcBorders>
            <w:vAlign w:val="center"/>
          </w:tcPr>
          <w:p w14:paraId="01A077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地表架空线转下井电缆处防</w:t>
            </w:r>
          </w:p>
          <w:p w14:paraId="230D03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雷设施</w:t>
            </w:r>
          </w:p>
        </w:tc>
        <w:tc>
          <w:tcPr>
            <w:tcW w:w="1735" w:type="pct"/>
            <w:tcBorders>
              <w:top w:val="single" w:color="000000" w:sz="2" w:space="0"/>
              <w:left w:val="single" w:color="000000" w:sz="2" w:space="0"/>
              <w:bottom w:val="single" w:color="000000" w:sz="2" w:space="0"/>
              <w:right w:val="single" w:color="000000" w:sz="2" w:space="0"/>
            </w:tcBorders>
            <w:vAlign w:val="center"/>
          </w:tcPr>
          <w:p w14:paraId="04E668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经由地面架空线路引入井下变电所的供电电缆，应在架空线与电缆连接处装设避雷装置。</w:t>
            </w:r>
          </w:p>
        </w:tc>
        <w:tc>
          <w:tcPr>
            <w:tcW w:w="831" w:type="pct"/>
            <w:tcBorders>
              <w:top w:val="single" w:color="000000" w:sz="2" w:space="0"/>
              <w:left w:val="single" w:color="000000" w:sz="2" w:space="0"/>
              <w:bottom w:val="single" w:color="000000" w:sz="2" w:space="0"/>
              <w:right w:val="single" w:color="000000" w:sz="2" w:space="0"/>
            </w:tcBorders>
            <w:vAlign w:val="center"/>
          </w:tcPr>
          <w:p w14:paraId="5E471D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w:t>
            </w:r>
            <w:r>
              <w:rPr>
                <w:rFonts w:hint="eastAsia" w:cs="Times New Roman"/>
                <w:snapToGrid w:val="0"/>
                <w:color w:val="auto"/>
                <w:spacing w:val="8"/>
                <w:kern w:val="0"/>
                <w:sz w:val="21"/>
                <w:szCs w:val="21"/>
                <w:lang w:val="en-US" w:eastAsia="zh-CN" w:bidi="ar-SA"/>
              </w:rPr>
              <w:t>4.1.5</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44456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10kV电源线路终端杆安装避雷器保护；在低压柜内设过电压保护装置。</w:t>
            </w:r>
          </w:p>
        </w:tc>
        <w:tc>
          <w:tcPr>
            <w:tcW w:w="314" w:type="pct"/>
            <w:tcBorders>
              <w:top w:val="single" w:color="000000" w:sz="2" w:space="0"/>
              <w:left w:val="single" w:color="000000" w:sz="2" w:space="0"/>
              <w:bottom w:val="single" w:color="000000" w:sz="2" w:space="0"/>
              <w:right w:val="single" w:color="000000" w:sz="2" w:space="0"/>
            </w:tcBorders>
            <w:vAlign w:val="center"/>
          </w:tcPr>
          <w:p w14:paraId="7A4E028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5BA4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restart"/>
            <w:tcBorders>
              <w:top w:val="single" w:color="000000" w:sz="2" w:space="0"/>
              <w:left w:val="single" w:color="000000" w:sz="2" w:space="0"/>
              <w:right w:val="single" w:color="000000" w:sz="2" w:space="0"/>
            </w:tcBorders>
            <w:vAlign w:val="center"/>
          </w:tcPr>
          <w:p w14:paraId="7290090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10</w:t>
            </w:r>
          </w:p>
        </w:tc>
        <w:tc>
          <w:tcPr>
            <w:tcW w:w="510" w:type="pct"/>
            <w:vMerge w:val="restart"/>
            <w:tcBorders>
              <w:top w:val="single" w:color="000000" w:sz="2" w:space="0"/>
              <w:left w:val="single" w:color="000000" w:sz="2" w:space="0"/>
              <w:right w:val="single" w:color="000000" w:sz="2" w:space="0"/>
            </w:tcBorders>
            <w:vAlign w:val="center"/>
          </w:tcPr>
          <w:p w14:paraId="773D732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照明设施</w:t>
            </w:r>
          </w:p>
        </w:tc>
        <w:tc>
          <w:tcPr>
            <w:tcW w:w="1735" w:type="pct"/>
            <w:tcBorders>
              <w:top w:val="single" w:color="000000" w:sz="2" w:space="0"/>
              <w:left w:val="single" w:color="000000" w:sz="2" w:space="0"/>
              <w:bottom w:val="single" w:color="000000" w:sz="2" w:space="0"/>
              <w:right w:val="single" w:color="000000" w:sz="2" w:space="0"/>
            </w:tcBorders>
            <w:vAlign w:val="center"/>
          </w:tcPr>
          <w:p w14:paraId="5978AD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井下所有作业地点、安全通道和通往作业地点的人行道，都应有照明。</w:t>
            </w:r>
          </w:p>
        </w:tc>
        <w:tc>
          <w:tcPr>
            <w:tcW w:w="831" w:type="pct"/>
            <w:tcBorders>
              <w:top w:val="single" w:color="000000" w:sz="2" w:space="0"/>
              <w:left w:val="single" w:color="000000" w:sz="2" w:space="0"/>
              <w:bottom w:val="single" w:color="000000" w:sz="2" w:space="0"/>
              <w:right w:val="single" w:color="000000" w:sz="2" w:space="0"/>
            </w:tcBorders>
            <w:vAlign w:val="center"/>
          </w:tcPr>
          <w:p w14:paraId="3899B4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第6.7.5.1条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4F41EA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井下主要运输巷道及各中段运输巷道</w:t>
            </w:r>
            <w:r>
              <w:rPr>
                <w:rFonts w:hint="eastAsia" w:cs="Times New Roman"/>
                <w:snapToGrid w:val="0"/>
                <w:color w:val="auto"/>
                <w:spacing w:val="6"/>
                <w:kern w:val="0"/>
                <w:sz w:val="21"/>
                <w:szCs w:val="21"/>
                <w:lang w:val="en-US" w:eastAsia="zh-CN" w:bidi="ar-SA"/>
              </w:rPr>
              <w:t>均设有</w:t>
            </w:r>
            <w:r>
              <w:rPr>
                <w:rFonts w:hint="eastAsia" w:ascii="Times New Roman" w:hAnsi="Times New Roman" w:eastAsia="宋体" w:cs="Times New Roman"/>
                <w:snapToGrid w:val="0"/>
                <w:color w:val="auto"/>
                <w:spacing w:val="6"/>
                <w:kern w:val="0"/>
                <w:sz w:val="21"/>
                <w:szCs w:val="21"/>
                <w:lang w:val="en-US" w:bidi="ar-SA"/>
              </w:rPr>
              <w:t>照明</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安全通道设有照明设施。</w:t>
            </w:r>
          </w:p>
        </w:tc>
        <w:tc>
          <w:tcPr>
            <w:tcW w:w="314" w:type="pct"/>
            <w:tcBorders>
              <w:top w:val="single" w:color="000000" w:sz="2" w:space="0"/>
              <w:left w:val="single" w:color="000000" w:sz="2" w:space="0"/>
              <w:bottom w:val="single" w:color="000000" w:sz="2" w:space="0"/>
              <w:right w:val="single" w:color="000000" w:sz="2" w:space="0"/>
            </w:tcBorders>
            <w:vAlign w:val="center"/>
          </w:tcPr>
          <w:p w14:paraId="1EA539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6C8CEE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continue"/>
            <w:tcBorders>
              <w:left w:val="single" w:color="000000" w:sz="2" w:space="0"/>
              <w:right w:val="single" w:color="000000" w:sz="2" w:space="0"/>
            </w:tcBorders>
            <w:vAlign w:val="center"/>
          </w:tcPr>
          <w:p w14:paraId="59B38BE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10" w:type="pct"/>
            <w:vMerge w:val="continue"/>
            <w:tcBorders>
              <w:left w:val="single" w:color="000000" w:sz="2" w:space="0"/>
              <w:right w:val="single" w:color="000000" w:sz="2" w:space="0"/>
            </w:tcBorders>
            <w:vAlign w:val="center"/>
          </w:tcPr>
          <w:p w14:paraId="7FC21B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7403A5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下列场所应设置应急照明:</w:t>
            </w:r>
          </w:p>
          <w:p w14:paraId="2DCA05D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井下变电所;</w:t>
            </w:r>
          </w:p>
          <w:p w14:paraId="266D5A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主要排水泵房;</w:t>
            </w:r>
          </w:p>
          <w:p w14:paraId="3BE1262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--监控室、生产调度室、通信站和网络中心;</w:t>
            </w:r>
          </w:p>
          <w:p w14:paraId="0596F4D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--提升机房;</w:t>
            </w:r>
          </w:p>
          <w:p w14:paraId="5107A4A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通风机房;副井井口房;</w:t>
            </w:r>
          </w:p>
          <w:p w14:paraId="5D48E6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矿山救护值班室;</w:t>
            </w:r>
          </w:p>
          <w:p w14:paraId="16B029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非消防工作区域继续工作应急照明连续供电时间不应少于2h;消防应急照明和灯光疏散指示标志的备用电源的连续供电时间不应少于0.5h</w:t>
            </w:r>
            <w:r>
              <w:rPr>
                <w:rFonts w:hint="eastAsia" w:cs="Times New Roman"/>
                <w:snapToGrid w:val="0"/>
                <w:color w:val="auto"/>
                <w:spacing w:val="6"/>
                <w:kern w:val="0"/>
                <w:sz w:val="21"/>
                <w:szCs w:val="21"/>
                <w:lang w:val="en-US" w:eastAsia="zh-CN" w:bidi="ar-SA"/>
              </w:rPr>
              <w:t>。</w:t>
            </w:r>
          </w:p>
        </w:tc>
        <w:tc>
          <w:tcPr>
            <w:tcW w:w="831" w:type="pct"/>
            <w:tcBorders>
              <w:top w:val="single" w:color="000000" w:sz="2" w:space="0"/>
              <w:left w:val="single" w:color="000000" w:sz="2" w:space="0"/>
              <w:bottom w:val="single" w:color="000000" w:sz="2" w:space="0"/>
              <w:right w:val="single" w:color="000000" w:sz="2" w:space="0"/>
            </w:tcBorders>
            <w:vAlign w:val="center"/>
          </w:tcPr>
          <w:p w14:paraId="60DB35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第6.7.5.2条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4B0D4FB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地面调度室、变电所、风机房、空压机房等重要工作场所设应急照明。</w:t>
            </w:r>
          </w:p>
        </w:tc>
        <w:tc>
          <w:tcPr>
            <w:tcW w:w="314" w:type="pct"/>
            <w:tcBorders>
              <w:top w:val="single" w:color="000000" w:sz="2" w:space="0"/>
              <w:left w:val="single" w:color="000000" w:sz="2" w:space="0"/>
              <w:bottom w:val="single" w:color="000000" w:sz="2" w:space="0"/>
              <w:right w:val="single" w:color="000000" w:sz="2" w:space="0"/>
            </w:tcBorders>
            <w:vAlign w:val="center"/>
          </w:tcPr>
          <w:p w14:paraId="7B82923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5164A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restart"/>
            <w:tcBorders>
              <w:left w:val="single" w:color="000000" w:sz="2" w:space="0"/>
              <w:right w:val="single" w:color="000000" w:sz="2" w:space="0"/>
            </w:tcBorders>
            <w:vAlign w:val="center"/>
          </w:tcPr>
          <w:p w14:paraId="4413AA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11</w:t>
            </w:r>
          </w:p>
        </w:tc>
        <w:tc>
          <w:tcPr>
            <w:tcW w:w="510" w:type="pct"/>
            <w:vMerge w:val="restart"/>
            <w:tcBorders>
              <w:left w:val="single" w:color="000000" w:sz="2" w:space="0"/>
              <w:right w:val="single" w:color="000000" w:sz="2" w:space="0"/>
            </w:tcBorders>
            <w:vAlign w:val="center"/>
          </w:tcPr>
          <w:p w14:paraId="7F8154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s="Times New Roman"/>
                <w:snapToGrid w:val="0"/>
                <w:color w:val="auto"/>
                <w:spacing w:val="6"/>
                <w:kern w:val="0"/>
                <w:sz w:val="21"/>
                <w:szCs w:val="21"/>
                <w:lang w:val="en-US" w:eastAsia="zh-CN" w:bidi="ar-SA"/>
              </w:rPr>
              <w:t>一级负荷</w:t>
            </w:r>
          </w:p>
        </w:tc>
        <w:tc>
          <w:tcPr>
            <w:tcW w:w="1735" w:type="pct"/>
            <w:tcBorders>
              <w:top w:val="single" w:color="000000" w:sz="2" w:space="0"/>
              <w:left w:val="single" w:color="000000" w:sz="2" w:space="0"/>
              <w:bottom w:val="single" w:color="000000" w:sz="2" w:space="0"/>
              <w:right w:val="single" w:color="000000" w:sz="2" w:space="0"/>
            </w:tcBorders>
            <w:vAlign w:val="center"/>
          </w:tcPr>
          <w:p w14:paraId="1D00E8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一级负荷:</w:t>
            </w:r>
          </w:p>
          <w:p w14:paraId="22EA108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1)</w:t>
            </w:r>
            <w:r>
              <w:rPr>
                <w:rFonts w:hint="eastAsia" w:ascii="Times New Roman" w:hAnsi="Times New Roman" w:eastAsia="宋体" w:cs="Times New Roman"/>
                <w:snapToGrid w:val="0"/>
                <w:color w:val="auto"/>
                <w:spacing w:val="6"/>
                <w:kern w:val="0"/>
                <w:sz w:val="21"/>
                <w:szCs w:val="21"/>
                <w:lang w:val="en-US" w:bidi="ar-SA"/>
              </w:rPr>
              <w:t>井下有淹没危险环境矿井的主排水泵及下山开采采区的采区排水泵;</w:t>
            </w:r>
          </w:p>
          <w:p w14:paraId="37E6501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2)</w:t>
            </w:r>
            <w:r>
              <w:rPr>
                <w:rFonts w:hint="eastAsia" w:ascii="Times New Roman" w:hAnsi="Times New Roman" w:eastAsia="宋体" w:cs="Times New Roman"/>
                <w:snapToGrid w:val="0"/>
                <w:color w:val="auto"/>
                <w:spacing w:val="6"/>
                <w:kern w:val="0"/>
                <w:sz w:val="21"/>
                <w:szCs w:val="21"/>
                <w:lang w:val="en-US" w:bidi="ar-SA"/>
              </w:rPr>
              <w:t>井下有爆炸或对人体健康有严重损害危险环境矿井的主通风机;</w:t>
            </w:r>
          </w:p>
          <w:p w14:paraId="235F267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eastAsia="zh-CN" w:bidi="ar-SA"/>
              </w:rPr>
              <w:t>3)</w:t>
            </w:r>
            <w:r>
              <w:rPr>
                <w:rFonts w:hint="eastAsia" w:ascii="Times New Roman" w:hAnsi="Times New Roman" w:eastAsia="宋体" w:cs="Times New Roman"/>
                <w:snapToGrid w:val="0"/>
                <w:color w:val="auto"/>
                <w:spacing w:val="6"/>
                <w:kern w:val="0"/>
                <w:sz w:val="21"/>
                <w:szCs w:val="21"/>
                <w:lang w:val="en-US" w:bidi="ar-SA"/>
              </w:rPr>
              <w:t>矿井经常升降人员的立井提升机;</w:t>
            </w:r>
          </w:p>
          <w:p w14:paraId="438544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4)有淹没危险环境露天采矿场的排水泵或用井巷排水的排水泵;</w:t>
            </w:r>
          </w:p>
          <w:p w14:paraId="2D62221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5)根据国家或行业现行有关标准规定应视为一级负荷的其他设备。</w:t>
            </w:r>
          </w:p>
        </w:tc>
        <w:tc>
          <w:tcPr>
            <w:tcW w:w="831" w:type="pct"/>
            <w:tcBorders>
              <w:top w:val="single" w:color="000000" w:sz="2" w:space="0"/>
              <w:left w:val="single" w:color="000000" w:sz="2" w:space="0"/>
              <w:bottom w:val="single" w:color="000000" w:sz="2" w:space="0"/>
              <w:right w:val="single" w:color="000000" w:sz="2" w:space="0"/>
            </w:tcBorders>
            <w:vAlign w:val="center"/>
          </w:tcPr>
          <w:p w14:paraId="69A576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《矿山电力设计标准》（GB50070-2020）第</w:t>
            </w:r>
            <w:r>
              <w:rPr>
                <w:rFonts w:hint="eastAsia" w:cs="Times New Roman"/>
                <w:snapToGrid w:val="0"/>
                <w:color w:val="auto"/>
                <w:spacing w:val="8"/>
                <w:kern w:val="0"/>
                <w:sz w:val="21"/>
                <w:szCs w:val="21"/>
                <w:lang w:val="en-US" w:eastAsia="zh-CN" w:bidi="ar-SA"/>
              </w:rPr>
              <w:t>3.0.1</w:t>
            </w:r>
            <w:r>
              <w:rPr>
                <w:rFonts w:hint="default" w:ascii="Times New Roman" w:hAnsi="Times New Roman" w:eastAsia="宋体" w:cs="Times New Roman"/>
                <w:snapToGrid w:val="0"/>
                <w:color w:val="auto"/>
                <w:spacing w:val="8"/>
                <w:kern w:val="0"/>
                <w:sz w:val="21"/>
                <w:szCs w:val="21"/>
                <w:lang w:val="en-US" w:eastAsia="zh-CN" w:bidi="ar-SA"/>
              </w:rPr>
              <w:t>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4BF5D51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left"/>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一级负荷供电设备：压风自救空压机、井下排水泵、通风机。</w:t>
            </w:r>
          </w:p>
          <w:p w14:paraId="4A204F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6"/>
                <w:kern w:val="0"/>
                <w:sz w:val="21"/>
                <w:szCs w:val="21"/>
                <w:lang w:val="en-US" w:bidi="ar-SA"/>
              </w:rPr>
            </w:pPr>
          </w:p>
        </w:tc>
        <w:tc>
          <w:tcPr>
            <w:tcW w:w="314" w:type="pct"/>
            <w:tcBorders>
              <w:top w:val="single" w:color="000000" w:sz="2" w:space="0"/>
              <w:left w:val="single" w:color="000000" w:sz="2" w:space="0"/>
              <w:bottom w:val="single" w:color="000000" w:sz="2" w:space="0"/>
              <w:right w:val="single" w:color="000000" w:sz="2" w:space="0"/>
            </w:tcBorders>
            <w:vAlign w:val="center"/>
          </w:tcPr>
          <w:p w14:paraId="11630DC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r w14:paraId="2C366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continue"/>
            <w:tcBorders>
              <w:left w:val="single" w:color="000000" w:sz="2" w:space="0"/>
              <w:right w:val="single" w:color="000000" w:sz="2" w:space="0"/>
            </w:tcBorders>
            <w:vAlign w:val="center"/>
          </w:tcPr>
          <w:p w14:paraId="1612FDC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10" w:type="pct"/>
            <w:vMerge w:val="continue"/>
            <w:tcBorders>
              <w:left w:val="single" w:color="000000" w:sz="2" w:space="0"/>
              <w:right w:val="single" w:color="000000" w:sz="2" w:space="0"/>
            </w:tcBorders>
            <w:vAlign w:val="center"/>
          </w:tcPr>
          <w:p w14:paraId="6E4280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6"/>
                <w:kern w:val="0"/>
                <w:sz w:val="21"/>
                <w:szCs w:val="21"/>
                <w:lang w:val="en-US" w:eastAsia="zh-CN" w:bidi="ar-SA"/>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2556DE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人员提升系统、矿井主要排水系统的负荷应作为级负荷，由双重电源供电，任一电源的容量应至少满足矿山全部一级负荷电力需求。应采取措施保证两个电源不会同时损坏。</w:t>
            </w:r>
          </w:p>
        </w:tc>
        <w:tc>
          <w:tcPr>
            <w:tcW w:w="831" w:type="pct"/>
            <w:tcBorders>
              <w:top w:val="single" w:color="000000" w:sz="2" w:space="0"/>
              <w:left w:val="single" w:color="000000" w:sz="2" w:space="0"/>
              <w:bottom w:val="single" w:color="000000" w:sz="2" w:space="0"/>
              <w:right w:val="single" w:color="000000" w:sz="2" w:space="0"/>
            </w:tcBorders>
            <w:vAlign w:val="center"/>
          </w:tcPr>
          <w:p w14:paraId="3A6301F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第6.7.1.1条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4F28496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地面室内利用1台KSG13-500/10500kVA变压器和利用1台500kW柴油发电机形成双电源供井下设备用电。</w:t>
            </w:r>
          </w:p>
          <w:p w14:paraId="6AA5A2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矿</w:t>
            </w:r>
            <w:r>
              <w:rPr>
                <w:rFonts w:hint="default" w:ascii="Times New Roman" w:hAnsi="Times New Roman" w:eastAsia="宋体" w:cs="Times New Roman"/>
                <w:snapToGrid w:val="0"/>
                <w:color w:val="auto"/>
                <w:spacing w:val="26"/>
                <w:kern w:val="0"/>
                <w:sz w:val="21"/>
                <w:szCs w:val="21"/>
                <w:lang w:val="en-US" w:eastAsia="zh-CN" w:bidi="ar-SA"/>
              </w:rPr>
              <w:t>井目前设备安装总容量为1704kW，设备工作容量为1098kW。</w:t>
            </w:r>
          </w:p>
        </w:tc>
        <w:tc>
          <w:tcPr>
            <w:tcW w:w="314" w:type="pct"/>
            <w:tcBorders>
              <w:top w:val="single" w:color="000000" w:sz="2" w:space="0"/>
              <w:left w:val="single" w:color="000000" w:sz="2" w:space="0"/>
              <w:bottom w:val="single" w:color="000000" w:sz="2" w:space="0"/>
              <w:right w:val="single" w:color="000000" w:sz="2" w:space="0"/>
            </w:tcBorders>
            <w:vAlign w:val="center"/>
          </w:tcPr>
          <w:p w14:paraId="6240050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符合</w:t>
            </w:r>
          </w:p>
        </w:tc>
      </w:tr>
    </w:tbl>
    <w:p w14:paraId="762014A8">
      <w:pPr>
        <w:bidi w:val="0"/>
        <w:rPr>
          <w:rFonts w:hint="eastAsia"/>
          <w:color w:val="auto"/>
          <w:lang w:val="en-US" w:eastAsia="zh-CN"/>
        </w:rPr>
      </w:pPr>
      <w:r>
        <w:rPr>
          <w:rFonts w:hint="eastAsia"/>
          <w:color w:val="auto"/>
          <w:lang w:val="en-US" w:eastAsia="zh-CN"/>
        </w:rPr>
        <w:t>采用安全检查表法对矿山供配电系统单元检查11大项13小项，全部符合，矿山供配电系统单元符合《金属非金属矿山安全规程》（GB16423-2020）、《矿山电力设计标准》（GB50070-2020）的有关要求。</w:t>
      </w:r>
    </w:p>
    <w:p w14:paraId="54982514">
      <w:pPr>
        <w:pStyle w:val="4"/>
        <w:bidi w:val="0"/>
        <w:rPr>
          <w:rFonts w:hint="eastAsia"/>
          <w:color w:val="auto"/>
          <w:lang w:val="en-US" w:eastAsia="zh-CN"/>
        </w:rPr>
      </w:pPr>
      <w:bookmarkStart w:id="334" w:name="_Toc12696"/>
      <w:bookmarkStart w:id="335" w:name="_Toc21129"/>
      <w:bookmarkStart w:id="336" w:name="_Toc17965"/>
      <w:bookmarkStart w:id="337" w:name="_Toc7047"/>
      <w:r>
        <w:rPr>
          <w:rFonts w:hint="eastAsia"/>
          <w:color w:val="auto"/>
          <w:lang w:val="en-US" w:eastAsia="zh-CN"/>
        </w:rPr>
        <w:t>3.7.3 评价小结</w:t>
      </w:r>
      <w:bookmarkEnd w:id="334"/>
      <w:bookmarkEnd w:id="335"/>
      <w:bookmarkEnd w:id="336"/>
      <w:bookmarkEnd w:id="337"/>
    </w:p>
    <w:p w14:paraId="31353827">
      <w:pPr>
        <w:rPr>
          <w:rFonts w:hint="eastAsia"/>
          <w:color w:val="auto"/>
          <w:lang w:val="en-US" w:eastAsia="zh-CN"/>
        </w:rPr>
      </w:pPr>
      <w:r>
        <w:rPr>
          <w:rFonts w:hint="eastAsia"/>
          <w:color w:val="auto"/>
          <w:lang w:val="en-US" w:eastAsia="zh-CN"/>
        </w:rPr>
        <w:t>1. 通过预先危险性分析法评价，矿山供配电系统单元存在的危险有害因素主要有：触电、火灾等。其中触电、火灾危害等级均为Ⅲ级，应加以重视。采取合理的措施后，以上危险有害因素能控制在可接受范围内。</w:t>
      </w:r>
    </w:p>
    <w:p w14:paraId="709B53DA">
      <w:pPr>
        <w:rPr>
          <w:rFonts w:hint="default"/>
          <w:color w:val="auto"/>
          <w:lang w:val="en-US" w:eastAsia="zh-CN"/>
        </w:rPr>
      </w:pPr>
      <w:r>
        <w:rPr>
          <w:rFonts w:hint="eastAsia"/>
          <w:color w:val="auto"/>
          <w:lang w:val="en-US" w:eastAsia="zh-CN"/>
        </w:rPr>
        <w:t>2. 目前经江西华安检测技术有限公司检测，矿山供电系统、接地装置检测检验结论为合格，仍可继续沿用。</w:t>
      </w:r>
    </w:p>
    <w:p w14:paraId="49043197">
      <w:pPr>
        <w:bidi w:val="0"/>
        <w:rPr>
          <w:rFonts w:hint="eastAsia"/>
          <w:color w:val="auto"/>
          <w:lang w:val="en-US" w:eastAsia="zh-CN"/>
        </w:rPr>
      </w:pPr>
      <w:r>
        <w:rPr>
          <w:rFonts w:hint="eastAsia"/>
          <w:color w:val="auto"/>
          <w:lang w:val="en-US" w:eastAsia="zh-CN"/>
        </w:rPr>
        <w:t>3. 采用安全检查表法对矿山供配电系统单元检查11大项13小项，全部符合，矿山供配电系统单元符合《金属非金属矿山安全规程》（GB16423-2020）、《矿山电力设计标准》（GB50070-2020）的有关要求。</w:t>
      </w:r>
    </w:p>
    <w:p w14:paraId="73A700B0">
      <w:pPr>
        <w:pStyle w:val="3"/>
        <w:bidi w:val="0"/>
        <w:rPr>
          <w:rFonts w:hint="default"/>
          <w:color w:val="auto"/>
          <w:lang w:val="en-US" w:eastAsia="zh-CN"/>
        </w:rPr>
      </w:pPr>
      <w:bookmarkStart w:id="338" w:name="_Toc28859"/>
      <w:bookmarkStart w:id="339" w:name="_Toc16310"/>
      <w:bookmarkStart w:id="340" w:name="_Toc10580"/>
      <w:bookmarkStart w:id="341" w:name="_Toc25216"/>
      <w:r>
        <w:rPr>
          <w:rFonts w:hint="default"/>
          <w:color w:val="auto"/>
          <w:lang w:val="en-US" w:eastAsia="zh-CN"/>
        </w:rPr>
        <w:t>3.8 防排水与防灭火系统单元</w:t>
      </w:r>
      <w:bookmarkEnd w:id="338"/>
      <w:bookmarkEnd w:id="339"/>
      <w:bookmarkEnd w:id="340"/>
      <w:bookmarkEnd w:id="341"/>
    </w:p>
    <w:p w14:paraId="6553D212">
      <w:pPr>
        <w:pStyle w:val="4"/>
        <w:bidi w:val="0"/>
        <w:rPr>
          <w:rFonts w:hint="default"/>
          <w:color w:val="auto"/>
          <w:lang w:val="en-US" w:eastAsia="zh-CN"/>
        </w:rPr>
      </w:pPr>
      <w:bookmarkStart w:id="342" w:name="_Toc20614"/>
      <w:bookmarkStart w:id="343" w:name="_Toc19317"/>
      <w:bookmarkStart w:id="344" w:name="_Toc28837"/>
      <w:bookmarkStart w:id="345" w:name="_Toc599"/>
      <w:r>
        <w:rPr>
          <w:rFonts w:hint="default"/>
          <w:color w:val="auto"/>
          <w:lang w:val="en-US" w:eastAsia="zh-CN"/>
        </w:rPr>
        <w:t>3.8.1 防排水单元</w:t>
      </w:r>
      <w:bookmarkEnd w:id="342"/>
      <w:bookmarkEnd w:id="343"/>
      <w:bookmarkEnd w:id="344"/>
      <w:bookmarkEnd w:id="345"/>
    </w:p>
    <w:p w14:paraId="6DA02D88">
      <w:pPr>
        <w:rPr>
          <w:rFonts w:hint="default"/>
          <w:b/>
          <w:bCs/>
          <w:color w:val="auto"/>
          <w:lang w:val="en-US" w:eastAsia="zh-CN"/>
        </w:rPr>
      </w:pPr>
      <w:r>
        <w:rPr>
          <w:rFonts w:hint="default"/>
          <w:b/>
          <w:bCs/>
          <w:color w:val="auto"/>
          <w:lang w:val="en-US" w:eastAsia="zh-CN"/>
        </w:rPr>
        <w:t>3.8.1.1 预先危险性分析</w:t>
      </w:r>
    </w:p>
    <w:p w14:paraId="05FC750D">
      <w:pPr>
        <w:rPr>
          <w:rFonts w:hint="default"/>
          <w:color w:val="auto"/>
          <w:lang w:val="en-US" w:eastAsia="zh-CN"/>
        </w:rPr>
      </w:pPr>
      <w:r>
        <w:rPr>
          <w:rFonts w:hint="default"/>
          <w:color w:val="auto"/>
          <w:lang w:val="en-US" w:eastAsia="zh-CN"/>
        </w:rPr>
        <w:t>通过预先危险性分析法分析</w:t>
      </w:r>
      <w:r>
        <w:rPr>
          <w:rFonts w:hint="eastAsia"/>
          <w:color w:val="auto"/>
          <w:lang w:val="en-US" w:eastAsia="zh-CN"/>
        </w:rPr>
        <w:t>，</w:t>
      </w:r>
      <w:r>
        <w:rPr>
          <w:rFonts w:hint="default"/>
          <w:color w:val="auto"/>
          <w:lang w:val="en-US" w:eastAsia="zh-CN"/>
        </w:rPr>
        <w:t>防排水</w:t>
      </w:r>
      <w:r>
        <w:rPr>
          <w:rFonts w:hint="eastAsia"/>
          <w:color w:val="auto"/>
          <w:lang w:val="en-US" w:eastAsia="zh-CN"/>
        </w:rPr>
        <w:t>单元</w:t>
      </w:r>
      <w:r>
        <w:rPr>
          <w:rFonts w:hint="default"/>
          <w:color w:val="auto"/>
          <w:lang w:val="en-US" w:eastAsia="zh-CN"/>
        </w:rPr>
        <w:t>存在的危险有害因素主要有</w:t>
      </w:r>
      <w:r>
        <w:rPr>
          <w:rFonts w:hint="eastAsia"/>
          <w:color w:val="auto"/>
          <w:lang w:val="en-US" w:eastAsia="zh-CN"/>
        </w:rPr>
        <w:t>：</w:t>
      </w:r>
      <w:r>
        <w:rPr>
          <w:rFonts w:hint="default"/>
          <w:color w:val="auto"/>
          <w:lang w:val="en-US" w:eastAsia="zh-CN"/>
        </w:rPr>
        <w:t>透水、触电、淹溺、机械伤害、噪声与振动等，分析评价表见表</w:t>
      </w:r>
      <w:r>
        <w:rPr>
          <w:rFonts w:hint="eastAsia" w:ascii="Times New Roman" w:hAnsi="Times New Roman" w:eastAsia="宋体" w:cs="Times New Roman"/>
          <w:color w:val="auto"/>
          <w:lang w:val="en-US" w:eastAsia="zh-CN"/>
        </w:rPr>
        <w:t>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1</w:t>
      </w:r>
      <w:r>
        <w:rPr>
          <w:rFonts w:hint="default"/>
          <w:color w:val="auto"/>
          <w:lang w:val="en-US" w:eastAsia="zh-CN"/>
        </w:rPr>
        <w:t>。</w:t>
      </w:r>
    </w:p>
    <w:p w14:paraId="3D38BDA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1</w:t>
      </w:r>
      <w:r>
        <w:rPr>
          <w:rFonts w:hint="eastAsia" w:ascii="Times New Roman" w:hAnsi="Times New Roman" w:eastAsia="宋体" w:cs="Times New Roman"/>
          <w:color w:val="auto"/>
          <w:lang w:val="en-US" w:eastAsia="zh-CN"/>
        </w:rPr>
        <w:t xml:space="preserve"> 防排水单元预先危险性分析评价表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1447"/>
        <w:gridCol w:w="966"/>
        <w:gridCol w:w="747"/>
        <w:gridCol w:w="5370"/>
      </w:tblGrid>
      <w:tr w14:paraId="562C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05" w:type="pct"/>
            <w:vAlign w:val="center"/>
          </w:tcPr>
          <w:p w14:paraId="5F7A440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危险因素</w:t>
            </w:r>
          </w:p>
        </w:tc>
        <w:tc>
          <w:tcPr>
            <w:tcW w:w="779" w:type="pct"/>
            <w:vAlign w:val="center"/>
          </w:tcPr>
          <w:p w14:paraId="7DE4D1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原因</w:t>
            </w:r>
          </w:p>
        </w:tc>
        <w:tc>
          <w:tcPr>
            <w:tcW w:w="520" w:type="pct"/>
            <w:vAlign w:val="center"/>
          </w:tcPr>
          <w:p w14:paraId="0C3E04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后果</w:t>
            </w:r>
          </w:p>
        </w:tc>
        <w:tc>
          <w:tcPr>
            <w:tcW w:w="402" w:type="pct"/>
            <w:vAlign w:val="center"/>
          </w:tcPr>
          <w:p w14:paraId="091BA7C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危险等级</w:t>
            </w:r>
          </w:p>
        </w:tc>
        <w:tc>
          <w:tcPr>
            <w:tcW w:w="2891" w:type="pct"/>
            <w:vAlign w:val="center"/>
          </w:tcPr>
          <w:p w14:paraId="1307852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对策措施</w:t>
            </w:r>
          </w:p>
        </w:tc>
      </w:tr>
      <w:tr w14:paraId="50CEB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5" w:type="pct"/>
            <w:vAlign w:val="center"/>
          </w:tcPr>
          <w:p w14:paraId="30E712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透水</w:t>
            </w:r>
          </w:p>
        </w:tc>
        <w:tc>
          <w:tcPr>
            <w:tcW w:w="779" w:type="pct"/>
            <w:vAlign w:val="center"/>
          </w:tcPr>
          <w:p w14:paraId="429421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防、排水设备能力不够或未正常运转。</w:t>
            </w:r>
          </w:p>
        </w:tc>
        <w:tc>
          <w:tcPr>
            <w:tcW w:w="520" w:type="pct"/>
            <w:vAlign w:val="center"/>
          </w:tcPr>
          <w:p w14:paraId="6032CC3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r>
              <w:rPr>
                <w:rFonts w:hint="eastAsia" w:cs="Times New Roman"/>
                <w:snapToGrid w:val="0"/>
                <w:color w:val="auto"/>
                <w:spacing w:val="5"/>
                <w:kern w:val="0"/>
                <w:position w:val="4"/>
                <w:sz w:val="21"/>
                <w:szCs w:val="21"/>
                <w:lang w:val="en-US" w:eastAsia="zh-CN" w:bidi="ar-SA"/>
              </w:rPr>
              <w:t>、设备损坏</w:t>
            </w:r>
          </w:p>
        </w:tc>
        <w:tc>
          <w:tcPr>
            <w:tcW w:w="402" w:type="pct"/>
            <w:vAlign w:val="center"/>
          </w:tcPr>
          <w:p w14:paraId="18ADFC0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891" w:type="pct"/>
            <w:vAlign w:val="center"/>
          </w:tcPr>
          <w:p w14:paraId="6F17920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合理预测地下涌水量，对井下水仓、水泵、排水沟等进行合理设计;雨季加强防排水设施的维护，做好夏季防汛准备。</w:t>
            </w:r>
          </w:p>
        </w:tc>
      </w:tr>
      <w:tr w14:paraId="5ACFB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Align w:val="center"/>
          </w:tcPr>
          <w:p w14:paraId="7BDD51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触电</w:t>
            </w:r>
          </w:p>
        </w:tc>
        <w:tc>
          <w:tcPr>
            <w:tcW w:w="779" w:type="pct"/>
            <w:vAlign w:val="center"/>
          </w:tcPr>
          <w:p w14:paraId="6A5B8A3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水泵及输电线路漏电。</w:t>
            </w:r>
          </w:p>
        </w:tc>
        <w:tc>
          <w:tcPr>
            <w:tcW w:w="520" w:type="pct"/>
            <w:vAlign w:val="center"/>
          </w:tcPr>
          <w:p w14:paraId="7AB983F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402" w:type="pct"/>
            <w:vAlign w:val="center"/>
          </w:tcPr>
          <w:p w14:paraId="437A0F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2891" w:type="pct"/>
            <w:vAlign w:val="center"/>
          </w:tcPr>
          <w:p w14:paraId="6F82DF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水泵及其供电线路设防漏电等措施。</w:t>
            </w:r>
          </w:p>
        </w:tc>
      </w:tr>
      <w:tr w14:paraId="491BB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5" w:type="pct"/>
            <w:vAlign w:val="center"/>
          </w:tcPr>
          <w:p w14:paraId="7CF695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5"/>
                <w:kern w:val="0"/>
                <w:position w:val="4"/>
                <w:sz w:val="21"/>
                <w:szCs w:val="21"/>
                <w:lang w:val="en-US" w:eastAsia="zh-CN" w:bidi="ar-SA"/>
              </w:rPr>
            </w:pPr>
            <w:r>
              <w:rPr>
                <w:rFonts w:hint="default" w:cs="Times New Roman"/>
                <w:snapToGrid w:val="0"/>
                <w:color w:val="auto"/>
                <w:spacing w:val="5"/>
                <w:kern w:val="0"/>
                <w:position w:val="4"/>
                <w:sz w:val="21"/>
                <w:szCs w:val="21"/>
                <w:lang w:val="en-US" w:eastAsia="zh-CN" w:bidi="ar-SA"/>
              </w:rPr>
              <w:t>淹溺</w:t>
            </w:r>
          </w:p>
        </w:tc>
        <w:tc>
          <w:tcPr>
            <w:tcW w:w="779" w:type="pct"/>
            <w:vAlign w:val="center"/>
          </w:tcPr>
          <w:p w14:paraId="2F2B23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人员坠入水池、水仓。</w:t>
            </w:r>
          </w:p>
        </w:tc>
        <w:tc>
          <w:tcPr>
            <w:tcW w:w="520" w:type="pct"/>
            <w:vAlign w:val="center"/>
          </w:tcPr>
          <w:p w14:paraId="29A6D2B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402" w:type="pct"/>
            <w:vAlign w:val="center"/>
          </w:tcPr>
          <w:p w14:paraId="2781D5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2891" w:type="pct"/>
            <w:vAlign w:val="center"/>
          </w:tcPr>
          <w:p w14:paraId="4D61D6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水池、水仓封闭或设置防护栏;在危险部位设置安全警示标志。</w:t>
            </w:r>
          </w:p>
        </w:tc>
      </w:tr>
      <w:tr w14:paraId="3C8BC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5" w:type="pct"/>
            <w:vAlign w:val="center"/>
          </w:tcPr>
          <w:p w14:paraId="35F002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5"/>
                <w:kern w:val="0"/>
                <w:position w:val="4"/>
                <w:sz w:val="21"/>
                <w:szCs w:val="21"/>
                <w:lang w:val="en-US" w:eastAsia="zh-CN" w:bidi="ar-SA"/>
              </w:rPr>
            </w:pPr>
            <w:r>
              <w:rPr>
                <w:rFonts w:hint="default" w:cs="Times New Roman"/>
                <w:snapToGrid w:val="0"/>
                <w:color w:val="auto"/>
                <w:spacing w:val="5"/>
                <w:kern w:val="0"/>
                <w:position w:val="4"/>
                <w:sz w:val="21"/>
                <w:szCs w:val="21"/>
                <w:lang w:val="en-US" w:eastAsia="zh-CN" w:bidi="ar-SA"/>
              </w:rPr>
              <w:t>机械伤害</w:t>
            </w:r>
          </w:p>
        </w:tc>
        <w:tc>
          <w:tcPr>
            <w:tcW w:w="779" w:type="pct"/>
            <w:vAlign w:val="center"/>
          </w:tcPr>
          <w:p w14:paraId="5B8AE0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水泵等工作过程中对人员造成伤害</w:t>
            </w:r>
          </w:p>
        </w:tc>
        <w:tc>
          <w:tcPr>
            <w:tcW w:w="520" w:type="pct"/>
            <w:vAlign w:val="center"/>
          </w:tcPr>
          <w:p w14:paraId="5D1863B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402" w:type="pct"/>
            <w:vAlign w:val="center"/>
          </w:tcPr>
          <w:p w14:paraId="014DEE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2891" w:type="pct"/>
            <w:vAlign w:val="center"/>
          </w:tcPr>
          <w:p w14:paraId="5B60CFC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水泵危险部位设置防护罩或防护栏等、设置警示标志。</w:t>
            </w:r>
          </w:p>
        </w:tc>
      </w:tr>
      <w:tr w14:paraId="774A3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5" w:type="pct"/>
            <w:vAlign w:val="center"/>
          </w:tcPr>
          <w:p w14:paraId="18C037A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5"/>
                <w:kern w:val="0"/>
                <w:position w:val="4"/>
                <w:sz w:val="21"/>
                <w:szCs w:val="21"/>
                <w:lang w:val="en-US" w:eastAsia="zh-CN" w:bidi="ar-SA"/>
              </w:rPr>
            </w:pPr>
            <w:r>
              <w:rPr>
                <w:rFonts w:hint="default" w:cs="Times New Roman"/>
                <w:snapToGrid w:val="0"/>
                <w:color w:val="auto"/>
                <w:spacing w:val="5"/>
                <w:kern w:val="0"/>
                <w:position w:val="4"/>
                <w:sz w:val="21"/>
                <w:szCs w:val="21"/>
                <w:lang w:val="en-US" w:eastAsia="zh-CN" w:bidi="ar-SA"/>
              </w:rPr>
              <w:t>噪声与振动</w:t>
            </w:r>
          </w:p>
        </w:tc>
        <w:tc>
          <w:tcPr>
            <w:tcW w:w="779" w:type="pct"/>
            <w:vAlign w:val="center"/>
          </w:tcPr>
          <w:p w14:paraId="4CBC69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水泵运转产生噪声与振动。</w:t>
            </w:r>
          </w:p>
        </w:tc>
        <w:tc>
          <w:tcPr>
            <w:tcW w:w="520" w:type="pct"/>
            <w:vAlign w:val="center"/>
          </w:tcPr>
          <w:p w14:paraId="0F1BD57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职业</w:t>
            </w:r>
          </w:p>
          <w:p w14:paraId="2D690E3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宋体" w:hAnsi="宋体" w:eastAsia="宋体" w:cs="宋体"/>
                <w:b w:val="0"/>
                <w:bCs/>
                <w:color w:val="auto"/>
                <w:sz w:val="21"/>
                <w:szCs w:val="21"/>
              </w:rPr>
              <w:t>危害</w:t>
            </w:r>
          </w:p>
        </w:tc>
        <w:tc>
          <w:tcPr>
            <w:tcW w:w="402" w:type="pct"/>
            <w:vAlign w:val="center"/>
          </w:tcPr>
          <w:p w14:paraId="7B6902A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Ⅱ</w:t>
            </w:r>
          </w:p>
        </w:tc>
        <w:tc>
          <w:tcPr>
            <w:tcW w:w="2891" w:type="pct"/>
            <w:vAlign w:val="center"/>
          </w:tcPr>
          <w:p w14:paraId="60F2E17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1.</w:t>
            </w:r>
            <w:r>
              <w:rPr>
                <w:rFonts w:hint="eastAsia" w:ascii="Times New Roman" w:hAnsi="Times New Roman" w:eastAsia="宋体" w:cs="Times New Roman"/>
                <w:snapToGrid w:val="0"/>
                <w:color w:val="auto"/>
                <w:spacing w:val="5"/>
                <w:kern w:val="0"/>
                <w:position w:val="4"/>
                <w:sz w:val="21"/>
                <w:szCs w:val="21"/>
                <w:lang w:val="en-US" w:bidi="ar-SA"/>
              </w:rPr>
              <w:t>作业人员采取防护措施。</w:t>
            </w:r>
          </w:p>
          <w:p w14:paraId="10D2A75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2.</w:t>
            </w:r>
            <w:r>
              <w:rPr>
                <w:rFonts w:hint="eastAsia" w:ascii="Times New Roman" w:hAnsi="Times New Roman" w:eastAsia="宋体" w:cs="Times New Roman"/>
                <w:snapToGrid w:val="0"/>
                <w:color w:val="auto"/>
                <w:spacing w:val="5"/>
                <w:kern w:val="0"/>
                <w:position w:val="4"/>
                <w:sz w:val="21"/>
                <w:szCs w:val="21"/>
                <w:lang w:val="en-US" w:bidi="ar-SA"/>
              </w:rPr>
              <w:t>采用加减振垫或设隔音间等减振、降噪措施。</w:t>
            </w:r>
          </w:p>
          <w:p w14:paraId="3B2C2A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缩短作业时间。</w:t>
            </w:r>
          </w:p>
        </w:tc>
      </w:tr>
    </w:tbl>
    <w:p w14:paraId="3D01129C">
      <w:pPr>
        <w:bidi w:val="0"/>
        <w:rPr>
          <w:rFonts w:hint="default"/>
          <w:color w:val="auto"/>
          <w:lang w:val="en-US" w:eastAsia="zh-CN"/>
        </w:rPr>
      </w:pPr>
      <w:r>
        <w:rPr>
          <w:rFonts w:hint="default"/>
          <w:color w:val="auto"/>
          <w:lang w:val="en-US" w:eastAsia="zh-CN"/>
        </w:rPr>
        <w:t>通过预先危险性分析法分析，防排水</w:t>
      </w:r>
      <w:r>
        <w:rPr>
          <w:rFonts w:hint="eastAsia"/>
          <w:color w:val="auto"/>
          <w:lang w:val="en-US" w:eastAsia="zh-CN"/>
        </w:rPr>
        <w:t>单元</w:t>
      </w:r>
      <w:r>
        <w:rPr>
          <w:rFonts w:hint="default"/>
          <w:color w:val="auto"/>
          <w:lang w:val="en-US" w:eastAsia="zh-CN"/>
        </w:rPr>
        <w:t>存在的危险有害因素主要有</w:t>
      </w:r>
      <w:r>
        <w:rPr>
          <w:rFonts w:hint="eastAsia"/>
          <w:color w:val="auto"/>
          <w:lang w:val="en-US" w:eastAsia="zh-CN"/>
        </w:rPr>
        <w:t>：</w:t>
      </w:r>
      <w:r>
        <w:rPr>
          <w:rFonts w:hint="default"/>
          <w:color w:val="auto"/>
          <w:lang w:val="en-US" w:eastAsia="zh-CN"/>
        </w:rPr>
        <w:t>透水、触电、淹溺、机械伤害、噪声与振动等。其中透水、触电、淹溺等危害等级均为</w:t>
      </w:r>
      <w:r>
        <w:rPr>
          <w:rFonts w:hint="eastAsia"/>
          <w:color w:val="auto"/>
          <w:lang w:val="en-US" w:eastAsia="zh-CN"/>
        </w:rPr>
        <w:t>Ⅲ</w:t>
      </w:r>
      <w:r>
        <w:rPr>
          <w:rFonts w:hint="default"/>
          <w:color w:val="auto"/>
          <w:lang w:val="en-US" w:eastAsia="zh-CN"/>
        </w:rPr>
        <w:t>级，应加以重视</w:t>
      </w:r>
      <w:r>
        <w:rPr>
          <w:rFonts w:hint="eastAsia"/>
          <w:color w:val="auto"/>
          <w:lang w:val="en-US" w:eastAsia="zh-CN"/>
        </w:rPr>
        <w:t>；</w:t>
      </w:r>
      <w:r>
        <w:rPr>
          <w:rFonts w:hint="default"/>
          <w:color w:val="auto"/>
          <w:lang w:val="en-US" w:eastAsia="zh-CN"/>
        </w:rPr>
        <w:t>机械伤害、噪声与振动危害等级为</w:t>
      </w:r>
      <w:r>
        <w:rPr>
          <w:rFonts w:hint="eastAsia" w:ascii="宋体" w:hAnsi="宋体" w:eastAsia="宋体" w:cs="宋体"/>
          <w:snapToGrid w:val="0"/>
          <w:color w:val="auto"/>
          <w:kern w:val="0"/>
          <w:sz w:val="28"/>
          <w:szCs w:val="28"/>
        </w:rPr>
        <w:t>Ⅱ</w:t>
      </w:r>
      <w:r>
        <w:rPr>
          <w:rFonts w:hint="default"/>
          <w:color w:val="auto"/>
          <w:lang w:val="en-US" w:eastAsia="zh-CN"/>
        </w:rPr>
        <w:t>级，也应加以注意。采取合理的措施后，以上危险有害因素能控制在可接受范围内。</w:t>
      </w:r>
    </w:p>
    <w:p w14:paraId="28FA8790">
      <w:pPr>
        <w:bidi w:val="0"/>
        <w:rPr>
          <w:rFonts w:hint="default"/>
          <w:b/>
          <w:bCs/>
          <w:color w:val="auto"/>
          <w:lang w:val="en-US" w:eastAsia="zh-CN"/>
        </w:rPr>
      </w:pPr>
      <w:r>
        <w:rPr>
          <w:rFonts w:hint="default"/>
          <w:b/>
          <w:bCs/>
          <w:color w:val="auto"/>
          <w:lang w:val="en-US" w:eastAsia="zh-CN"/>
        </w:rPr>
        <w:t>3.8.1.2 安全检查表法</w:t>
      </w:r>
    </w:p>
    <w:p w14:paraId="7A1D8251">
      <w:pPr>
        <w:bidi w:val="0"/>
        <w:rPr>
          <w:rFonts w:hint="eastAsia"/>
          <w:color w:val="auto"/>
          <w:lang w:val="en-US" w:eastAsia="zh-CN"/>
        </w:rPr>
      </w:pPr>
      <w:r>
        <w:rPr>
          <w:rFonts w:hint="default"/>
          <w:color w:val="auto"/>
          <w:lang w:val="en-US" w:eastAsia="zh-CN"/>
        </w:rPr>
        <w:t>根据矿山所处的环境和工程地质条件，按照《金属非金属矿山安全规程》</w:t>
      </w:r>
      <w:r>
        <w:rPr>
          <w:rFonts w:hint="eastAsia"/>
          <w:color w:val="auto"/>
          <w:lang w:val="en-US" w:eastAsia="zh-CN"/>
        </w:rPr>
        <w:t>（</w:t>
      </w:r>
      <w:r>
        <w:rPr>
          <w:rFonts w:hint="default"/>
          <w:color w:val="auto"/>
          <w:lang w:val="en-US" w:eastAsia="zh-CN"/>
        </w:rPr>
        <w:t>GB16423-2020</w:t>
      </w:r>
      <w:r>
        <w:rPr>
          <w:rFonts w:hint="eastAsia"/>
          <w:color w:val="auto"/>
          <w:lang w:val="en-US" w:eastAsia="zh-CN"/>
        </w:rPr>
        <w:t>）</w:t>
      </w:r>
      <w:r>
        <w:rPr>
          <w:rFonts w:hint="default"/>
          <w:color w:val="auto"/>
          <w:lang w:val="en-US" w:eastAsia="zh-CN"/>
        </w:rPr>
        <w:t>的要求，通过安全检查表法对防排水设施进行评价，具体评价见表</w:t>
      </w:r>
      <w:r>
        <w:rPr>
          <w:rFonts w:hint="eastAsia" w:ascii="Times New Roman" w:hAnsi="Times New Roman" w:eastAsia="宋体" w:cs="Times New Roman"/>
          <w:color w:val="auto"/>
          <w:lang w:val="en-US" w:eastAsia="zh-CN"/>
        </w:rPr>
        <w:t>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2</w:t>
      </w:r>
      <w:r>
        <w:rPr>
          <w:rFonts w:hint="eastAsia"/>
          <w:color w:val="auto"/>
          <w:lang w:val="en-US" w:eastAsia="zh-CN"/>
        </w:rPr>
        <w:t>。</w:t>
      </w:r>
    </w:p>
    <w:p w14:paraId="45D5F25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default"/>
          <w:color w:val="auto"/>
          <w:lang w:val="en-US" w:eastAsia="zh-CN"/>
        </w:rPr>
        <w:t>表</w:t>
      </w:r>
      <w:r>
        <w:rPr>
          <w:rFonts w:hint="eastAsia" w:ascii="Times New Roman" w:hAnsi="Times New Roman" w:eastAsia="宋体" w:cs="Times New Roman"/>
          <w:color w:val="auto"/>
          <w:lang w:val="en-US" w:eastAsia="zh-CN"/>
        </w:rPr>
        <w:t>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2</w:t>
      </w:r>
      <w:r>
        <w:rPr>
          <w:rFonts w:hint="eastAsia"/>
          <w:color w:val="auto"/>
          <w:lang w:val="en-US" w:eastAsia="zh-CN"/>
        </w:rPr>
        <w:t xml:space="preserve"> </w:t>
      </w:r>
      <w:r>
        <w:rPr>
          <w:rFonts w:hint="default"/>
          <w:color w:val="auto"/>
          <w:lang w:val="en-US" w:eastAsia="zh-CN"/>
        </w:rPr>
        <w:t>防排水单元安全检查表</w:t>
      </w:r>
    </w:p>
    <w:tbl>
      <w:tblPr>
        <w:tblStyle w:val="17"/>
        <w:tblW w:w="511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947"/>
        <w:gridCol w:w="3224"/>
        <w:gridCol w:w="1543"/>
        <w:gridCol w:w="2645"/>
        <w:gridCol w:w="588"/>
      </w:tblGrid>
      <w:tr w14:paraId="5D4D5B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185" w:type="pct"/>
            <w:tcBorders>
              <w:left w:val="single" w:color="000000" w:sz="2" w:space="0"/>
              <w:right w:val="single" w:color="000000" w:sz="2" w:space="0"/>
            </w:tcBorders>
            <w:vAlign w:val="center"/>
          </w:tcPr>
          <w:p w14:paraId="33528A3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509" w:type="pct"/>
            <w:tcBorders>
              <w:left w:val="single" w:color="000000" w:sz="2" w:space="0"/>
              <w:right w:val="single" w:color="000000" w:sz="2" w:space="0"/>
            </w:tcBorders>
            <w:vAlign w:val="center"/>
          </w:tcPr>
          <w:p w14:paraId="6D31DA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735" w:type="pct"/>
            <w:tcBorders>
              <w:left w:val="single" w:color="000000" w:sz="2" w:space="0"/>
              <w:right w:val="single" w:color="000000" w:sz="2" w:space="0"/>
            </w:tcBorders>
            <w:vAlign w:val="center"/>
          </w:tcPr>
          <w:p w14:paraId="36638E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830" w:type="pct"/>
            <w:tcBorders>
              <w:left w:val="single" w:color="000000" w:sz="2" w:space="0"/>
              <w:right w:val="single" w:color="000000" w:sz="2" w:space="0"/>
            </w:tcBorders>
            <w:vAlign w:val="center"/>
          </w:tcPr>
          <w:p w14:paraId="71EF37E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423" w:type="pct"/>
            <w:tcBorders>
              <w:left w:val="single" w:color="000000" w:sz="2" w:space="0"/>
              <w:right w:val="single" w:color="000000" w:sz="2" w:space="0"/>
            </w:tcBorders>
            <w:vAlign w:val="center"/>
          </w:tcPr>
          <w:p w14:paraId="4959EC1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16" w:type="pct"/>
            <w:tcBorders>
              <w:left w:val="single" w:color="000000" w:sz="2" w:space="0"/>
              <w:right w:val="single" w:color="000000" w:sz="2" w:space="0"/>
            </w:tcBorders>
            <w:vAlign w:val="center"/>
          </w:tcPr>
          <w:p w14:paraId="543522C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5C28AB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5" w:type="pct"/>
            <w:tcBorders>
              <w:top w:val="single" w:color="000000" w:sz="2" w:space="0"/>
              <w:left w:val="single" w:color="000000" w:sz="2" w:space="0"/>
              <w:bottom w:val="single" w:color="000000" w:sz="2" w:space="0"/>
              <w:right w:val="single" w:color="000000" w:sz="2" w:space="0"/>
            </w:tcBorders>
            <w:vAlign w:val="center"/>
          </w:tcPr>
          <w:p w14:paraId="61562FA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509" w:type="pct"/>
            <w:tcBorders>
              <w:top w:val="single" w:color="000000" w:sz="2" w:space="0"/>
              <w:left w:val="single" w:color="000000" w:sz="2" w:space="0"/>
              <w:bottom w:val="single" w:color="000000" w:sz="2" w:space="0"/>
              <w:right w:val="single" w:color="000000" w:sz="2" w:space="0"/>
            </w:tcBorders>
            <w:vAlign w:val="center"/>
          </w:tcPr>
          <w:p w14:paraId="2582007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宋体" w:hAnsi="宋体" w:eastAsia="宋体" w:cs="Times New Roman"/>
                <w:color w:val="auto"/>
                <w:sz w:val="21"/>
                <w:szCs w:val="21"/>
              </w:rPr>
              <w:t>地面防水</w:t>
            </w:r>
          </w:p>
        </w:tc>
        <w:tc>
          <w:tcPr>
            <w:tcW w:w="1735" w:type="pct"/>
            <w:tcBorders>
              <w:top w:val="single" w:color="000000" w:sz="2" w:space="0"/>
              <w:left w:val="single" w:color="000000" w:sz="2" w:space="0"/>
              <w:bottom w:val="single" w:color="000000" w:sz="2" w:space="0"/>
              <w:right w:val="single" w:color="000000" w:sz="2" w:space="0"/>
            </w:tcBorders>
            <w:vAlign w:val="center"/>
          </w:tcPr>
          <w:p w14:paraId="1E8402A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矿区及其附近的地表水或大气降水有可能危及井下安全时,应根据具体情况采取设防洪堤、截水沟、封闭溶洞或报废的矿井和钻孔、留设防水矿柱等防范措施。</w:t>
            </w:r>
          </w:p>
        </w:tc>
        <w:tc>
          <w:tcPr>
            <w:tcW w:w="830" w:type="pct"/>
            <w:tcBorders>
              <w:top w:val="single" w:color="000000" w:sz="2" w:space="0"/>
              <w:left w:val="single" w:color="000000" w:sz="2" w:space="0"/>
              <w:bottom w:val="single" w:color="000000" w:sz="2" w:space="0"/>
              <w:right w:val="single" w:color="000000" w:sz="2" w:space="0"/>
            </w:tcBorders>
            <w:vAlign w:val="center"/>
          </w:tcPr>
          <w:p w14:paraId="35B7A3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第6.8.2.5条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A0018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场地雨水通过排水明沟就近排出场外。</w:t>
            </w:r>
          </w:p>
        </w:tc>
        <w:tc>
          <w:tcPr>
            <w:tcW w:w="316" w:type="pct"/>
            <w:tcBorders>
              <w:top w:val="single" w:color="000000" w:sz="2" w:space="0"/>
              <w:left w:val="single" w:color="000000" w:sz="2" w:space="0"/>
              <w:bottom w:val="single" w:color="000000" w:sz="2" w:space="0"/>
              <w:right w:val="single" w:color="000000" w:sz="2" w:space="0"/>
            </w:tcBorders>
            <w:vAlign w:val="center"/>
          </w:tcPr>
          <w:p w14:paraId="34B024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AAD26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5" w:type="pct"/>
            <w:vMerge w:val="restart"/>
            <w:tcBorders>
              <w:top w:val="single" w:color="000000" w:sz="2" w:space="0"/>
              <w:left w:val="single" w:color="000000" w:sz="2" w:space="0"/>
              <w:right w:val="single" w:color="000000" w:sz="2" w:space="0"/>
            </w:tcBorders>
            <w:vAlign w:val="center"/>
          </w:tcPr>
          <w:p w14:paraId="060860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2</w:t>
            </w:r>
          </w:p>
        </w:tc>
        <w:tc>
          <w:tcPr>
            <w:tcW w:w="509" w:type="pct"/>
            <w:vMerge w:val="restart"/>
            <w:tcBorders>
              <w:top w:val="single" w:color="000000" w:sz="2" w:space="0"/>
              <w:left w:val="single" w:color="000000" w:sz="2" w:space="0"/>
              <w:right w:val="single" w:color="000000" w:sz="2" w:space="0"/>
            </w:tcBorders>
            <w:vAlign w:val="center"/>
          </w:tcPr>
          <w:p w14:paraId="212A4C0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井下排水</w:t>
            </w:r>
          </w:p>
          <w:p w14:paraId="69BBF7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系统及排</w:t>
            </w:r>
          </w:p>
          <w:p w14:paraId="385387C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水能力</w:t>
            </w:r>
          </w:p>
        </w:tc>
        <w:tc>
          <w:tcPr>
            <w:tcW w:w="1735" w:type="pct"/>
            <w:tcBorders>
              <w:top w:val="single" w:color="000000" w:sz="2" w:space="0"/>
              <w:left w:val="single" w:color="000000" w:sz="2" w:space="0"/>
              <w:bottom w:val="single" w:color="000000" w:sz="2" w:space="0"/>
              <w:right w:val="single" w:color="000000" w:sz="2" w:space="0"/>
            </w:tcBorders>
            <w:vAlign w:val="center"/>
          </w:tcPr>
          <w:p w14:paraId="79DED7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主要水仓应由两个独立的巷道系统组成。最低中段水仓总容积应能容纳4h的正常涌水量;正常涌水量超过2000m</w:t>
            </w:r>
            <w:r>
              <w:rPr>
                <w:rFonts w:hint="eastAsia" w:cs="Times New Roman"/>
                <w:snapToGrid w:val="0"/>
                <w:color w:val="auto"/>
                <w:spacing w:val="6"/>
                <w:kern w:val="0"/>
                <w:sz w:val="21"/>
                <w:szCs w:val="21"/>
                <w:vertAlign w:val="superscript"/>
                <w:lang w:val="en-US" w:eastAsia="zh-CN" w:bidi="ar-SA"/>
              </w:rPr>
              <w:t>3</w:t>
            </w:r>
            <w:r>
              <w:rPr>
                <w:rFonts w:hint="eastAsia" w:ascii="Times New Roman" w:hAnsi="Times New Roman" w:eastAsia="宋体" w:cs="Times New Roman"/>
                <w:snapToGrid w:val="0"/>
                <w:color w:val="auto"/>
                <w:spacing w:val="6"/>
                <w:kern w:val="0"/>
                <w:sz w:val="21"/>
                <w:szCs w:val="21"/>
                <w:lang w:val="en-US" w:bidi="ar-SA"/>
              </w:rPr>
              <w:t>/h时,应能容纳2h的正常涌水量,且不小于8000m</w:t>
            </w:r>
            <w:r>
              <w:rPr>
                <w:rFonts w:hint="eastAsia" w:cs="Times New Roman"/>
                <w:snapToGrid w:val="0"/>
                <w:color w:val="auto"/>
                <w:spacing w:val="6"/>
                <w:kern w:val="0"/>
                <w:sz w:val="21"/>
                <w:szCs w:val="21"/>
                <w:vertAlign w:val="superscript"/>
                <w:lang w:val="en-US" w:eastAsia="zh-CN" w:bidi="ar-SA"/>
              </w:rPr>
              <w:t>3</w:t>
            </w:r>
            <w:r>
              <w:rPr>
                <w:rFonts w:hint="eastAsia" w:ascii="Times New Roman" w:hAnsi="Times New Roman" w:eastAsia="宋体" w:cs="Times New Roman"/>
                <w:snapToGrid w:val="0"/>
                <w:color w:val="auto"/>
                <w:spacing w:val="6"/>
                <w:kern w:val="0"/>
                <w:sz w:val="21"/>
                <w:szCs w:val="21"/>
                <w:lang w:val="en-US" w:bidi="ar-SA"/>
              </w:rPr>
              <w:t>。应及时清理水仓中的淤泥,水仓有效容积不小于总容积的70%。</w:t>
            </w:r>
          </w:p>
        </w:tc>
        <w:tc>
          <w:tcPr>
            <w:tcW w:w="830" w:type="pct"/>
            <w:tcBorders>
              <w:top w:val="single" w:color="000000" w:sz="2" w:space="0"/>
              <w:left w:val="single" w:color="000000" w:sz="2" w:space="0"/>
              <w:bottom w:val="single" w:color="000000" w:sz="2" w:space="0"/>
              <w:right w:val="single" w:color="000000" w:sz="2" w:space="0"/>
            </w:tcBorders>
            <w:vAlign w:val="center"/>
          </w:tcPr>
          <w:p w14:paraId="2FB5A01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第6.8.4.1条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1100A84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井下正常涌水量为161.25m</w:t>
            </w:r>
            <w:r>
              <w:rPr>
                <w:rFonts w:hint="default" w:ascii="Times New Roman" w:hAnsi="Times New Roman" w:eastAsia="宋体" w:cs="Times New Roman"/>
                <w:snapToGrid w:val="0"/>
                <w:color w:val="auto"/>
                <w:spacing w:val="26"/>
                <w:kern w:val="0"/>
                <w:sz w:val="21"/>
                <w:szCs w:val="21"/>
                <w:vertAlign w:val="superscript"/>
                <w:lang w:val="en-US" w:eastAsia="zh-CN" w:bidi="ar-SA"/>
              </w:rPr>
              <w:t>3</w:t>
            </w:r>
            <w:r>
              <w:rPr>
                <w:rFonts w:hint="default" w:ascii="Times New Roman" w:hAnsi="Times New Roman" w:eastAsia="宋体" w:cs="Times New Roman"/>
                <w:snapToGrid w:val="0"/>
                <w:color w:val="auto"/>
                <w:spacing w:val="26"/>
                <w:kern w:val="0"/>
                <w:sz w:val="21"/>
                <w:szCs w:val="21"/>
                <w:lang w:val="en-US" w:eastAsia="zh-CN" w:bidi="ar-SA"/>
              </w:rPr>
              <w:t>/h，最大涌水量为211m</w:t>
            </w:r>
            <w:r>
              <w:rPr>
                <w:rFonts w:hint="default" w:ascii="Times New Roman" w:hAnsi="Times New Roman" w:eastAsia="宋体" w:cs="Times New Roman"/>
                <w:snapToGrid w:val="0"/>
                <w:color w:val="auto"/>
                <w:spacing w:val="26"/>
                <w:kern w:val="0"/>
                <w:sz w:val="21"/>
                <w:szCs w:val="21"/>
                <w:vertAlign w:val="superscript"/>
                <w:lang w:val="en-US" w:eastAsia="zh-CN" w:bidi="ar-SA"/>
              </w:rPr>
              <w:t>3</w:t>
            </w:r>
            <w:r>
              <w:rPr>
                <w:rFonts w:hint="default" w:ascii="Times New Roman" w:hAnsi="Times New Roman" w:eastAsia="宋体" w:cs="Times New Roman"/>
                <w:snapToGrid w:val="0"/>
                <w:color w:val="auto"/>
                <w:spacing w:val="26"/>
                <w:kern w:val="0"/>
                <w:sz w:val="21"/>
                <w:szCs w:val="21"/>
                <w:lang w:val="en-US" w:eastAsia="zh-CN" w:bidi="ar-SA"/>
              </w:rPr>
              <w:t>/h。矿山主水仓设在</w:t>
            </w:r>
            <w:r>
              <w:rPr>
                <w:rFonts w:hint="eastAsia" w:cs="Times New Roman"/>
                <w:snapToGrid w:val="0"/>
                <w:color w:val="auto"/>
                <w:spacing w:val="26"/>
                <w:kern w:val="0"/>
                <w:sz w:val="21"/>
                <w:szCs w:val="21"/>
                <w:lang w:val="en-US" w:eastAsia="zh-CN" w:bidi="ar-SA"/>
              </w:rPr>
              <w:t>副斜井</w:t>
            </w:r>
            <w:r>
              <w:rPr>
                <w:rFonts w:hint="default" w:ascii="Times New Roman" w:hAnsi="Times New Roman" w:eastAsia="宋体" w:cs="Times New Roman"/>
                <w:snapToGrid w:val="0"/>
                <w:color w:val="auto"/>
                <w:spacing w:val="26"/>
                <w:kern w:val="0"/>
                <w:sz w:val="21"/>
                <w:szCs w:val="21"/>
                <w:lang w:val="en-US" w:eastAsia="zh-CN" w:bidi="ar-SA"/>
              </w:rPr>
              <w:t>底部+100m井底车场附近，由内、外两条水仓组成，按正常涌水量8h计算，+100m中段水仓容积应为1290m</w:t>
            </w:r>
            <w:r>
              <w:rPr>
                <w:rFonts w:hint="default" w:ascii="Times New Roman" w:hAnsi="Times New Roman" w:eastAsia="宋体" w:cs="Times New Roman"/>
                <w:snapToGrid w:val="0"/>
                <w:color w:val="auto"/>
                <w:spacing w:val="26"/>
                <w:kern w:val="0"/>
                <w:sz w:val="21"/>
                <w:szCs w:val="21"/>
                <w:vertAlign w:val="superscript"/>
                <w:lang w:val="en-US" w:eastAsia="zh-CN" w:bidi="ar-SA"/>
              </w:rPr>
              <w:t>3</w:t>
            </w:r>
            <w:r>
              <w:rPr>
                <w:rFonts w:hint="default" w:ascii="Times New Roman" w:hAnsi="Times New Roman" w:eastAsia="宋体" w:cs="Times New Roman"/>
                <w:snapToGrid w:val="0"/>
                <w:color w:val="auto"/>
                <w:spacing w:val="26"/>
                <w:kern w:val="0"/>
                <w:sz w:val="21"/>
                <w:szCs w:val="21"/>
                <w:lang w:val="en-US" w:eastAsia="zh-CN" w:bidi="ar-SA"/>
              </w:rPr>
              <w:t>，矿山现有水仓容积2000m</w:t>
            </w:r>
            <w:r>
              <w:rPr>
                <w:rFonts w:hint="default" w:ascii="Times New Roman" w:hAnsi="Times New Roman" w:eastAsia="宋体" w:cs="Times New Roman"/>
                <w:snapToGrid w:val="0"/>
                <w:color w:val="auto"/>
                <w:spacing w:val="26"/>
                <w:kern w:val="0"/>
                <w:sz w:val="21"/>
                <w:szCs w:val="21"/>
                <w:vertAlign w:val="superscript"/>
                <w:lang w:val="en-US" w:eastAsia="zh-CN" w:bidi="ar-SA"/>
              </w:rPr>
              <w:t>3</w:t>
            </w:r>
            <w:r>
              <w:rPr>
                <w:rFonts w:hint="default" w:ascii="Times New Roman" w:hAnsi="Times New Roman" w:eastAsia="宋体" w:cs="Times New Roman"/>
                <w:snapToGrid w:val="0"/>
                <w:color w:val="auto"/>
                <w:spacing w:val="26"/>
                <w:kern w:val="0"/>
                <w:sz w:val="21"/>
                <w:szCs w:val="21"/>
                <w:lang w:val="en-US" w:eastAsia="zh-CN" w:bidi="ar-SA"/>
              </w:rPr>
              <w:t>，满足设计要求。</w:t>
            </w:r>
          </w:p>
        </w:tc>
        <w:tc>
          <w:tcPr>
            <w:tcW w:w="316" w:type="pct"/>
            <w:tcBorders>
              <w:top w:val="single" w:color="000000" w:sz="2" w:space="0"/>
              <w:left w:val="single" w:color="000000" w:sz="2" w:space="0"/>
              <w:bottom w:val="single" w:color="000000" w:sz="2" w:space="0"/>
              <w:right w:val="single" w:color="000000" w:sz="2" w:space="0"/>
            </w:tcBorders>
            <w:vAlign w:val="center"/>
          </w:tcPr>
          <w:p w14:paraId="5996A1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B6D5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5" w:type="pct"/>
            <w:vMerge w:val="continue"/>
            <w:tcBorders>
              <w:left w:val="single" w:color="000000" w:sz="2" w:space="0"/>
              <w:right w:val="single" w:color="000000" w:sz="2" w:space="0"/>
            </w:tcBorders>
            <w:vAlign w:val="center"/>
          </w:tcPr>
          <w:p w14:paraId="25BB168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9" w:type="pct"/>
            <w:vMerge w:val="continue"/>
            <w:tcBorders>
              <w:left w:val="single" w:color="000000" w:sz="2" w:space="0"/>
              <w:right w:val="single" w:color="000000" w:sz="2" w:space="0"/>
            </w:tcBorders>
            <w:vAlign w:val="center"/>
          </w:tcPr>
          <w:p w14:paraId="3E1A9BE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3852326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井下最低中段的主水泵房出口不少于两个;一个通往中段巷道并装设防水门;另一个在水泵房地面7m以上与安全出口连通，或者直接通达上一水平。水泵房地面应至少高出水泵房入口处巷道底板0.5m;潜没式泵房应设两个通往中段巷道的出口</w:t>
            </w:r>
            <w:r>
              <w:rPr>
                <w:rFonts w:hint="eastAsia" w:cs="Times New Roman"/>
                <w:snapToGrid w:val="0"/>
                <w:color w:val="auto"/>
                <w:spacing w:val="6"/>
                <w:kern w:val="0"/>
                <w:sz w:val="21"/>
                <w:szCs w:val="21"/>
                <w:lang w:val="en-US" w:eastAsia="zh-CN" w:bidi="ar-SA"/>
              </w:rPr>
              <w:t>。</w:t>
            </w:r>
          </w:p>
        </w:tc>
        <w:tc>
          <w:tcPr>
            <w:tcW w:w="830" w:type="pct"/>
            <w:tcBorders>
              <w:top w:val="single" w:color="000000" w:sz="2" w:space="0"/>
              <w:left w:val="single" w:color="000000" w:sz="2" w:space="0"/>
              <w:bottom w:val="single" w:color="000000" w:sz="2" w:space="0"/>
              <w:right w:val="single" w:color="000000" w:sz="2" w:space="0"/>
            </w:tcBorders>
            <w:vAlign w:val="center"/>
          </w:tcPr>
          <w:p w14:paraId="0FA543B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第6.8.4.2条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765083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目前</w:t>
            </w:r>
            <w:r>
              <w:rPr>
                <w:rFonts w:hint="default" w:ascii="Times New Roman" w:hAnsi="Times New Roman" w:eastAsia="宋体" w:cs="Times New Roman"/>
                <w:snapToGrid w:val="0"/>
                <w:color w:val="auto"/>
                <w:spacing w:val="26"/>
                <w:kern w:val="0"/>
                <w:sz w:val="21"/>
                <w:szCs w:val="21"/>
                <w:lang w:val="en-US" w:eastAsia="zh-CN" w:bidi="ar-SA"/>
              </w:rPr>
              <w:t>斜巷与主斜井相通处标高为+108m，高出水泵房硐室7.5m。水泵房硐室地面标高为+100.5m，高出主斜井+100m井底车场巷道轨面标高0.5m。</w:t>
            </w:r>
          </w:p>
        </w:tc>
        <w:tc>
          <w:tcPr>
            <w:tcW w:w="316" w:type="pct"/>
            <w:tcBorders>
              <w:top w:val="single" w:color="000000" w:sz="2" w:space="0"/>
              <w:left w:val="single" w:color="000000" w:sz="2" w:space="0"/>
              <w:bottom w:val="single" w:color="000000" w:sz="2" w:space="0"/>
              <w:right w:val="single" w:color="000000" w:sz="2" w:space="0"/>
            </w:tcBorders>
            <w:vAlign w:val="center"/>
          </w:tcPr>
          <w:p w14:paraId="298C401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23EFA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5" w:type="pct"/>
            <w:vMerge w:val="continue"/>
            <w:tcBorders>
              <w:left w:val="single" w:color="000000" w:sz="2" w:space="0"/>
              <w:right w:val="single" w:color="000000" w:sz="2" w:space="0"/>
            </w:tcBorders>
            <w:vAlign w:val="center"/>
          </w:tcPr>
          <w:p w14:paraId="0D722DF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9" w:type="pct"/>
            <w:vMerge w:val="continue"/>
            <w:tcBorders>
              <w:left w:val="single" w:color="000000" w:sz="2" w:space="0"/>
              <w:right w:val="single" w:color="000000" w:sz="2" w:space="0"/>
            </w:tcBorders>
            <w:vAlign w:val="center"/>
          </w:tcPr>
          <w:p w14:paraId="5D0602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3F5E02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井下主要排水设备应包括工作水泵、备用水泵和检修水泵。工作水泵应能在20h内排出一昼夜正常涌水量; 工作水泵和备用水泵应能在20h内排出一昼夜的设计最大排水量。备用水泵能力不小于工作水泵能力的50%; 检修水泵能力不小于工作水泵能力的25%。只设3台水泵时，水泵型号应相同。</w:t>
            </w:r>
          </w:p>
        </w:tc>
        <w:tc>
          <w:tcPr>
            <w:tcW w:w="830" w:type="pct"/>
            <w:tcBorders>
              <w:top w:val="single" w:color="000000" w:sz="2" w:space="0"/>
              <w:left w:val="single" w:color="000000" w:sz="2" w:space="0"/>
              <w:bottom w:val="single" w:color="000000" w:sz="2" w:space="0"/>
              <w:right w:val="single" w:color="000000" w:sz="2" w:space="0"/>
            </w:tcBorders>
            <w:vAlign w:val="center"/>
          </w:tcPr>
          <w:p w14:paraId="0E05A04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第6.8.4.3条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1BD42DB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4台DF155-30×7型</w:t>
            </w:r>
            <w:r>
              <w:rPr>
                <w:rFonts w:hint="eastAsia" w:cs="Times New Roman"/>
                <w:snapToGrid w:val="0"/>
                <w:color w:val="auto"/>
                <w:spacing w:val="26"/>
                <w:kern w:val="0"/>
                <w:sz w:val="21"/>
                <w:szCs w:val="21"/>
                <w:lang w:val="en-US" w:eastAsia="zh-CN" w:bidi="ar-SA"/>
              </w:rPr>
              <w:t>耐酸水泵</w:t>
            </w:r>
            <w:r>
              <w:rPr>
                <w:rFonts w:hint="default" w:ascii="Times New Roman" w:hAnsi="Times New Roman" w:eastAsia="宋体" w:cs="Times New Roman"/>
                <w:snapToGrid w:val="0"/>
                <w:color w:val="auto"/>
                <w:spacing w:val="26"/>
                <w:kern w:val="0"/>
                <w:sz w:val="21"/>
                <w:szCs w:val="21"/>
                <w:lang w:val="en-US" w:eastAsia="zh-CN" w:bidi="ar-SA"/>
              </w:rPr>
              <w:t>泵</w:t>
            </w:r>
            <w:r>
              <w:rPr>
                <w:rFonts w:hint="eastAsia" w:cs="Times New Roman"/>
                <w:snapToGrid w:val="0"/>
                <w:color w:val="auto"/>
                <w:spacing w:val="26"/>
                <w:kern w:val="0"/>
                <w:sz w:val="21"/>
                <w:szCs w:val="21"/>
                <w:lang w:val="en-US" w:eastAsia="zh-CN" w:bidi="ar-SA"/>
              </w:rPr>
              <w:t>（2用1备1检修），能满足排水要求</w:t>
            </w:r>
            <w:r>
              <w:rPr>
                <w:rFonts w:hint="default" w:ascii="Times New Roman" w:hAnsi="Times New Roman" w:eastAsia="宋体" w:cs="Times New Roman"/>
                <w:snapToGrid w:val="0"/>
                <w:color w:val="auto"/>
                <w:spacing w:val="26"/>
                <w:kern w:val="0"/>
                <w:sz w:val="21"/>
                <w:szCs w:val="21"/>
                <w:lang w:val="en-US" w:eastAsia="zh-CN" w:bidi="ar-SA"/>
              </w:rPr>
              <w:t>。</w:t>
            </w:r>
          </w:p>
        </w:tc>
        <w:tc>
          <w:tcPr>
            <w:tcW w:w="316" w:type="pct"/>
            <w:tcBorders>
              <w:top w:val="single" w:color="000000" w:sz="2" w:space="0"/>
              <w:left w:val="single" w:color="000000" w:sz="2" w:space="0"/>
              <w:bottom w:val="single" w:color="000000" w:sz="2" w:space="0"/>
              <w:right w:val="single" w:color="000000" w:sz="2" w:space="0"/>
            </w:tcBorders>
            <w:vAlign w:val="center"/>
          </w:tcPr>
          <w:p w14:paraId="1BA592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2A95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5" w:type="pct"/>
            <w:vMerge w:val="continue"/>
            <w:tcBorders>
              <w:left w:val="single" w:color="000000" w:sz="2" w:space="0"/>
              <w:right w:val="single" w:color="000000" w:sz="2" w:space="0"/>
            </w:tcBorders>
            <w:vAlign w:val="center"/>
          </w:tcPr>
          <w:p w14:paraId="1BC6827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09" w:type="pct"/>
            <w:vMerge w:val="continue"/>
            <w:tcBorders>
              <w:left w:val="single" w:color="000000" w:sz="2" w:space="0"/>
              <w:right w:val="single" w:color="000000" w:sz="2" w:space="0"/>
            </w:tcBorders>
            <w:vAlign w:val="center"/>
          </w:tcPr>
          <w:p w14:paraId="0F1398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657A5B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应设工作排水管路和备用排水管路。水泵出口应直接与工作排水管路和备用排水管路连接。工作排水管路应能配合工作水泵在20h内排出一昼夜正常涌水量:全部排水管路应能配合工作水泵和备用水泵在20h内排出一昼夜的设计最大排水量。任意一条排水管路检修时,其他排水管路应能完成正常排水任务。</w:t>
            </w:r>
          </w:p>
        </w:tc>
        <w:tc>
          <w:tcPr>
            <w:tcW w:w="830" w:type="pct"/>
            <w:tcBorders>
              <w:top w:val="single" w:color="000000" w:sz="2" w:space="0"/>
              <w:left w:val="single" w:color="000000" w:sz="2" w:space="0"/>
              <w:bottom w:val="single" w:color="000000" w:sz="2" w:space="0"/>
              <w:right w:val="single" w:color="000000" w:sz="2" w:space="0"/>
            </w:tcBorders>
            <w:vAlign w:val="center"/>
          </w:tcPr>
          <w:p w14:paraId="115C2F1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第6.8.4.4条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74A5A24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排水管路2趟D219×9耐腐蚀性钢塑复合钢管，吸水管路D273×9耐腐蚀性钢塑塑造复合钢管均能满足排水要求。</w:t>
            </w:r>
          </w:p>
        </w:tc>
        <w:tc>
          <w:tcPr>
            <w:tcW w:w="316" w:type="pct"/>
            <w:tcBorders>
              <w:top w:val="single" w:color="000000" w:sz="2" w:space="0"/>
              <w:left w:val="single" w:color="000000" w:sz="2" w:space="0"/>
              <w:bottom w:val="single" w:color="000000" w:sz="2" w:space="0"/>
              <w:right w:val="single" w:color="000000" w:sz="2" w:space="0"/>
            </w:tcBorders>
            <w:vAlign w:val="center"/>
          </w:tcPr>
          <w:p w14:paraId="5B517E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3414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jc w:val="center"/>
        </w:trPr>
        <w:tc>
          <w:tcPr>
            <w:tcW w:w="185" w:type="pct"/>
            <w:tcBorders>
              <w:left w:val="single" w:color="000000" w:sz="2" w:space="0"/>
              <w:bottom w:val="single" w:color="000000" w:sz="2" w:space="0"/>
              <w:right w:val="single" w:color="000000" w:sz="2" w:space="0"/>
            </w:tcBorders>
            <w:vAlign w:val="center"/>
          </w:tcPr>
          <w:p w14:paraId="2A837F6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3</w:t>
            </w:r>
          </w:p>
        </w:tc>
        <w:tc>
          <w:tcPr>
            <w:tcW w:w="509" w:type="pct"/>
            <w:tcBorders>
              <w:left w:val="single" w:color="000000" w:sz="2" w:space="0"/>
              <w:bottom w:val="single" w:color="000000" w:sz="2" w:space="0"/>
              <w:right w:val="single" w:color="000000" w:sz="2" w:space="0"/>
            </w:tcBorders>
            <w:vAlign w:val="center"/>
          </w:tcPr>
          <w:p w14:paraId="2B616D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井下防透</w:t>
            </w:r>
          </w:p>
          <w:p w14:paraId="5F274A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水措施</w:t>
            </w:r>
          </w:p>
        </w:tc>
        <w:tc>
          <w:tcPr>
            <w:tcW w:w="1735" w:type="pct"/>
            <w:tcBorders>
              <w:top w:val="single" w:color="000000" w:sz="2" w:space="0"/>
              <w:left w:val="single" w:color="000000" w:sz="2" w:space="0"/>
              <w:bottom w:val="single" w:color="000000" w:sz="2" w:space="0"/>
              <w:right w:val="single" w:color="000000" w:sz="2" w:space="0"/>
            </w:tcBorders>
            <w:vAlign w:val="center"/>
          </w:tcPr>
          <w:p w14:paraId="4FF4C2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矿山井下最低中段的主水泵房和变电所的进口应装设防水门，防水门压力等级不低于0.1MPa。水仓与水泵房之间应隔开，隔墙、水仓与配水井之间的配水阀的压力等级应与防水门相同。</w:t>
            </w:r>
          </w:p>
          <w:p w14:paraId="69F382B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防水门压力等级应高于其承受的静压。</w:t>
            </w:r>
          </w:p>
          <w:p w14:paraId="44CB02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防水门应设置在岩石稳固的地点,由专人管理,定期维修,确保可以随时启用。</w:t>
            </w:r>
          </w:p>
        </w:tc>
        <w:tc>
          <w:tcPr>
            <w:tcW w:w="830" w:type="pct"/>
            <w:tcBorders>
              <w:top w:val="single" w:color="000000" w:sz="2" w:space="0"/>
              <w:left w:val="single" w:color="000000" w:sz="2" w:space="0"/>
              <w:bottom w:val="single" w:color="000000" w:sz="2" w:space="0"/>
              <w:right w:val="single" w:color="000000" w:sz="2" w:space="0"/>
            </w:tcBorders>
            <w:vAlign w:val="center"/>
          </w:tcPr>
          <w:p w14:paraId="310CB36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第6.8.3.3条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7F4FD98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+100m中段主斜井水仓来水方向的巷道约30m处设置</w:t>
            </w:r>
            <w:r>
              <w:rPr>
                <w:rFonts w:hint="eastAsia" w:cs="Times New Roman"/>
                <w:snapToGrid w:val="0"/>
                <w:color w:val="auto"/>
                <w:spacing w:val="26"/>
                <w:kern w:val="0"/>
                <w:sz w:val="21"/>
                <w:szCs w:val="21"/>
                <w:lang w:val="en-US" w:eastAsia="zh-CN" w:bidi="ar-SA"/>
              </w:rPr>
              <w:t>了</w:t>
            </w:r>
            <w:r>
              <w:rPr>
                <w:rFonts w:hint="default" w:ascii="Times New Roman" w:hAnsi="Times New Roman" w:eastAsia="宋体" w:cs="Times New Roman"/>
                <w:snapToGrid w:val="0"/>
                <w:color w:val="auto"/>
                <w:spacing w:val="26"/>
                <w:kern w:val="0"/>
                <w:sz w:val="21"/>
                <w:szCs w:val="21"/>
                <w:lang w:val="en-US" w:eastAsia="zh-CN" w:bidi="ar-SA"/>
              </w:rPr>
              <w:t>防水门</w:t>
            </w:r>
            <w:r>
              <w:rPr>
                <w:rFonts w:hint="eastAsia" w:cs="Times New Roman"/>
                <w:snapToGrid w:val="0"/>
                <w:color w:val="auto"/>
                <w:spacing w:val="26"/>
                <w:kern w:val="0"/>
                <w:sz w:val="21"/>
                <w:szCs w:val="21"/>
                <w:lang w:val="en-US" w:eastAsia="zh-CN" w:bidi="ar-SA"/>
              </w:rPr>
              <w:t>。</w:t>
            </w:r>
          </w:p>
        </w:tc>
        <w:tc>
          <w:tcPr>
            <w:tcW w:w="316" w:type="pct"/>
            <w:tcBorders>
              <w:top w:val="single" w:color="000000" w:sz="2" w:space="0"/>
              <w:left w:val="single" w:color="000000" w:sz="2" w:space="0"/>
              <w:bottom w:val="single" w:color="000000" w:sz="2" w:space="0"/>
              <w:right w:val="single" w:color="000000" w:sz="2" w:space="0"/>
            </w:tcBorders>
            <w:vAlign w:val="center"/>
          </w:tcPr>
          <w:p w14:paraId="3D8E35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bl>
    <w:p w14:paraId="67D54FE2">
      <w:pPr>
        <w:bidi w:val="0"/>
        <w:rPr>
          <w:rFonts w:hint="eastAsia"/>
          <w:color w:val="auto"/>
          <w:lang w:val="en-US" w:eastAsia="zh-CN"/>
        </w:rPr>
      </w:pPr>
      <w:r>
        <w:rPr>
          <w:rFonts w:hint="default"/>
          <w:color w:val="auto"/>
          <w:lang w:val="en-US" w:eastAsia="zh-CN"/>
        </w:rPr>
        <w:t>采用安全检查表法对矿山防排水</w:t>
      </w:r>
      <w:r>
        <w:rPr>
          <w:rFonts w:hint="eastAsia"/>
          <w:color w:val="auto"/>
          <w:lang w:val="en-US" w:eastAsia="zh-CN"/>
        </w:rPr>
        <w:t>单元</w:t>
      </w:r>
      <w:r>
        <w:rPr>
          <w:rFonts w:hint="default"/>
          <w:color w:val="auto"/>
          <w:lang w:val="en-US" w:eastAsia="zh-CN"/>
        </w:rPr>
        <w:t>检查3大项</w:t>
      </w:r>
      <w:r>
        <w:rPr>
          <w:rFonts w:hint="eastAsia"/>
          <w:color w:val="auto"/>
          <w:lang w:val="en-US" w:eastAsia="zh-CN"/>
        </w:rPr>
        <w:t>6</w:t>
      </w:r>
      <w:r>
        <w:rPr>
          <w:rFonts w:hint="default"/>
          <w:color w:val="auto"/>
          <w:lang w:val="en-US" w:eastAsia="zh-CN"/>
        </w:rPr>
        <w:t>小项，</w:t>
      </w:r>
      <w:r>
        <w:rPr>
          <w:rFonts w:hint="eastAsia"/>
          <w:color w:val="auto"/>
          <w:lang w:val="en-US" w:eastAsia="zh-CN"/>
        </w:rPr>
        <w:t>全部符合，</w:t>
      </w:r>
      <w:r>
        <w:rPr>
          <w:rFonts w:hint="default"/>
          <w:color w:val="auto"/>
          <w:lang w:val="en-US" w:eastAsia="zh-CN"/>
        </w:rPr>
        <w:t>矿山防排水</w:t>
      </w:r>
      <w:r>
        <w:rPr>
          <w:rFonts w:hint="eastAsia"/>
          <w:color w:val="auto"/>
          <w:lang w:val="en-US" w:eastAsia="zh-CN"/>
        </w:rPr>
        <w:t>单元</w:t>
      </w:r>
      <w:r>
        <w:rPr>
          <w:rFonts w:hint="default"/>
          <w:color w:val="auto"/>
          <w:lang w:val="en-US" w:eastAsia="zh-CN"/>
        </w:rPr>
        <w:t>总体符合《金属非金属矿山安全规程》</w:t>
      </w:r>
      <w:r>
        <w:rPr>
          <w:rFonts w:hint="eastAsia"/>
          <w:color w:val="auto"/>
          <w:lang w:val="en-US" w:eastAsia="zh-CN"/>
        </w:rPr>
        <w:t>（</w:t>
      </w:r>
      <w:r>
        <w:rPr>
          <w:rFonts w:hint="default"/>
          <w:color w:val="auto"/>
          <w:lang w:val="en-US" w:eastAsia="zh-CN"/>
        </w:rPr>
        <w:t>GB16423-2020</w:t>
      </w:r>
      <w:r>
        <w:rPr>
          <w:rFonts w:hint="eastAsia"/>
          <w:color w:val="auto"/>
          <w:lang w:val="en-US" w:eastAsia="zh-CN"/>
        </w:rPr>
        <w:t>）</w:t>
      </w:r>
      <w:r>
        <w:rPr>
          <w:rFonts w:hint="default"/>
          <w:color w:val="auto"/>
          <w:lang w:val="en-US" w:eastAsia="zh-CN"/>
        </w:rPr>
        <w:t>的有关</w:t>
      </w:r>
      <w:r>
        <w:rPr>
          <w:rFonts w:hint="eastAsia"/>
          <w:color w:val="auto"/>
          <w:lang w:val="en-US" w:eastAsia="zh-CN"/>
        </w:rPr>
        <w:t>要求。</w:t>
      </w:r>
    </w:p>
    <w:p w14:paraId="5614F32D">
      <w:pPr>
        <w:bidi w:val="0"/>
        <w:rPr>
          <w:rFonts w:hint="eastAsia"/>
          <w:b/>
          <w:bCs/>
          <w:color w:val="auto"/>
          <w:lang w:val="en-US" w:eastAsia="zh-CN"/>
        </w:rPr>
      </w:pPr>
      <w:r>
        <w:rPr>
          <w:rFonts w:hint="eastAsia"/>
          <w:b/>
          <w:bCs/>
          <w:color w:val="auto"/>
          <w:lang w:val="en-US" w:eastAsia="zh-CN"/>
        </w:rPr>
        <w:t>3.8.1.3 防排水能力校核</w:t>
      </w:r>
    </w:p>
    <w:p w14:paraId="22C03F4B">
      <w:pPr>
        <w:bidi w:val="0"/>
        <w:rPr>
          <w:rFonts w:hint="default"/>
          <w:color w:val="auto"/>
          <w:lang w:val="en-US" w:eastAsia="zh-CN"/>
        </w:rPr>
      </w:pPr>
      <w:r>
        <w:rPr>
          <w:rFonts w:hint="eastAsia"/>
          <w:color w:val="auto"/>
          <w:lang w:val="en-US" w:eastAsia="zh-CN"/>
        </w:rPr>
        <w:t xml:space="preserve">1. </w:t>
      </w:r>
      <w:r>
        <w:rPr>
          <w:rFonts w:hint="default"/>
          <w:color w:val="auto"/>
          <w:lang w:val="en-US" w:eastAsia="zh-CN"/>
        </w:rPr>
        <w:t>排水方式</w:t>
      </w:r>
    </w:p>
    <w:p w14:paraId="12D25980">
      <w:pPr>
        <w:rPr>
          <w:rFonts w:hint="eastAsia"/>
          <w:color w:val="auto"/>
          <w:lang w:val="en-US" w:eastAsia="zh-CN"/>
        </w:rPr>
      </w:pPr>
      <w:r>
        <w:rPr>
          <w:rFonts w:hint="eastAsia" w:ascii="Times New Roman" w:eastAsia="宋体"/>
          <w:color w:val="auto"/>
          <w:lang w:val="en-US" w:eastAsia="zh-CN"/>
        </w:rPr>
        <w:t>根据矿山实际情况，采用一级排水，水泵房设在+100m，其余中段采用排水沟排至+100m水仓，然后统一由水泵排出井内。</w:t>
      </w:r>
    </w:p>
    <w:p w14:paraId="341CF80F">
      <w:pPr>
        <w:bidi w:val="0"/>
        <w:rPr>
          <w:rFonts w:hint="default"/>
          <w:color w:val="auto"/>
          <w:lang w:val="en-US" w:eastAsia="zh-CN"/>
        </w:rPr>
      </w:pPr>
      <w:r>
        <w:rPr>
          <w:rFonts w:hint="eastAsia"/>
          <w:color w:val="auto"/>
          <w:lang w:val="en-US" w:eastAsia="zh-CN"/>
        </w:rPr>
        <w:t xml:space="preserve">2. </w:t>
      </w:r>
      <w:r>
        <w:rPr>
          <w:rFonts w:hint="default"/>
          <w:color w:val="auto"/>
          <w:lang w:val="en-US" w:eastAsia="zh-CN"/>
        </w:rPr>
        <w:t>排水系统排水能力校核</w:t>
      </w:r>
    </w:p>
    <w:p w14:paraId="6246A6E5">
      <w:pPr>
        <w:rPr>
          <w:rFonts w:hint="eastAsia"/>
          <w:color w:val="auto"/>
          <w:lang w:val="en-US" w:eastAsia="zh-CN"/>
        </w:rPr>
      </w:pPr>
      <w:r>
        <w:rPr>
          <w:rFonts w:hint="eastAsia"/>
          <w:color w:val="auto"/>
          <w:lang w:val="en-US" w:eastAsia="zh-CN"/>
        </w:rPr>
        <w:t>（1）</w:t>
      </w:r>
      <w:r>
        <w:rPr>
          <w:rFonts w:hint="eastAsia" w:ascii="Times New Roman" w:eastAsia="宋体"/>
          <w:color w:val="auto"/>
          <w:lang w:val="en-US" w:eastAsia="zh-CN"/>
        </w:rPr>
        <w:t>+100m中段水泵校核</w:t>
      </w:r>
    </w:p>
    <w:p w14:paraId="2C05254D">
      <w:pPr>
        <w:rPr>
          <w:rFonts w:hint="eastAsia"/>
          <w:color w:val="auto"/>
          <w:lang w:val="en-US" w:eastAsia="zh-CN"/>
        </w:rPr>
      </w:pPr>
      <w:r>
        <w:rPr>
          <w:rFonts w:hint="eastAsia" w:ascii="Times New Roman" w:eastAsia="宋体"/>
          <w:color w:val="auto"/>
          <w:lang w:val="en-US" w:eastAsia="zh-CN"/>
        </w:rPr>
        <w:t>1）井筒特征：副斜井上口标高为+260m，下口标高为+100m，总垂高160m；</w:t>
      </w:r>
    </w:p>
    <w:p w14:paraId="0AC12905">
      <w:pPr>
        <w:rPr>
          <w:rFonts w:hint="eastAsia"/>
          <w:color w:val="auto"/>
          <w:lang w:val="en-US" w:eastAsia="zh-CN"/>
        </w:rPr>
      </w:pPr>
      <w:r>
        <w:rPr>
          <w:rFonts w:hint="eastAsia" w:ascii="Times New Roman" w:eastAsia="宋体"/>
          <w:color w:val="auto"/>
          <w:lang w:val="en-US" w:eastAsia="zh-CN"/>
        </w:rPr>
        <w:t>2）正常涌水量：Q</w:t>
      </w:r>
      <w:r>
        <w:rPr>
          <w:rFonts w:hint="eastAsia" w:ascii="Times New Roman" w:eastAsia="宋体"/>
          <w:color w:val="auto"/>
          <w:vertAlign w:val="subscript"/>
          <w:lang w:val="en-US" w:eastAsia="zh-CN"/>
        </w:rPr>
        <w:t>k</w:t>
      </w:r>
      <w:r>
        <w:rPr>
          <w:rFonts w:hint="eastAsia" w:ascii="Times New Roman" w:eastAsia="宋体"/>
          <w:color w:val="auto"/>
          <w:lang w:val="en-US" w:eastAsia="zh-CN"/>
        </w:rPr>
        <w:t>=161.25m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/h、最大涌水量：Q</w:t>
      </w:r>
      <w:r>
        <w:rPr>
          <w:rFonts w:hint="eastAsia" w:ascii="Times New Roman" w:eastAsia="宋体"/>
          <w:color w:val="auto"/>
          <w:vertAlign w:val="subscript"/>
          <w:lang w:val="en-US" w:eastAsia="zh-CN"/>
        </w:rPr>
        <w:t>kmax</w:t>
      </w:r>
      <w:r>
        <w:rPr>
          <w:rFonts w:hint="eastAsia" w:ascii="Times New Roman" w:eastAsia="宋体"/>
          <w:color w:val="auto"/>
          <w:lang w:val="en-US" w:eastAsia="zh-CN"/>
        </w:rPr>
        <w:t>=211m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/h。井下洒水用水量Q</w:t>
      </w:r>
      <w:r>
        <w:rPr>
          <w:rFonts w:hint="eastAsia"/>
          <w:color w:val="auto"/>
          <w:vertAlign w:val="subscript"/>
          <w:lang w:val="en-US" w:eastAsia="zh-CN"/>
        </w:rPr>
        <w:t>洒</w:t>
      </w:r>
      <w:r>
        <w:rPr>
          <w:rFonts w:hint="eastAsia" w:ascii="Times New Roman" w:eastAsia="宋体"/>
          <w:color w:val="auto"/>
          <w:lang w:val="en-US" w:eastAsia="zh-CN"/>
        </w:rPr>
        <w:t>=157.5m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/d=6.6m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w:t>
      </w:r>
      <w:r>
        <w:rPr>
          <w:rFonts w:hint="eastAsia"/>
          <w:color w:val="auto"/>
          <w:lang w:val="en-US" w:eastAsia="zh-CN"/>
        </w:rPr>
        <w:t>；</w:t>
      </w:r>
    </w:p>
    <w:p w14:paraId="57A56DC4">
      <w:pPr>
        <w:rPr>
          <w:rFonts w:hint="eastAsia"/>
          <w:color w:val="auto"/>
          <w:lang w:val="en-US" w:eastAsia="zh-CN"/>
        </w:rPr>
      </w:pPr>
      <w:r>
        <w:rPr>
          <w:rFonts w:hint="eastAsia" w:ascii="Times New Roman" w:eastAsia="宋体"/>
          <w:color w:val="auto"/>
          <w:lang w:val="en-US" w:eastAsia="zh-CN"/>
        </w:rPr>
        <w:t>3）水质：酸性。</w:t>
      </w:r>
    </w:p>
    <w:p w14:paraId="46F69963">
      <w:pPr>
        <w:rPr>
          <w:rFonts w:hint="eastAsia"/>
          <w:color w:val="auto"/>
          <w:lang w:val="en-US" w:eastAsia="zh-CN"/>
        </w:rPr>
      </w:pPr>
      <w:r>
        <w:rPr>
          <w:rFonts w:hint="eastAsia" w:ascii="Times New Roman" w:eastAsia="宋体"/>
          <w:color w:val="auto"/>
          <w:lang w:val="en-US" w:eastAsia="zh-CN"/>
        </w:rPr>
        <w:t>（2）初选水泵</w:t>
      </w:r>
    </w:p>
    <w:p w14:paraId="278EB05D">
      <w:pPr>
        <w:rPr>
          <w:rFonts w:hint="eastAsia"/>
          <w:color w:val="auto"/>
          <w:lang w:val="en-US" w:eastAsia="zh-CN"/>
        </w:rPr>
      </w:pPr>
      <w:r>
        <w:rPr>
          <w:rFonts w:hint="eastAsia" w:ascii="Times New Roman" w:eastAsia="宋体"/>
          <w:color w:val="auto"/>
          <w:lang w:val="en-US" w:eastAsia="zh-CN"/>
        </w:rPr>
        <w:t>1）水泵必须水量：</w:t>
      </w:r>
    </w:p>
    <w:p w14:paraId="14C3564B">
      <w:pPr>
        <w:rPr>
          <w:rFonts w:hint="eastAsia"/>
          <w:color w:val="auto"/>
          <w:lang w:val="en-US" w:eastAsia="zh-CN"/>
        </w:rPr>
      </w:pPr>
      <w:r>
        <w:rPr>
          <w:rFonts w:hint="eastAsia" w:ascii="Times New Roman" w:eastAsia="宋体"/>
          <w:color w:val="auto"/>
          <w:lang w:val="en-US" w:eastAsia="zh-CN"/>
        </w:rPr>
        <w:t>正常涌水时：Q=1.2（Q</w:t>
      </w:r>
      <w:r>
        <w:rPr>
          <w:rFonts w:hint="eastAsia" w:ascii="Times New Roman" w:eastAsia="宋体"/>
          <w:color w:val="auto"/>
          <w:vertAlign w:val="subscript"/>
          <w:lang w:val="en-US" w:eastAsia="zh-CN"/>
        </w:rPr>
        <w:t>k</w:t>
      </w:r>
      <w:r>
        <w:rPr>
          <w:rFonts w:hint="eastAsia" w:ascii="Times New Roman" w:eastAsia="宋体"/>
          <w:color w:val="auto"/>
          <w:lang w:val="en-US" w:eastAsia="zh-CN"/>
        </w:rPr>
        <w:t>+0.9Q</w:t>
      </w:r>
      <w:r>
        <w:rPr>
          <w:rFonts w:hint="eastAsia"/>
          <w:color w:val="auto"/>
          <w:vertAlign w:val="subscript"/>
          <w:lang w:val="en-US" w:eastAsia="zh-CN"/>
        </w:rPr>
        <w:t>洒</w:t>
      </w:r>
      <w:r>
        <w:rPr>
          <w:rFonts w:hint="eastAsia" w:ascii="Times New Roman" w:eastAsia="宋体"/>
          <w:color w:val="auto"/>
          <w:lang w:val="en-US" w:eastAsia="zh-CN"/>
        </w:rPr>
        <w:t>）=1.2×（161.25+6.6×0.9）=200.63m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w:t>
      </w:r>
    </w:p>
    <w:p w14:paraId="15ACE762">
      <w:pPr>
        <w:rPr>
          <w:rFonts w:hint="eastAsia"/>
          <w:color w:val="auto"/>
          <w:lang w:val="en-US" w:eastAsia="zh-CN"/>
        </w:rPr>
      </w:pPr>
      <w:r>
        <w:rPr>
          <w:rFonts w:hint="eastAsia" w:ascii="Times New Roman" w:eastAsia="宋体"/>
          <w:color w:val="auto"/>
          <w:lang w:val="en-US" w:eastAsia="zh-CN"/>
        </w:rPr>
        <w:t>最大涌水时：Q=1.2（Q</w:t>
      </w:r>
      <w:r>
        <w:rPr>
          <w:rFonts w:hint="eastAsia" w:ascii="Times New Roman" w:eastAsia="宋体"/>
          <w:color w:val="auto"/>
          <w:vertAlign w:val="subscript"/>
          <w:lang w:val="en-US" w:eastAsia="zh-CN"/>
        </w:rPr>
        <w:t>kmax</w:t>
      </w:r>
      <w:r>
        <w:rPr>
          <w:rFonts w:hint="eastAsia" w:ascii="Times New Roman" w:eastAsia="宋体"/>
          <w:color w:val="auto"/>
          <w:lang w:val="en-US" w:eastAsia="zh-CN"/>
        </w:rPr>
        <w:t>+0.9Q</w:t>
      </w:r>
      <w:r>
        <w:rPr>
          <w:rFonts w:hint="eastAsia"/>
          <w:color w:val="auto"/>
          <w:vertAlign w:val="subscript"/>
          <w:lang w:val="en-US" w:eastAsia="zh-CN"/>
        </w:rPr>
        <w:t>洒</w:t>
      </w:r>
      <w:r>
        <w:rPr>
          <w:rFonts w:hint="eastAsia" w:ascii="Times New Roman" w:eastAsia="宋体"/>
          <w:color w:val="auto"/>
          <w:lang w:val="en-US" w:eastAsia="zh-CN"/>
        </w:rPr>
        <w:t>）=1.2×（211+6.6×0.9）=260.33m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w:t>
      </w:r>
    </w:p>
    <w:p w14:paraId="66A53CD4">
      <w:pPr>
        <w:rPr>
          <w:rFonts w:hint="eastAsia"/>
          <w:color w:val="auto"/>
          <w:lang w:val="en-US" w:eastAsia="zh-CN"/>
        </w:rPr>
      </w:pPr>
      <w:r>
        <w:rPr>
          <w:rFonts w:hint="eastAsia" w:ascii="Times New Roman" w:eastAsia="宋体"/>
          <w:color w:val="auto"/>
          <w:lang w:val="en-US" w:eastAsia="zh-CN"/>
        </w:rPr>
        <w:t>2）扬程估算</w:t>
      </w:r>
    </w:p>
    <w:p w14:paraId="2510FFD5">
      <w:pPr>
        <w:rPr>
          <w:rFonts w:hint="eastAsia"/>
          <w:color w:val="auto"/>
          <w:lang w:val="en-US" w:eastAsia="zh-CN"/>
        </w:rPr>
      </w:pPr>
      <w:r>
        <w:rPr>
          <w:rFonts w:hint="eastAsia" w:ascii="Times New Roman" w:eastAsia="宋体"/>
          <w:color w:val="auto"/>
          <w:lang w:val="en-US" w:eastAsia="zh-CN"/>
        </w:rPr>
        <w:t>H=K（H</w:t>
      </w:r>
      <w:r>
        <w:rPr>
          <w:rFonts w:hint="eastAsia" w:ascii="Times New Roman" w:eastAsia="宋体"/>
          <w:color w:val="auto"/>
          <w:vertAlign w:val="subscript"/>
          <w:lang w:val="en-US" w:eastAsia="zh-CN"/>
        </w:rPr>
        <w:t>h</w:t>
      </w:r>
      <w:r>
        <w:rPr>
          <w:rFonts w:hint="eastAsia" w:ascii="Times New Roman" w:eastAsia="宋体"/>
          <w:color w:val="auto"/>
          <w:lang w:val="en-US" w:eastAsia="zh-CN"/>
        </w:rPr>
        <w:t>+5.5）=1.2×（160+5.5）=198.6m</w:t>
      </w:r>
    </w:p>
    <w:p w14:paraId="755B24EA">
      <w:pPr>
        <w:rPr>
          <w:rFonts w:hint="eastAsia"/>
          <w:color w:val="auto"/>
          <w:lang w:val="en-US" w:eastAsia="zh-CN"/>
        </w:rPr>
      </w:pPr>
      <w:r>
        <w:rPr>
          <w:rFonts w:hint="eastAsia" w:ascii="Times New Roman" w:eastAsia="宋体"/>
          <w:color w:val="auto"/>
          <w:lang w:val="en-US" w:eastAsia="zh-CN"/>
        </w:rPr>
        <w:t>3）水泵校核</w:t>
      </w:r>
    </w:p>
    <w:p w14:paraId="794F75FB">
      <w:pPr>
        <w:rPr>
          <w:rFonts w:hint="eastAsia"/>
          <w:color w:val="auto"/>
          <w:lang w:val="en-US" w:eastAsia="zh-CN"/>
        </w:rPr>
      </w:pPr>
      <w:r>
        <w:rPr>
          <w:rFonts w:hint="eastAsia" w:ascii="Times New Roman" w:eastAsia="宋体"/>
          <w:color w:val="auto"/>
          <w:lang w:val="en-US" w:eastAsia="zh-CN"/>
        </w:rPr>
        <w:t>+100m中段水泵房现有4台DF155-30×7型</w:t>
      </w:r>
      <w:r>
        <w:rPr>
          <w:rFonts w:hint="eastAsia"/>
          <w:color w:val="auto"/>
          <w:lang w:val="en-US" w:eastAsia="zh-CN"/>
        </w:rPr>
        <w:t>耐酸水泵</w:t>
      </w:r>
      <w:r>
        <w:rPr>
          <w:rFonts w:hint="eastAsia" w:ascii="Times New Roman" w:eastAsia="宋体"/>
          <w:color w:val="auto"/>
          <w:lang w:val="en-US" w:eastAsia="zh-CN"/>
        </w:rPr>
        <w:t>，其中：2台工作、1台备用、1台检修。</w:t>
      </w:r>
    </w:p>
    <w:p w14:paraId="694AF6FE">
      <w:pPr>
        <w:rPr>
          <w:rFonts w:hint="eastAsia"/>
          <w:color w:val="auto"/>
          <w:lang w:val="en-US" w:eastAsia="zh-CN"/>
        </w:rPr>
      </w:pPr>
      <w:r>
        <w:rPr>
          <w:rFonts w:hint="eastAsia" w:ascii="Times New Roman" w:eastAsia="宋体"/>
          <w:color w:val="auto"/>
          <w:lang w:val="en-US" w:eastAsia="zh-CN"/>
        </w:rPr>
        <w:t>水泵额定流量：Q=155m</w:t>
      </w:r>
      <w:r>
        <w:rPr>
          <w:rFonts w:hint="eastAsia" w:ascii="Times New Roman" w:eastAsia="宋体"/>
          <w:color w:val="auto"/>
          <w:vertAlign w:val="superscript"/>
          <w:lang w:val="en-US" w:eastAsia="zh-CN"/>
        </w:rPr>
        <w:t>3</w:t>
      </w:r>
      <w:r>
        <w:rPr>
          <w:rFonts w:hint="eastAsia" w:ascii="Times New Roman" w:eastAsia="宋体"/>
          <w:color w:val="auto"/>
          <w:lang w:val="en-US" w:eastAsia="zh-CN"/>
        </w:rPr>
        <w:t>/h</w:t>
      </w:r>
    </w:p>
    <w:p w14:paraId="6206CEE4">
      <w:pPr>
        <w:rPr>
          <w:rFonts w:hint="eastAsia"/>
          <w:color w:val="auto"/>
          <w:lang w:val="en-US" w:eastAsia="zh-CN"/>
        </w:rPr>
      </w:pPr>
      <w:r>
        <w:rPr>
          <w:rFonts w:hint="eastAsia" w:ascii="Times New Roman" w:eastAsia="宋体"/>
          <w:color w:val="auto"/>
          <w:lang w:val="en-US" w:eastAsia="zh-CN"/>
        </w:rPr>
        <w:t>水泵额定扬程H=210m</w:t>
      </w:r>
    </w:p>
    <w:p w14:paraId="5E9F6292">
      <w:pPr>
        <w:rPr>
          <w:rFonts w:hint="eastAsia"/>
          <w:color w:val="auto"/>
          <w:lang w:val="en-US" w:eastAsia="zh-CN"/>
        </w:rPr>
      </w:pPr>
      <w:r>
        <w:rPr>
          <w:rFonts w:hint="eastAsia" w:ascii="Times New Roman" w:eastAsia="宋体"/>
          <w:color w:val="auto"/>
          <w:lang w:val="en-US" w:eastAsia="zh-CN"/>
        </w:rPr>
        <w:t>效率η=70%</w:t>
      </w:r>
    </w:p>
    <w:p w14:paraId="3A825881">
      <w:pPr>
        <w:rPr>
          <w:rFonts w:hint="eastAsia"/>
          <w:color w:val="auto"/>
          <w:lang w:val="en-US" w:eastAsia="zh-CN"/>
        </w:rPr>
      </w:pPr>
      <w:r>
        <w:rPr>
          <w:rFonts w:hint="eastAsia" w:ascii="Times New Roman" w:eastAsia="宋体"/>
          <w:color w:val="auto"/>
          <w:lang w:val="en-US" w:eastAsia="zh-CN"/>
        </w:rPr>
        <w:t>转速：1480r/min</w:t>
      </w:r>
    </w:p>
    <w:p w14:paraId="650436B3">
      <w:pPr>
        <w:rPr>
          <w:rFonts w:hint="eastAsia"/>
          <w:color w:val="auto"/>
          <w:lang w:val="en-US" w:eastAsia="zh-CN"/>
        </w:rPr>
      </w:pPr>
      <w:r>
        <w:rPr>
          <w:rFonts w:hint="eastAsia" w:ascii="Times New Roman" w:eastAsia="宋体"/>
          <w:color w:val="auto"/>
          <w:lang w:val="en-US" w:eastAsia="zh-CN"/>
        </w:rPr>
        <w:t>电动机160kW、380V</w:t>
      </w:r>
    </w:p>
    <w:p w14:paraId="377AF7EC">
      <w:pPr>
        <w:rPr>
          <w:rFonts w:hint="eastAsia"/>
          <w:color w:val="auto"/>
          <w:lang w:val="en-US" w:eastAsia="zh-CN"/>
        </w:rPr>
      </w:pPr>
      <w:r>
        <w:rPr>
          <w:rFonts w:hint="eastAsia" w:ascii="Times New Roman" w:eastAsia="宋体"/>
          <w:color w:val="auto"/>
          <w:lang w:val="en-US" w:eastAsia="zh-CN"/>
        </w:rPr>
        <w:t>（3）排水管路选择</w:t>
      </w:r>
    </w:p>
    <w:p w14:paraId="2D3CBB36">
      <w:pPr>
        <w:rPr>
          <w:rFonts w:hint="eastAsia"/>
          <w:color w:val="auto"/>
          <w:lang w:val="en-US" w:eastAsia="zh-CN"/>
        </w:rPr>
      </w:pPr>
      <w:r>
        <w:rPr>
          <w:rFonts w:hint="eastAsia" w:ascii="Times New Roman" w:eastAsia="宋体"/>
          <w:color w:val="auto"/>
          <w:lang w:val="en-US" w:eastAsia="zh-CN"/>
        </w:rPr>
        <w:t>1）排水管直径</w:t>
      </w:r>
    </w:p>
    <w:p w14:paraId="548DDDB8">
      <w:pPr>
        <w:rPr>
          <w:color w:val="auto"/>
          <w:position w:val="-13"/>
        </w:rPr>
      </w:pPr>
      <w:r>
        <w:rPr>
          <w:color w:val="auto"/>
          <w:position w:val="-13"/>
        </w:rPr>
        <w:drawing>
          <wp:inline distT="0" distB="0" distL="0" distR="0">
            <wp:extent cx="3602990" cy="412750"/>
            <wp:effectExtent l="0" t="0" r="16510" b="635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20"/>
                    <a:stretch>
                      <a:fillRect/>
                    </a:stretch>
                  </pic:blipFill>
                  <pic:spPr>
                    <a:xfrm>
                      <a:off x="0" y="0"/>
                      <a:ext cx="3603521" cy="413334"/>
                    </a:xfrm>
                    <a:prstGeom prst="rect">
                      <a:avLst/>
                    </a:prstGeom>
                  </pic:spPr>
                </pic:pic>
              </a:graphicData>
            </a:graphic>
          </wp:inline>
        </w:drawing>
      </w:r>
    </w:p>
    <w:p w14:paraId="19D53B0F">
      <w:pPr>
        <w:rPr>
          <w:rFonts w:hint="eastAsia"/>
          <w:color w:val="auto"/>
          <w:position w:val="-13"/>
          <w:lang w:val="en-US" w:eastAsia="zh-CN"/>
        </w:rPr>
      </w:pPr>
      <w:r>
        <w:rPr>
          <w:rFonts w:hint="eastAsia" w:ascii="Times New Roman" w:eastAsia="宋体"/>
          <w:color w:val="auto"/>
          <w:position w:val="-13"/>
          <w:lang w:val="en-US" w:eastAsia="zh-CN"/>
        </w:rPr>
        <w:t>取DN=150mm</w:t>
      </w:r>
    </w:p>
    <w:p w14:paraId="055F7199">
      <w:pPr>
        <w:rPr>
          <w:rFonts w:hint="eastAsia"/>
          <w:color w:val="auto"/>
          <w:lang w:val="en-US" w:eastAsia="zh-CN"/>
        </w:rPr>
      </w:pPr>
      <w:r>
        <w:rPr>
          <w:rFonts w:hint="eastAsia" w:ascii="Times New Roman" w:eastAsia="宋体"/>
          <w:color w:val="auto"/>
          <w:lang w:val="en-US" w:eastAsia="zh-CN"/>
        </w:rPr>
        <w:t>2）排水管壁厚计算</w:t>
      </w:r>
    </w:p>
    <w:p w14:paraId="4B24C944">
      <w:pPr>
        <w:rPr>
          <w:rFonts w:hint="eastAsia"/>
          <w:color w:val="auto"/>
          <w:lang w:val="en-US" w:eastAsia="zh-CN"/>
        </w:rPr>
      </w:pPr>
      <w:r>
        <w:rPr>
          <w:color w:val="auto"/>
          <w:position w:val="-13"/>
        </w:rPr>
        <w:drawing>
          <wp:inline distT="0" distB="0" distL="0" distR="0">
            <wp:extent cx="4175125" cy="401320"/>
            <wp:effectExtent l="0" t="0" r="15875" b="1778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21"/>
                    <a:stretch>
                      <a:fillRect/>
                    </a:stretch>
                  </pic:blipFill>
                  <pic:spPr>
                    <a:xfrm>
                      <a:off x="0" y="0"/>
                      <a:ext cx="4175300" cy="401675"/>
                    </a:xfrm>
                    <a:prstGeom prst="rect">
                      <a:avLst/>
                    </a:prstGeom>
                  </pic:spPr>
                </pic:pic>
              </a:graphicData>
            </a:graphic>
          </wp:inline>
        </w:drawing>
      </w:r>
    </w:p>
    <w:p w14:paraId="02C43432">
      <w:pPr>
        <w:rPr>
          <w:rFonts w:hint="eastAsia"/>
          <w:color w:val="auto"/>
          <w:lang w:val="en-US" w:eastAsia="zh-CN"/>
        </w:rPr>
      </w:pPr>
      <w:r>
        <w:rPr>
          <w:rFonts w:hint="eastAsia" w:ascii="Times New Roman" w:eastAsia="宋体"/>
          <w:color w:val="auto"/>
          <w:lang w:val="en-US" w:eastAsia="zh-CN"/>
        </w:rPr>
        <w:t>δ'=δ+0.15×（1+δ）=0.15+0.15×（1+0.15）=0.32cm</w:t>
      </w:r>
    </w:p>
    <w:p w14:paraId="5C5EF409">
      <w:pPr>
        <w:rPr>
          <w:rFonts w:hint="eastAsia"/>
          <w:color w:val="auto"/>
          <w:lang w:val="en-US" w:eastAsia="zh-CN"/>
        </w:rPr>
      </w:pPr>
      <w:r>
        <w:rPr>
          <w:rFonts w:hint="eastAsia" w:ascii="Times New Roman" w:eastAsia="宋体"/>
          <w:color w:val="auto"/>
          <w:lang w:val="en-US" w:eastAsia="zh-CN"/>
        </w:rPr>
        <w:t>矿上现使用两趟D219×9耐腐蚀性钢塑复合钢管满足排水要求。</w:t>
      </w:r>
    </w:p>
    <w:p w14:paraId="4FDF6B0C">
      <w:pPr>
        <w:rPr>
          <w:rFonts w:hint="eastAsia"/>
          <w:color w:val="auto"/>
          <w:lang w:val="en-US" w:eastAsia="zh-CN"/>
        </w:rPr>
      </w:pPr>
      <w:r>
        <w:rPr>
          <w:rFonts w:hint="eastAsia" w:ascii="Times New Roman" w:eastAsia="宋体"/>
          <w:color w:val="auto"/>
          <w:lang w:val="en-US" w:eastAsia="zh-CN"/>
        </w:rPr>
        <w:t>3）吸水管直径</w:t>
      </w:r>
    </w:p>
    <w:p w14:paraId="4A25B659">
      <w:pPr>
        <w:rPr>
          <w:rFonts w:hint="eastAsia"/>
          <w:color w:val="auto"/>
          <w:lang w:val="en-US" w:eastAsia="zh-CN"/>
        </w:rPr>
      </w:pPr>
      <w:r>
        <w:rPr>
          <w:color w:val="auto"/>
          <w:position w:val="-13"/>
        </w:rPr>
        <w:drawing>
          <wp:inline distT="0" distB="0" distL="0" distR="0">
            <wp:extent cx="3511550" cy="414655"/>
            <wp:effectExtent l="0" t="0" r="12700" b="4445"/>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22"/>
                    <a:stretch>
                      <a:fillRect/>
                    </a:stretch>
                  </pic:blipFill>
                  <pic:spPr>
                    <a:xfrm>
                      <a:off x="0" y="0"/>
                      <a:ext cx="3511930" cy="414889"/>
                    </a:xfrm>
                    <a:prstGeom prst="rect">
                      <a:avLst/>
                    </a:prstGeom>
                  </pic:spPr>
                </pic:pic>
              </a:graphicData>
            </a:graphic>
          </wp:inline>
        </w:drawing>
      </w:r>
    </w:p>
    <w:p w14:paraId="3E3CC997">
      <w:pPr>
        <w:rPr>
          <w:rFonts w:hint="eastAsia"/>
          <w:color w:val="auto"/>
          <w:lang w:val="en-US" w:eastAsia="zh-CN"/>
        </w:rPr>
      </w:pPr>
      <w:r>
        <w:rPr>
          <w:rFonts w:hint="eastAsia" w:ascii="Times New Roman" w:eastAsia="宋体"/>
          <w:color w:val="auto"/>
          <w:lang w:val="en-US" w:eastAsia="zh-CN"/>
        </w:rPr>
        <w:t>取DN=250mm</w:t>
      </w:r>
    </w:p>
    <w:p w14:paraId="2DA86C60">
      <w:pPr>
        <w:rPr>
          <w:rFonts w:hint="eastAsia"/>
          <w:color w:val="auto"/>
          <w:lang w:val="en-US" w:eastAsia="zh-CN"/>
        </w:rPr>
      </w:pPr>
      <w:r>
        <w:rPr>
          <w:rFonts w:hint="eastAsia" w:ascii="Times New Roman" w:eastAsia="宋体"/>
          <w:color w:val="auto"/>
          <w:lang w:val="en-US" w:eastAsia="zh-CN"/>
        </w:rPr>
        <w:t>吸水管路矿上现使用D273×9耐腐蚀性钢塑塑造复合钢管满足要求。</w:t>
      </w:r>
    </w:p>
    <w:p w14:paraId="1BC28284">
      <w:pPr>
        <w:rPr>
          <w:rFonts w:hint="eastAsia"/>
          <w:color w:val="auto"/>
          <w:lang w:val="en-US" w:eastAsia="zh-CN"/>
        </w:rPr>
      </w:pPr>
      <w:r>
        <w:rPr>
          <w:rFonts w:hint="eastAsia" w:ascii="Times New Roman" w:eastAsia="宋体"/>
          <w:color w:val="auto"/>
          <w:lang w:val="en-US" w:eastAsia="zh-CN"/>
        </w:rPr>
        <w:t>（4）排水系统</w:t>
      </w:r>
    </w:p>
    <w:p w14:paraId="642DEB4E">
      <w:pPr>
        <w:rPr>
          <w:rFonts w:hint="eastAsia"/>
          <w:color w:val="auto"/>
          <w:lang w:val="en-US" w:eastAsia="zh-CN"/>
        </w:rPr>
      </w:pPr>
      <w:r>
        <w:rPr>
          <w:rFonts w:hint="eastAsia" w:ascii="Times New Roman" w:eastAsia="宋体"/>
          <w:color w:val="auto"/>
          <w:lang w:val="en-US" w:eastAsia="zh-CN"/>
        </w:rPr>
        <w:t>排水管路采用2趟管路沿副斜井+100m～+260m井筒敷设，排水系统见排水系统示意图</w:t>
      </w:r>
      <w:r>
        <w:rPr>
          <w:rFonts w:hint="eastAsia"/>
          <w:color w:val="auto"/>
          <w:lang w:val="en-US" w:eastAsia="zh-CN"/>
        </w:rPr>
        <w:t>3.8</w:t>
      </w:r>
      <w:r>
        <w:rPr>
          <w:rFonts w:hint="eastAsia" w:ascii="Times New Roman" w:eastAsia="宋体"/>
          <w:color w:val="auto"/>
          <w:lang w:val="en-US" w:eastAsia="zh-CN"/>
        </w:rPr>
        <w:t>-</w:t>
      </w:r>
      <w:r>
        <w:rPr>
          <w:rFonts w:hint="eastAsia"/>
          <w:color w:val="auto"/>
          <w:lang w:val="en-US" w:eastAsia="zh-CN"/>
        </w:rPr>
        <w:t>1</w:t>
      </w:r>
      <w:r>
        <w:rPr>
          <w:rFonts w:hint="eastAsia" w:ascii="Times New Roman" w:eastAsia="宋体"/>
          <w:color w:val="auto"/>
          <w:lang w:val="en-US" w:eastAsia="zh-CN"/>
        </w:rPr>
        <w:t>。</w:t>
      </w:r>
    </w:p>
    <w:p w14:paraId="493661DE">
      <w:pPr>
        <w:ind w:left="0" w:leftChars="0" w:firstLine="0" w:firstLineChars="0"/>
        <w:jc w:val="center"/>
        <w:rPr>
          <w:color w:val="auto"/>
        </w:rPr>
      </w:pPr>
      <w:r>
        <w:rPr>
          <w:color w:val="auto"/>
        </w:rPr>
        <w:drawing>
          <wp:inline distT="0" distB="0" distL="114300" distR="114300">
            <wp:extent cx="4319905" cy="6583045"/>
            <wp:effectExtent l="0" t="0" r="4445"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3"/>
                    <a:stretch>
                      <a:fillRect/>
                    </a:stretch>
                  </pic:blipFill>
                  <pic:spPr>
                    <a:xfrm>
                      <a:off x="0" y="0"/>
                      <a:ext cx="4319905" cy="6583045"/>
                    </a:xfrm>
                    <a:prstGeom prst="rect">
                      <a:avLst/>
                    </a:prstGeom>
                    <a:noFill/>
                    <a:ln>
                      <a:noFill/>
                    </a:ln>
                  </pic:spPr>
                </pic:pic>
              </a:graphicData>
            </a:graphic>
          </wp:inline>
        </w:drawing>
      </w:r>
    </w:p>
    <w:p w14:paraId="20415AA1">
      <w:pPr>
        <w:ind w:left="0" w:leftChars="0" w:firstLine="0" w:firstLineChars="0"/>
        <w:jc w:val="center"/>
        <w:rPr>
          <w:rFonts w:hint="eastAsia"/>
          <w:color w:val="auto"/>
          <w:lang w:val="en-US" w:eastAsia="zh-CN"/>
        </w:rPr>
      </w:pPr>
      <w:r>
        <w:rPr>
          <w:rFonts w:hint="eastAsia" w:ascii="Times New Roman" w:eastAsia="宋体"/>
          <w:color w:val="auto"/>
          <w:lang w:val="en-US" w:eastAsia="zh-CN"/>
        </w:rPr>
        <w:t>图</w:t>
      </w:r>
      <w:r>
        <w:rPr>
          <w:rFonts w:hint="eastAsia"/>
          <w:color w:val="auto"/>
          <w:lang w:val="en-US" w:eastAsia="zh-CN"/>
        </w:rPr>
        <w:t>3.8-1</w:t>
      </w:r>
      <w:r>
        <w:rPr>
          <w:rFonts w:hint="eastAsia" w:ascii="Times New Roman" w:eastAsia="宋体"/>
          <w:color w:val="auto"/>
          <w:lang w:val="en-US" w:eastAsia="zh-CN"/>
        </w:rPr>
        <w:t xml:space="preserve"> </w:t>
      </w:r>
      <w:r>
        <w:rPr>
          <w:rFonts w:hint="eastAsia"/>
          <w:color w:val="auto"/>
          <w:lang w:val="en-US" w:eastAsia="zh-CN"/>
        </w:rPr>
        <w:t>目前</w:t>
      </w:r>
      <w:r>
        <w:rPr>
          <w:rFonts w:hint="eastAsia" w:ascii="Times New Roman" w:eastAsia="宋体"/>
          <w:color w:val="auto"/>
          <w:lang w:val="en-US" w:eastAsia="zh-CN"/>
        </w:rPr>
        <w:t>+100m中段主排水泵排水系统图</w:t>
      </w:r>
    </w:p>
    <w:p w14:paraId="1FF911EE">
      <w:pPr>
        <w:bidi w:val="0"/>
        <w:rPr>
          <w:rFonts w:hint="eastAsia"/>
          <w:color w:val="auto"/>
          <w:lang w:val="en-US" w:eastAsia="zh-CN"/>
        </w:rPr>
      </w:pPr>
      <w:r>
        <w:rPr>
          <w:rFonts w:hint="eastAsia" w:ascii="Times New Roman" w:eastAsia="宋体"/>
          <w:color w:val="auto"/>
          <w:lang w:val="en-US" w:eastAsia="zh-CN"/>
        </w:rPr>
        <w:t>（5）电动机功率估算</w:t>
      </w:r>
    </w:p>
    <w:p w14:paraId="5DC10D61">
      <w:pPr>
        <w:rPr>
          <w:rFonts w:hint="eastAsia"/>
          <w:color w:val="auto"/>
          <w:lang w:val="en-US" w:eastAsia="zh-CN"/>
        </w:rPr>
      </w:pPr>
      <w:r>
        <w:rPr>
          <w:color w:val="auto"/>
          <w:position w:val="-13"/>
        </w:rPr>
        <w:drawing>
          <wp:inline distT="0" distB="0" distL="0" distR="0">
            <wp:extent cx="1884045" cy="412115"/>
            <wp:effectExtent l="0" t="0" r="1905" b="635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24"/>
                    <a:stretch>
                      <a:fillRect/>
                    </a:stretch>
                  </pic:blipFill>
                  <pic:spPr>
                    <a:xfrm>
                      <a:off x="0" y="0"/>
                      <a:ext cx="1884393" cy="412627"/>
                    </a:xfrm>
                    <a:prstGeom prst="rect">
                      <a:avLst/>
                    </a:prstGeom>
                  </pic:spPr>
                </pic:pic>
              </a:graphicData>
            </a:graphic>
          </wp:inline>
        </w:drawing>
      </w:r>
    </w:p>
    <w:p w14:paraId="46BA2CAA">
      <w:pPr>
        <w:rPr>
          <w:rFonts w:hint="eastAsia"/>
          <w:color w:val="auto"/>
          <w:lang w:val="en-US" w:eastAsia="zh-CN"/>
        </w:rPr>
      </w:pPr>
      <w:r>
        <w:rPr>
          <w:color w:val="auto"/>
          <w:position w:val="-13"/>
        </w:rPr>
        <w:drawing>
          <wp:inline distT="0" distB="0" distL="0" distR="0">
            <wp:extent cx="3366135" cy="401320"/>
            <wp:effectExtent l="0" t="0" r="5715" b="1778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25"/>
                    <a:stretch>
                      <a:fillRect/>
                    </a:stretch>
                  </pic:blipFill>
                  <pic:spPr>
                    <a:xfrm>
                      <a:off x="0" y="0"/>
                      <a:ext cx="3366568" cy="401686"/>
                    </a:xfrm>
                    <a:prstGeom prst="rect">
                      <a:avLst/>
                    </a:prstGeom>
                  </pic:spPr>
                </pic:pic>
              </a:graphicData>
            </a:graphic>
          </wp:inline>
        </w:drawing>
      </w:r>
    </w:p>
    <w:p w14:paraId="034531E7">
      <w:pPr>
        <w:rPr>
          <w:rFonts w:hint="eastAsia"/>
          <w:color w:val="auto"/>
          <w:lang w:val="en-US" w:eastAsia="zh-CN"/>
        </w:rPr>
      </w:pPr>
      <w:r>
        <w:rPr>
          <w:rFonts w:hint="eastAsia" w:ascii="Times New Roman" w:eastAsia="宋体"/>
          <w:color w:val="auto"/>
          <w:lang w:val="en-US" w:eastAsia="zh-CN"/>
        </w:rPr>
        <w:t>电动机功率满足要求。</w:t>
      </w:r>
    </w:p>
    <w:p w14:paraId="447D071F">
      <w:pPr>
        <w:rPr>
          <w:rFonts w:hint="eastAsia"/>
          <w:color w:val="auto"/>
          <w:lang w:val="en-US" w:eastAsia="zh-CN"/>
        </w:rPr>
      </w:pPr>
      <w:r>
        <w:rPr>
          <w:rFonts w:hint="eastAsia" w:ascii="Times New Roman" w:eastAsia="宋体"/>
          <w:color w:val="auto"/>
          <w:lang w:val="en-US" w:eastAsia="zh-CN"/>
        </w:rPr>
        <w:t>（6）排水时间计算</w:t>
      </w:r>
    </w:p>
    <w:p w14:paraId="69A18C8F">
      <w:pPr>
        <w:rPr>
          <w:rFonts w:hint="eastAsia"/>
          <w:color w:val="auto"/>
          <w:lang w:val="en-US" w:eastAsia="zh-CN"/>
        </w:rPr>
      </w:pPr>
      <w:r>
        <w:rPr>
          <w:rFonts w:hint="eastAsia" w:ascii="Times New Roman" w:eastAsia="宋体"/>
          <w:color w:val="auto"/>
          <w:lang w:val="en-US" w:eastAsia="zh-CN"/>
        </w:rPr>
        <w:t>正常涌水时，2台水泵工作：</w:t>
      </w:r>
    </w:p>
    <w:p w14:paraId="5AE26CB7">
      <w:pPr>
        <w:rPr>
          <w:rFonts w:hint="eastAsia" w:ascii="Times New Roman" w:eastAsia="宋体"/>
          <w:color w:val="auto"/>
          <w:lang w:val="en-US" w:eastAsia="zh-CN"/>
        </w:rPr>
      </w:pPr>
      <w:r>
        <w:rPr>
          <w:rFonts w:hint="eastAsia" w:ascii="Times New Roman" w:eastAsia="宋体"/>
          <w:color w:val="auto"/>
          <w:lang w:val="en-US" w:eastAsia="zh-CN"/>
        </w:rPr>
        <w:t>h=24Q</w:t>
      </w:r>
      <w:r>
        <w:rPr>
          <w:rFonts w:hint="eastAsia" w:ascii="Times New Roman" w:eastAsia="宋体"/>
          <w:color w:val="auto"/>
          <w:vertAlign w:val="subscript"/>
          <w:lang w:val="en-US" w:eastAsia="zh-CN"/>
        </w:rPr>
        <w:t>n</w:t>
      </w:r>
      <w:r>
        <w:rPr>
          <w:rFonts w:hint="eastAsia" w:ascii="Times New Roman" w:eastAsia="宋体"/>
          <w:color w:val="auto"/>
          <w:lang w:val="en-US" w:eastAsia="zh-CN"/>
        </w:rPr>
        <w:t>/Q</w:t>
      </w:r>
      <w:r>
        <w:rPr>
          <w:rFonts w:hint="eastAsia" w:ascii="Times New Roman" w:eastAsia="宋体"/>
          <w:color w:val="auto"/>
          <w:vertAlign w:val="subscript"/>
          <w:lang w:val="en-US" w:eastAsia="zh-CN"/>
        </w:rPr>
        <w:t>A</w:t>
      </w:r>
      <w:r>
        <w:rPr>
          <w:rFonts w:hint="eastAsia" w:ascii="Times New Roman" w:eastAsia="宋体"/>
          <w:color w:val="auto"/>
          <w:lang w:val="en-US" w:eastAsia="zh-CN"/>
        </w:rPr>
        <w:t>=24×（161.25+6.6×0.9）/（155+155）×</w:t>
      </w:r>
      <w:r>
        <w:rPr>
          <w:rFonts w:hint="eastAsia" w:eastAsia="宋体"/>
          <w:color w:val="auto"/>
          <w:lang w:val="en-US" w:eastAsia="zh-CN"/>
        </w:rPr>
        <w:t>0.7</w:t>
      </w:r>
      <w:r>
        <w:rPr>
          <w:rFonts w:hint="eastAsia" w:ascii="Times New Roman" w:eastAsia="宋体"/>
          <w:color w:val="auto"/>
          <w:lang w:val="en-US" w:eastAsia="zh-CN"/>
        </w:rPr>
        <w:t>=</w:t>
      </w:r>
      <w:r>
        <w:rPr>
          <w:rFonts w:hint="eastAsia"/>
          <w:color w:val="auto"/>
          <w:lang w:val="en-US" w:eastAsia="zh-CN"/>
        </w:rPr>
        <w:t>18.49</w:t>
      </w:r>
      <w:r>
        <w:rPr>
          <w:rFonts w:hint="eastAsia" w:ascii="Times New Roman" w:eastAsia="宋体"/>
          <w:color w:val="auto"/>
          <w:lang w:val="en-US" w:eastAsia="zh-CN"/>
        </w:rPr>
        <w:t>h</w:t>
      </w:r>
      <w:r>
        <w:rPr>
          <w:rFonts w:hint="eastAsia"/>
          <w:color w:val="auto"/>
          <w:lang w:val="en-US" w:eastAsia="zh-CN"/>
        </w:rPr>
        <w:t>＜</w:t>
      </w:r>
      <w:r>
        <w:rPr>
          <w:rFonts w:hint="eastAsia" w:ascii="Times New Roman" w:eastAsia="宋体"/>
          <w:color w:val="auto"/>
          <w:lang w:val="en-US" w:eastAsia="zh-CN"/>
        </w:rPr>
        <w:t>20h</w:t>
      </w:r>
    </w:p>
    <w:p w14:paraId="7B0196A6">
      <w:pPr>
        <w:rPr>
          <w:rFonts w:hint="eastAsia"/>
          <w:color w:val="auto"/>
          <w:lang w:val="en-US" w:eastAsia="zh-CN"/>
        </w:rPr>
      </w:pPr>
      <w:r>
        <w:rPr>
          <w:rFonts w:hint="eastAsia" w:ascii="Times New Roman" w:eastAsia="宋体"/>
          <w:color w:val="auto"/>
          <w:lang w:val="en-US" w:eastAsia="zh-CN"/>
        </w:rPr>
        <w:t>最大涌水时，</w:t>
      </w:r>
      <w:r>
        <w:rPr>
          <w:rFonts w:hint="eastAsia"/>
          <w:color w:val="auto"/>
          <w:lang w:val="en-US" w:eastAsia="zh-CN"/>
        </w:rPr>
        <w:t>3</w:t>
      </w:r>
      <w:r>
        <w:rPr>
          <w:rFonts w:hint="eastAsia" w:ascii="Times New Roman" w:eastAsia="宋体"/>
          <w:color w:val="auto"/>
          <w:lang w:val="en-US" w:eastAsia="zh-CN"/>
        </w:rPr>
        <w:t>台水泵工作：</w:t>
      </w:r>
    </w:p>
    <w:p w14:paraId="49298F81">
      <w:pPr>
        <w:rPr>
          <w:rFonts w:hint="eastAsia"/>
          <w:color w:val="auto"/>
          <w:lang w:val="en-US" w:eastAsia="zh-CN"/>
        </w:rPr>
      </w:pPr>
      <w:r>
        <w:rPr>
          <w:rFonts w:hint="eastAsia" w:ascii="Times New Roman" w:eastAsia="宋体"/>
          <w:color w:val="auto"/>
          <w:lang w:val="en-US" w:eastAsia="zh-CN"/>
        </w:rPr>
        <w:t>h=24Q</w:t>
      </w:r>
      <w:r>
        <w:rPr>
          <w:rFonts w:hint="eastAsia" w:ascii="Times New Roman" w:eastAsia="宋体"/>
          <w:color w:val="auto"/>
          <w:vertAlign w:val="subscript"/>
          <w:lang w:val="en-US" w:eastAsia="zh-CN"/>
        </w:rPr>
        <w:t>max</w:t>
      </w:r>
      <w:r>
        <w:rPr>
          <w:rFonts w:hint="eastAsia" w:ascii="Times New Roman" w:eastAsia="宋体"/>
          <w:color w:val="auto"/>
          <w:lang w:val="en-US" w:eastAsia="zh-CN"/>
        </w:rPr>
        <w:t>/（Q</w:t>
      </w:r>
      <w:r>
        <w:rPr>
          <w:rFonts w:hint="eastAsia" w:ascii="Times New Roman" w:eastAsia="宋体"/>
          <w:color w:val="auto"/>
          <w:vertAlign w:val="subscript"/>
          <w:lang w:val="en-US" w:eastAsia="zh-CN"/>
        </w:rPr>
        <w:t>A</w:t>
      </w:r>
      <w:r>
        <w:rPr>
          <w:rFonts w:hint="eastAsia" w:ascii="Times New Roman" w:eastAsia="宋体"/>
          <w:color w:val="auto"/>
          <w:lang w:val="en-US" w:eastAsia="zh-CN"/>
        </w:rPr>
        <w:t>+Q</w:t>
      </w:r>
      <w:r>
        <w:rPr>
          <w:rFonts w:hint="eastAsia" w:ascii="Times New Roman" w:eastAsia="宋体"/>
          <w:color w:val="auto"/>
          <w:vertAlign w:val="subscript"/>
          <w:lang w:val="en-US" w:eastAsia="zh-CN"/>
        </w:rPr>
        <w:t>A</w:t>
      </w:r>
      <w:r>
        <w:rPr>
          <w:rFonts w:hint="eastAsia" w:ascii="Times New Roman" w:eastAsia="宋体"/>
          <w:color w:val="auto"/>
          <w:lang w:val="en-US" w:eastAsia="zh-CN"/>
        </w:rPr>
        <w:t>）=24×（211+6.6×0.9）/（155+155</w:t>
      </w:r>
      <w:r>
        <w:rPr>
          <w:rFonts w:hint="eastAsia"/>
          <w:color w:val="auto"/>
          <w:lang w:val="en-US" w:eastAsia="zh-CN"/>
        </w:rPr>
        <w:t>+155</w:t>
      </w:r>
      <w:r>
        <w:rPr>
          <w:rFonts w:hint="eastAsia" w:ascii="Times New Roman" w:eastAsia="宋体"/>
          <w:color w:val="auto"/>
          <w:lang w:val="en-US" w:eastAsia="zh-CN"/>
        </w:rPr>
        <w:t>）×</w:t>
      </w:r>
      <w:r>
        <w:rPr>
          <w:rFonts w:hint="eastAsia" w:eastAsia="宋体"/>
          <w:color w:val="auto"/>
          <w:lang w:val="en-US" w:eastAsia="zh-CN"/>
        </w:rPr>
        <w:t>0.7</w:t>
      </w:r>
      <w:r>
        <w:rPr>
          <w:rFonts w:hint="eastAsia" w:ascii="Times New Roman" w:eastAsia="宋体"/>
          <w:color w:val="auto"/>
          <w:lang w:val="en-US" w:eastAsia="zh-CN"/>
        </w:rPr>
        <w:t>=</w:t>
      </w:r>
      <w:r>
        <w:rPr>
          <w:rFonts w:hint="eastAsia"/>
          <w:color w:val="auto"/>
          <w:lang w:val="en-US" w:eastAsia="zh-CN"/>
        </w:rPr>
        <w:t>16</w:t>
      </w:r>
      <w:r>
        <w:rPr>
          <w:rFonts w:hint="eastAsia" w:ascii="Times New Roman" w:eastAsia="宋体"/>
          <w:color w:val="auto"/>
          <w:lang w:val="en-US" w:eastAsia="zh-CN"/>
        </w:rPr>
        <w:t>h</w:t>
      </w:r>
      <w:r>
        <w:rPr>
          <w:rFonts w:hint="eastAsia"/>
          <w:color w:val="auto"/>
          <w:lang w:val="en-US" w:eastAsia="zh-CN"/>
        </w:rPr>
        <w:t>＜</w:t>
      </w:r>
      <w:r>
        <w:rPr>
          <w:rFonts w:hint="eastAsia" w:ascii="Times New Roman" w:eastAsia="宋体"/>
          <w:color w:val="auto"/>
          <w:lang w:val="en-US" w:eastAsia="zh-CN"/>
        </w:rPr>
        <w:t>20h排水时间满足《金属非金属矿山安全规程》（GB16423-2020）要求。</w:t>
      </w:r>
    </w:p>
    <w:p w14:paraId="0F4DBB3F">
      <w:pPr>
        <w:bidi w:val="0"/>
        <w:rPr>
          <w:rFonts w:hint="default"/>
          <w:b/>
          <w:bCs/>
          <w:color w:val="auto"/>
          <w:lang w:val="en-US" w:eastAsia="zh-CN"/>
        </w:rPr>
      </w:pPr>
      <w:r>
        <w:rPr>
          <w:rFonts w:hint="default"/>
          <w:b/>
          <w:bCs/>
          <w:color w:val="auto"/>
          <w:lang w:val="en-US" w:eastAsia="zh-CN"/>
        </w:rPr>
        <w:t>3.8.1.4 评价小结</w:t>
      </w:r>
    </w:p>
    <w:p w14:paraId="48BD7F13">
      <w:pPr>
        <w:bidi w:val="0"/>
        <w:rPr>
          <w:rFonts w:hint="eastAsia"/>
          <w:color w:val="auto"/>
          <w:lang w:val="en-US" w:eastAsia="zh-CN"/>
        </w:rPr>
      </w:pPr>
      <w:r>
        <w:rPr>
          <w:rFonts w:hint="eastAsia"/>
          <w:color w:val="auto"/>
          <w:lang w:val="en-US" w:eastAsia="zh-CN"/>
        </w:rPr>
        <w:t>1. 通过预先危险性分析法分析，防排水单元存在的危险有害因素主要有：透水、触电、淹溺、机械伤害、噪声与振动等。其中透水、触电、淹溺等危害等级均为Ⅲ级，应加以重视；机械伤害、噪声与振动危害等级为Ⅱ级，也应加以注意。采取合理的措施后，以上危险有害因素能控制在可接受范围内。</w:t>
      </w:r>
    </w:p>
    <w:p w14:paraId="5BF687E8">
      <w:pPr>
        <w:bidi w:val="0"/>
        <w:rPr>
          <w:rFonts w:hint="eastAsia"/>
          <w:color w:val="auto"/>
          <w:lang w:val="en-US" w:eastAsia="zh-CN"/>
        </w:rPr>
      </w:pPr>
      <w:r>
        <w:rPr>
          <w:rFonts w:hint="eastAsia"/>
          <w:color w:val="auto"/>
          <w:lang w:val="en-US" w:eastAsia="zh-CN"/>
        </w:rPr>
        <w:t>2. 防排水系统沿用原有设备设施，无变化，原有排水设备能满足排水能力。</w:t>
      </w:r>
    </w:p>
    <w:p w14:paraId="2616E290">
      <w:pPr>
        <w:bidi w:val="0"/>
        <w:rPr>
          <w:rFonts w:hint="default"/>
          <w:color w:val="auto"/>
          <w:lang w:val="en-US" w:eastAsia="zh-CN"/>
        </w:rPr>
      </w:pPr>
      <w:r>
        <w:rPr>
          <w:rFonts w:hint="eastAsia"/>
          <w:color w:val="auto"/>
          <w:lang w:val="en-US" w:eastAsia="zh-CN"/>
        </w:rPr>
        <w:t>3. 矿山水文地质条件属中等类型，矿山设置了井下防治水领导机构，配备了专门探水设备。后续应按要求配备防治水专业技术人员、建立专门的探放水队伍，采用物探、钻探等方法进行探放水，且在遇到重大险情时必须立即停产撤人。</w:t>
      </w:r>
    </w:p>
    <w:p w14:paraId="5C2F1344">
      <w:pPr>
        <w:bidi w:val="0"/>
        <w:rPr>
          <w:rFonts w:hint="default"/>
          <w:color w:val="auto"/>
          <w:lang w:val="en-US" w:eastAsia="zh-CN"/>
        </w:rPr>
      </w:pPr>
      <w:r>
        <w:rPr>
          <w:rFonts w:hint="eastAsia"/>
          <w:color w:val="auto"/>
          <w:lang w:val="en-US" w:eastAsia="zh-CN"/>
        </w:rPr>
        <w:t>4. 目前经江西华安检测技术有限公司检测，矿井排水系统和主排水泵检测检验结论为合格，可继续沿用。</w:t>
      </w:r>
    </w:p>
    <w:p w14:paraId="670DDC12">
      <w:pPr>
        <w:bidi w:val="0"/>
        <w:rPr>
          <w:rFonts w:hint="default"/>
          <w:color w:val="auto"/>
          <w:lang w:val="en-US" w:eastAsia="zh-CN"/>
        </w:rPr>
      </w:pPr>
      <w:r>
        <w:rPr>
          <w:rFonts w:hint="eastAsia"/>
          <w:color w:val="auto"/>
          <w:lang w:val="en-US" w:eastAsia="zh-CN"/>
        </w:rPr>
        <w:t xml:space="preserve">5. </w:t>
      </w:r>
      <w:r>
        <w:rPr>
          <w:rFonts w:hint="default"/>
          <w:color w:val="auto"/>
          <w:lang w:val="en-US" w:eastAsia="zh-CN"/>
        </w:rPr>
        <w:t>采用安全检查表法对矿山防排水</w:t>
      </w:r>
      <w:r>
        <w:rPr>
          <w:rFonts w:hint="eastAsia"/>
          <w:color w:val="auto"/>
          <w:lang w:val="en-US" w:eastAsia="zh-CN"/>
        </w:rPr>
        <w:t>单元</w:t>
      </w:r>
      <w:r>
        <w:rPr>
          <w:rFonts w:hint="default"/>
          <w:color w:val="auto"/>
          <w:lang w:val="en-US" w:eastAsia="zh-CN"/>
        </w:rPr>
        <w:t>检查3大项6小项，全部符合，矿山防排水系统总体符合《金属非金属矿山安全规程》（GB16423-2020）的有关要求。</w:t>
      </w:r>
    </w:p>
    <w:p w14:paraId="3BD85DA3">
      <w:pPr>
        <w:rPr>
          <w:rFonts w:hint="eastAsia"/>
          <w:color w:val="auto"/>
          <w:lang w:val="en-US" w:eastAsia="zh-CN"/>
        </w:rPr>
      </w:pPr>
      <w:r>
        <w:rPr>
          <w:rFonts w:hint="eastAsia"/>
          <w:color w:val="auto"/>
          <w:lang w:val="en-US" w:eastAsia="zh-CN"/>
        </w:rPr>
        <w:t>6. 根据《可研报告》引用的涌水量数据进行排水能力计算，排水系统能力能够满足矿山排水需求。</w:t>
      </w:r>
    </w:p>
    <w:p w14:paraId="2227902E">
      <w:pPr>
        <w:pStyle w:val="4"/>
        <w:bidi w:val="0"/>
        <w:rPr>
          <w:rFonts w:hint="default"/>
          <w:color w:val="auto"/>
          <w:lang w:val="en-US" w:eastAsia="zh-CN"/>
        </w:rPr>
      </w:pPr>
      <w:bookmarkStart w:id="346" w:name="_Toc1807"/>
      <w:bookmarkStart w:id="347" w:name="_Toc24513"/>
      <w:bookmarkStart w:id="348" w:name="_Toc6228"/>
      <w:bookmarkStart w:id="349" w:name="_Toc15022"/>
      <w:r>
        <w:rPr>
          <w:rFonts w:hint="default"/>
          <w:color w:val="auto"/>
          <w:lang w:val="en-US" w:eastAsia="zh-CN"/>
        </w:rPr>
        <w:t>3.8.2 防灭火单元</w:t>
      </w:r>
      <w:bookmarkEnd w:id="346"/>
      <w:bookmarkEnd w:id="347"/>
      <w:bookmarkEnd w:id="348"/>
      <w:bookmarkEnd w:id="349"/>
    </w:p>
    <w:p w14:paraId="6F20AD0F">
      <w:pPr>
        <w:rPr>
          <w:rFonts w:hint="default"/>
          <w:b/>
          <w:bCs/>
          <w:color w:val="auto"/>
          <w:lang w:val="en-US" w:eastAsia="zh-CN"/>
        </w:rPr>
      </w:pPr>
      <w:r>
        <w:rPr>
          <w:rFonts w:hint="default"/>
          <w:b/>
          <w:bCs/>
          <w:color w:val="auto"/>
          <w:lang w:val="en-US" w:eastAsia="zh-CN"/>
        </w:rPr>
        <w:t>3.8.2.1 预先危险性分析</w:t>
      </w:r>
    </w:p>
    <w:p w14:paraId="040983BC">
      <w:pPr>
        <w:rPr>
          <w:rFonts w:hint="default"/>
          <w:color w:val="auto"/>
          <w:lang w:val="en-US" w:eastAsia="zh-CN"/>
        </w:rPr>
      </w:pPr>
      <w:r>
        <w:rPr>
          <w:rFonts w:hint="default"/>
          <w:color w:val="auto"/>
          <w:lang w:val="en-US" w:eastAsia="zh-CN"/>
        </w:rPr>
        <w:t>通过预先危险性分析法分析</w:t>
      </w:r>
      <w:r>
        <w:rPr>
          <w:rFonts w:hint="eastAsia"/>
          <w:color w:val="auto"/>
          <w:lang w:val="en-US" w:eastAsia="zh-CN"/>
        </w:rPr>
        <w:t>，</w:t>
      </w:r>
      <w:r>
        <w:rPr>
          <w:rFonts w:hint="default"/>
          <w:color w:val="auto"/>
          <w:lang w:val="en-US" w:eastAsia="zh-CN"/>
        </w:rPr>
        <w:t>防灭火单元存在的危险有害因素主要有</w:t>
      </w:r>
      <w:r>
        <w:rPr>
          <w:rFonts w:hint="eastAsia"/>
          <w:color w:val="auto"/>
          <w:lang w:val="en-US" w:eastAsia="zh-CN"/>
        </w:rPr>
        <w:t>：</w:t>
      </w:r>
      <w:r>
        <w:rPr>
          <w:rFonts w:hint="default"/>
          <w:color w:val="auto"/>
          <w:lang w:val="en-US" w:eastAsia="zh-CN"/>
        </w:rPr>
        <w:t>火灾、中毒窒息等，分析评价表见表</w:t>
      </w:r>
      <w:r>
        <w:rPr>
          <w:rFonts w:hint="eastAsia" w:ascii="Times New Roman" w:hAnsi="Times New Roman" w:eastAsia="宋体" w:cs="Times New Roman"/>
          <w:color w:val="auto"/>
          <w:lang w:val="en-US" w:eastAsia="zh-CN"/>
        </w:rPr>
        <w:t>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3</w:t>
      </w:r>
      <w:r>
        <w:rPr>
          <w:rFonts w:hint="default"/>
          <w:color w:val="auto"/>
          <w:lang w:val="en-US" w:eastAsia="zh-CN"/>
        </w:rPr>
        <w:t>。</w:t>
      </w:r>
    </w:p>
    <w:p w14:paraId="73A789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表3</w:t>
      </w:r>
      <w:r>
        <w:rPr>
          <w:rFonts w:hint="eastAsia" w:cs="Times New Roman"/>
          <w:color w:val="auto"/>
          <w:lang w:val="en-US" w:eastAsia="zh-CN"/>
        </w:rPr>
        <w:t>.8</w:t>
      </w:r>
      <w:r>
        <w:rPr>
          <w:rFonts w:hint="eastAsia" w:ascii="Times New Roman" w:hAnsi="Times New Roman" w:eastAsia="宋体" w:cs="Times New Roman"/>
          <w:color w:val="auto"/>
          <w:lang w:val="en-US" w:eastAsia="zh-CN"/>
        </w:rPr>
        <w:t>-</w:t>
      </w:r>
      <w:r>
        <w:rPr>
          <w:rFonts w:hint="eastAsia" w:cs="Times New Roman"/>
          <w:color w:val="auto"/>
          <w:lang w:val="en-US" w:eastAsia="zh-CN"/>
        </w:rPr>
        <w:t>3</w:t>
      </w:r>
      <w:r>
        <w:rPr>
          <w:rFonts w:hint="eastAsia" w:ascii="Times New Roman" w:hAnsi="Times New Roman" w:eastAsia="宋体" w:cs="Times New Roman"/>
          <w:color w:val="auto"/>
          <w:lang w:val="en-US" w:eastAsia="zh-CN"/>
        </w:rPr>
        <w:t xml:space="preserve"> </w:t>
      </w:r>
      <w:r>
        <w:rPr>
          <w:rFonts w:hint="default"/>
          <w:color w:val="auto"/>
          <w:lang w:val="en-US" w:eastAsia="zh-CN"/>
        </w:rPr>
        <w:t>防灭火单元</w:t>
      </w:r>
      <w:r>
        <w:rPr>
          <w:rFonts w:hint="eastAsia" w:ascii="Times New Roman" w:hAnsi="Times New Roman" w:eastAsia="宋体" w:cs="Times New Roman"/>
          <w:color w:val="auto"/>
          <w:lang w:val="en-US" w:eastAsia="zh-CN"/>
        </w:rPr>
        <w:t>预先危险性分析评价表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927"/>
        <w:gridCol w:w="1108"/>
        <w:gridCol w:w="727"/>
        <w:gridCol w:w="4773"/>
      </w:tblGrid>
      <w:tr w14:paraId="043C0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01" w:type="pct"/>
            <w:vAlign w:val="center"/>
          </w:tcPr>
          <w:p w14:paraId="499440D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危险因素</w:t>
            </w:r>
          </w:p>
        </w:tc>
        <w:tc>
          <w:tcPr>
            <w:tcW w:w="1038" w:type="pct"/>
            <w:vAlign w:val="center"/>
          </w:tcPr>
          <w:p w14:paraId="17CEAAA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原因</w:t>
            </w:r>
          </w:p>
        </w:tc>
        <w:tc>
          <w:tcPr>
            <w:tcW w:w="596" w:type="pct"/>
            <w:vAlign w:val="center"/>
          </w:tcPr>
          <w:p w14:paraId="40F8BFC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eastAsia="zh-CN" w:bidi="ar-SA"/>
              </w:rPr>
            </w:pPr>
            <w:r>
              <w:rPr>
                <w:rFonts w:hint="eastAsia" w:ascii="Times New Roman" w:hAnsi="Times New Roman" w:eastAsia="宋体" w:cs="Times New Roman"/>
                <w:b/>
                <w:bCs/>
                <w:snapToGrid w:val="0"/>
                <w:color w:val="auto"/>
                <w:spacing w:val="5"/>
                <w:kern w:val="0"/>
                <w:position w:val="4"/>
                <w:sz w:val="21"/>
                <w:szCs w:val="21"/>
                <w:lang w:val="en-US" w:eastAsia="zh-CN" w:bidi="ar-SA"/>
              </w:rPr>
              <w:t>后果</w:t>
            </w:r>
          </w:p>
        </w:tc>
        <w:tc>
          <w:tcPr>
            <w:tcW w:w="391" w:type="pct"/>
            <w:vAlign w:val="center"/>
          </w:tcPr>
          <w:p w14:paraId="591F7BD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危险等级</w:t>
            </w:r>
          </w:p>
        </w:tc>
        <w:tc>
          <w:tcPr>
            <w:tcW w:w="2571" w:type="pct"/>
            <w:vAlign w:val="center"/>
          </w:tcPr>
          <w:p w14:paraId="2F9F6A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spacing w:val="5"/>
                <w:kern w:val="0"/>
                <w:position w:val="4"/>
                <w:sz w:val="21"/>
                <w:szCs w:val="21"/>
                <w:lang w:val="en-US" w:bidi="ar-SA"/>
              </w:rPr>
            </w:pPr>
            <w:r>
              <w:rPr>
                <w:rFonts w:hint="eastAsia" w:ascii="Times New Roman" w:hAnsi="Times New Roman" w:eastAsia="宋体" w:cs="Times New Roman"/>
                <w:b/>
                <w:bCs/>
                <w:snapToGrid w:val="0"/>
                <w:color w:val="auto"/>
                <w:spacing w:val="5"/>
                <w:kern w:val="0"/>
                <w:position w:val="4"/>
                <w:sz w:val="21"/>
                <w:szCs w:val="21"/>
                <w:lang w:val="en-US" w:bidi="ar-SA"/>
              </w:rPr>
              <w:t>对策措施</w:t>
            </w:r>
          </w:p>
        </w:tc>
      </w:tr>
      <w:tr w14:paraId="2518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01" w:type="pct"/>
            <w:vAlign w:val="center"/>
          </w:tcPr>
          <w:p w14:paraId="4BC09D8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火灾</w:t>
            </w:r>
          </w:p>
        </w:tc>
        <w:tc>
          <w:tcPr>
            <w:tcW w:w="1038" w:type="pct"/>
            <w:vAlign w:val="center"/>
          </w:tcPr>
          <w:p w14:paraId="43465708">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1.消防系统不完善，灭火能力不足甚至缺失;</w:t>
            </w:r>
          </w:p>
          <w:p w14:paraId="10C6606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2.消防器材未定时检查、维护;</w:t>
            </w:r>
          </w:p>
          <w:p w14:paraId="58D19EF4">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3.电气设备发生火灾;</w:t>
            </w:r>
          </w:p>
          <w:p w14:paraId="28B2C61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4.作业人员不会正确使用消防器材。</w:t>
            </w:r>
          </w:p>
        </w:tc>
        <w:tc>
          <w:tcPr>
            <w:tcW w:w="596" w:type="pct"/>
            <w:vAlign w:val="center"/>
          </w:tcPr>
          <w:p w14:paraId="350112E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重大</w:t>
            </w:r>
            <w:r>
              <w:rPr>
                <w:rFonts w:hint="eastAsia" w:ascii="Times New Roman" w:hAnsi="Times New Roman" w:eastAsia="宋体" w:cs="Times New Roman"/>
                <w:snapToGrid w:val="0"/>
                <w:color w:val="auto"/>
                <w:spacing w:val="5"/>
                <w:kern w:val="0"/>
                <w:position w:val="4"/>
                <w:sz w:val="21"/>
                <w:szCs w:val="21"/>
                <w:lang w:val="en-US" w:bidi="ar-SA"/>
              </w:rPr>
              <w:t>人员伤亡</w:t>
            </w:r>
            <w:r>
              <w:rPr>
                <w:rFonts w:hint="eastAsia" w:cs="Times New Roman"/>
                <w:snapToGrid w:val="0"/>
                <w:color w:val="auto"/>
                <w:spacing w:val="5"/>
                <w:kern w:val="0"/>
                <w:position w:val="4"/>
                <w:sz w:val="21"/>
                <w:szCs w:val="21"/>
                <w:lang w:val="en-US" w:eastAsia="zh-CN" w:bidi="ar-SA"/>
              </w:rPr>
              <w:t>、设备严重损坏</w:t>
            </w:r>
          </w:p>
        </w:tc>
        <w:tc>
          <w:tcPr>
            <w:tcW w:w="391" w:type="pct"/>
            <w:vAlign w:val="center"/>
          </w:tcPr>
          <w:p w14:paraId="22CAF3E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spacing w:val="5"/>
                <w:kern w:val="0"/>
                <w:position w:val="4"/>
                <w:sz w:val="21"/>
                <w:szCs w:val="21"/>
                <w:lang w:val="en-US" w:bidi="ar-SA"/>
              </w:rPr>
            </w:pPr>
            <w:r>
              <w:rPr>
                <w:rFonts w:hint="eastAsia" w:ascii="宋体" w:hAnsi="宋体" w:eastAsia="宋体" w:cs="宋体"/>
                <w:snapToGrid w:val="0"/>
                <w:color w:val="auto"/>
                <w:kern w:val="0"/>
                <w:sz w:val="21"/>
                <w:szCs w:val="21"/>
              </w:rPr>
              <w:t>Ⅲ</w:t>
            </w:r>
          </w:p>
        </w:tc>
        <w:tc>
          <w:tcPr>
            <w:tcW w:w="2571" w:type="pct"/>
            <w:vAlign w:val="center"/>
          </w:tcPr>
          <w:p w14:paraId="6F92CF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严格设计和规范进行消防系统设计、安装;</w:t>
            </w:r>
          </w:p>
          <w:p w14:paraId="2C4B65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定时对消防器材进行检查、维护，确保其完好;</w:t>
            </w:r>
          </w:p>
          <w:p w14:paraId="030CD1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加强电气设备管理，防止发生火灾;</w:t>
            </w:r>
          </w:p>
          <w:p w14:paraId="23D8D7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加强对作业人员的消防培训，确保其在发生火灾时能够正确使用消防器材进行灭火。</w:t>
            </w:r>
          </w:p>
        </w:tc>
      </w:tr>
      <w:tr w14:paraId="5A0F5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01" w:type="pct"/>
            <w:vAlign w:val="center"/>
          </w:tcPr>
          <w:p w14:paraId="39B568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中毒窒息</w:t>
            </w:r>
          </w:p>
        </w:tc>
        <w:tc>
          <w:tcPr>
            <w:tcW w:w="1038" w:type="pct"/>
            <w:vAlign w:val="center"/>
          </w:tcPr>
          <w:p w14:paraId="40761B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1</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eastAsia="zh-CN" w:bidi="ar-SA"/>
              </w:rPr>
              <w:t>井下火灾产生大量有毒气体;</w:t>
            </w:r>
          </w:p>
          <w:p w14:paraId="5EB3D6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2</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eastAsia="zh-CN" w:bidi="ar-SA"/>
              </w:rPr>
              <w:t>火焰燃烧了空气中的大量氧气，使得灾区空气中氧气含量急剧下降;</w:t>
            </w:r>
          </w:p>
          <w:p w14:paraId="48CA147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ascii="Times New Roman" w:hAnsi="Times New Roman" w:eastAsia="宋体" w:cs="Times New Roman"/>
                <w:snapToGrid w:val="0"/>
                <w:color w:val="auto"/>
                <w:spacing w:val="5"/>
                <w:kern w:val="0"/>
                <w:position w:val="4"/>
                <w:sz w:val="21"/>
                <w:szCs w:val="21"/>
                <w:lang w:val="en-US" w:eastAsia="zh-CN"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eastAsia="zh-CN" w:bidi="ar-SA"/>
              </w:rPr>
              <w:t>通风不良;</w:t>
            </w:r>
          </w:p>
          <w:p w14:paraId="144CC06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eastAsia="zh-CN" w:bidi="ar-SA"/>
              </w:rPr>
            </w:pPr>
            <w:r>
              <w:rPr>
                <w:rFonts w:hint="eastAsia" w:cs="Times New Roman"/>
                <w:snapToGrid w:val="0"/>
                <w:color w:val="auto"/>
                <w:spacing w:val="5"/>
                <w:kern w:val="0"/>
                <w:position w:val="4"/>
                <w:sz w:val="21"/>
                <w:szCs w:val="21"/>
                <w:lang w:val="en-US" w:eastAsia="zh-CN" w:bidi="ar-SA"/>
              </w:rPr>
              <w:t>4.</w:t>
            </w:r>
            <w:r>
              <w:rPr>
                <w:rFonts w:hint="eastAsia" w:ascii="Times New Roman" w:hAnsi="Times New Roman" w:eastAsia="宋体" w:cs="Times New Roman"/>
                <w:snapToGrid w:val="0"/>
                <w:color w:val="auto"/>
                <w:spacing w:val="5"/>
                <w:kern w:val="0"/>
                <w:position w:val="4"/>
                <w:sz w:val="21"/>
                <w:szCs w:val="21"/>
                <w:lang w:val="en-US" w:eastAsia="zh-CN" w:bidi="ar-SA"/>
              </w:rPr>
              <w:t>人员无防护措施。</w:t>
            </w:r>
          </w:p>
        </w:tc>
        <w:tc>
          <w:tcPr>
            <w:tcW w:w="596" w:type="pct"/>
            <w:vAlign w:val="center"/>
          </w:tcPr>
          <w:p w14:paraId="13AEF93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人员伤亡</w:t>
            </w:r>
          </w:p>
        </w:tc>
        <w:tc>
          <w:tcPr>
            <w:tcW w:w="391" w:type="pct"/>
            <w:vAlign w:val="center"/>
          </w:tcPr>
          <w:p w14:paraId="2CAD381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snapToGrid w:val="0"/>
                <w:color w:val="auto"/>
                <w:kern w:val="0"/>
                <w:sz w:val="21"/>
                <w:szCs w:val="21"/>
              </w:rPr>
            </w:pPr>
            <w:r>
              <w:rPr>
                <w:rFonts w:hint="eastAsia" w:ascii="宋体" w:hAnsi="宋体" w:eastAsia="宋体" w:cs="宋体"/>
                <w:snapToGrid w:val="0"/>
                <w:color w:val="auto"/>
                <w:kern w:val="0"/>
                <w:sz w:val="21"/>
                <w:szCs w:val="21"/>
              </w:rPr>
              <w:t>Ⅲ</w:t>
            </w:r>
          </w:p>
        </w:tc>
        <w:tc>
          <w:tcPr>
            <w:tcW w:w="2571" w:type="pct"/>
            <w:vAlign w:val="center"/>
          </w:tcPr>
          <w:p w14:paraId="65839CF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1.</w:t>
            </w:r>
            <w:r>
              <w:rPr>
                <w:rFonts w:hint="eastAsia" w:ascii="Times New Roman" w:hAnsi="Times New Roman" w:eastAsia="宋体" w:cs="Times New Roman"/>
                <w:snapToGrid w:val="0"/>
                <w:color w:val="auto"/>
                <w:spacing w:val="5"/>
                <w:kern w:val="0"/>
                <w:position w:val="4"/>
                <w:sz w:val="21"/>
                <w:szCs w:val="21"/>
                <w:lang w:val="en-US" w:bidi="ar-SA"/>
              </w:rPr>
              <w:t>井下各种油类应单独存放于安全地点;</w:t>
            </w:r>
          </w:p>
          <w:p w14:paraId="3EF24C6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0" w:leftChars="0" w:right="0" w:rightChars="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eastAsia="zh-CN" w:bidi="ar-SA"/>
              </w:rPr>
              <w:t>2.</w:t>
            </w:r>
            <w:r>
              <w:rPr>
                <w:rFonts w:hint="eastAsia" w:ascii="Times New Roman" w:hAnsi="Times New Roman" w:eastAsia="宋体" w:cs="Times New Roman"/>
                <w:snapToGrid w:val="0"/>
                <w:color w:val="auto"/>
                <w:spacing w:val="5"/>
                <w:kern w:val="0"/>
                <w:position w:val="4"/>
                <w:sz w:val="21"/>
                <w:szCs w:val="21"/>
                <w:lang w:val="en-US" w:bidi="ar-SA"/>
              </w:rPr>
              <w:t>及时处理废弃的易燃物;</w:t>
            </w:r>
          </w:p>
          <w:p w14:paraId="63134E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3</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完善通风系统，主扇应有使矿井风流在10分钟内反向的措施;</w:t>
            </w:r>
          </w:p>
          <w:p w14:paraId="0C063C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4</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各设备硐室应配备灭火器材;</w:t>
            </w:r>
          </w:p>
          <w:p w14:paraId="1330D3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5</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建立防火制度，选用阻燃电缆;</w:t>
            </w:r>
          </w:p>
          <w:p w14:paraId="13E68A5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ascii="Times New Roman" w:hAnsi="Times New Roman" w:eastAsia="宋体" w:cs="Times New Roman"/>
                <w:snapToGrid w:val="0"/>
                <w:color w:val="auto"/>
                <w:spacing w:val="5"/>
                <w:kern w:val="0"/>
                <w:position w:val="4"/>
                <w:sz w:val="21"/>
                <w:szCs w:val="21"/>
                <w:lang w:val="en-US" w:bidi="ar-SA"/>
              </w:rPr>
              <w:t>6</w:t>
            </w:r>
            <w:r>
              <w:rPr>
                <w:rFonts w:hint="eastAsia" w:cs="Times New Roman"/>
                <w:snapToGrid w:val="0"/>
                <w:color w:val="auto"/>
                <w:spacing w:val="5"/>
                <w:kern w:val="0"/>
                <w:position w:val="4"/>
                <w:sz w:val="21"/>
                <w:szCs w:val="21"/>
                <w:lang w:val="en-US" w:eastAsia="zh-CN" w:bidi="ar-SA"/>
              </w:rPr>
              <w:t>.</w:t>
            </w:r>
            <w:r>
              <w:rPr>
                <w:rFonts w:hint="eastAsia" w:ascii="Times New Roman" w:hAnsi="Times New Roman" w:eastAsia="宋体" w:cs="Times New Roman"/>
                <w:snapToGrid w:val="0"/>
                <w:color w:val="auto"/>
                <w:spacing w:val="5"/>
                <w:kern w:val="0"/>
                <w:position w:val="4"/>
                <w:sz w:val="21"/>
                <w:szCs w:val="21"/>
                <w:lang w:val="en-US" w:bidi="ar-SA"/>
              </w:rPr>
              <w:t>井下主要硐室应有消防水管;</w:t>
            </w:r>
          </w:p>
          <w:p w14:paraId="163D181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5"/>
                <w:kern w:val="0"/>
                <w:position w:val="4"/>
                <w:sz w:val="21"/>
                <w:szCs w:val="21"/>
                <w:lang w:val="en-US" w:bidi="ar-SA"/>
              </w:rPr>
            </w:pPr>
            <w:r>
              <w:rPr>
                <w:rFonts w:hint="eastAsia" w:cs="Times New Roman"/>
                <w:snapToGrid w:val="0"/>
                <w:color w:val="auto"/>
                <w:spacing w:val="5"/>
                <w:kern w:val="0"/>
                <w:position w:val="4"/>
                <w:sz w:val="21"/>
                <w:szCs w:val="21"/>
                <w:lang w:val="en-US" w:eastAsia="zh-CN" w:bidi="ar-SA"/>
              </w:rPr>
              <w:t>7.</w:t>
            </w:r>
            <w:r>
              <w:rPr>
                <w:rFonts w:hint="eastAsia" w:ascii="Times New Roman" w:hAnsi="Times New Roman" w:eastAsia="宋体" w:cs="Times New Roman"/>
                <w:snapToGrid w:val="0"/>
                <w:color w:val="auto"/>
                <w:spacing w:val="5"/>
                <w:kern w:val="0"/>
                <w:position w:val="4"/>
                <w:sz w:val="21"/>
                <w:szCs w:val="21"/>
                <w:lang w:val="en-US" w:bidi="ar-SA"/>
              </w:rPr>
              <w:t>制定火灾应急预案并进行预演。</w:t>
            </w:r>
          </w:p>
        </w:tc>
      </w:tr>
    </w:tbl>
    <w:p w14:paraId="156AC99E">
      <w:pPr>
        <w:bidi w:val="0"/>
        <w:rPr>
          <w:rFonts w:hint="eastAsia"/>
          <w:color w:val="auto"/>
          <w:lang w:val="en-US" w:eastAsia="zh-CN"/>
        </w:rPr>
      </w:pPr>
      <w:r>
        <w:rPr>
          <w:rFonts w:hint="eastAsia"/>
          <w:color w:val="auto"/>
          <w:lang w:val="en-US" w:eastAsia="zh-CN"/>
        </w:rPr>
        <w:t>通过预先危险性分析法评价，防灭火单元存在的危险有害因素主要有：火灾、中毒窒息等，其伤害等级均为Ⅲ级，发生危害的后果可能造成人员伤亡，应重点防范。采取合理的措施后，以上危险有害因素能控制在可接受范围内。</w:t>
      </w:r>
    </w:p>
    <w:p w14:paraId="4E76799E">
      <w:pPr>
        <w:bidi w:val="0"/>
        <w:rPr>
          <w:rFonts w:hint="eastAsia"/>
          <w:b/>
          <w:bCs/>
          <w:color w:val="auto"/>
          <w:lang w:val="en-US" w:eastAsia="zh-CN"/>
        </w:rPr>
      </w:pPr>
      <w:r>
        <w:rPr>
          <w:rFonts w:hint="eastAsia"/>
          <w:b/>
          <w:bCs/>
          <w:color w:val="auto"/>
          <w:lang w:val="en-US" w:eastAsia="zh-CN"/>
        </w:rPr>
        <w:t>3.8.2.2 安全检查表</w:t>
      </w:r>
    </w:p>
    <w:p w14:paraId="76D939CD">
      <w:pPr>
        <w:bidi w:val="0"/>
        <w:rPr>
          <w:rFonts w:hint="eastAsia"/>
          <w:color w:val="auto"/>
          <w:lang w:val="en-US" w:eastAsia="zh-CN"/>
        </w:rPr>
      </w:pPr>
      <w:r>
        <w:rPr>
          <w:rFonts w:hint="eastAsia"/>
          <w:color w:val="auto"/>
          <w:lang w:val="en-US" w:eastAsia="zh-CN"/>
        </w:rPr>
        <w:t>根据矿山所处的环境和工程地质条件，按照《金属非金属矿山安全规程》</w:t>
      </w:r>
      <w:r>
        <w:rPr>
          <w:rFonts w:hint="default"/>
          <w:color w:val="auto"/>
          <w:lang w:val="en-US" w:eastAsia="zh-CN"/>
        </w:rPr>
        <w:t>（GB16423-2020）</w:t>
      </w:r>
      <w:r>
        <w:rPr>
          <w:rFonts w:hint="eastAsia"/>
          <w:color w:val="auto"/>
          <w:lang w:val="en-US" w:eastAsia="zh-CN"/>
        </w:rPr>
        <w:t>的要求，通过安全检查表法对矿山防灭火单元进行评价，具体评价见表3-16。</w:t>
      </w:r>
    </w:p>
    <w:p w14:paraId="79BDF7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lang w:val="en-US" w:eastAsia="zh-CN"/>
        </w:rPr>
      </w:pPr>
      <w:r>
        <w:rPr>
          <w:rFonts w:ascii="Times New Roman" w:hAnsi="Times New Roman" w:eastAsia="宋体" w:cs="Times New Roman"/>
          <w:color w:val="auto"/>
          <w:lang w:val="en-US" w:eastAsia="zh-CN"/>
        </w:rPr>
        <w:t>表</w:t>
      </w:r>
      <w:r>
        <w:rPr>
          <w:rFonts w:hint="eastAsia" w:ascii="Times New Roman" w:hAnsi="Times New Roman" w:eastAsia="宋体" w:cs="Times New Roman"/>
          <w:color w:val="auto"/>
          <w:lang w:val="en-US" w:eastAsia="zh-CN"/>
        </w:rPr>
        <w:t>3-</w:t>
      </w:r>
      <w:r>
        <w:rPr>
          <w:rFonts w:hint="eastAsia" w:cs="Times New Roman"/>
          <w:color w:val="auto"/>
          <w:lang w:val="en-US" w:eastAsia="zh-CN"/>
        </w:rPr>
        <w:t>16</w:t>
      </w:r>
      <w:r>
        <w:rPr>
          <w:rFonts w:hint="eastAsia" w:ascii="Times New Roman" w:hAnsi="Times New Roman" w:eastAsia="宋体" w:cs="Times New Roman"/>
          <w:color w:val="auto"/>
          <w:lang w:val="en-US" w:eastAsia="zh-CN"/>
        </w:rPr>
        <w:t xml:space="preserve"> </w:t>
      </w:r>
      <w:r>
        <w:rPr>
          <w:rFonts w:hint="eastAsia"/>
          <w:color w:val="auto"/>
          <w:lang w:val="en-US" w:eastAsia="zh-CN"/>
        </w:rPr>
        <w:t>防灭火</w:t>
      </w:r>
      <w:r>
        <w:rPr>
          <w:rFonts w:hint="eastAsia" w:ascii="Times New Roman" w:eastAsia="宋体"/>
          <w:color w:val="auto"/>
          <w:lang w:val="en-US" w:eastAsia="zh-CN"/>
        </w:rPr>
        <w:t>单元</w:t>
      </w:r>
      <w:r>
        <w:rPr>
          <w:rFonts w:ascii="Times New Roman" w:hAnsi="Times New Roman" w:eastAsia="宋体" w:cs="Times New Roman"/>
          <w:color w:val="auto"/>
          <w:lang w:val="en-US" w:eastAsia="zh-CN"/>
        </w:rPr>
        <w:t>安全检查表</w:t>
      </w:r>
    </w:p>
    <w:tbl>
      <w:tblPr>
        <w:tblStyle w:val="17"/>
        <w:tblW w:w="514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955"/>
        <w:gridCol w:w="3240"/>
        <w:gridCol w:w="1551"/>
        <w:gridCol w:w="2658"/>
        <w:gridCol w:w="587"/>
      </w:tblGrid>
      <w:tr w14:paraId="636D18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184" w:type="pct"/>
            <w:tcBorders>
              <w:left w:val="single" w:color="000000" w:sz="2" w:space="0"/>
              <w:right w:val="single" w:color="000000" w:sz="2" w:space="0"/>
            </w:tcBorders>
            <w:vAlign w:val="center"/>
          </w:tcPr>
          <w:p w14:paraId="27BBFC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511" w:type="pct"/>
            <w:tcBorders>
              <w:left w:val="single" w:color="000000" w:sz="2" w:space="0"/>
              <w:right w:val="single" w:color="000000" w:sz="2" w:space="0"/>
            </w:tcBorders>
            <w:vAlign w:val="center"/>
          </w:tcPr>
          <w:p w14:paraId="7003936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735" w:type="pct"/>
            <w:tcBorders>
              <w:left w:val="single" w:color="000000" w:sz="2" w:space="0"/>
              <w:right w:val="single" w:color="000000" w:sz="2" w:space="0"/>
            </w:tcBorders>
            <w:vAlign w:val="center"/>
          </w:tcPr>
          <w:p w14:paraId="26CE77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830" w:type="pct"/>
            <w:tcBorders>
              <w:left w:val="single" w:color="000000" w:sz="2" w:space="0"/>
              <w:right w:val="single" w:color="000000" w:sz="2" w:space="0"/>
            </w:tcBorders>
            <w:vAlign w:val="center"/>
          </w:tcPr>
          <w:p w14:paraId="56957D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423" w:type="pct"/>
            <w:tcBorders>
              <w:left w:val="single" w:color="000000" w:sz="2" w:space="0"/>
              <w:right w:val="single" w:color="000000" w:sz="2" w:space="0"/>
            </w:tcBorders>
            <w:vAlign w:val="center"/>
          </w:tcPr>
          <w:p w14:paraId="401AF3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14" w:type="pct"/>
            <w:tcBorders>
              <w:left w:val="single" w:color="000000" w:sz="2" w:space="0"/>
              <w:right w:val="single" w:color="000000" w:sz="2" w:space="0"/>
            </w:tcBorders>
            <w:vAlign w:val="center"/>
          </w:tcPr>
          <w:p w14:paraId="4AF118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45617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84" w:type="pct"/>
            <w:vMerge w:val="restart"/>
            <w:tcBorders>
              <w:top w:val="single" w:color="000000" w:sz="2" w:space="0"/>
              <w:left w:val="single" w:color="000000" w:sz="2" w:space="0"/>
              <w:right w:val="single" w:color="000000" w:sz="2" w:space="0"/>
            </w:tcBorders>
            <w:vAlign w:val="center"/>
          </w:tcPr>
          <w:p w14:paraId="0401B54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511" w:type="pct"/>
            <w:vMerge w:val="restart"/>
            <w:tcBorders>
              <w:top w:val="single" w:color="000000" w:sz="2" w:space="0"/>
              <w:left w:val="single" w:color="000000" w:sz="2" w:space="0"/>
              <w:right w:val="single" w:color="000000" w:sz="2" w:space="0"/>
            </w:tcBorders>
            <w:vAlign w:val="center"/>
          </w:tcPr>
          <w:p w14:paraId="50FAE8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宋体" w:hAnsi="宋体" w:eastAsia="宋体" w:cs="Times New Roman"/>
                <w:color w:val="auto"/>
                <w:sz w:val="21"/>
                <w:szCs w:val="21"/>
              </w:rPr>
              <w:t>井下消防供水系统</w:t>
            </w:r>
          </w:p>
        </w:tc>
        <w:tc>
          <w:tcPr>
            <w:tcW w:w="1735" w:type="pct"/>
            <w:tcBorders>
              <w:top w:val="single" w:color="000000" w:sz="2" w:space="0"/>
              <w:left w:val="single" w:color="000000" w:sz="2" w:space="0"/>
              <w:bottom w:val="single" w:color="000000" w:sz="2" w:space="0"/>
              <w:right w:val="single" w:color="000000" w:sz="2" w:space="0"/>
            </w:tcBorders>
            <w:vAlign w:val="center"/>
          </w:tcPr>
          <w:p w14:paraId="6F6E11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应结合井下供水系统设置井下消防管路。</w:t>
            </w:r>
          </w:p>
        </w:tc>
        <w:tc>
          <w:tcPr>
            <w:tcW w:w="830" w:type="pct"/>
            <w:tcBorders>
              <w:top w:val="single" w:color="000000" w:sz="2" w:space="0"/>
              <w:left w:val="single" w:color="000000" w:sz="2" w:space="0"/>
              <w:bottom w:val="single" w:color="000000" w:sz="2" w:space="0"/>
              <w:right w:val="single" w:color="000000" w:sz="2" w:space="0"/>
            </w:tcBorders>
            <w:vAlign w:val="center"/>
          </w:tcPr>
          <w:p w14:paraId="206FB4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第6.9.1.2条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D4E608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矿井井下消防、洒水利用井上、井下地形高差，采用消防与洒水合一的静压给水系统。消防洒水主干管D108×5由地面高位水池沿副斜井、中段运输巷、回风巷等敷设至井下。</w:t>
            </w:r>
          </w:p>
        </w:tc>
        <w:tc>
          <w:tcPr>
            <w:tcW w:w="314" w:type="pct"/>
            <w:tcBorders>
              <w:top w:val="single" w:color="000000" w:sz="2" w:space="0"/>
              <w:left w:val="single" w:color="000000" w:sz="2" w:space="0"/>
              <w:bottom w:val="single" w:color="000000" w:sz="2" w:space="0"/>
              <w:right w:val="single" w:color="000000" w:sz="2" w:space="0"/>
            </w:tcBorders>
            <w:vAlign w:val="center"/>
          </w:tcPr>
          <w:p w14:paraId="456738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7E68FA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continue"/>
            <w:tcBorders>
              <w:left w:val="single" w:color="000000" w:sz="2" w:space="0"/>
              <w:bottom w:val="single" w:color="000000" w:sz="2" w:space="0"/>
              <w:right w:val="single" w:color="000000" w:sz="2" w:space="0"/>
            </w:tcBorders>
            <w:vAlign w:val="center"/>
          </w:tcPr>
          <w:p w14:paraId="1C586C9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511" w:type="pct"/>
            <w:vMerge w:val="continue"/>
            <w:tcBorders>
              <w:left w:val="single" w:color="000000" w:sz="2" w:space="0"/>
              <w:bottom w:val="single" w:color="000000" w:sz="2" w:space="0"/>
              <w:right w:val="single" w:color="000000" w:sz="2" w:space="0"/>
            </w:tcBorders>
            <w:vAlign w:val="center"/>
          </w:tcPr>
          <w:p w14:paraId="2BEA0C0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3C94756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井下消防系统应符合下列规定:</w:t>
            </w:r>
          </w:p>
          <w:p w14:paraId="13DCFF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vertAlign w:val="baseline"/>
                <w:lang w:val="en-US" w:eastAsia="zh-CN" w:bidi="ar-SA"/>
              </w:rPr>
            </w:pPr>
            <w:r>
              <w:rPr>
                <w:rFonts w:hint="eastAsia" w:ascii="Times New Roman" w:hAnsi="Times New Roman" w:eastAsia="宋体" w:cs="Times New Roman"/>
                <w:snapToGrid w:val="0"/>
                <w:color w:val="auto"/>
                <w:spacing w:val="6"/>
                <w:kern w:val="0"/>
                <w:sz w:val="21"/>
                <w:szCs w:val="21"/>
                <w:lang w:val="en-US" w:bidi="ar-SA"/>
              </w:rPr>
              <w:t>--井下消防供水水池应能服务井下所有作业地点,水池容积不小于200m</w:t>
            </w:r>
            <w:r>
              <w:rPr>
                <w:rFonts w:hint="eastAsia" w:cs="Times New Roman"/>
                <w:snapToGrid w:val="0"/>
                <w:color w:val="auto"/>
                <w:spacing w:val="6"/>
                <w:kern w:val="0"/>
                <w:sz w:val="21"/>
                <w:szCs w:val="21"/>
                <w:vertAlign w:val="superscript"/>
                <w:lang w:val="en-US" w:eastAsia="zh-CN" w:bidi="ar-SA"/>
              </w:rPr>
              <w:t>3</w:t>
            </w:r>
            <w:r>
              <w:rPr>
                <w:rFonts w:hint="eastAsia" w:cs="Times New Roman"/>
                <w:snapToGrid w:val="0"/>
                <w:color w:val="auto"/>
                <w:spacing w:val="6"/>
                <w:kern w:val="0"/>
                <w:sz w:val="21"/>
                <w:szCs w:val="21"/>
                <w:vertAlign w:val="baseline"/>
                <w:lang w:val="en-US" w:eastAsia="zh-CN" w:bidi="ar-SA"/>
              </w:rPr>
              <w:t>；</w:t>
            </w:r>
          </w:p>
          <w:p w14:paraId="3F64E8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--消火栓栓口动压力应为0.25MPa~0.5MPa。供水系统压力过大时应采取减压措施;</w:t>
            </w:r>
          </w:p>
          <w:p w14:paraId="7F01846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--消火栓最不利点的水枪充实水柱不小于7m;</w:t>
            </w:r>
          </w:p>
          <w:p w14:paraId="3226A7E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--消防主水管内径不小于80mm。</w:t>
            </w:r>
          </w:p>
        </w:tc>
        <w:tc>
          <w:tcPr>
            <w:tcW w:w="830" w:type="pct"/>
            <w:tcBorders>
              <w:top w:val="single" w:color="000000" w:sz="2" w:space="0"/>
              <w:left w:val="single" w:color="000000" w:sz="2" w:space="0"/>
              <w:bottom w:val="single" w:color="000000" w:sz="2" w:space="0"/>
              <w:right w:val="single" w:color="000000" w:sz="2" w:space="0"/>
            </w:tcBorders>
            <w:vAlign w:val="center"/>
          </w:tcPr>
          <w:p w14:paraId="2A5D1A6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第6.9.1.5条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3AD481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vertAlign w:val="baseline"/>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采场消防用水取自高位水池</w:t>
            </w:r>
            <w:r>
              <w:rPr>
                <w:rFonts w:hint="eastAsia"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26"/>
                <w:kern w:val="0"/>
                <w:sz w:val="21"/>
                <w:szCs w:val="21"/>
                <w:lang w:val="en-US" w:eastAsia="zh-CN" w:bidi="ar-SA"/>
              </w:rPr>
              <w:t>高位水池总有效容积</w:t>
            </w:r>
            <w:r>
              <w:rPr>
                <w:rFonts w:hint="eastAsia" w:cs="Times New Roman"/>
                <w:snapToGrid w:val="0"/>
                <w:color w:val="auto"/>
                <w:spacing w:val="26"/>
                <w:kern w:val="0"/>
                <w:sz w:val="21"/>
                <w:szCs w:val="21"/>
                <w:lang w:val="en-US" w:eastAsia="zh-CN" w:bidi="ar-SA"/>
              </w:rPr>
              <w:t>300</w:t>
            </w:r>
            <w:r>
              <w:rPr>
                <w:rFonts w:hint="default" w:ascii="Times New Roman" w:hAnsi="Times New Roman" w:eastAsia="宋体" w:cs="Times New Roman"/>
                <w:snapToGrid w:val="0"/>
                <w:color w:val="auto"/>
                <w:spacing w:val="26"/>
                <w:kern w:val="0"/>
                <w:sz w:val="21"/>
                <w:szCs w:val="21"/>
                <w:lang w:val="en-US" w:eastAsia="zh-CN" w:bidi="ar-SA"/>
              </w:rPr>
              <w:t>m</w:t>
            </w:r>
            <w:r>
              <w:rPr>
                <w:rFonts w:hint="eastAsia" w:cs="Times New Roman"/>
                <w:snapToGrid w:val="0"/>
                <w:color w:val="auto"/>
                <w:spacing w:val="26"/>
                <w:kern w:val="0"/>
                <w:sz w:val="21"/>
                <w:szCs w:val="21"/>
                <w:vertAlign w:val="superscript"/>
                <w:lang w:val="en-US" w:eastAsia="zh-CN" w:bidi="ar-SA"/>
              </w:rPr>
              <w:t>3</w:t>
            </w:r>
            <w:r>
              <w:rPr>
                <w:rFonts w:hint="eastAsia" w:cs="Times New Roman"/>
                <w:snapToGrid w:val="0"/>
                <w:color w:val="auto"/>
                <w:spacing w:val="26"/>
                <w:kern w:val="0"/>
                <w:sz w:val="21"/>
                <w:szCs w:val="21"/>
                <w:vertAlign w:val="baseline"/>
                <w:lang w:val="en-US" w:eastAsia="zh-CN" w:bidi="ar-SA"/>
              </w:rPr>
              <w:t>，能够满足井下采掘、降尘以及消防用水的要求。消防水压为1.6MPa。</w:t>
            </w:r>
            <w:r>
              <w:rPr>
                <w:rFonts w:hint="eastAsia" w:ascii="Times New Roman" w:hAnsi="Times New Roman" w:eastAsia="宋体" w:cs="Times New Roman"/>
                <w:snapToGrid w:val="0"/>
                <w:color w:val="auto"/>
                <w:spacing w:val="6"/>
                <w:kern w:val="0"/>
                <w:sz w:val="21"/>
                <w:szCs w:val="21"/>
                <w:lang w:val="en-US" w:bidi="ar-SA"/>
              </w:rPr>
              <w:t>消防水管内径</w:t>
            </w:r>
            <w:r>
              <w:rPr>
                <w:rFonts w:hint="eastAsia" w:cs="Times New Roman"/>
                <w:snapToGrid w:val="0"/>
                <w:color w:val="auto"/>
                <w:spacing w:val="6"/>
                <w:kern w:val="0"/>
                <w:sz w:val="21"/>
                <w:szCs w:val="21"/>
                <w:lang w:val="en-US" w:eastAsia="zh-CN" w:bidi="ar-SA"/>
              </w:rPr>
              <w:t>108mm。</w:t>
            </w:r>
          </w:p>
        </w:tc>
        <w:tc>
          <w:tcPr>
            <w:tcW w:w="314" w:type="pct"/>
            <w:tcBorders>
              <w:top w:val="single" w:color="000000" w:sz="2" w:space="0"/>
              <w:left w:val="single" w:color="000000" w:sz="2" w:space="0"/>
              <w:bottom w:val="single" w:color="000000" w:sz="2" w:space="0"/>
              <w:right w:val="single" w:color="000000" w:sz="2" w:space="0"/>
            </w:tcBorders>
            <w:vAlign w:val="center"/>
          </w:tcPr>
          <w:p w14:paraId="6EA13D0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30C12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restart"/>
            <w:tcBorders>
              <w:top w:val="single" w:color="000000" w:sz="2" w:space="0"/>
              <w:left w:val="single" w:color="000000" w:sz="2" w:space="0"/>
              <w:right w:val="single" w:color="000000" w:sz="2" w:space="0"/>
            </w:tcBorders>
            <w:vAlign w:val="center"/>
          </w:tcPr>
          <w:p w14:paraId="0C80F9F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2</w:t>
            </w:r>
          </w:p>
        </w:tc>
        <w:tc>
          <w:tcPr>
            <w:tcW w:w="511" w:type="pct"/>
            <w:vMerge w:val="restart"/>
            <w:tcBorders>
              <w:top w:val="single" w:color="000000" w:sz="2" w:space="0"/>
              <w:left w:val="single" w:color="000000" w:sz="2" w:space="0"/>
              <w:right w:val="single" w:color="000000" w:sz="2" w:space="0"/>
            </w:tcBorders>
            <w:vAlign w:val="center"/>
          </w:tcPr>
          <w:p w14:paraId="3F6612C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r>
              <w:rPr>
                <w:rFonts w:hint="eastAsia" w:ascii="宋体" w:hAnsi="宋体" w:eastAsia="宋体" w:cs="Times New Roman"/>
                <w:color w:val="auto"/>
                <w:sz w:val="21"/>
                <w:szCs w:val="21"/>
              </w:rPr>
              <w:t>灭火装置</w:t>
            </w:r>
          </w:p>
        </w:tc>
        <w:tc>
          <w:tcPr>
            <w:tcW w:w="1735" w:type="pct"/>
            <w:tcBorders>
              <w:top w:val="single" w:color="000000" w:sz="2" w:space="0"/>
              <w:left w:val="single" w:color="000000" w:sz="2" w:space="0"/>
              <w:bottom w:val="single" w:color="000000" w:sz="2" w:space="0"/>
              <w:right w:val="single" w:color="000000" w:sz="2" w:space="0"/>
            </w:tcBorders>
            <w:vAlign w:val="center"/>
          </w:tcPr>
          <w:p w14:paraId="06A72A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下列场所应设消火栓:</w:t>
            </w:r>
          </w:p>
          <w:p w14:paraId="0A5356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--内燃自行设备通行频繁的主要斜坡道和主要平硐;</w:t>
            </w:r>
          </w:p>
          <w:p w14:paraId="14F5DBB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--燃油储存硐室和加油站;</w:t>
            </w:r>
          </w:p>
          <w:p w14:paraId="00981E3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--主要中段井底车场和无轨设备维修硐室。</w:t>
            </w:r>
          </w:p>
        </w:tc>
        <w:tc>
          <w:tcPr>
            <w:tcW w:w="830" w:type="pct"/>
            <w:tcBorders>
              <w:top w:val="single" w:color="000000" w:sz="2" w:space="0"/>
              <w:left w:val="single" w:color="000000" w:sz="2" w:space="0"/>
              <w:bottom w:val="single" w:color="000000" w:sz="2" w:space="0"/>
              <w:right w:val="single" w:color="000000" w:sz="2" w:space="0"/>
            </w:tcBorders>
            <w:vAlign w:val="center"/>
          </w:tcPr>
          <w:p w14:paraId="72731C7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第6.9.1.3条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7C4688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vertAlign w:val="baseline"/>
                <w:lang w:val="en-US" w:eastAsia="zh-CN" w:bidi="ar-SA"/>
              </w:rPr>
              <w:t>在重要保护区域及井下交通枢纽，如井底车场硐室、主要运输巷道、掘进巷道入口及木支护的巷道内每隔50～100m防火保护距离设置SN50型或SNSS50型消火栓，以保证有一股水柱灭火。</w:t>
            </w:r>
          </w:p>
        </w:tc>
        <w:tc>
          <w:tcPr>
            <w:tcW w:w="314" w:type="pct"/>
            <w:tcBorders>
              <w:top w:val="single" w:color="000000" w:sz="2" w:space="0"/>
              <w:left w:val="single" w:color="000000" w:sz="2" w:space="0"/>
              <w:bottom w:val="single" w:color="000000" w:sz="2" w:space="0"/>
              <w:right w:val="single" w:color="000000" w:sz="2" w:space="0"/>
            </w:tcBorders>
            <w:vAlign w:val="center"/>
          </w:tcPr>
          <w:p w14:paraId="747697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48FFA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continue"/>
            <w:tcBorders>
              <w:left w:val="single" w:color="000000" w:sz="2" w:space="0"/>
              <w:right w:val="single" w:color="000000" w:sz="2" w:space="0"/>
            </w:tcBorders>
            <w:vAlign w:val="center"/>
          </w:tcPr>
          <w:p w14:paraId="1BF5D6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11" w:type="pct"/>
            <w:vMerge w:val="continue"/>
            <w:tcBorders>
              <w:left w:val="single" w:color="000000" w:sz="2" w:space="0"/>
              <w:right w:val="single" w:color="000000" w:sz="2" w:space="0"/>
            </w:tcBorders>
            <w:vAlign w:val="center"/>
          </w:tcPr>
          <w:p w14:paraId="0DE9B5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27F733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斜坡道或巷道中的消火栓设置间距不大于100m;每个消火栓应配有水枪和水带,水带的长度应满足消火栓设置间距内的消防要求。</w:t>
            </w:r>
          </w:p>
        </w:tc>
        <w:tc>
          <w:tcPr>
            <w:tcW w:w="830" w:type="pct"/>
            <w:tcBorders>
              <w:top w:val="single" w:color="000000" w:sz="2" w:space="0"/>
              <w:left w:val="single" w:color="000000" w:sz="2" w:space="0"/>
              <w:bottom w:val="single" w:color="000000" w:sz="2" w:space="0"/>
              <w:right w:val="single" w:color="000000" w:sz="2" w:space="0"/>
            </w:tcBorders>
            <w:vAlign w:val="center"/>
          </w:tcPr>
          <w:p w14:paraId="535A441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第6.9.1.4条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16C324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vertAlign w:val="baseline"/>
                <w:lang w:val="en-US" w:eastAsia="zh-CN" w:bidi="ar-SA"/>
              </w:rPr>
              <w:t>每隔50～100m防火保护距离设置SN50型或SNSS50型消火栓。</w:t>
            </w:r>
          </w:p>
        </w:tc>
        <w:tc>
          <w:tcPr>
            <w:tcW w:w="314" w:type="pct"/>
            <w:tcBorders>
              <w:top w:val="single" w:color="000000" w:sz="2" w:space="0"/>
              <w:left w:val="single" w:color="000000" w:sz="2" w:space="0"/>
              <w:bottom w:val="single" w:color="000000" w:sz="2" w:space="0"/>
              <w:right w:val="single" w:color="000000" w:sz="2" w:space="0"/>
            </w:tcBorders>
            <w:vAlign w:val="center"/>
          </w:tcPr>
          <w:p w14:paraId="0622B52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534A56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restart"/>
            <w:tcBorders>
              <w:left w:val="single" w:color="000000" w:sz="2" w:space="0"/>
              <w:right w:val="single" w:color="000000" w:sz="2" w:space="0"/>
            </w:tcBorders>
            <w:vAlign w:val="center"/>
          </w:tcPr>
          <w:p w14:paraId="75C102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3</w:t>
            </w:r>
          </w:p>
        </w:tc>
        <w:tc>
          <w:tcPr>
            <w:tcW w:w="511" w:type="pct"/>
            <w:vMerge w:val="restart"/>
            <w:tcBorders>
              <w:left w:val="single" w:color="000000" w:sz="2" w:space="0"/>
              <w:right w:val="single" w:color="000000" w:sz="2" w:space="0"/>
            </w:tcBorders>
            <w:vAlign w:val="center"/>
          </w:tcPr>
          <w:p w14:paraId="3D55D3D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r>
              <w:rPr>
                <w:rFonts w:hint="eastAsia" w:ascii="宋体" w:hAnsi="宋体" w:eastAsia="宋体" w:cs="Times New Roman"/>
                <w:color w:val="auto"/>
                <w:sz w:val="21"/>
                <w:szCs w:val="21"/>
              </w:rPr>
              <w:t>消防器材</w:t>
            </w:r>
          </w:p>
          <w:p w14:paraId="0178E9D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r>
              <w:rPr>
                <w:rFonts w:hint="eastAsia" w:ascii="宋体" w:hAnsi="宋体" w:eastAsia="宋体" w:cs="Times New Roman"/>
                <w:color w:val="auto"/>
                <w:sz w:val="21"/>
                <w:szCs w:val="21"/>
              </w:rPr>
              <w:t>配备</w:t>
            </w:r>
          </w:p>
        </w:tc>
        <w:tc>
          <w:tcPr>
            <w:tcW w:w="1735" w:type="pct"/>
            <w:tcBorders>
              <w:top w:val="single" w:color="000000" w:sz="2" w:space="0"/>
              <w:left w:val="single" w:color="000000" w:sz="2" w:space="0"/>
              <w:bottom w:val="single" w:color="000000" w:sz="2" w:space="0"/>
              <w:right w:val="single" w:color="000000" w:sz="2" w:space="0"/>
            </w:tcBorders>
            <w:vAlign w:val="center"/>
          </w:tcPr>
          <w:p w14:paraId="48B1D6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在下列地点或区域应配置灭火器:</w:t>
            </w:r>
          </w:p>
          <w:p w14:paraId="760520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有人员和设备通行的主要进风巷道、进风井井口建筑、主要通风机房和压入式辅助通风机房、风硐及暖风道;</w:t>
            </w:r>
          </w:p>
          <w:p w14:paraId="43EE716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--人员提升竖井的马头门、井底车场;</w:t>
            </w:r>
          </w:p>
          <w:p w14:paraId="7021C7A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变压器室、变配电所、电机车库、维修硐室、破碎硐室、带式输送机驱动站等主要机电设备硐室、油库和加油站、爆破器材库、材料库、避灾硐室、休息或排班硐室等;</w:t>
            </w:r>
          </w:p>
          <w:p w14:paraId="514AB3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--内燃自行设备通行频繁的斜坡道和巷道,灭火器配置点间距不大于300m。</w:t>
            </w:r>
          </w:p>
        </w:tc>
        <w:tc>
          <w:tcPr>
            <w:tcW w:w="830" w:type="pct"/>
            <w:tcBorders>
              <w:top w:val="single" w:color="000000" w:sz="2" w:space="0"/>
              <w:left w:val="single" w:color="000000" w:sz="2" w:space="0"/>
              <w:bottom w:val="single" w:color="000000" w:sz="2" w:space="0"/>
              <w:right w:val="single" w:color="000000" w:sz="2" w:space="0"/>
            </w:tcBorders>
            <w:vAlign w:val="center"/>
          </w:tcPr>
          <w:p w14:paraId="64182C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第6.9.1.7条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4A9826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6"/>
                <w:kern w:val="0"/>
                <w:sz w:val="21"/>
                <w:szCs w:val="21"/>
                <w:lang w:val="en-US" w:eastAsia="zh-CN" w:bidi="ar-SA"/>
              </w:rPr>
              <w:t>《可研报告》</w:t>
            </w:r>
            <w:r>
              <w:rPr>
                <w:rFonts w:hint="eastAsia" w:ascii="Times New Roman" w:hAnsi="Times New Roman" w:eastAsia="宋体" w:cs="Times New Roman"/>
                <w:snapToGrid w:val="0"/>
                <w:color w:val="auto"/>
                <w:spacing w:val="6"/>
                <w:kern w:val="0"/>
                <w:sz w:val="21"/>
                <w:szCs w:val="21"/>
                <w:lang w:val="en-US" w:bidi="ar-SA"/>
              </w:rPr>
              <w:t>未明确</w:t>
            </w:r>
            <w:r>
              <w:rPr>
                <w:rFonts w:hint="eastAsia" w:cs="Times New Roman"/>
                <w:snapToGrid w:val="0"/>
                <w:color w:val="auto"/>
                <w:spacing w:val="6"/>
                <w:kern w:val="0"/>
                <w:sz w:val="21"/>
                <w:szCs w:val="21"/>
                <w:lang w:val="en-US" w:eastAsia="zh-CN" w:bidi="ar-SA"/>
              </w:rPr>
              <w:t>灭火器布置情况。</w:t>
            </w:r>
          </w:p>
        </w:tc>
        <w:tc>
          <w:tcPr>
            <w:tcW w:w="314" w:type="pct"/>
            <w:tcBorders>
              <w:top w:val="single" w:color="000000" w:sz="2" w:space="0"/>
              <w:left w:val="single" w:color="000000" w:sz="2" w:space="0"/>
              <w:bottom w:val="single" w:color="000000" w:sz="2" w:space="0"/>
              <w:right w:val="single" w:color="000000" w:sz="2" w:space="0"/>
            </w:tcBorders>
            <w:vAlign w:val="center"/>
          </w:tcPr>
          <w:p w14:paraId="409B784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r w14:paraId="40D2F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84" w:type="pct"/>
            <w:vMerge w:val="continue"/>
            <w:tcBorders>
              <w:left w:val="single" w:color="000000" w:sz="2" w:space="0"/>
              <w:bottom w:val="single" w:color="000000" w:sz="2" w:space="0"/>
              <w:right w:val="single" w:color="000000" w:sz="2" w:space="0"/>
            </w:tcBorders>
            <w:vAlign w:val="center"/>
          </w:tcPr>
          <w:p w14:paraId="6B51298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511" w:type="pct"/>
            <w:vMerge w:val="continue"/>
            <w:tcBorders>
              <w:left w:val="single" w:color="000000" w:sz="2" w:space="0"/>
              <w:bottom w:val="single" w:color="000000" w:sz="2" w:space="0"/>
              <w:right w:val="single" w:color="000000" w:sz="2" w:space="0"/>
            </w:tcBorders>
            <w:vAlign w:val="center"/>
          </w:tcPr>
          <w:p w14:paraId="68D5D4B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Times New Roman"/>
                <w:color w:val="auto"/>
                <w:sz w:val="21"/>
                <w:szCs w:val="21"/>
              </w:rPr>
            </w:pPr>
          </w:p>
        </w:tc>
        <w:tc>
          <w:tcPr>
            <w:tcW w:w="1735" w:type="pct"/>
            <w:tcBorders>
              <w:top w:val="single" w:color="000000" w:sz="2" w:space="0"/>
              <w:left w:val="single" w:color="000000" w:sz="2" w:space="0"/>
              <w:bottom w:val="single" w:color="000000" w:sz="2" w:space="0"/>
              <w:right w:val="single" w:color="000000" w:sz="2" w:space="0"/>
            </w:tcBorders>
            <w:vAlign w:val="center"/>
          </w:tcPr>
          <w:p w14:paraId="456D76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每个灭火器配置点的灭火器数量不少于2具,灭火器应能扑灭150m范围内的初始火源。</w:t>
            </w:r>
          </w:p>
        </w:tc>
        <w:tc>
          <w:tcPr>
            <w:tcW w:w="830" w:type="pct"/>
            <w:tcBorders>
              <w:top w:val="single" w:color="000000" w:sz="2" w:space="0"/>
              <w:left w:val="single" w:color="000000" w:sz="2" w:space="0"/>
              <w:bottom w:val="single" w:color="000000" w:sz="2" w:space="0"/>
              <w:right w:val="single" w:color="000000" w:sz="2" w:space="0"/>
            </w:tcBorders>
            <w:vAlign w:val="center"/>
          </w:tcPr>
          <w:p w14:paraId="4CAA3CA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eastAsia" w:ascii="Times New Roman" w:hAnsi="Times New Roman" w:eastAsia="宋体" w:cs="Times New Roman"/>
                <w:snapToGrid w:val="0"/>
                <w:color w:val="auto"/>
                <w:spacing w:val="8"/>
                <w:kern w:val="0"/>
                <w:sz w:val="21"/>
                <w:szCs w:val="21"/>
                <w:lang w:val="en-US" w:bidi="ar-SA"/>
              </w:rPr>
              <w:t>《金属非金属矿山安全规程》（GB16423-2020）</w:t>
            </w:r>
            <w:r>
              <w:rPr>
                <w:rFonts w:hint="eastAsia" w:cs="Times New Roman"/>
                <w:snapToGrid w:val="0"/>
                <w:color w:val="auto"/>
                <w:spacing w:val="8"/>
                <w:kern w:val="0"/>
                <w:sz w:val="21"/>
                <w:szCs w:val="21"/>
                <w:lang w:val="en-US" w:eastAsia="zh-CN" w:bidi="ar-SA"/>
              </w:rPr>
              <w:t>第6.9.1.8条</w:t>
            </w:r>
          </w:p>
        </w:tc>
        <w:tc>
          <w:tcPr>
            <w:tcW w:w="1423" w:type="pct"/>
            <w:tcBorders>
              <w:top w:val="single" w:color="000000" w:sz="2" w:space="0"/>
              <w:left w:val="single" w:color="000000" w:sz="2" w:space="0"/>
              <w:bottom w:val="single" w:color="000000" w:sz="2" w:space="0"/>
              <w:right w:val="single" w:color="000000" w:sz="2" w:space="0"/>
            </w:tcBorders>
            <w:vAlign w:val="center"/>
          </w:tcPr>
          <w:p w14:paraId="64BD934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6"/>
                <w:kern w:val="0"/>
                <w:sz w:val="21"/>
                <w:szCs w:val="21"/>
                <w:lang w:val="en-US" w:eastAsia="zh-CN" w:bidi="ar-SA"/>
              </w:rPr>
              <w:t>《可研报告》</w:t>
            </w:r>
            <w:r>
              <w:rPr>
                <w:rFonts w:hint="eastAsia" w:ascii="Times New Roman" w:hAnsi="Times New Roman" w:eastAsia="宋体" w:cs="Times New Roman"/>
                <w:snapToGrid w:val="0"/>
                <w:color w:val="auto"/>
                <w:spacing w:val="6"/>
                <w:kern w:val="0"/>
                <w:sz w:val="21"/>
                <w:szCs w:val="21"/>
                <w:lang w:val="en-US" w:bidi="ar-SA"/>
              </w:rPr>
              <w:t>未明确</w:t>
            </w:r>
            <w:r>
              <w:rPr>
                <w:rFonts w:hint="eastAsia" w:cs="Times New Roman"/>
                <w:snapToGrid w:val="0"/>
                <w:color w:val="auto"/>
                <w:spacing w:val="6"/>
                <w:kern w:val="0"/>
                <w:sz w:val="21"/>
                <w:szCs w:val="21"/>
                <w:lang w:val="en-US" w:eastAsia="zh-CN" w:bidi="ar-SA"/>
              </w:rPr>
              <w:t>灭火器布置情况。</w:t>
            </w:r>
          </w:p>
        </w:tc>
        <w:tc>
          <w:tcPr>
            <w:tcW w:w="314" w:type="pct"/>
            <w:tcBorders>
              <w:top w:val="single" w:color="000000" w:sz="2" w:space="0"/>
              <w:left w:val="single" w:color="000000" w:sz="2" w:space="0"/>
              <w:bottom w:val="single" w:color="000000" w:sz="2" w:space="0"/>
              <w:right w:val="single" w:color="000000" w:sz="2" w:space="0"/>
            </w:tcBorders>
            <w:vAlign w:val="center"/>
          </w:tcPr>
          <w:p w14:paraId="0E23EB0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下一步设计补充</w:t>
            </w:r>
          </w:p>
        </w:tc>
      </w:tr>
    </w:tbl>
    <w:p w14:paraId="306AB09C">
      <w:pPr>
        <w:bidi w:val="0"/>
        <w:rPr>
          <w:rFonts w:hint="eastAsia"/>
          <w:color w:val="auto"/>
          <w:lang w:val="en-US" w:eastAsia="zh-CN"/>
        </w:rPr>
      </w:pPr>
      <w:r>
        <w:rPr>
          <w:rFonts w:hint="eastAsia"/>
          <w:color w:val="auto"/>
          <w:lang w:val="en-US" w:eastAsia="zh-CN"/>
        </w:rPr>
        <w:t>采用安全检查表法对矿山防灭火系统检查3大项6小项，符合项4项，2项不符合，矿山防灭火单元总体符合《金属非金属矿山安全规程》</w:t>
      </w:r>
      <w:r>
        <w:rPr>
          <w:rFonts w:hint="default"/>
          <w:color w:val="auto"/>
          <w:lang w:val="en-US" w:eastAsia="zh-CN"/>
        </w:rPr>
        <w:t>（GB16423-2020）</w:t>
      </w:r>
      <w:r>
        <w:rPr>
          <w:rFonts w:hint="eastAsia"/>
          <w:color w:val="auto"/>
          <w:lang w:val="en-US" w:eastAsia="zh-CN"/>
        </w:rPr>
        <w:t>的有关要求，下一步设计需完善灭火器布置情况。</w:t>
      </w:r>
    </w:p>
    <w:p w14:paraId="59E7258A">
      <w:pPr>
        <w:bidi w:val="0"/>
        <w:rPr>
          <w:rFonts w:hint="default"/>
          <w:b/>
          <w:bCs/>
          <w:color w:val="auto"/>
          <w:lang w:val="en-US" w:eastAsia="zh-CN"/>
        </w:rPr>
      </w:pPr>
      <w:r>
        <w:rPr>
          <w:rFonts w:hint="default"/>
          <w:b/>
          <w:bCs/>
          <w:color w:val="auto"/>
          <w:lang w:val="en-US" w:eastAsia="zh-CN"/>
        </w:rPr>
        <w:t>3.8.2.3 评价小结</w:t>
      </w:r>
    </w:p>
    <w:p w14:paraId="6C170835">
      <w:pPr>
        <w:bidi w:val="0"/>
        <w:rPr>
          <w:rFonts w:hint="default"/>
          <w:color w:val="auto"/>
          <w:lang w:val="en-US" w:eastAsia="zh-CN"/>
        </w:rPr>
      </w:pPr>
      <w:r>
        <w:rPr>
          <w:rFonts w:hint="eastAsia"/>
          <w:color w:val="auto"/>
          <w:lang w:val="en-US" w:eastAsia="zh-CN"/>
        </w:rPr>
        <w:t xml:space="preserve">1. </w:t>
      </w:r>
      <w:r>
        <w:rPr>
          <w:rFonts w:hint="default"/>
          <w:color w:val="auto"/>
          <w:lang w:val="en-US" w:eastAsia="zh-CN"/>
        </w:rPr>
        <w:t>通过预先危险性分析法评价，防灭火单元存在的危险有害因素主要有：火灾、中毒窒息等，其伤害等级均为</w:t>
      </w:r>
      <w:r>
        <w:rPr>
          <w:rFonts w:hint="eastAsia" w:ascii="宋体" w:hAnsi="宋体" w:eastAsia="宋体" w:cs="宋体"/>
          <w:color w:val="auto"/>
          <w:lang w:val="en-US" w:eastAsia="zh-CN"/>
        </w:rPr>
        <w:t>Ⅲ</w:t>
      </w:r>
      <w:r>
        <w:rPr>
          <w:rFonts w:hint="default"/>
          <w:color w:val="auto"/>
          <w:lang w:val="en-US" w:eastAsia="zh-CN"/>
        </w:rPr>
        <w:t>级，发生危害的后果可能造成人员伤亡，应重点防范。采取合理的措施后，以上危险有害因素能控制在可接受范围内。</w:t>
      </w:r>
    </w:p>
    <w:p w14:paraId="531E5BF3">
      <w:pPr>
        <w:bidi w:val="0"/>
        <w:rPr>
          <w:rFonts w:hint="eastAsia"/>
          <w:color w:val="auto"/>
          <w:lang w:val="en-US" w:eastAsia="zh-CN"/>
        </w:rPr>
      </w:pPr>
      <w:r>
        <w:rPr>
          <w:rFonts w:hint="eastAsia"/>
          <w:color w:val="auto"/>
          <w:lang w:val="en-US" w:eastAsia="zh-CN"/>
        </w:rPr>
        <w:t>2. 采用安全检查表法对矿山防灭火系统检查3大项6小项，符合项4项，2项不符合，矿山防灭火单元总体符合《金属非金属矿山安全规程》</w:t>
      </w:r>
      <w:r>
        <w:rPr>
          <w:rFonts w:hint="default"/>
          <w:color w:val="auto"/>
          <w:lang w:val="en-US" w:eastAsia="zh-CN"/>
        </w:rPr>
        <w:t>（GB16423-2020）</w:t>
      </w:r>
      <w:r>
        <w:rPr>
          <w:rFonts w:hint="eastAsia"/>
          <w:color w:val="auto"/>
          <w:lang w:val="en-US" w:eastAsia="zh-CN"/>
        </w:rPr>
        <w:t>的有关要求，下一步设计需完善灭火器布置情况。</w:t>
      </w:r>
    </w:p>
    <w:p w14:paraId="68A8E50D">
      <w:pPr>
        <w:pStyle w:val="3"/>
        <w:bidi w:val="0"/>
        <w:rPr>
          <w:rFonts w:hint="default"/>
          <w:color w:val="auto"/>
          <w:lang w:val="en-US" w:eastAsia="zh-CN"/>
        </w:rPr>
      </w:pPr>
      <w:bookmarkStart w:id="350" w:name="_Toc17439"/>
      <w:bookmarkStart w:id="351" w:name="_Toc26919"/>
      <w:bookmarkStart w:id="352" w:name="_Toc17968"/>
      <w:bookmarkStart w:id="353" w:name="_Toc23284"/>
      <w:r>
        <w:rPr>
          <w:rFonts w:hint="default"/>
          <w:color w:val="auto"/>
          <w:lang w:val="en-US" w:eastAsia="zh-CN"/>
        </w:rPr>
        <w:t>3.</w:t>
      </w:r>
      <w:r>
        <w:rPr>
          <w:rFonts w:hint="eastAsia"/>
          <w:color w:val="auto"/>
          <w:lang w:val="en-US" w:eastAsia="zh-CN"/>
        </w:rPr>
        <w:t>9</w:t>
      </w:r>
      <w:r>
        <w:rPr>
          <w:rFonts w:hint="default"/>
          <w:color w:val="auto"/>
          <w:lang w:val="en-US" w:eastAsia="zh-CN"/>
        </w:rPr>
        <w:t xml:space="preserve"> 安全避险</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r>
        <w:rPr>
          <w:rFonts w:hint="default"/>
          <w:color w:val="auto"/>
          <w:lang w:val="en-US" w:eastAsia="zh-CN"/>
        </w:rPr>
        <w:t>单元</w:t>
      </w:r>
      <w:bookmarkEnd w:id="350"/>
      <w:bookmarkEnd w:id="351"/>
      <w:bookmarkEnd w:id="352"/>
      <w:bookmarkEnd w:id="353"/>
    </w:p>
    <w:p w14:paraId="2A1793C2">
      <w:pPr>
        <w:pStyle w:val="4"/>
        <w:bidi w:val="0"/>
        <w:rPr>
          <w:rFonts w:hint="default"/>
          <w:color w:val="auto"/>
          <w:lang w:val="en-US" w:eastAsia="zh-CN"/>
        </w:rPr>
      </w:pPr>
      <w:bookmarkStart w:id="354" w:name="_Toc8594"/>
      <w:bookmarkStart w:id="355" w:name="_Toc25858"/>
      <w:bookmarkStart w:id="356" w:name="_Toc15442"/>
      <w:bookmarkStart w:id="357" w:name="_Toc885"/>
      <w:r>
        <w:rPr>
          <w:rFonts w:hint="default"/>
          <w:color w:val="auto"/>
          <w:lang w:val="en-US" w:eastAsia="zh-CN"/>
        </w:rPr>
        <w:t>3.</w:t>
      </w:r>
      <w:r>
        <w:rPr>
          <w:rFonts w:hint="eastAsia"/>
          <w:color w:val="auto"/>
          <w:lang w:val="en-US" w:eastAsia="zh-CN"/>
        </w:rPr>
        <w:t>9.1</w:t>
      </w:r>
      <w:r>
        <w:rPr>
          <w:rFonts w:hint="default"/>
          <w:color w:val="auto"/>
          <w:lang w:val="en-US" w:eastAsia="zh-CN"/>
        </w:rPr>
        <w:t xml:space="preserve"> 安全检查表法</w:t>
      </w:r>
      <w:bookmarkEnd w:id="354"/>
      <w:bookmarkEnd w:id="355"/>
      <w:bookmarkEnd w:id="356"/>
      <w:bookmarkEnd w:id="357"/>
    </w:p>
    <w:p w14:paraId="7A6879D1">
      <w:pPr>
        <w:rPr>
          <w:rFonts w:hint="default"/>
          <w:color w:val="auto"/>
          <w:lang w:val="en-US" w:eastAsia="zh-CN"/>
        </w:rPr>
      </w:pPr>
      <w:r>
        <w:rPr>
          <w:rFonts w:hint="default"/>
          <w:color w:val="auto"/>
          <w:lang w:val="en-US" w:eastAsia="zh-CN"/>
        </w:rPr>
        <w:t>根据《应急管理部 国家矿山安全监察局关于印发</w:t>
      </w:r>
      <w:r>
        <w:rPr>
          <w:rFonts w:hint="eastAsia"/>
          <w:color w:val="auto"/>
          <w:lang w:val="en-US" w:eastAsia="zh-CN"/>
        </w:rPr>
        <w:t>&lt;“</w:t>
      </w:r>
      <w:r>
        <w:rPr>
          <w:rFonts w:hint="default"/>
          <w:color w:val="auto"/>
          <w:lang w:val="en-US" w:eastAsia="zh-CN"/>
        </w:rPr>
        <w:t>十四五</w:t>
      </w:r>
      <w:r>
        <w:rPr>
          <w:rFonts w:hint="eastAsia"/>
          <w:color w:val="auto"/>
          <w:lang w:val="en-US" w:eastAsia="zh-CN"/>
        </w:rPr>
        <w:t>”</w:t>
      </w:r>
      <w:r>
        <w:rPr>
          <w:rFonts w:hint="default"/>
          <w:color w:val="auto"/>
          <w:lang w:val="en-US" w:eastAsia="zh-CN"/>
        </w:rPr>
        <w:t>矿山安全生产规划</w:t>
      </w:r>
      <w:r>
        <w:rPr>
          <w:rFonts w:hint="eastAsia"/>
          <w:color w:val="auto"/>
          <w:lang w:val="en-US" w:eastAsia="zh-CN"/>
        </w:rPr>
        <w:t>&gt;</w:t>
      </w:r>
      <w:r>
        <w:rPr>
          <w:rFonts w:hint="default"/>
          <w:color w:val="auto"/>
          <w:lang w:val="en-US" w:eastAsia="zh-CN"/>
        </w:rPr>
        <w:t>的通知》</w:t>
      </w:r>
      <w:r>
        <w:rPr>
          <w:rFonts w:hint="eastAsia"/>
          <w:color w:val="auto"/>
          <w:lang w:val="en-US" w:eastAsia="zh-CN"/>
        </w:rPr>
        <w:t>（</w:t>
      </w:r>
      <w:r>
        <w:rPr>
          <w:rFonts w:hint="default"/>
          <w:color w:val="auto"/>
          <w:lang w:val="en-US" w:eastAsia="zh-CN"/>
        </w:rPr>
        <w:t>矿安</w:t>
      </w:r>
      <w:r>
        <w:rPr>
          <w:rFonts w:hint="eastAsia" w:ascii="Times New Roman" w:eastAsia="宋体"/>
          <w:color w:val="auto"/>
          <w:lang w:val="en-US" w:eastAsia="zh-CN"/>
        </w:rPr>
        <w:t>〔202</w:t>
      </w:r>
      <w:r>
        <w:rPr>
          <w:rFonts w:hint="eastAsia"/>
          <w:color w:val="auto"/>
          <w:lang w:val="en-US" w:eastAsia="zh-CN"/>
        </w:rPr>
        <w:t>2</w:t>
      </w:r>
      <w:r>
        <w:rPr>
          <w:rFonts w:hint="eastAsia" w:ascii="Times New Roman" w:eastAsia="宋体"/>
          <w:color w:val="auto"/>
          <w:lang w:val="en-US" w:eastAsia="zh-CN"/>
        </w:rPr>
        <w:t>〕</w:t>
      </w:r>
      <w:r>
        <w:rPr>
          <w:rFonts w:hint="default"/>
          <w:color w:val="auto"/>
          <w:lang w:val="en-US" w:eastAsia="zh-CN"/>
        </w:rPr>
        <w:t>64号</w:t>
      </w:r>
      <w:r>
        <w:rPr>
          <w:rFonts w:hint="eastAsia"/>
          <w:color w:val="auto"/>
          <w:lang w:val="en-US" w:eastAsia="zh-CN"/>
        </w:rPr>
        <w:t>）</w:t>
      </w:r>
      <w:r>
        <w:rPr>
          <w:rFonts w:hint="default"/>
          <w:color w:val="auto"/>
          <w:lang w:val="en-US" w:eastAsia="zh-CN"/>
        </w:rPr>
        <w:t>、《金属非金属地下矿山监测监控系统建设规范》、《金属非金属地下矿山人员定位系统建设规范》、《金属非金属地下矿山紧急避险系统建设规范》、《金属非金属地下矿山压风自救系统建设规范》、《金属非金属地下矿山供水施救系统建设规范》、《金属非金属地下矿山通信联络系统建设规范》，通过安全检查表法对矿山安全避险</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r>
        <w:rPr>
          <w:rFonts w:hint="default"/>
          <w:color w:val="auto"/>
          <w:lang w:val="en-US" w:eastAsia="zh-CN"/>
        </w:rPr>
        <w:t>单元进行评价，具体评价见表</w:t>
      </w:r>
      <w:r>
        <w:rPr>
          <w:rFonts w:hint="eastAsia"/>
          <w:color w:val="auto"/>
          <w:lang w:val="en-US" w:eastAsia="zh-CN"/>
        </w:rPr>
        <w:t>3.9-1</w:t>
      </w:r>
      <w:r>
        <w:rPr>
          <w:rFonts w:hint="default"/>
          <w:color w:val="auto"/>
          <w:lang w:val="en-US" w:eastAsia="zh-CN"/>
        </w:rPr>
        <w:t>。</w:t>
      </w:r>
    </w:p>
    <w:p w14:paraId="0F7D7A8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lang w:val="en-US" w:eastAsia="zh-CN"/>
        </w:rPr>
      </w:pPr>
      <w:r>
        <w:rPr>
          <w:rFonts w:hint="default"/>
          <w:color w:val="auto"/>
          <w:lang w:val="en-US" w:eastAsia="zh-CN"/>
        </w:rPr>
        <w:t>表</w:t>
      </w:r>
      <w:r>
        <w:rPr>
          <w:rFonts w:hint="eastAsia"/>
          <w:color w:val="auto"/>
          <w:lang w:val="en-US" w:eastAsia="zh-CN"/>
        </w:rPr>
        <w:t xml:space="preserve">3.9-1 </w:t>
      </w:r>
      <w:r>
        <w:rPr>
          <w:rFonts w:hint="default"/>
          <w:color w:val="auto"/>
          <w:lang w:val="en-US" w:eastAsia="zh-CN"/>
        </w:rPr>
        <w:t>安全避险</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r>
        <w:rPr>
          <w:rFonts w:hint="default"/>
          <w:color w:val="auto"/>
          <w:lang w:val="en-US" w:eastAsia="zh-CN"/>
        </w:rPr>
        <w:t>单元</w:t>
      </w:r>
      <w:r>
        <w:rPr>
          <w:rFonts w:hint="eastAsia"/>
          <w:color w:val="auto"/>
          <w:lang w:val="en-US" w:eastAsia="zh-CN"/>
        </w:rPr>
        <w:t>安全检查表</w:t>
      </w:r>
    </w:p>
    <w:tbl>
      <w:tblPr>
        <w:tblStyle w:val="17"/>
        <w:tblW w:w="51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6"/>
        <w:gridCol w:w="478"/>
        <w:gridCol w:w="3084"/>
        <w:gridCol w:w="1656"/>
        <w:gridCol w:w="2675"/>
        <w:gridCol w:w="588"/>
      </w:tblGrid>
      <w:tr w14:paraId="35D45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87" w:type="pct"/>
            <w:vAlign w:val="center"/>
          </w:tcPr>
          <w:p w14:paraId="6D8513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序号</w:t>
            </w:r>
          </w:p>
        </w:tc>
        <w:tc>
          <w:tcPr>
            <w:tcW w:w="254" w:type="pct"/>
            <w:vAlign w:val="center"/>
          </w:tcPr>
          <w:p w14:paraId="76C409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检查项目</w:t>
            </w:r>
          </w:p>
        </w:tc>
        <w:tc>
          <w:tcPr>
            <w:tcW w:w="1641" w:type="pct"/>
            <w:vAlign w:val="center"/>
          </w:tcPr>
          <w:p w14:paraId="4F8D86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bCs/>
                <w:snapToGrid w:val="0"/>
                <w:color w:val="auto"/>
                <w:kern w:val="0"/>
                <w:sz w:val="21"/>
                <w:szCs w:val="21"/>
                <w:lang w:val="en-US" w:eastAsia="zh-CN" w:bidi="ar-SA"/>
              </w:rPr>
            </w:pPr>
            <w:r>
              <w:rPr>
                <w:rFonts w:ascii="Times New Roman" w:hAnsi="Times New Roman" w:eastAsia="宋体" w:cs="Times New Roman"/>
                <w:b/>
                <w:bCs/>
                <w:snapToGrid w:val="0"/>
                <w:color w:val="auto"/>
                <w:kern w:val="0"/>
                <w:sz w:val="21"/>
                <w:szCs w:val="21"/>
                <w:lang w:val="en-US" w:bidi="ar-SA"/>
              </w:rPr>
              <w:t>检查</w:t>
            </w:r>
            <w:r>
              <w:rPr>
                <w:rFonts w:hint="eastAsia" w:ascii="Times New Roman" w:hAnsi="Times New Roman" w:eastAsia="宋体" w:cs="Times New Roman"/>
                <w:b/>
                <w:bCs/>
                <w:snapToGrid w:val="0"/>
                <w:color w:val="auto"/>
                <w:kern w:val="0"/>
                <w:sz w:val="21"/>
                <w:szCs w:val="21"/>
                <w:lang w:val="en-US" w:eastAsia="zh-CN" w:bidi="ar-SA"/>
              </w:rPr>
              <w:t>内容</w:t>
            </w:r>
          </w:p>
        </w:tc>
        <w:tc>
          <w:tcPr>
            <w:tcW w:w="881" w:type="pct"/>
            <w:vAlign w:val="center"/>
          </w:tcPr>
          <w:p w14:paraId="3297B27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检查依据</w:t>
            </w:r>
          </w:p>
        </w:tc>
        <w:tc>
          <w:tcPr>
            <w:tcW w:w="1423" w:type="pct"/>
            <w:vAlign w:val="center"/>
          </w:tcPr>
          <w:p w14:paraId="181DF55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eastAsia" w:ascii="Times New Roman" w:hAnsi="Times New Roman" w:eastAsia="宋体" w:cs="Times New Roman"/>
                <w:b/>
                <w:bCs/>
                <w:snapToGrid w:val="0"/>
                <w:color w:val="auto"/>
                <w:kern w:val="0"/>
                <w:sz w:val="21"/>
                <w:szCs w:val="21"/>
                <w:lang w:val="en-US" w:eastAsia="zh-CN" w:bidi="ar-SA"/>
              </w:rPr>
              <w:t>检查情况</w:t>
            </w:r>
          </w:p>
        </w:tc>
        <w:tc>
          <w:tcPr>
            <w:tcW w:w="312" w:type="pct"/>
            <w:vAlign w:val="center"/>
          </w:tcPr>
          <w:p w14:paraId="31C18E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Times New Roman" w:hAnsi="Times New Roman" w:eastAsia="宋体" w:cs="Times New Roman"/>
                <w:b/>
                <w:bCs/>
                <w:snapToGrid w:val="0"/>
                <w:color w:val="auto"/>
                <w:kern w:val="0"/>
                <w:sz w:val="21"/>
                <w:szCs w:val="21"/>
                <w:lang w:val="en-US" w:bidi="ar-SA"/>
              </w:rPr>
            </w:pPr>
            <w:r>
              <w:rPr>
                <w:rFonts w:ascii="Times New Roman" w:hAnsi="Times New Roman" w:eastAsia="宋体" w:cs="Times New Roman"/>
                <w:b/>
                <w:bCs/>
                <w:snapToGrid w:val="0"/>
                <w:color w:val="auto"/>
                <w:kern w:val="0"/>
                <w:sz w:val="21"/>
                <w:szCs w:val="21"/>
                <w:lang w:val="en-US" w:bidi="ar-SA"/>
              </w:rPr>
              <w:t>检查结果</w:t>
            </w:r>
          </w:p>
        </w:tc>
      </w:tr>
      <w:tr w14:paraId="045C4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jc w:val="center"/>
        </w:trPr>
        <w:tc>
          <w:tcPr>
            <w:tcW w:w="487" w:type="pct"/>
            <w:vMerge w:val="restart"/>
            <w:vAlign w:val="center"/>
          </w:tcPr>
          <w:p w14:paraId="5872355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w:t>
            </w:r>
          </w:p>
        </w:tc>
        <w:tc>
          <w:tcPr>
            <w:tcW w:w="254" w:type="pct"/>
            <w:vMerge w:val="restart"/>
            <w:vAlign w:val="center"/>
          </w:tcPr>
          <w:p w14:paraId="1B6F576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color w:val="auto"/>
                <w:sz w:val="21"/>
                <w:szCs w:val="21"/>
                <w:lang w:val="en-US" w:eastAsia="zh-CN"/>
              </w:rPr>
              <w:t>监测监控系统</w:t>
            </w:r>
          </w:p>
        </w:tc>
        <w:tc>
          <w:tcPr>
            <w:tcW w:w="1641" w:type="pct"/>
            <w:vAlign w:val="center"/>
          </w:tcPr>
          <w:p w14:paraId="5BE2DB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地下矿山应配置足够的便携式气体检测报警仪。便携式气体检测报警仪应能测量一氧化碳、氧气、二氧化氨浓度，并具有报警参数设置和声光报警功能。</w:t>
            </w:r>
          </w:p>
        </w:tc>
        <w:tc>
          <w:tcPr>
            <w:tcW w:w="881" w:type="pct"/>
            <w:vAlign w:val="center"/>
          </w:tcPr>
          <w:p w14:paraId="5D1708C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《金属非金属地下矿山监测监控系统建设规范》</w:t>
            </w:r>
            <w:r>
              <w:rPr>
                <w:rFonts w:hint="eastAsia" w:cs="Times New Roman"/>
                <w:snapToGrid w:val="0"/>
                <w:color w:val="auto"/>
                <w:spacing w:val="8"/>
                <w:kern w:val="0"/>
                <w:sz w:val="21"/>
                <w:szCs w:val="21"/>
                <w:lang w:val="en-US" w:eastAsia="zh-CN" w:bidi="ar-SA"/>
              </w:rPr>
              <w:t>第5.1条</w:t>
            </w:r>
          </w:p>
        </w:tc>
        <w:tc>
          <w:tcPr>
            <w:tcW w:w="1423" w:type="pct"/>
            <w:vAlign w:val="center"/>
          </w:tcPr>
          <w:p w14:paraId="3A0D5C6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6"/>
                <w:kern w:val="0"/>
                <w:sz w:val="21"/>
                <w:szCs w:val="21"/>
                <w:lang w:val="en-US" w:eastAsia="zh-CN"/>
              </w:rPr>
              <w:t>矿山目前</w:t>
            </w:r>
            <w:r>
              <w:rPr>
                <w:rFonts w:hint="eastAsia"/>
                <w:snapToGrid w:val="0"/>
                <w:color w:val="auto"/>
                <w:spacing w:val="6"/>
                <w:kern w:val="0"/>
                <w:sz w:val="21"/>
                <w:szCs w:val="21"/>
              </w:rPr>
              <w:t>配置了6台CD4型多功能便携式气体检测仪，具备报警参数设置和声光报警功能，用于井下一氧化碳、氧气、甲烷、硫化氢浓度测量。</w:t>
            </w:r>
          </w:p>
        </w:tc>
        <w:tc>
          <w:tcPr>
            <w:tcW w:w="312" w:type="pct"/>
            <w:vAlign w:val="center"/>
          </w:tcPr>
          <w:p w14:paraId="4003437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2575F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87" w:type="pct"/>
            <w:vMerge w:val="continue"/>
            <w:vAlign w:val="center"/>
          </w:tcPr>
          <w:p w14:paraId="5953BD3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254" w:type="pct"/>
            <w:vMerge w:val="continue"/>
            <w:vAlign w:val="center"/>
          </w:tcPr>
          <w:p w14:paraId="3ABF5A9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139A6A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每个生产中段和分段的进、回风巷靠近采场位置应设置一氧化碳或二氧化氮传感器</w:t>
            </w:r>
            <w:r>
              <w:rPr>
                <w:rFonts w:hint="eastAsia" w:cs="Times New Roman"/>
                <w:snapToGrid w:val="0"/>
                <w:color w:val="auto"/>
                <w:spacing w:val="6"/>
                <w:kern w:val="0"/>
                <w:sz w:val="21"/>
                <w:szCs w:val="21"/>
                <w:lang w:val="en-US" w:eastAsia="zh-CN" w:bidi="ar-SA"/>
              </w:rPr>
              <w:t>。</w:t>
            </w:r>
          </w:p>
        </w:tc>
        <w:tc>
          <w:tcPr>
            <w:tcW w:w="881" w:type="pct"/>
            <w:vAlign w:val="center"/>
          </w:tcPr>
          <w:p w14:paraId="65B4B1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《金属非金属地下矿山监测监控系统建设规范》</w:t>
            </w:r>
            <w:r>
              <w:rPr>
                <w:rFonts w:hint="eastAsia" w:cs="Times New Roman"/>
                <w:snapToGrid w:val="0"/>
                <w:color w:val="auto"/>
                <w:spacing w:val="8"/>
                <w:kern w:val="0"/>
                <w:sz w:val="21"/>
                <w:szCs w:val="21"/>
                <w:lang w:val="en-US" w:eastAsia="zh-CN" w:bidi="ar-SA"/>
              </w:rPr>
              <w:t>第5.3条</w:t>
            </w:r>
          </w:p>
        </w:tc>
        <w:tc>
          <w:tcPr>
            <w:tcW w:w="1423" w:type="pct"/>
            <w:vAlign w:val="center"/>
          </w:tcPr>
          <w:p w14:paraId="4A4F14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矿山共安装一氧化碳传感器2台，地点为+160m中段进风巷（采场附近）和+130m中段掘进面回风巷</w:t>
            </w:r>
            <w:r>
              <w:rPr>
                <w:rFonts w:hint="eastAsia" w:cs="Times New Roman"/>
                <w:snapToGrid w:val="0"/>
                <w:color w:val="auto"/>
                <w:spacing w:val="6"/>
                <w:kern w:val="0"/>
                <w:sz w:val="21"/>
                <w:szCs w:val="21"/>
                <w:lang w:val="en-US" w:eastAsia="zh-CN" w:bidi="ar-SA"/>
              </w:rPr>
              <w:t>。</w:t>
            </w:r>
          </w:p>
        </w:tc>
        <w:tc>
          <w:tcPr>
            <w:tcW w:w="312" w:type="pct"/>
            <w:vAlign w:val="center"/>
          </w:tcPr>
          <w:p w14:paraId="12C4A41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43CB7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0" w:hRule="atLeast"/>
          <w:jc w:val="center"/>
        </w:trPr>
        <w:tc>
          <w:tcPr>
            <w:tcW w:w="487" w:type="pct"/>
            <w:vMerge w:val="continue"/>
            <w:vAlign w:val="center"/>
          </w:tcPr>
          <w:p w14:paraId="15301F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254" w:type="pct"/>
            <w:vMerge w:val="continue"/>
            <w:vAlign w:val="center"/>
          </w:tcPr>
          <w:p w14:paraId="3EEE643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15AC50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井下总回风巷、各个生产中段和分段的回风巷应设置风速传感器</w:t>
            </w:r>
          </w:p>
        </w:tc>
        <w:tc>
          <w:tcPr>
            <w:tcW w:w="881" w:type="pct"/>
            <w:vAlign w:val="center"/>
          </w:tcPr>
          <w:p w14:paraId="5A59E5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《金属非金属地下矿山监测监控系统建设规范》</w:t>
            </w:r>
            <w:r>
              <w:rPr>
                <w:rFonts w:hint="eastAsia" w:cs="Times New Roman"/>
                <w:snapToGrid w:val="0"/>
                <w:color w:val="auto"/>
                <w:spacing w:val="8"/>
                <w:kern w:val="0"/>
                <w:sz w:val="21"/>
                <w:szCs w:val="21"/>
                <w:lang w:val="en-US" w:eastAsia="zh-CN" w:bidi="ar-SA"/>
              </w:rPr>
              <w:t>第6.1条</w:t>
            </w:r>
          </w:p>
        </w:tc>
        <w:tc>
          <w:tcPr>
            <w:tcW w:w="1423" w:type="pct"/>
            <w:vAlign w:val="center"/>
          </w:tcPr>
          <w:p w14:paraId="213B86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风速传感器4个</w:t>
            </w:r>
            <w:r>
              <w:rPr>
                <w:rFonts w:hint="default" w:ascii="Times New Roman" w:hAnsi="Times New Roman" w:eastAsia="宋体" w:cs="Times New Roman"/>
                <w:snapToGrid w:val="0"/>
                <w:color w:val="auto"/>
                <w:spacing w:val="26"/>
                <w:kern w:val="0"/>
                <w:sz w:val="21"/>
                <w:szCs w:val="21"/>
                <w:lang w:val="en-US" w:eastAsia="zh-CN" w:bidi="ar-SA"/>
              </w:rPr>
              <w:t>。</w:t>
            </w:r>
          </w:p>
        </w:tc>
        <w:tc>
          <w:tcPr>
            <w:tcW w:w="312" w:type="pct"/>
            <w:vAlign w:val="center"/>
          </w:tcPr>
          <w:p w14:paraId="5E6B0A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1C2E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0" w:hRule="atLeast"/>
          <w:jc w:val="center"/>
        </w:trPr>
        <w:tc>
          <w:tcPr>
            <w:tcW w:w="487" w:type="pct"/>
            <w:vMerge w:val="continue"/>
            <w:vAlign w:val="center"/>
          </w:tcPr>
          <w:p w14:paraId="11CCC7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254" w:type="pct"/>
            <w:vMerge w:val="continue"/>
            <w:vAlign w:val="center"/>
          </w:tcPr>
          <w:p w14:paraId="139224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66F3B3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主要通风机、辅助通风机、局部通风机应安装开停传感器。</w:t>
            </w:r>
          </w:p>
        </w:tc>
        <w:tc>
          <w:tcPr>
            <w:tcW w:w="881" w:type="pct"/>
            <w:vAlign w:val="center"/>
          </w:tcPr>
          <w:p w14:paraId="6267474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《金属非金属地下矿山监测监控系统建设规范》</w:t>
            </w:r>
            <w:r>
              <w:rPr>
                <w:rFonts w:hint="eastAsia" w:cs="Times New Roman"/>
                <w:snapToGrid w:val="0"/>
                <w:color w:val="auto"/>
                <w:spacing w:val="8"/>
                <w:kern w:val="0"/>
                <w:sz w:val="21"/>
                <w:szCs w:val="21"/>
                <w:lang w:val="en-US" w:eastAsia="zh-CN" w:bidi="ar-SA"/>
              </w:rPr>
              <w:t>第6.5条</w:t>
            </w:r>
          </w:p>
        </w:tc>
        <w:tc>
          <w:tcPr>
            <w:tcW w:w="1423" w:type="pct"/>
            <w:vAlign w:val="center"/>
          </w:tcPr>
          <w:p w14:paraId="356CE5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lang w:val="en-US" w:eastAsia="zh-CN"/>
              </w:rPr>
              <w:t>风机开停传感器2个</w:t>
            </w:r>
            <w:r>
              <w:rPr>
                <w:rFonts w:hint="default" w:ascii="Times New Roman" w:hAnsi="Times New Roman" w:eastAsia="宋体" w:cs="Times New Roman"/>
                <w:snapToGrid w:val="0"/>
                <w:color w:val="auto"/>
                <w:spacing w:val="26"/>
                <w:kern w:val="0"/>
                <w:sz w:val="21"/>
                <w:szCs w:val="21"/>
                <w:lang w:val="en-US" w:eastAsia="zh-CN" w:bidi="ar-SA"/>
              </w:rPr>
              <w:t>。</w:t>
            </w:r>
          </w:p>
        </w:tc>
        <w:tc>
          <w:tcPr>
            <w:tcW w:w="312" w:type="pct"/>
            <w:vAlign w:val="center"/>
          </w:tcPr>
          <w:p w14:paraId="386605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510B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0" w:hRule="atLeast"/>
          <w:jc w:val="center"/>
        </w:trPr>
        <w:tc>
          <w:tcPr>
            <w:tcW w:w="487" w:type="pct"/>
            <w:vMerge w:val="continue"/>
            <w:vAlign w:val="center"/>
          </w:tcPr>
          <w:p w14:paraId="10402E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p>
        </w:tc>
        <w:tc>
          <w:tcPr>
            <w:tcW w:w="254" w:type="pct"/>
            <w:vMerge w:val="continue"/>
            <w:vAlign w:val="center"/>
          </w:tcPr>
          <w:p w14:paraId="41C954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7650C4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提升人员的井口信号房、提升机房，以及井口、马头门</w:t>
            </w:r>
            <w:r>
              <w:rPr>
                <w:rFonts w:hint="eastAsia" w:cs="Times New Roman"/>
                <w:snapToGrid w:val="0"/>
                <w:color w:val="auto"/>
                <w:spacing w:val="26"/>
                <w:kern w:val="0"/>
                <w:sz w:val="21"/>
                <w:szCs w:val="21"/>
                <w:lang w:val="en-US" w:eastAsia="zh-CN" w:bidi="ar-SA"/>
              </w:rPr>
              <w:t>（调车场）</w:t>
            </w:r>
            <w:r>
              <w:rPr>
                <w:rFonts w:hint="eastAsia" w:ascii="Times New Roman" w:hAnsi="Times New Roman" w:eastAsia="宋体" w:cs="Times New Roman"/>
                <w:snapToGrid w:val="0"/>
                <w:color w:val="auto"/>
                <w:spacing w:val="6"/>
                <w:kern w:val="0"/>
                <w:sz w:val="21"/>
                <w:szCs w:val="21"/>
                <w:lang w:val="en-US" w:bidi="ar-SA"/>
              </w:rPr>
              <w:t>等人员进出场所，应设视频监控。</w:t>
            </w:r>
          </w:p>
        </w:tc>
        <w:tc>
          <w:tcPr>
            <w:tcW w:w="881" w:type="pct"/>
            <w:vAlign w:val="center"/>
          </w:tcPr>
          <w:p w14:paraId="2132A76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8"/>
                <w:kern w:val="0"/>
                <w:sz w:val="21"/>
                <w:szCs w:val="21"/>
                <w:lang w:val="en-US"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《金属非金属地下矿山监测监控系统建设规范》</w:t>
            </w:r>
            <w:r>
              <w:rPr>
                <w:rFonts w:hint="eastAsia" w:cs="Times New Roman"/>
                <w:snapToGrid w:val="0"/>
                <w:color w:val="auto"/>
                <w:spacing w:val="8"/>
                <w:kern w:val="0"/>
                <w:sz w:val="21"/>
                <w:szCs w:val="21"/>
                <w:lang w:val="en-US" w:eastAsia="zh-CN" w:bidi="ar-SA"/>
              </w:rPr>
              <w:t>第7.1条</w:t>
            </w:r>
          </w:p>
        </w:tc>
        <w:tc>
          <w:tcPr>
            <w:tcW w:w="1423" w:type="pct"/>
            <w:vAlign w:val="center"/>
          </w:tcPr>
          <w:p w14:paraId="4D2762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副斜井井口、副斜井绞车房、副斜井+160m中段吊桥附近、副斜井+130m中段吊桥附近、副斜井+100m中段井底车场、北风井口等地点安装了视频监控设施。共安装视频摄像头15个。</w:t>
            </w:r>
          </w:p>
        </w:tc>
        <w:tc>
          <w:tcPr>
            <w:tcW w:w="312" w:type="pct"/>
            <w:vAlign w:val="center"/>
          </w:tcPr>
          <w:p w14:paraId="676BAF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94F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0" w:hRule="atLeast"/>
          <w:jc w:val="center"/>
        </w:trPr>
        <w:tc>
          <w:tcPr>
            <w:tcW w:w="487" w:type="pct"/>
            <w:vAlign w:val="center"/>
          </w:tcPr>
          <w:p w14:paraId="5B46398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2</w:t>
            </w:r>
          </w:p>
        </w:tc>
        <w:tc>
          <w:tcPr>
            <w:tcW w:w="254" w:type="pct"/>
            <w:vAlign w:val="center"/>
          </w:tcPr>
          <w:p w14:paraId="309EE9B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人员定位系统</w:t>
            </w:r>
          </w:p>
        </w:tc>
        <w:tc>
          <w:tcPr>
            <w:tcW w:w="1641" w:type="pct"/>
            <w:vAlign w:val="center"/>
          </w:tcPr>
          <w:p w14:paraId="5D995CD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金属非金属地下矿山在基建过程中应当同步建立监测监控、人员定位、通信联络系统，现有生产金属非金属地下矿山应当于2022年12月31日前建设完毕</w:t>
            </w:r>
            <w:r>
              <w:rPr>
                <w:rFonts w:hint="eastAsia" w:cs="Times New Roman"/>
                <w:snapToGrid w:val="0"/>
                <w:color w:val="auto"/>
                <w:spacing w:val="6"/>
                <w:kern w:val="0"/>
                <w:sz w:val="21"/>
                <w:szCs w:val="21"/>
                <w:lang w:val="en-US" w:eastAsia="zh-CN" w:bidi="ar-SA"/>
              </w:rPr>
              <w:t>。</w:t>
            </w:r>
          </w:p>
        </w:tc>
        <w:tc>
          <w:tcPr>
            <w:tcW w:w="881" w:type="pct"/>
            <w:vAlign w:val="center"/>
          </w:tcPr>
          <w:p w14:paraId="575462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《应急管理部 国家矿山安全监察局关于印发&lt;“十四五”矿山安全生产规划&gt;的通知》（矿安〔2022〕64号）</w:t>
            </w:r>
          </w:p>
        </w:tc>
        <w:tc>
          <w:tcPr>
            <w:tcW w:w="1423" w:type="pct"/>
            <w:vAlign w:val="center"/>
          </w:tcPr>
          <w:p w14:paraId="145DBE7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eastAsia"/>
                <w:snapToGrid w:val="0"/>
                <w:color w:val="auto"/>
                <w:spacing w:val="26"/>
                <w:kern w:val="0"/>
                <w:sz w:val="21"/>
                <w:szCs w:val="21"/>
              </w:rPr>
              <w:t>按国家规范要求建设了人员定位系统，下井人员均需佩戴身份识别卡。</w:t>
            </w:r>
          </w:p>
        </w:tc>
        <w:tc>
          <w:tcPr>
            <w:tcW w:w="312" w:type="pct"/>
            <w:vAlign w:val="center"/>
          </w:tcPr>
          <w:p w14:paraId="22D867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726A4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Align w:val="center"/>
          </w:tcPr>
          <w:p w14:paraId="12969E1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3</w:t>
            </w:r>
          </w:p>
        </w:tc>
        <w:tc>
          <w:tcPr>
            <w:tcW w:w="254" w:type="pct"/>
            <w:vAlign w:val="center"/>
          </w:tcPr>
          <w:p w14:paraId="66C8E7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通信联络系统</w:t>
            </w:r>
          </w:p>
        </w:tc>
        <w:tc>
          <w:tcPr>
            <w:tcW w:w="1641" w:type="pct"/>
            <w:vAlign w:val="center"/>
          </w:tcPr>
          <w:p w14:paraId="0A9520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安装通信联络终端设备的地点应包括:井底车场、马头门、井下运输调度室、主要机电硐室、井下变电所、井下各中段采区、主要泵房、主要通风机房、井下紧急避险设施、爆破时撤离人员集中地点、提升机房、井下爆破器材库、装卸矿点等。</w:t>
            </w:r>
          </w:p>
        </w:tc>
        <w:tc>
          <w:tcPr>
            <w:tcW w:w="881" w:type="pct"/>
            <w:vAlign w:val="center"/>
          </w:tcPr>
          <w:p w14:paraId="390F01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《金属非金属地下矿山通信联络系统建设规范》</w:t>
            </w:r>
            <w:r>
              <w:rPr>
                <w:rFonts w:hint="eastAsia" w:cs="Times New Roman"/>
                <w:snapToGrid w:val="0"/>
                <w:color w:val="auto"/>
                <w:spacing w:val="8"/>
                <w:kern w:val="0"/>
                <w:sz w:val="21"/>
                <w:szCs w:val="21"/>
                <w:lang w:val="en-US" w:eastAsia="zh-CN" w:bidi="ar-SA"/>
              </w:rPr>
              <w:t>第4.4条</w:t>
            </w:r>
          </w:p>
        </w:tc>
        <w:tc>
          <w:tcPr>
            <w:tcW w:w="1423" w:type="pct"/>
            <w:vAlign w:val="center"/>
          </w:tcPr>
          <w:p w14:paraId="258562B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snapToGrid w:val="0"/>
                <w:color w:val="auto"/>
                <w:spacing w:val="26"/>
                <w:kern w:val="0"/>
                <w:sz w:val="21"/>
                <w:szCs w:val="21"/>
              </w:rPr>
              <w:t>矿山总调度室内设有个性化智能调度台，HH-4096DIP型数字程控调度交换机整机及附件。</w:t>
            </w:r>
          </w:p>
        </w:tc>
        <w:tc>
          <w:tcPr>
            <w:tcW w:w="312" w:type="pct"/>
            <w:vAlign w:val="center"/>
          </w:tcPr>
          <w:p w14:paraId="5EE8A9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4718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restart"/>
            <w:vAlign w:val="center"/>
          </w:tcPr>
          <w:p w14:paraId="5EE42AF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4</w:t>
            </w:r>
          </w:p>
        </w:tc>
        <w:tc>
          <w:tcPr>
            <w:tcW w:w="254" w:type="pct"/>
            <w:vMerge w:val="restart"/>
            <w:vAlign w:val="center"/>
          </w:tcPr>
          <w:p w14:paraId="2597EF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紧急避险系统</w:t>
            </w:r>
          </w:p>
        </w:tc>
        <w:tc>
          <w:tcPr>
            <w:tcW w:w="1641" w:type="pct"/>
            <w:vAlign w:val="center"/>
          </w:tcPr>
          <w:p w14:paraId="3747654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default"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金属非金属地下矿山应为人井人员配备额定防护时间不少30min的自救器,并按入井总人数的10%配备备用自救器。</w:t>
            </w:r>
          </w:p>
        </w:tc>
        <w:tc>
          <w:tcPr>
            <w:tcW w:w="881" w:type="pct"/>
            <w:vAlign w:val="center"/>
          </w:tcPr>
          <w:p w14:paraId="2BA621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《金属非金属地下矿山紧急避险系统建设规范》</w:t>
            </w:r>
            <w:r>
              <w:rPr>
                <w:rFonts w:hint="eastAsia" w:cs="Times New Roman"/>
                <w:snapToGrid w:val="0"/>
                <w:color w:val="auto"/>
                <w:spacing w:val="8"/>
                <w:kern w:val="0"/>
                <w:sz w:val="21"/>
                <w:szCs w:val="21"/>
                <w:lang w:val="en-US" w:eastAsia="zh-CN" w:bidi="ar-SA"/>
              </w:rPr>
              <w:t>第4.5条</w:t>
            </w:r>
          </w:p>
        </w:tc>
        <w:tc>
          <w:tcPr>
            <w:tcW w:w="1423" w:type="pct"/>
            <w:vAlign w:val="center"/>
          </w:tcPr>
          <w:p w14:paraId="278DD22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按额定防护时间不少于45min的要求采用YZ-45型压缩氧自救器</w:t>
            </w:r>
            <w:r>
              <w:rPr>
                <w:rFonts w:hint="eastAsia" w:ascii="Times New Roman" w:hAnsi="Times New Roman" w:eastAsia="宋体" w:cs="Times New Roman"/>
                <w:snapToGrid w:val="0"/>
                <w:color w:val="auto"/>
                <w:spacing w:val="26"/>
                <w:kern w:val="0"/>
                <w:sz w:val="21"/>
                <w:szCs w:val="21"/>
                <w:lang w:val="en-US" w:eastAsia="zh-CN" w:bidi="ar-SA"/>
              </w:rPr>
              <w:t>，</w:t>
            </w:r>
            <w:r>
              <w:rPr>
                <w:rFonts w:hint="default" w:ascii="Times New Roman" w:hAnsi="Times New Roman" w:eastAsia="宋体" w:cs="Times New Roman"/>
                <w:snapToGrid w:val="0"/>
                <w:color w:val="auto"/>
                <w:spacing w:val="26"/>
                <w:kern w:val="0"/>
                <w:sz w:val="21"/>
                <w:szCs w:val="21"/>
                <w:lang w:val="en-US" w:eastAsia="zh-CN" w:bidi="ar-SA"/>
              </w:rPr>
              <w:t>配置自救器40只</w:t>
            </w:r>
            <w:r>
              <w:rPr>
                <w:rFonts w:hint="eastAsia" w:cs="Times New Roman"/>
                <w:snapToGrid w:val="0"/>
                <w:color w:val="auto"/>
                <w:spacing w:val="26"/>
                <w:kern w:val="0"/>
                <w:sz w:val="21"/>
                <w:szCs w:val="21"/>
                <w:lang w:val="en-US" w:eastAsia="zh-CN" w:bidi="ar-SA"/>
              </w:rPr>
              <w:t>，井下最多同时作业人数为32人，符合要求。</w:t>
            </w:r>
          </w:p>
        </w:tc>
        <w:tc>
          <w:tcPr>
            <w:tcW w:w="312" w:type="pct"/>
            <w:vAlign w:val="center"/>
          </w:tcPr>
          <w:p w14:paraId="197AA78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1EF8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5F6667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062E61F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40FE0B6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每个矿井至少要有两个独立的直达地面的安全出口,安全出口间距不小于30m;每个生产水平或中段至少应有两个便于行人的安全出口,并和通往地面的安全出口相通;每个采区至少应有两个便于行人的安全出口，并经、下巷道与通往地面的安全出口相通。安全出口设置的其他要求应符合GB16423的要求。</w:t>
            </w:r>
          </w:p>
        </w:tc>
        <w:tc>
          <w:tcPr>
            <w:tcW w:w="881" w:type="pct"/>
            <w:vAlign w:val="center"/>
          </w:tcPr>
          <w:p w14:paraId="54735BB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《金属非金属地下矿山紧急避险系统建设规范》</w:t>
            </w:r>
            <w:r>
              <w:rPr>
                <w:rFonts w:hint="eastAsia" w:cs="Times New Roman"/>
                <w:snapToGrid w:val="0"/>
                <w:color w:val="auto"/>
                <w:spacing w:val="8"/>
                <w:kern w:val="0"/>
                <w:sz w:val="21"/>
                <w:szCs w:val="21"/>
                <w:lang w:val="en-US" w:eastAsia="zh-CN" w:bidi="ar-SA"/>
              </w:rPr>
              <w:t>第5.1条</w:t>
            </w:r>
          </w:p>
        </w:tc>
        <w:tc>
          <w:tcPr>
            <w:tcW w:w="1423" w:type="pct"/>
            <w:vAlign w:val="center"/>
          </w:tcPr>
          <w:p w14:paraId="6B48EB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南风井、副斜井、主斜坡道、北风井都直通地表，都作为应急安全出口，各中段人行天井和风井作应急安全出口。井下各中段均有二个以上安全出口通达上部中段和地表。</w:t>
            </w:r>
          </w:p>
        </w:tc>
        <w:tc>
          <w:tcPr>
            <w:tcW w:w="312" w:type="pct"/>
            <w:vAlign w:val="center"/>
          </w:tcPr>
          <w:p w14:paraId="71AF16D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19C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1A56ECF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78A228D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53166DE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金属非金属地下矿山应编制事故应急预案,根据矿山事故风险辨识评估结论,制定相应灾害的避灾路线,绘制井下避灾线路图,并按照GB14161-2008的规定,做好井下避灾路线的标识。井巷的所有分道口要有醒目的路标,注明其所在地点及通往地面出口的方向,并定期检查维护避灾路线,保持其通畅。</w:t>
            </w:r>
          </w:p>
        </w:tc>
        <w:tc>
          <w:tcPr>
            <w:tcW w:w="881" w:type="pct"/>
            <w:vAlign w:val="center"/>
          </w:tcPr>
          <w:p w14:paraId="19ED8E9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《金属非金属地下矿山紧急避险系统建设规范》</w:t>
            </w:r>
            <w:r>
              <w:rPr>
                <w:rFonts w:hint="eastAsia" w:cs="Times New Roman"/>
                <w:snapToGrid w:val="0"/>
                <w:color w:val="auto"/>
                <w:spacing w:val="8"/>
                <w:kern w:val="0"/>
                <w:sz w:val="21"/>
                <w:szCs w:val="21"/>
                <w:lang w:val="en-US" w:eastAsia="zh-CN" w:bidi="ar-SA"/>
              </w:rPr>
              <w:t>第5.2条</w:t>
            </w:r>
          </w:p>
        </w:tc>
        <w:tc>
          <w:tcPr>
            <w:tcW w:w="1423" w:type="pct"/>
            <w:vAlign w:val="center"/>
          </w:tcPr>
          <w:p w14:paraId="7DE56D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spacing w:val="26"/>
                <w:kern w:val="0"/>
                <w:sz w:val="21"/>
                <w:szCs w:val="21"/>
                <w:lang w:val="en-US" w:eastAsia="zh-CN" w:bidi="ar-SA"/>
              </w:rPr>
            </w:pPr>
            <w:r>
              <w:rPr>
                <w:rFonts w:hint="default" w:ascii="Times New Roman" w:hAnsi="Times New Roman" w:eastAsia="宋体" w:cs="Times New Roman"/>
                <w:snapToGrid w:val="0"/>
                <w:color w:val="auto"/>
                <w:spacing w:val="26"/>
                <w:kern w:val="0"/>
                <w:sz w:val="21"/>
                <w:szCs w:val="21"/>
                <w:lang w:val="en-US" w:eastAsia="zh-CN" w:bidi="ar-SA"/>
              </w:rPr>
              <w:t>制定了避灾线路及应急预案。</w:t>
            </w:r>
          </w:p>
        </w:tc>
        <w:tc>
          <w:tcPr>
            <w:tcW w:w="312" w:type="pct"/>
            <w:vAlign w:val="center"/>
          </w:tcPr>
          <w:p w14:paraId="1B3656B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9631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163D4B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5DF7EE8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4364C2A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生产中段在地面最低安全出口以下垂直距离超过500m的矿山宜在最低采矿生产中段设置普通型紧急避险设施;水文地质条件复杂或有透水风险的地下矿山,宜在最低采矿生产中段设置防水紧急避险设施。紧急避险设施宜优先选择避灾硐室</w:t>
            </w:r>
            <w:r>
              <w:rPr>
                <w:rFonts w:hint="eastAsia" w:cs="Times New Roman"/>
                <w:snapToGrid w:val="0"/>
                <w:color w:val="auto"/>
                <w:spacing w:val="6"/>
                <w:kern w:val="0"/>
                <w:sz w:val="21"/>
                <w:szCs w:val="21"/>
                <w:lang w:val="en-US" w:eastAsia="zh-CN" w:bidi="ar-SA"/>
              </w:rPr>
              <w:t>。</w:t>
            </w:r>
          </w:p>
        </w:tc>
        <w:tc>
          <w:tcPr>
            <w:tcW w:w="881" w:type="pct"/>
            <w:vAlign w:val="center"/>
          </w:tcPr>
          <w:p w14:paraId="04AF1B7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《金属非金属地下矿山紧急避险系统建设规范》</w:t>
            </w:r>
            <w:r>
              <w:rPr>
                <w:rFonts w:hint="eastAsia" w:cs="Times New Roman"/>
                <w:snapToGrid w:val="0"/>
                <w:color w:val="auto"/>
                <w:spacing w:val="8"/>
                <w:kern w:val="0"/>
                <w:sz w:val="21"/>
                <w:szCs w:val="21"/>
                <w:lang w:val="en-US" w:eastAsia="zh-CN" w:bidi="ar-SA"/>
              </w:rPr>
              <w:t>第5.3条</w:t>
            </w:r>
          </w:p>
        </w:tc>
        <w:tc>
          <w:tcPr>
            <w:tcW w:w="1423" w:type="pct"/>
            <w:vAlign w:val="center"/>
          </w:tcPr>
          <w:p w14:paraId="467ED6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矿山</w:t>
            </w:r>
            <w:r>
              <w:rPr>
                <w:rFonts w:hint="eastAsia" w:ascii="Times New Roman" w:hAnsi="Times New Roman" w:eastAsia="宋体" w:cs="Times New Roman"/>
                <w:snapToGrid w:val="0"/>
                <w:color w:val="auto"/>
                <w:spacing w:val="6"/>
                <w:kern w:val="0"/>
                <w:sz w:val="21"/>
                <w:szCs w:val="21"/>
                <w:lang w:val="en-US" w:bidi="ar-SA"/>
              </w:rPr>
              <w:t>垂直距离</w:t>
            </w:r>
            <w:r>
              <w:rPr>
                <w:rFonts w:hint="eastAsia" w:cs="Times New Roman"/>
                <w:snapToGrid w:val="0"/>
                <w:color w:val="auto"/>
                <w:spacing w:val="6"/>
                <w:kern w:val="0"/>
                <w:sz w:val="21"/>
                <w:szCs w:val="21"/>
                <w:lang w:val="en-US" w:eastAsia="zh-CN" w:bidi="ar-SA"/>
              </w:rPr>
              <w:t>不</w:t>
            </w:r>
            <w:r>
              <w:rPr>
                <w:rFonts w:hint="eastAsia" w:ascii="Times New Roman" w:hAnsi="Times New Roman" w:eastAsia="宋体" w:cs="Times New Roman"/>
                <w:snapToGrid w:val="0"/>
                <w:color w:val="auto"/>
                <w:spacing w:val="6"/>
                <w:kern w:val="0"/>
                <w:sz w:val="21"/>
                <w:szCs w:val="21"/>
                <w:lang w:val="en-US" w:bidi="ar-SA"/>
              </w:rPr>
              <w:t>超过500m</w:t>
            </w:r>
            <w:r>
              <w:rPr>
                <w:rFonts w:hint="eastAsia" w:cs="Times New Roman"/>
                <w:snapToGrid w:val="0"/>
                <w:color w:val="auto"/>
                <w:spacing w:val="6"/>
                <w:kern w:val="0"/>
                <w:sz w:val="21"/>
                <w:szCs w:val="21"/>
                <w:lang w:val="en-US" w:eastAsia="zh-CN" w:bidi="ar-SA"/>
              </w:rPr>
              <w:t>，</w:t>
            </w:r>
            <w:r>
              <w:rPr>
                <w:rFonts w:hint="eastAsia" w:cs="Times New Roman"/>
                <w:snapToGrid w:val="0"/>
                <w:color w:val="auto"/>
                <w:spacing w:val="26"/>
                <w:kern w:val="0"/>
                <w:sz w:val="21"/>
                <w:szCs w:val="21"/>
                <w:lang w:val="en-US" w:eastAsia="zh-CN" w:bidi="ar-SA"/>
              </w:rPr>
              <w:t>可暂不设置紧急避险设施。</w:t>
            </w:r>
          </w:p>
        </w:tc>
        <w:tc>
          <w:tcPr>
            <w:tcW w:w="312" w:type="pct"/>
            <w:vAlign w:val="center"/>
          </w:tcPr>
          <w:p w14:paraId="6C65872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AD42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restart"/>
            <w:vAlign w:val="center"/>
          </w:tcPr>
          <w:p w14:paraId="09A820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5</w:t>
            </w:r>
          </w:p>
        </w:tc>
        <w:tc>
          <w:tcPr>
            <w:tcW w:w="254" w:type="pct"/>
            <w:vMerge w:val="restart"/>
            <w:vAlign w:val="center"/>
          </w:tcPr>
          <w:p w14:paraId="6C4221F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压风自救系统</w:t>
            </w:r>
          </w:p>
        </w:tc>
        <w:tc>
          <w:tcPr>
            <w:tcW w:w="1641" w:type="pct"/>
            <w:vAlign w:val="center"/>
          </w:tcPr>
          <w:p w14:paraId="3B144E4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金属非金属地下矿山应根据安全避险的实际需要,建设完善压风自救系统,压风自救系统可以与</w:t>
            </w:r>
          </w:p>
          <w:p w14:paraId="54876B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生产压风系统共用。</w:t>
            </w:r>
          </w:p>
        </w:tc>
        <w:tc>
          <w:tcPr>
            <w:tcW w:w="881" w:type="pct"/>
            <w:vAlign w:val="center"/>
          </w:tcPr>
          <w:p w14:paraId="596B77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第4.1条</w:t>
            </w:r>
          </w:p>
        </w:tc>
        <w:tc>
          <w:tcPr>
            <w:tcW w:w="1423" w:type="pct"/>
            <w:vAlign w:val="center"/>
          </w:tcPr>
          <w:p w14:paraId="5D3A781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《可研报告》已明确</w:t>
            </w:r>
            <w:r>
              <w:rPr>
                <w:rFonts w:hint="eastAsia" w:ascii="Times New Roman" w:hAnsi="Times New Roman" w:eastAsia="宋体" w:cs="Times New Roman"/>
                <w:snapToGrid w:val="0"/>
                <w:color w:val="auto"/>
                <w:spacing w:val="6"/>
                <w:kern w:val="0"/>
                <w:sz w:val="21"/>
                <w:szCs w:val="21"/>
                <w:lang w:val="en-US" w:bidi="ar-SA"/>
              </w:rPr>
              <w:t>完善压风自救系统</w:t>
            </w:r>
            <w:r>
              <w:rPr>
                <w:rFonts w:hint="eastAsia" w:cs="Times New Roman"/>
                <w:snapToGrid w:val="0"/>
                <w:color w:val="auto"/>
                <w:spacing w:val="6"/>
                <w:kern w:val="0"/>
                <w:sz w:val="21"/>
                <w:szCs w:val="21"/>
                <w:lang w:val="en-US" w:eastAsia="zh-CN" w:bidi="ar-SA"/>
              </w:rPr>
              <w:t>。</w:t>
            </w:r>
          </w:p>
        </w:tc>
        <w:tc>
          <w:tcPr>
            <w:tcW w:w="312" w:type="pct"/>
            <w:vAlign w:val="center"/>
          </w:tcPr>
          <w:p w14:paraId="3B57E7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F88A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32F38D8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48F157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5326DD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压风自救系统的空气压缩机应安装在地面,并能在10min内启动。空气压缩机安装在地面难以保证对井下作业地点有效供风时,安装在井下。安全设施设计中应明确井下安装空气压缩机室位置，并与矿井通风系统和安全出口统筹规划设计。</w:t>
            </w:r>
          </w:p>
        </w:tc>
        <w:tc>
          <w:tcPr>
            <w:tcW w:w="881" w:type="pct"/>
            <w:vAlign w:val="center"/>
          </w:tcPr>
          <w:p w14:paraId="0F9F30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第4.3条</w:t>
            </w:r>
          </w:p>
        </w:tc>
        <w:tc>
          <w:tcPr>
            <w:tcW w:w="1423" w:type="pct"/>
            <w:vAlign w:val="center"/>
          </w:tcPr>
          <w:p w14:paraId="72B15DF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《可研报告》明确矿山在地面空压机房安装4台DSR-100A空压机型空压机，其中：3台工作，1台备用，总排气量为≥34.84m</w:t>
            </w:r>
            <w:r>
              <w:rPr>
                <w:rFonts w:hint="eastAsia" w:cs="Times New Roman"/>
                <w:snapToGrid w:val="0"/>
                <w:color w:val="auto"/>
                <w:spacing w:val="26"/>
                <w:kern w:val="0"/>
                <w:sz w:val="21"/>
                <w:szCs w:val="21"/>
                <w:vertAlign w:val="superscript"/>
                <w:lang w:val="en-US" w:eastAsia="zh-CN" w:bidi="ar-SA"/>
              </w:rPr>
              <w:t>3</w:t>
            </w:r>
            <w:r>
              <w:rPr>
                <w:rFonts w:hint="eastAsia" w:cs="Times New Roman"/>
                <w:snapToGrid w:val="0"/>
                <w:color w:val="auto"/>
                <w:spacing w:val="26"/>
                <w:kern w:val="0"/>
                <w:sz w:val="21"/>
                <w:szCs w:val="21"/>
                <w:lang w:val="en-US" w:eastAsia="zh-CN" w:bidi="ar-SA"/>
              </w:rPr>
              <w:t>/min。能满足生产和救灾的需要。</w:t>
            </w:r>
          </w:p>
        </w:tc>
        <w:tc>
          <w:tcPr>
            <w:tcW w:w="312" w:type="pct"/>
            <w:vAlign w:val="center"/>
          </w:tcPr>
          <w:p w14:paraId="735BE2A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55D9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4313790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3E7E45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2441A9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压风管道应采用钢质材料或其他具有同等强度的阻燃材料,并采取防腐蚀措施</w:t>
            </w:r>
            <w:r>
              <w:rPr>
                <w:rFonts w:hint="eastAsia" w:cs="Times New Roman"/>
                <w:snapToGrid w:val="0"/>
                <w:color w:val="auto"/>
                <w:spacing w:val="6"/>
                <w:kern w:val="0"/>
                <w:sz w:val="21"/>
                <w:szCs w:val="21"/>
                <w:lang w:val="en-US" w:eastAsia="zh-CN" w:bidi="ar-SA"/>
              </w:rPr>
              <w:t>。</w:t>
            </w:r>
          </w:p>
        </w:tc>
        <w:tc>
          <w:tcPr>
            <w:tcW w:w="881" w:type="pct"/>
            <w:vAlign w:val="center"/>
          </w:tcPr>
          <w:p w14:paraId="5938F8B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第4.4条</w:t>
            </w:r>
          </w:p>
        </w:tc>
        <w:tc>
          <w:tcPr>
            <w:tcW w:w="1423" w:type="pct"/>
            <w:vAlign w:val="center"/>
          </w:tcPr>
          <w:p w14:paraId="546F04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压气输送管路主管路焊接钢管DN150、DN65焊接钢管，送到各用风和避灾地点用DN50钢管。</w:t>
            </w:r>
          </w:p>
        </w:tc>
        <w:tc>
          <w:tcPr>
            <w:tcW w:w="312" w:type="pct"/>
            <w:vAlign w:val="center"/>
          </w:tcPr>
          <w:p w14:paraId="45428FA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040D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6" w:hRule="atLeast"/>
          <w:jc w:val="center"/>
        </w:trPr>
        <w:tc>
          <w:tcPr>
            <w:tcW w:w="487" w:type="pct"/>
            <w:vMerge w:val="continue"/>
            <w:vAlign w:val="center"/>
          </w:tcPr>
          <w:p w14:paraId="0961844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7E55D08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1EC942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snapToGrid w:val="0"/>
                <w:color w:val="auto"/>
                <w:spacing w:val="6"/>
                <w:kern w:val="0"/>
                <w:sz w:val="21"/>
                <w:szCs w:val="21"/>
              </w:rPr>
              <w:t>各主要生产中段和分段进风巷道的乐风管道上每隔200m~300m应安设一组三通及阀门。</w:t>
            </w:r>
          </w:p>
        </w:tc>
        <w:tc>
          <w:tcPr>
            <w:tcW w:w="881" w:type="pct"/>
            <w:vAlign w:val="center"/>
          </w:tcPr>
          <w:p w14:paraId="6B7AD6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第4.8条</w:t>
            </w:r>
          </w:p>
        </w:tc>
        <w:tc>
          <w:tcPr>
            <w:tcW w:w="1423" w:type="pct"/>
            <w:vAlign w:val="center"/>
          </w:tcPr>
          <w:p w14:paraId="56ADAF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生产中段的压风管道上每隔200～300m应安设一组供气阀门，不符合要求。</w:t>
            </w:r>
          </w:p>
        </w:tc>
        <w:tc>
          <w:tcPr>
            <w:tcW w:w="312" w:type="pct"/>
            <w:vAlign w:val="center"/>
          </w:tcPr>
          <w:p w14:paraId="2435E6B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6A785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6F7751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5DB7400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7342749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snapToGrid w:val="0"/>
                <w:color w:val="auto"/>
                <w:spacing w:val="6"/>
                <w:kern w:val="0"/>
                <w:sz w:val="21"/>
                <w:szCs w:val="21"/>
              </w:rPr>
              <w:t>独头掘进巷道距掘进工作面不大于100m处的压风管道上应安设一组三通及阀门,向外每隔200m~300m应安设一组三通及阀门。有毒有害气体涌出的独头掘进巷道距掘进工作面不大于100m处的压风管道上应安设压风自救装置。</w:t>
            </w:r>
          </w:p>
        </w:tc>
        <w:tc>
          <w:tcPr>
            <w:tcW w:w="881" w:type="pct"/>
            <w:vAlign w:val="center"/>
          </w:tcPr>
          <w:p w14:paraId="6395F9B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第4.7条</w:t>
            </w:r>
          </w:p>
        </w:tc>
        <w:tc>
          <w:tcPr>
            <w:tcW w:w="1423" w:type="pct"/>
            <w:vAlign w:val="center"/>
          </w:tcPr>
          <w:p w14:paraId="27BE490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eastAsia="宋体"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独头掘进巷道距掘进工作面不大于100m处的压风管道上应安设一组供气阀门，向外每隔 200～300m应安设一 组供气阀门，</w:t>
            </w:r>
            <w:r>
              <w:rPr>
                <w:rFonts w:hint="eastAsia" w:ascii="Times New Roman" w:hAnsi="Times New Roman" w:eastAsia="宋体" w:cs="Times New Roman"/>
                <w:snapToGrid w:val="0"/>
                <w:color w:val="auto"/>
                <w:spacing w:val="6"/>
                <w:kern w:val="0"/>
                <w:sz w:val="21"/>
                <w:szCs w:val="21"/>
                <w:lang w:val="en-US" w:bidi="ar-SA"/>
              </w:rPr>
              <w:t>相邻两组供气阀门安设间距</w:t>
            </w:r>
            <w:r>
              <w:rPr>
                <w:rFonts w:hint="eastAsia" w:cs="Times New Roman"/>
                <w:snapToGrid w:val="0"/>
                <w:color w:val="auto"/>
                <w:spacing w:val="6"/>
                <w:kern w:val="0"/>
                <w:sz w:val="21"/>
                <w:szCs w:val="21"/>
                <w:lang w:val="en-US" w:eastAsia="zh-CN" w:bidi="ar-SA"/>
              </w:rPr>
              <w:t>不符合要求。</w:t>
            </w:r>
          </w:p>
        </w:tc>
        <w:tc>
          <w:tcPr>
            <w:tcW w:w="312" w:type="pct"/>
            <w:vAlign w:val="center"/>
          </w:tcPr>
          <w:p w14:paraId="5EDE86B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4FD6C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7AB850C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5E61C7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53E30E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爆破时撤离人员集中地点的压风管道上应安设</w:t>
            </w:r>
            <w:r>
              <w:rPr>
                <w:rFonts w:hint="eastAsia" w:cs="Times New Roman"/>
                <w:snapToGrid w:val="0"/>
                <w:color w:val="auto"/>
                <w:spacing w:val="6"/>
                <w:kern w:val="0"/>
                <w:sz w:val="21"/>
                <w:szCs w:val="21"/>
                <w:lang w:val="en-US" w:eastAsia="zh-CN" w:bidi="ar-SA"/>
              </w:rPr>
              <w:t>一</w:t>
            </w:r>
            <w:r>
              <w:rPr>
                <w:rFonts w:hint="eastAsia" w:ascii="Times New Roman" w:hAnsi="Times New Roman" w:eastAsia="宋体" w:cs="Times New Roman"/>
                <w:snapToGrid w:val="0"/>
                <w:color w:val="auto"/>
                <w:spacing w:val="6"/>
                <w:kern w:val="0"/>
                <w:sz w:val="21"/>
                <w:szCs w:val="21"/>
                <w:lang w:val="en-US" w:bidi="ar-SA"/>
              </w:rPr>
              <w:t>组供气阀门。</w:t>
            </w:r>
          </w:p>
        </w:tc>
        <w:tc>
          <w:tcPr>
            <w:tcW w:w="881" w:type="pct"/>
            <w:vAlign w:val="center"/>
          </w:tcPr>
          <w:p w14:paraId="4E2A21D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《金属非金属地下矿山压风自救系统建设规范》</w:t>
            </w:r>
            <w:r>
              <w:rPr>
                <w:rFonts w:hint="eastAsia" w:cs="Times New Roman"/>
                <w:snapToGrid w:val="0"/>
                <w:color w:val="auto"/>
                <w:spacing w:val="8"/>
                <w:kern w:val="0"/>
                <w:sz w:val="21"/>
                <w:szCs w:val="21"/>
                <w:lang w:val="en-US" w:eastAsia="zh-CN" w:bidi="ar-SA"/>
              </w:rPr>
              <w:t>第4.8条</w:t>
            </w:r>
          </w:p>
        </w:tc>
        <w:tc>
          <w:tcPr>
            <w:tcW w:w="1423" w:type="pct"/>
            <w:vAlign w:val="center"/>
          </w:tcPr>
          <w:p w14:paraId="433F0B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cs="Times New Roman"/>
                <w:snapToGrid w:val="0"/>
                <w:color w:val="auto"/>
                <w:spacing w:val="26"/>
                <w:kern w:val="0"/>
                <w:sz w:val="21"/>
                <w:szCs w:val="21"/>
                <w:lang w:val="en-US" w:eastAsia="zh-CN" w:bidi="ar-SA"/>
              </w:rPr>
            </w:pPr>
            <w:r>
              <w:rPr>
                <w:rFonts w:hint="eastAsia" w:cs="Times New Roman"/>
                <w:snapToGrid w:val="0"/>
                <w:color w:val="auto"/>
                <w:spacing w:val="26"/>
                <w:kern w:val="0"/>
                <w:sz w:val="21"/>
                <w:szCs w:val="21"/>
                <w:lang w:val="en-US" w:eastAsia="zh-CN" w:bidi="ar-SA"/>
              </w:rPr>
              <w:t>在各中段采掘工作面和爆破时撤离人员集中地点的压风管道上分别安设一组供气阀门。</w:t>
            </w:r>
          </w:p>
        </w:tc>
        <w:tc>
          <w:tcPr>
            <w:tcW w:w="312" w:type="pct"/>
            <w:vAlign w:val="center"/>
          </w:tcPr>
          <w:p w14:paraId="67C70A7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AED2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restart"/>
            <w:vAlign w:val="center"/>
          </w:tcPr>
          <w:p w14:paraId="46B6F9E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6</w:t>
            </w:r>
          </w:p>
        </w:tc>
        <w:tc>
          <w:tcPr>
            <w:tcW w:w="254" w:type="pct"/>
            <w:vMerge w:val="restart"/>
            <w:vAlign w:val="center"/>
          </w:tcPr>
          <w:p w14:paraId="19BC50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供水施救系统</w:t>
            </w:r>
          </w:p>
        </w:tc>
        <w:tc>
          <w:tcPr>
            <w:tcW w:w="1641" w:type="pct"/>
            <w:vAlign w:val="center"/>
          </w:tcPr>
          <w:p w14:paraId="7DCB3EB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金属非金属地下矿山应根据安全避险的实际需要,建设完善供水施救系统。</w:t>
            </w:r>
          </w:p>
        </w:tc>
        <w:tc>
          <w:tcPr>
            <w:tcW w:w="881" w:type="pct"/>
            <w:vAlign w:val="center"/>
          </w:tcPr>
          <w:p w14:paraId="148F97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第4.1条</w:t>
            </w:r>
          </w:p>
        </w:tc>
        <w:tc>
          <w:tcPr>
            <w:tcW w:w="1423" w:type="pct"/>
            <w:vAlign w:val="center"/>
          </w:tcPr>
          <w:p w14:paraId="666E5E4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已</w:t>
            </w:r>
            <w:r>
              <w:rPr>
                <w:rFonts w:hint="eastAsia" w:ascii="Times New Roman" w:hAnsi="Times New Roman" w:eastAsia="宋体" w:cs="Times New Roman"/>
                <w:snapToGrid w:val="0"/>
                <w:color w:val="auto"/>
                <w:spacing w:val="6"/>
                <w:kern w:val="0"/>
                <w:sz w:val="21"/>
                <w:szCs w:val="21"/>
                <w:lang w:val="en-US" w:bidi="ar-SA"/>
              </w:rPr>
              <w:t>建设完善供水施救系统。</w:t>
            </w:r>
          </w:p>
        </w:tc>
        <w:tc>
          <w:tcPr>
            <w:tcW w:w="312" w:type="pct"/>
            <w:vAlign w:val="center"/>
          </w:tcPr>
          <w:p w14:paraId="2CD79C9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579E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2FAB08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3DC3E2A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2FB03E2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供水施救系统应优先采用静压供水,当不具备条件时,采用动压供水,用水地点管道出口水压应不小于0.1MPa。</w:t>
            </w:r>
          </w:p>
        </w:tc>
        <w:tc>
          <w:tcPr>
            <w:tcW w:w="881" w:type="pct"/>
            <w:vAlign w:val="center"/>
          </w:tcPr>
          <w:p w14:paraId="0876231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第4.3条</w:t>
            </w:r>
          </w:p>
        </w:tc>
        <w:tc>
          <w:tcPr>
            <w:tcW w:w="1423" w:type="pct"/>
            <w:vAlign w:val="center"/>
          </w:tcPr>
          <w:p w14:paraId="009324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矿井井下消防、洒水利用井上、井下地形高差，采用消防与洒水合一的静压给水系统。</w:t>
            </w:r>
          </w:p>
        </w:tc>
        <w:tc>
          <w:tcPr>
            <w:tcW w:w="312" w:type="pct"/>
            <w:vAlign w:val="center"/>
          </w:tcPr>
          <w:p w14:paraId="2B784D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4F477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04D4B5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737D940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0EC1AE3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供水施救系统可以与生产供水系统共用</w:t>
            </w:r>
            <w:r>
              <w:rPr>
                <w:rFonts w:hint="eastAsia" w:cs="Times New Roman"/>
                <w:snapToGrid w:val="0"/>
                <w:color w:val="auto"/>
                <w:spacing w:val="6"/>
                <w:kern w:val="0"/>
                <w:sz w:val="21"/>
                <w:szCs w:val="21"/>
                <w:lang w:val="en-US" w:eastAsia="zh-CN" w:bidi="ar-SA"/>
              </w:rPr>
              <w:t>，</w:t>
            </w:r>
            <w:r>
              <w:rPr>
                <w:rFonts w:hint="eastAsia" w:ascii="Times New Roman" w:hAnsi="Times New Roman" w:eastAsia="宋体" w:cs="Times New Roman"/>
                <w:snapToGrid w:val="0"/>
                <w:color w:val="auto"/>
                <w:spacing w:val="6"/>
                <w:kern w:val="0"/>
                <w:sz w:val="21"/>
                <w:szCs w:val="21"/>
                <w:lang w:val="en-US" w:bidi="ar-SA"/>
              </w:rPr>
              <w:t>施救时水源应满足GB5749-2022中4.2的要求(放射</w:t>
            </w:r>
          </w:p>
          <w:p w14:paraId="23C0DA5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性指标除外)。</w:t>
            </w:r>
          </w:p>
        </w:tc>
        <w:tc>
          <w:tcPr>
            <w:tcW w:w="881" w:type="pct"/>
            <w:vAlign w:val="center"/>
          </w:tcPr>
          <w:p w14:paraId="67C256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第4.4条</w:t>
            </w:r>
          </w:p>
        </w:tc>
        <w:tc>
          <w:tcPr>
            <w:tcW w:w="1423" w:type="pct"/>
            <w:vAlign w:val="center"/>
          </w:tcPr>
          <w:p w14:paraId="2BA338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宋体" w:hAnsi="宋体" w:eastAsia="宋体" w:cs="宋体"/>
                <w:color w:val="auto"/>
                <w:sz w:val="21"/>
                <w:szCs w:val="21"/>
                <w:lang w:val="en-US" w:eastAsia="zh-CN"/>
              </w:rPr>
            </w:pPr>
            <w:r>
              <w:rPr>
                <w:rFonts w:hint="default" w:ascii="Times New Roman" w:hAnsi="Times New Roman" w:cs="Times New Roman"/>
                <w:color w:val="auto"/>
                <w:sz w:val="21"/>
                <w:szCs w:val="21"/>
              </w:rPr>
              <w:t>井下供水施救系统，其水源为距矿山办公和生活区1.5km的茶山迳溪水</w:t>
            </w:r>
            <w:r>
              <w:rPr>
                <w:rFonts w:hint="default" w:ascii="Times New Roman" w:hAnsi="Times New Roman" w:cs="Times New Roman"/>
                <w:color w:val="auto"/>
                <w:sz w:val="21"/>
                <w:szCs w:val="21"/>
                <w:lang w:val="en-US" w:eastAsia="zh-CN"/>
              </w:rPr>
              <w:t>。水源满足要求</w:t>
            </w:r>
            <w:r>
              <w:rPr>
                <w:rFonts w:hint="eastAsia" w:ascii="宋体" w:hAnsi="宋体" w:cs="宋体"/>
                <w:color w:val="auto"/>
                <w:sz w:val="21"/>
                <w:szCs w:val="21"/>
                <w:lang w:val="en-US" w:eastAsia="zh-CN"/>
              </w:rPr>
              <w:t>。</w:t>
            </w:r>
          </w:p>
        </w:tc>
        <w:tc>
          <w:tcPr>
            <w:tcW w:w="312" w:type="pct"/>
            <w:vAlign w:val="center"/>
          </w:tcPr>
          <w:p w14:paraId="3258D2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default"/>
                <w:snapToGrid w:val="0"/>
                <w:color w:val="auto"/>
                <w:spacing w:val="3"/>
                <w:kern w:val="0"/>
                <w:sz w:val="21"/>
                <w:szCs w:val="21"/>
              </w:rPr>
              <w:t>符合</w:t>
            </w:r>
          </w:p>
        </w:tc>
      </w:tr>
      <w:tr w14:paraId="6AFC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1FF39A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38DF30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45502EB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供水施救系统管道应采用钢管材料或其他同等强度的阻燃材料,并采取防腐蚀措施</w:t>
            </w:r>
            <w:r>
              <w:rPr>
                <w:rFonts w:hint="eastAsia" w:cs="Times New Roman"/>
                <w:snapToGrid w:val="0"/>
                <w:color w:val="auto"/>
                <w:spacing w:val="6"/>
                <w:kern w:val="0"/>
                <w:sz w:val="21"/>
                <w:szCs w:val="21"/>
                <w:lang w:val="en-US" w:eastAsia="zh-CN" w:bidi="ar-SA"/>
              </w:rPr>
              <w:t>。</w:t>
            </w:r>
          </w:p>
        </w:tc>
        <w:tc>
          <w:tcPr>
            <w:tcW w:w="881" w:type="pct"/>
            <w:vAlign w:val="center"/>
          </w:tcPr>
          <w:p w14:paraId="0151531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第4.6条</w:t>
            </w:r>
          </w:p>
        </w:tc>
        <w:tc>
          <w:tcPr>
            <w:tcW w:w="1423" w:type="pct"/>
            <w:vAlign w:val="center"/>
          </w:tcPr>
          <w:p w14:paraId="60F1747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采用</w:t>
            </w:r>
            <w:r>
              <w:rPr>
                <w:rFonts w:hint="default" w:ascii="Times New Roman" w:hAnsi="Times New Roman" w:eastAsia="宋体" w:cs="Times New Roman"/>
                <w:color w:val="auto"/>
                <w:sz w:val="21"/>
                <w:szCs w:val="21"/>
              </w:rPr>
              <w:t>DN10</w:t>
            </w:r>
            <w:r>
              <w:rPr>
                <w:rFonts w:hint="eastAsia" w:cs="Times New Roman"/>
                <w:color w:val="auto"/>
                <w:sz w:val="21"/>
                <w:szCs w:val="21"/>
                <w:lang w:val="en-US" w:eastAsia="zh-CN"/>
              </w:rPr>
              <w:t>8</w:t>
            </w:r>
            <w:r>
              <w:rPr>
                <w:rFonts w:hint="default" w:ascii="Times New Roman" w:hAnsi="Times New Roman" w:eastAsia="宋体" w:cs="Times New Roman"/>
                <w:color w:val="auto"/>
                <w:sz w:val="21"/>
                <w:szCs w:val="21"/>
              </w:rPr>
              <w:t>mm的</w:t>
            </w:r>
            <w:r>
              <w:rPr>
                <w:rFonts w:hint="eastAsia" w:ascii="宋体" w:hAnsi="宋体" w:eastAsia="宋体" w:cs="宋体"/>
                <w:color w:val="auto"/>
                <w:sz w:val="21"/>
                <w:szCs w:val="21"/>
              </w:rPr>
              <w:t>钢管</w:t>
            </w:r>
            <w:r>
              <w:rPr>
                <w:rFonts w:hint="eastAsia" w:ascii="宋体" w:hAnsi="宋体" w:eastAsia="宋体" w:cs="宋体"/>
                <w:color w:val="auto"/>
                <w:sz w:val="21"/>
                <w:szCs w:val="21"/>
                <w:lang w:eastAsia="zh-CN"/>
              </w:rPr>
              <w:t>。</w:t>
            </w:r>
          </w:p>
        </w:tc>
        <w:tc>
          <w:tcPr>
            <w:tcW w:w="312" w:type="pct"/>
            <w:vAlign w:val="center"/>
          </w:tcPr>
          <w:p w14:paraId="051160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08F17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12B5531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69EBB1C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66787F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bidi="ar-SA"/>
              </w:rPr>
              <w:t>各主要生产中段和分段进风巷道的供水管道上安设的供水阀门,中段和分段间隔应不大于200</w:t>
            </w:r>
            <w:r>
              <w:rPr>
                <w:rFonts w:hint="eastAsia" w:cs="Times New Roman"/>
                <w:snapToGrid w:val="0"/>
                <w:color w:val="auto"/>
                <w:spacing w:val="6"/>
                <w:kern w:val="0"/>
                <w:sz w:val="21"/>
                <w:szCs w:val="21"/>
                <w:lang w:val="en-US" w:eastAsia="zh-CN" w:bidi="ar-SA"/>
              </w:rPr>
              <w:t>m。</w:t>
            </w:r>
          </w:p>
        </w:tc>
        <w:tc>
          <w:tcPr>
            <w:tcW w:w="881" w:type="pct"/>
            <w:vAlign w:val="center"/>
          </w:tcPr>
          <w:p w14:paraId="4F93144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第4.8条</w:t>
            </w:r>
          </w:p>
        </w:tc>
        <w:tc>
          <w:tcPr>
            <w:tcW w:w="1423" w:type="pct"/>
            <w:vAlign w:val="center"/>
          </w:tcPr>
          <w:p w14:paraId="29C44EC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设有供水管道的各条大巷、 副斜井、中段运输巷、回风巷等，每隔50～100m设置一个DN25供水接口</w:t>
            </w:r>
            <w:r>
              <w:rPr>
                <w:rFonts w:hint="eastAsia" w:ascii="宋体" w:hAnsi="宋体" w:cs="宋体"/>
                <w:color w:val="auto"/>
                <w:sz w:val="21"/>
                <w:szCs w:val="21"/>
                <w:lang w:val="en-US" w:eastAsia="zh-CN"/>
              </w:rPr>
              <w:t>。</w:t>
            </w:r>
          </w:p>
        </w:tc>
        <w:tc>
          <w:tcPr>
            <w:tcW w:w="312" w:type="pct"/>
            <w:vAlign w:val="center"/>
          </w:tcPr>
          <w:p w14:paraId="335B915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r w14:paraId="19FA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487" w:type="pct"/>
            <w:vMerge w:val="continue"/>
            <w:vAlign w:val="center"/>
          </w:tcPr>
          <w:p w14:paraId="67D362A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kern w:val="0"/>
                <w:sz w:val="21"/>
                <w:szCs w:val="21"/>
                <w:lang w:val="en-US" w:eastAsia="zh-CN" w:bidi="ar-SA"/>
              </w:rPr>
            </w:pPr>
          </w:p>
        </w:tc>
        <w:tc>
          <w:tcPr>
            <w:tcW w:w="254" w:type="pct"/>
            <w:vMerge w:val="continue"/>
            <w:vAlign w:val="center"/>
          </w:tcPr>
          <w:p w14:paraId="4052E2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olor w:val="auto"/>
                <w:sz w:val="21"/>
                <w:szCs w:val="21"/>
                <w:lang w:val="en-US" w:eastAsia="zh-CN"/>
              </w:rPr>
            </w:pPr>
          </w:p>
        </w:tc>
        <w:tc>
          <w:tcPr>
            <w:tcW w:w="1641" w:type="pct"/>
            <w:vAlign w:val="center"/>
          </w:tcPr>
          <w:p w14:paraId="474E84D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独头掘进巷道距掘进工作面不大于100m处的供水管道上应安设一组供水阀门,相邻两组供水</w:t>
            </w:r>
          </w:p>
          <w:p w14:paraId="51CCDCA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left"/>
              <w:textAlignment w:val="baseline"/>
              <w:rPr>
                <w:rFonts w:hint="eastAsia" w:ascii="Times New Roman" w:hAnsi="Times New Roman" w:eastAsia="宋体" w:cs="Times New Roman"/>
                <w:snapToGrid w:val="0"/>
                <w:color w:val="auto"/>
                <w:spacing w:val="6"/>
                <w:kern w:val="0"/>
                <w:sz w:val="21"/>
                <w:szCs w:val="21"/>
                <w:lang w:val="en-US" w:bidi="ar-SA"/>
              </w:rPr>
            </w:pPr>
            <w:r>
              <w:rPr>
                <w:rFonts w:hint="eastAsia" w:ascii="Times New Roman" w:hAnsi="Times New Roman" w:eastAsia="宋体" w:cs="Times New Roman"/>
                <w:snapToGrid w:val="0"/>
                <w:color w:val="auto"/>
                <w:spacing w:val="6"/>
                <w:kern w:val="0"/>
                <w:sz w:val="21"/>
                <w:szCs w:val="21"/>
                <w:lang w:val="en-US" w:bidi="ar-SA"/>
              </w:rPr>
              <w:t>阀门安设间距应不大于200m。</w:t>
            </w:r>
          </w:p>
        </w:tc>
        <w:tc>
          <w:tcPr>
            <w:tcW w:w="881" w:type="pct"/>
            <w:vAlign w:val="center"/>
          </w:tcPr>
          <w:p w14:paraId="0D11FD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8"/>
                <w:kern w:val="0"/>
                <w:sz w:val="21"/>
                <w:szCs w:val="21"/>
                <w:lang w:val="en-US" w:eastAsia="zh-CN" w:bidi="ar-SA"/>
              </w:rPr>
            </w:pPr>
            <w:r>
              <w:rPr>
                <w:rFonts w:hint="default" w:ascii="Times New Roman" w:hAnsi="Times New Roman" w:eastAsia="宋体" w:cs="Times New Roman"/>
                <w:snapToGrid w:val="0"/>
                <w:color w:val="auto"/>
                <w:spacing w:val="8"/>
                <w:kern w:val="0"/>
                <w:sz w:val="21"/>
                <w:szCs w:val="21"/>
                <w:lang w:val="en-US" w:eastAsia="zh-CN" w:bidi="ar-SA"/>
              </w:rPr>
              <w:t>《金属非金属地下矿山供水施救系统建设规范》</w:t>
            </w:r>
            <w:r>
              <w:rPr>
                <w:rFonts w:hint="eastAsia" w:cs="Times New Roman"/>
                <w:snapToGrid w:val="0"/>
                <w:color w:val="auto"/>
                <w:spacing w:val="8"/>
                <w:kern w:val="0"/>
                <w:sz w:val="21"/>
                <w:szCs w:val="21"/>
                <w:lang w:val="en-US" w:eastAsia="zh-CN" w:bidi="ar-SA"/>
              </w:rPr>
              <w:t>第4.9条</w:t>
            </w:r>
          </w:p>
        </w:tc>
        <w:tc>
          <w:tcPr>
            <w:tcW w:w="1423" w:type="pct"/>
            <w:vAlign w:val="center"/>
          </w:tcPr>
          <w:p w14:paraId="5CE983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lang w:eastAsia="zh-CN"/>
              </w:rPr>
              <w:t>独头掘进巷道距掘进工作面不大于100m处的供水管道上安设一组供水阀门。</w:t>
            </w:r>
          </w:p>
        </w:tc>
        <w:tc>
          <w:tcPr>
            <w:tcW w:w="312" w:type="pct"/>
            <w:vAlign w:val="center"/>
          </w:tcPr>
          <w:p w14:paraId="0ABB68F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cs="Times New Roman"/>
                <w:snapToGrid w:val="0"/>
                <w:color w:val="auto"/>
                <w:spacing w:val="3"/>
                <w:kern w:val="0"/>
                <w:sz w:val="21"/>
                <w:szCs w:val="21"/>
                <w:lang w:val="en-US" w:eastAsia="zh-CN" w:bidi="ar-SA"/>
              </w:rPr>
            </w:pPr>
            <w:r>
              <w:rPr>
                <w:rFonts w:hint="eastAsia" w:cs="Times New Roman"/>
                <w:snapToGrid w:val="0"/>
                <w:color w:val="auto"/>
                <w:spacing w:val="3"/>
                <w:kern w:val="0"/>
                <w:sz w:val="21"/>
                <w:szCs w:val="21"/>
                <w:lang w:val="en-US" w:eastAsia="zh-CN" w:bidi="ar-SA"/>
              </w:rPr>
              <w:t>符合</w:t>
            </w:r>
          </w:p>
        </w:tc>
      </w:tr>
    </w:tbl>
    <w:p w14:paraId="4237C713">
      <w:pPr>
        <w:pStyle w:val="4"/>
        <w:bidi w:val="0"/>
        <w:rPr>
          <w:rFonts w:hint="default"/>
          <w:color w:val="auto"/>
          <w:lang w:val="en-US" w:eastAsia="zh-CN"/>
        </w:rPr>
      </w:pPr>
      <w:bookmarkStart w:id="358" w:name="_Toc31118"/>
      <w:bookmarkStart w:id="359" w:name="_Toc20347"/>
      <w:bookmarkStart w:id="360" w:name="_Toc10260"/>
      <w:bookmarkStart w:id="361" w:name="_Toc6478"/>
      <w:r>
        <w:rPr>
          <w:rFonts w:hint="default"/>
          <w:color w:val="auto"/>
          <w:lang w:val="en-US" w:eastAsia="zh-CN"/>
        </w:rPr>
        <w:t>3.</w:t>
      </w:r>
      <w:r>
        <w:rPr>
          <w:rFonts w:hint="eastAsia"/>
          <w:color w:val="auto"/>
          <w:lang w:val="en-US" w:eastAsia="zh-CN"/>
        </w:rPr>
        <w:t>9</w:t>
      </w:r>
      <w:r>
        <w:rPr>
          <w:rFonts w:hint="default"/>
          <w:color w:val="auto"/>
          <w:lang w:val="en-US" w:eastAsia="zh-CN"/>
        </w:rPr>
        <w:t>.2 评价小结</w:t>
      </w:r>
      <w:bookmarkEnd w:id="358"/>
      <w:bookmarkEnd w:id="359"/>
      <w:bookmarkEnd w:id="360"/>
      <w:bookmarkEnd w:id="361"/>
    </w:p>
    <w:p w14:paraId="05CC2F4E">
      <w:pPr>
        <w:rPr>
          <w:rFonts w:hint="default"/>
          <w:color w:val="auto"/>
          <w:lang w:val="en-US" w:eastAsia="zh-CN"/>
        </w:rPr>
      </w:pPr>
      <w:r>
        <w:rPr>
          <w:rFonts w:hint="default"/>
          <w:color w:val="auto"/>
          <w:lang w:val="en-US" w:eastAsia="zh-CN"/>
        </w:rPr>
        <w:t>采用安全检查表法对安全避险</w:t>
      </w:r>
      <w:r>
        <w:rPr>
          <w:rFonts w:hint="eastAsia"/>
          <w:color w:val="auto"/>
          <w:lang w:val="en-US" w:eastAsia="zh-CN"/>
        </w:rPr>
        <w:t>“</w:t>
      </w:r>
      <w:r>
        <w:rPr>
          <w:rFonts w:hint="default"/>
          <w:color w:val="auto"/>
          <w:lang w:val="en-US" w:eastAsia="zh-CN"/>
        </w:rPr>
        <w:t>六大系统</w:t>
      </w:r>
      <w:r>
        <w:rPr>
          <w:rFonts w:hint="eastAsia"/>
          <w:color w:val="auto"/>
          <w:lang w:val="en-US" w:eastAsia="zh-CN"/>
        </w:rPr>
        <w:t>”</w:t>
      </w:r>
      <w:r>
        <w:rPr>
          <w:rFonts w:hint="default"/>
          <w:color w:val="auto"/>
          <w:lang w:val="en-US" w:eastAsia="zh-CN"/>
        </w:rPr>
        <w:t>单元检查6大项</w:t>
      </w:r>
      <w:r>
        <w:rPr>
          <w:rFonts w:hint="eastAsia"/>
          <w:color w:val="auto"/>
          <w:lang w:val="en-US" w:eastAsia="zh-CN"/>
        </w:rPr>
        <w:t>23</w:t>
      </w:r>
      <w:r>
        <w:rPr>
          <w:rFonts w:hint="default"/>
          <w:color w:val="auto"/>
          <w:lang w:val="en-US" w:eastAsia="zh-CN"/>
        </w:rPr>
        <w:t>小项，</w:t>
      </w:r>
      <w:r>
        <w:rPr>
          <w:rFonts w:hint="eastAsia"/>
          <w:color w:val="auto"/>
          <w:lang w:val="en-US" w:eastAsia="zh-CN"/>
        </w:rPr>
        <w:t>全部</w:t>
      </w:r>
      <w:r>
        <w:rPr>
          <w:rFonts w:hint="default"/>
          <w:color w:val="auto"/>
          <w:lang w:val="en-US" w:eastAsia="zh-CN"/>
        </w:rPr>
        <w:t>符合，矿山废石场单元符合《应急管理部 国家矿山安全监察局关于印发</w:t>
      </w:r>
      <w:r>
        <w:rPr>
          <w:rFonts w:hint="eastAsia" w:ascii="宋体" w:hAnsi="宋体" w:eastAsia="宋体" w:cs="宋体"/>
          <w:color w:val="auto"/>
          <w:lang w:val="en-US" w:eastAsia="zh-CN"/>
        </w:rPr>
        <w:t>&lt;</w:t>
      </w:r>
      <w:r>
        <w:rPr>
          <w:rFonts w:hint="eastAsia"/>
          <w:color w:val="auto"/>
          <w:lang w:val="en-US" w:eastAsia="zh-CN"/>
        </w:rPr>
        <w:t>“</w:t>
      </w:r>
      <w:r>
        <w:rPr>
          <w:rFonts w:hint="default"/>
          <w:color w:val="auto"/>
          <w:lang w:val="en-US" w:eastAsia="zh-CN"/>
        </w:rPr>
        <w:t>十四五</w:t>
      </w:r>
      <w:r>
        <w:rPr>
          <w:rFonts w:hint="eastAsia"/>
          <w:color w:val="auto"/>
          <w:lang w:val="en-US" w:eastAsia="zh-CN"/>
        </w:rPr>
        <w:t>”</w:t>
      </w:r>
      <w:r>
        <w:rPr>
          <w:rFonts w:hint="default"/>
          <w:color w:val="auto"/>
          <w:lang w:val="en-US" w:eastAsia="zh-CN"/>
        </w:rPr>
        <w:t>矿山安全生产规划</w:t>
      </w:r>
      <w:r>
        <w:rPr>
          <w:rFonts w:hint="eastAsia" w:ascii="宋体" w:hAnsi="宋体" w:eastAsia="宋体" w:cs="宋体"/>
          <w:color w:val="auto"/>
          <w:lang w:val="en-US" w:eastAsia="zh-CN"/>
        </w:rPr>
        <w:t>&gt;</w:t>
      </w:r>
      <w:r>
        <w:rPr>
          <w:rFonts w:hint="default"/>
          <w:color w:val="auto"/>
          <w:lang w:val="en-US" w:eastAsia="zh-CN"/>
        </w:rPr>
        <w:t>的通知》（矿安〔2022〕64号）、《金属非金属地下矿山监测监控系统建设规范》、《金属非金属地下矿山人员定位系统建设规范》、《金属非金属地下矿山紧急避险系统建设规范》、《金属非金属地下矿山压风自救系统建设规范》、《金属非金属地下矿山供水施救系统建设规范》、《金属非金属地下矿山通信联络系统建设规范》的有关要求</w:t>
      </w:r>
      <w:r>
        <w:rPr>
          <w:rFonts w:hint="eastAsia"/>
          <w:color w:val="auto"/>
          <w:lang w:val="en-US" w:eastAsia="zh-CN"/>
        </w:rPr>
        <w:t>。</w:t>
      </w:r>
    </w:p>
    <w:p w14:paraId="5788BF84">
      <w:pPr>
        <w:pStyle w:val="3"/>
        <w:bidi w:val="0"/>
        <w:rPr>
          <w:rFonts w:hint="default"/>
          <w:color w:val="auto"/>
          <w:lang w:val="en-US" w:eastAsia="zh-CN"/>
        </w:rPr>
      </w:pPr>
      <w:bookmarkStart w:id="362" w:name="_Toc32416"/>
      <w:bookmarkStart w:id="363" w:name="_Toc30180"/>
      <w:bookmarkStart w:id="364" w:name="_Toc16077"/>
      <w:bookmarkStart w:id="365" w:name="_Toc5953"/>
      <w:r>
        <w:rPr>
          <w:rFonts w:hint="default"/>
          <w:color w:val="auto"/>
          <w:lang w:val="en-US" w:eastAsia="zh-CN"/>
        </w:rPr>
        <w:t>3.1</w:t>
      </w:r>
      <w:r>
        <w:rPr>
          <w:rFonts w:hint="eastAsia"/>
          <w:color w:val="auto"/>
          <w:lang w:val="en-US" w:eastAsia="zh-CN"/>
        </w:rPr>
        <w:t>0</w:t>
      </w:r>
      <w:r>
        <w:rPr>
          <w:rFonts w:hint="default"/>
          <w:color w:val="auto"/>
          <w:lang w:val="en-US" w:eastAsia="zh-CN"/>
        </w:rPr>
        <w:t xml:space="preserve"> 安全管理单元</w:t>
      </w:r>
      <w:bookmarkEnd w:id="362"/>
      <w:bookmarkEnd w:id="363"/>
      <w:bookmarkEnd w:id="364"/>
      <w:bookmarkEnd w:id="365"/>
    </w:p>
    <w:p w14:paraId="14817310">
      <w:pPr>
        <w:keepNext/>
        <w:keepLines/>
        <w:widowControl w:val="0"/>
        <w:bidi w:val="0"/>
        <w:spacing w:beforeLines="0" w:beforeAutospacing="0" w:afterLines="0" w:afterAutospacing="0" w:line="360" w:lineRule="auto"/>
        <w:ind w:left="560" w:leftChars="200" w:firstLine="0" w:firstLineChars="0"/>
        <w:jc w:val="both"/>
        <w:outlineLvl w:val="2"/>
        <w:rPr>
          <w:rFonts w:ascii="宋体" w:hAnsi="宋体" w:eastAsia="宋体" w:cs="宋体"/>
          <w:b/>
          <w:color w:val="auto"/>
          <w:kern w:val="2"/>
          <w:sz w:val="28"/>
          <w:szCs w:val="28"/>
          <w:lang w:val="en-US" w:eastAsia="zh-CN" w:bidi="ar-SA"/>
        </w:rPr>
      </w:pPr>
      <w:bookmarkStart w:id="366" w:name="_Toc4454"/>
      <w:bookmarkStart w:id="367" w:name="_Toc22108"/>
      <w:bookmarkStart w:id="368" w:name="_Toc21676"/>
      <w:bookmarkStart w:id="369" w:name="_Toc30898"/>
      <w:r>
        <w:rPr>
          <w:rFonts w:ascii="Times New Roman" w:hAnsi="Times New Roman" w:eastAsia="黑体" w:cs="Times New Roman"/>
          <w:b/>
          <w:color w:val="auto"/>
          <w:kern w:val="2"/>
          <w:sz w:val="28"/>
          <w:szCs w:val="24"/>
          <w:lang w:val="en-US" w:eastAsia="zh-CN" w:bidi="ar-SA"/>
        </w:rPr>
        <w:t>3.</w:t>
      </w:r>
      <w:r>
        <w:rPr>
          <w:rFonts w:hint="eastAsia" w:ascii="Times New Roman" w:hAnsi="Times New Roman" w:eastAsia="黑体" w:cs="Times New Roman"/>
          <w:b/>
          <w:color w:val="auto"/>
          <w:kern w:val="2"/>
          <w:sz w:val="28"/>
          <w:szCs w:val="24"/>
          <w:lang w:val="en-US" w:eastAsia="zh-CN" w:bidi="ar-SA"/>
        </w:rPr>
        <w:t>1</w:t>
      </w:r>
      <w:r>
        <w:rPr>
          <w:rFonts w:hint="eastAsia" w:eastAsia="黑体" w:cs="Times New Roman"/>
          <w:b/>
          <w:color w:val="auto"/>
          <w:kern w:val="2"/>
          <w:sz w:val="28"/>
          <w:szCs w:val="24"/>
          <w:lang w:val="en-US" w:eastAsia="zh-CN" w:bidi="ar-SA"/>
        </w:rPr>
        <w:t>0</w:t>
      </w:r>
      <w:r>
        <w:rPr>
          <w:rFonts w:ascii="Times New Roman" w:hAnsi="Times New Roman" w:eastAsia="黑体" w:cs="Times New Roman"/>
          <w:b/>
          <w:color w:val="auto"/>
          <w:kern w:val="2"/>
          <w:sz w:val="28"/>
          <w:szCs w:val="24"/>
          <w:lang w:val="en-US" w:eastAsia="zh-CN" w:bidi="ar-SA"/>
        </w:rPr>
        <w:t>.1</w:t>
      </w:r>
      <w:r>
        <w:rPr>
          <w:rFonts w:hint="eastAsia" w:ascii="Times New Roman" w:hAnsi="Times New Roman" w:eastAsia="黑体" w:cs="Times New Roman"/>
          <w:b/>
          <w:color w:val="auto"/>
          <w:kern w:val="2"/>
          <w:sz w:val="28"/>
          <w:szCs w:val="24"/>
          <w:lang w:val="en-US" w:eastAsia="zh-CN" w:bidi="ar-SA"/>
        </w:rPr>
        <w:t xml:space="preserve"> </w:t>
      </w:r>
      <w:r>
        <w:rPr>
          <w:rFonts w:ascii="Times New Roman" w:hAnsi="Times New Roman" w:eastAsia="黑体" w:cs="Times New Roman"/>
          <w:b/>
          <w:color w:val="auto"/>
          <w:kern w:val="2"/>
          <w:sz w:val="28"/>
          <w:szCs w:val="24"/>
          <w:lang w:val="en-US" w:eastAsia="zh-CN" w:bidi="ar-SA"/>
        </w:rPr>
        <w:t>安全检查表法</w:t>
      </w:r>
      <w:bookmarkEnd w:id="366"/>
      <w:bookmarkEnd w:id="367"/>
      <w:bookmarkEnd w:id="368"/>
      <w:bookmarkEnd w:id="369"/>
    </w:p>
    <w:p w14:paraId="18CBBCE2">
      <w:pPr>
        <w:bidi w:val="0"/>
        <w:ind w:firstLine="480"/>
        <w:rPr>
          <w:rFonts w:ascii="Times New Roman" w:hAnsi="Times New Roman" w:eastAsia="宋体" w:cs="Times New Roman"/>
          <w:color w:val="auto"/>
        </w:rPr>
      </w:pPr>
      <w:r>
        <w:rPr>
          <w:rFonts w:ascii="Times New Roman" w:hAnsi="Times New Roman" w:eastAsia="宋体" w:cs="Times New Roman"/>
          <w:color w:val="auto"/>
        </w:rPr>
        <w:t>按照</w:t>
      </w:r>
      <w:r>
        <w:rPr>
          <w:rFonts w:hint="eastAsia" w:ascii="Times New Roman" w:hAnsi="Times New Roman" w:eastAsia="宋体" w:cs="Times New Roman"/>
          <w:color w:val="auto"/>
          <w:lang w:eastAsia="zh-CN"/>
        </w:rPr>
        <w:t>《</w:t>
      </w:r>
      <w:r>
        <w:rPr>
          <w:rFonts w:ascii="宋体" w:hAnsi="宋体" w:eastAsia="宋体" w:cs="宋体"/>
          <w:color w:val="auto"/>
          <w:spacing w:val="2"/>
          <w:sz w:val="28"/>
          <w:szCs w:val="28"/>
        </w:rPr>
        <w:t>安全生产法</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《中华人民共和国特种设备安全法》、</w:t>
      </w:r>
      <w:r>
        <w:rPr>
          <w:rFonts w:ascii="Times New Roman" w:hAnsi="Times New Roman" w:eastAsia="宋体" w:cs="Times New Roman"/>
          <w:color w:val="auto"/>
        </w:rPr>
        <w:t>《江西省安全生产条例》</w:t>
      </w:r>
      <w:r>
        <w:rPr>
          <w:rFonts w:hint="eastAsia" w:ascii="Times New Roman" w:hAnsi="Times New Roman" w:eastAsia="宋体" w:cs="Times New Roman"/>
          <w:color w:val="auto"/>
          <w:lang w:eastAsia="zh-CN"/>
        </w:rPr>
        <w:t>、《国家矿山安全监察局关于印发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eastAsia="zh-CN"/>
        </w:rPr>
        <w:t>关于加强非煤矿山安全生产工作的指导意见</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（矿安〔2022〕4号）》</w:t>
      </w:r>
      <w:r>
        <w:rPr>
          <w:rFonts w:hint="eastAsia"/>
          <w:color w:val="auto"/>
          <w:lang w:val="en-US" w:eastAsia="zh-CN"/>
        </w:rPr>
        <w:t>的要求</w:t>
      </w:r>
      <w:r>
        <w:rPr>
          <w:rFonts w:ascii="Times New Roman" w:hAnsi="Times New Roman" w:eastAsia="宋体" w:cs="Times New Roman"/>
          <w:color w:val="auto"/>
        </w:rPr>
        <w:t>，采用安全检查表对矿山安全管理</w:t>
      </w:r>
      <w:r>
        <w:rPr>
          <w:rFonts w:hint="eastAsia" w:ascii="Times New Roman" w:hAnsi="Times New Roman" w:eastAsia="宋体" w:cs="Times New Roman"/>
          <w:color w:val="auto"/>
          <w:lang w:val="en-US" w:eastAsia="zh-CN"/>
        </w:rPr>
        <w:t>单元</w:t>
      </w:r>
      <w:r>
        <w:rPr>
          <w:rFonts w:ascii="Times New Roman" w:hAnsi="Times New Roman" w:eastAsia="宋体" w:cs="Times New Roman"/>
          <w:color w:val="auto"/>
        </w:rPr>
        <w:t>进行评价，具体见表</w:t>
      </w:r>
      <w:r>
        <w:rPr>
          <w:rFonts w:hint="eastAsia" w:ascii="Times New Roman" w:hAnsi="Times New Roman" w:eastAsia="宋体" w:cs="Times New Roman"/>
          <w:color w:val="auto"/>
          <w:lang w:val="en-US" w:eastAsia="zh-CN"/>
        </w:rPr>
        <w:t>3</w:t>
      </w:r>
      <w:r>
        <w:rPr>
          <w:rFonts w:hint="eastAsia" w:cs="Times New Roman"/>
          <w:color w:val="auto"/>
          <w:lang w:val="en-US" w:eastAsia="zh-CN"/>
        </w:rPr>
        <w:t>.10</w:t>
      </w:r>
      <w:r>
        <w:rPr>
          <w:rFonts w:hint="eastAsia" w:ascii="Times New Roman" w:hAnsi="Times New Roman" w:eastAsia="宋体" w:cs="Times New Roman"/>
          <w:color w:val="auto"/>
          <w:lang w:val="en-US" w:eastAsia="zh-CN"/>
        </w:rPr>
        <w:t>-1</w:t>
      </w:r>
      <w:r>
        <w:rPr>
          <w:rFonts w:ascii="Times New Roman" w:hAnsi="Times New Roman" w:eastAsia="宋体" w:cs="Times New Roman"/>
          <w:color w:val="auto"/>
        </w:rPr>
        <w:t>。</w:t>
      </w:r>
    </w:p>
    <w:p w14:paraId="296E8C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w:t>
      </w:r>
      <w:r>
        <w:rPr>
          <w:rFonts w:hint="eastAsia" w:ascii="Times New Roman" w:hAnsi="Times New Roman" w:eastAsia="宋体" w:cs="Times New Roman"/>
          <w:color w:val="auto"/>
          <w:lang w:val="en-US" w:eastAsia="zh-CN"/>
        </w:rPr>
        <w:t>3</w:t>
      </w:r>
      <w:r>
        <w:rPr>
          <w:rFonts w:hint="eastAsia" w:cs="Times New Roman"/>
          <w:color w:val="auto"/>
          <w:lang w:val="en-US" w:eastAsia="zh-CN"/>
        </w:rPr>
        <w:t>.10</w:t>
      </w:r>
      <w:r>
        <w:rPr>
          <w:rFonts w:hint="eastAsia" w:ascii="Times New Roman" w:hAnsi="Times New Roman" w:eastAsia="宋体" w:cs="Times New Roman"/>
          <w:color w:val="auto"/>
          <w:lang w:val="en-US" w:eastAsia="zh-CN"/>
        </w:rPr>
        <w:t>-1 安全管理单元安全检查表</w:t>
      </w:r>
    </w:p>
    <w:tbl>
      <w:tblPr>
        <w:tblStyle w:val="36"/>
        <w:tblW w:w="903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9"/>
        <w:gridCol w:w="1052"/>
        <w:gridCol w:w="4091"/>
        <w:gridCol w:w="945"/>
        <w:gridCol w:w="1612"/>
        <w:gridCol w:w="778"/>
      </w:tblGrid>
      <w:tr w14:paraId="48B4B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556" w:hRule="atLeast"/>
          <w:jc w:val="center"/>
        </w:trPr>
        <w:tc>
          <w:tcPr>
            <w:tcW w:w="559" w:type="dxa"/>
            <w:vAlign w:val="center"/>
          </w:tcPr>
          <w:p w14:paraId="0D1CCAC1">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序</w:t>
            </w:r>
            <w:r>
              <w:rPr>
                <w:rFonts w:hint="default" w:ascii="Times New Roman" w:hAnsi="Times New Roman" w:eastAsia="宋体" w:cs="Times New Roman"/>
                <w:snapToGrid w:val="0"/>
                <w:color w:val="auto"/>
                <w:spacing w:val="-38"/>
                <w:kern w:val="0"/>
                <w:sz w:val="21"/>
                <w:szCs w:val="21"/>
                <w:lang w:val="en-US" w:eastAsia="en-US" w:bidi="ar-SA"/>
              </w:rPr>
              <w:t xml:space="preserve"> </w:t>
            </w:r>
            <w:r>
              <w:rPr>
                <w:rFonts w:hint="default" w:ascii="Times New Roman" w:hAnsi="Times New Roman" w:eastAsia="宋体" w:cs="Times New Roman"/>
                <w:b/>
                <w:bCs/>
                <w:snapToGrid w:val="0"/>
                <w:color w:val="auto"/>
                <w:spacing w:val="6"/>
                <w:kern w:val="0"/>
                <w:sz w:val="21"/>
                <w:szCs w:val="21"/>
                <w:lang w:val="en-US" w:eastAsia="en-US" w:bidi="ar-SA"/>
              </w:rPr>
              <w:t>号</w:t>
            </w:r>
          </w:p>
        </w:tc>
        <w:tc>
          <w:tcPr>
            <w:tcW w:w="1052" w:type="dxa"/>
            <w:vAlign w:val="center"/>
          </w:tcPr>
          <w:p w14:paraId="350E5D42">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检查项目</w:t>
            </w:r>
          </w:p>
        </w:tc>
        <w:tc>
          <w:tcPr>
            <w:tcW w:w="4091" w:type="dxa"/>
            <w:vAlign w:val="center"/>
          </w:tcPr>
          <w:p w14:paraId="365CE2B0">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检查内容</w:t>
            </w:r>
          </w:p>
        </w:tc>
        <w:tc>
          <w:tcPr>
            <w:tcW w:w="945" w:type="dxa"/>
            <w:vAlign w:val="center"/>
          </w:tcPr>
          <w:p w14:paraId="30F675BD">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检查依据</w:t>
            </w:r>
          </w:p>
        </w:tc>
        <w:tc>
          <w:tcPr>
            <w:tcW w:w="1612" w:type="dxa"/>
            <w:vAlign w:val="center"/>
          </w:tcPr>
          <w:p w14:paraId="2AA301EC">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检查情况</w:t>
            </w:r>
          </w:p>
        </w:tc>
        <w:tc>
          <w:tcPr>
            <w:tcW w:w="778" w:type="dxa"/>
            <w:vAlign w:val="center"/>
          </w:tcPr>
          <w:p w14:paraId="2C011DBD">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b/>
                <w:bCs/>
                <w:snapToGrid w:val="0"/>
                <w:color w:val="auto"/>
                <w:spacing w:val="6"/>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检查</w:t>
            </w:r>
          </w:p>
          <w:p w14:paraId="7227ADF1">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zh-CN" w:bidi="ar-SA"/>
              </w:rPr>
              <w:t>结果</w:t>
            </w:r>
          </w:p>
        </w:tc>
      </w:tr>
      <w:tr w14:paraId="6F5325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5" w:hRule="atLeast"/>
          <w:jc w:val="center"/>
        </w:trPr>
        <w:tc>
          <w:tcPr>
            <w:tcW w:w="559" w:type="dxa"/>
            <w:vAlign w:val="center"/>
          </w:tcPr>
          <w:p w14:paraId="2AD354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eastAsia="en-US"/>
              </w:rPr>
            </w:pPr>
            <w:r>
              <w:rPr>
                <w:rFonts w:hint="default" w:ascii="Times New Roman" w:hAnsi="Times New Roman" w:eastAsia="宋体" w:cs="Times New Roman"/>
                <w:snapToGrid w:val="0"/>
                <w:color w:val="auto"/>
                <w:kern w:val="0"/>
                <w:sz w:val="21"/>
                <w:szCs w:val="21"/>
                <w:lang w:eastAsia="en-US"/>
              </w:rPr>
              <w:t>1</w:t>
            </w:r>
          </w:p>
        </w:tc>
        <w:tc>
          <w:tcPr>
            <w:tcW w:w="1052" w:type="dxa"/>
            <w:vAlign w:val="center"/>
          </w:tcPr>
          <w:p w14:paraId="0CF0EE0C">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安全管理</w:t>
            </w:r>
            <w:r>
              <w:rPr>
                <w:rFonts w:hint="default" w:ascii="Times New Roman" w:hAnsi="Times New Roman" w:eastAsia="宋体" w:cs="Times New Roman"/>
                <w:snapToGrid w:val="0"/>
                <w:color w:val="auto"/>
                <w:spacing w:val="7"/>
                <w:kern w:val="0"/>
                <w:sz w:val="21"/>
                <w:szCs w:val="21"/>
                <w:lang w:val="en-US" w:eastAsia="en-US" w:bidi="ar-SA"/>
              </w:rPr>
              <w:t>机构设置</w:t>
            </w:r>
          </w:p>
        </w:tc>
        <w:tc>
          <w:tcPr>
            <w:tcW w:w="4091" w:type="dxa"/>
            <w:vAlign w:val="center"/>
          </w:tcPr>
          <w:p w14:paraId="1E6F308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eastAsia" w:ascii="Times New Roman" w:hAnsi="Times New Roman" w:eastAsia="宋体" w:cs="Times New Roman"/>
                <w:snapToGrid w:val="0"/>
                <w:color w:val="auto"/>
                <w:spacing w:val="9"/>
                <w:kern w:val="0"/>
                <w:sz w:val="21"/>
                <w:szCs w:val="21"/>
                <w:lang w:val="en-US" w:eastAsia="zh-CN" w:bidi="ar-SA"/>
              </w:rPr>
            </w:pPr>
            <w:r>
              <w:rPr>
                <w:rFonts w:hint="default" w:ascii="Times New Roman" w:hAnsi="Times New Roman" w:eastAsia="宋体" w:cs="Times New Roman"/>
                <w:snapToGrid w:val="0"/>
                <w:color w:val="auto"/>
                <w:spacing w:val="9"/>
                <w:kern w:val="0"/>
                <w:sz w:val="21"/>
                <w:szCs w:val="21"/>
                <w:lang w:val="en-US" w:eastAsia="en-US" w:bidi="ar-SA"/>
              </w:rPr>
              <w:t>矿山、金属冶炼、建筑施工、运输单位和危险物品的生产、经营、储存、装卸单位，应当设置安全生产管理机构或者配备专职安全生产管理人员</w:t>
            </w:r>
            <w:r>
              <w:rPr>
                <w:rFonts w:hint="eastAsia" w:ascii="Times New Roman" w:hAnsi="Times New Roman" w:eastAsia="宋体" w:cs="Times New Roman"/>
                <w:snapToGrid w:val="0"/>
                <w:color w:val="auto"/>
                <w:spacing w:val="9"/>
                <w:kern w:val="0"/>
                <w:sz w:val="21"/>
                <w:szCs w:val="21"/>
                <w:lang w:val="en-US" w:eastAsia="zh-CN" w:bidi="ar-SA"/>
              </w:rPr>
              <w:t>。</w:t>
            </w:r>
          </w:p>
          <w:p w14:paraId="46BCD1F1">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945" w:type="dxa"/>
            <w:vAlign w:val="center"/>
          </w:tcPr>
          <w:p w14:paraId="3E175D69">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eastAsia" w:ascii="Times New Roman" w:hAnsi="Times New Roman" w:eastAsia="宋体" w:cs="Times New Roman"/>
                <w:snapToGrid w:val="0"/>
                <w:color w:val="auto"/>
                <w:spacing w:val="9"/>
                <w:kern w:val="0"/>
                <w:sz w:val="21"/>
                <w:szCs w:val="21"/>
                <w:lang w:val="en-US" w:eastAsia="en-US" w:bidi="ar-SA"/>
              </w:rPr>
              <w:t>《安全生产法》</w:t>
            </w:r>
            <w:r>
              <w:rPr>
                <w:rFonts w:hint="default" w:ascii="Times New Roman" w:hAnsi="Times New Roman" w:eastAsia="宋体" w:cs="Times New Roman"/>
                <w:snapToGrid w:val="0"/>
                <w:color w:val="auto"/>
                <w:spacing w:val="9"/>
                <w:kern w:val="0"/>
                <w:sz w:val="21"/>
                <w:szCs w:val="21"/>
                <w:lang w:val="en-US" w:eastAsia="en-US" w:bidi="ar-SA"/>
              </w:rPr>
              <w:t>第</w:t>
            </w:r>
            <w:r>
              <w:rPr>
                <w:rFonts w:hint="eastAsia" w:ascii="Times New Roman" w:hAnsi="Times New Roman" w:eastAsia="宋体" w:cs="Times New Roman"/>
                <w:snapToGrid w:val="0"/>
                <w:color w:val="auto"/>
                <w:spacing w:val="9"/>
                <w:kern w:val="0"/>
                <w:sz w:val="21"/>
                <w:szCs w:val="21"/>
                <w:lang w:val="en-US" w:eastAsia="zh-CN" w:bidi="ar-SA"/>
              </w:rPr>
              <w:t>二十四</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091FEDB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已按要求设置了安全管理机构</w:t>
            </w:r>
          </w:p>
        </w:tc>
        <w:tc>
          <w:tcPr>
            <w:tcW w:w="778" w:type="dxa"/>
            <w:vAlign w:val="center"/>
          </w:tcPr>
          <w:p w14:paraId="0743FA3F">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55EE5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59" w:type="dxa"/>
            <w:vAlign w:val="center"/>
          </w:tcPr>
          <w:p w14:paraId="74328F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eastAsia="en-US"/>
              </w:rPr>
            </w:pPr>
            <w:r>
              <w:rPr>
                <w:rFonts w:hint="default" w:ascii="Times New Roman" w:hAnsi="Times New Roman" w:eastAsia="宋体" w:cs="Times New Roman"/>
                <w:snapToGrid w:val="0"/>
                <w:color w:val="auto"/>
                <w:kern w:val="0"/>
                <w:sz w:val="21"/>
                <w:szCs w:val="21"/>
                <w:lang w:eastAsia="en-US"/>
              </w:rPr>
              <w:t>2</w:t>
            </w:r>
          </w:p>
        </w:tc>
        <w:tc>
          <w:tcPr>
            <w:tcW w:w="1052" w:type="dxa"/>
            <w:vAlign w:val="center"/>
          </w:tcPr>
          <w:p w14:paraId="783DE934">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6"/>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管理人员</w:t>
            </w:r>
          </w:p>
          <w:p w14:paraId="2D8B600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配备</w:t>
            </w:r>
          </w:p>
        </w:tc>
        <w:tc>
          <w:tcPr>
            <w:tcW w:w="4091" w:type="dxa"/>
            <w:vAlign w:val="center"/>
          </w:tcPr>
          <w:p w14:paraId="6A7C898F">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both"/>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snapToGrid w:val="0"/>
                <w:color w:val="auto"/>
                <w:spacing w:val="9"/>
                <w:kern w:val="0"/>
                <w:sz w:val="21"/>
                <w:szCs w:val="21"/>
                <w:lang w:val="en-US" w:eastAsia="en-US" w:bidi="ar-SA"/>
              </w:rPr>
              <w:t>生产经营单位应当依法配备安全生产管理人员并满足本单位安全生产管理工作的实际需要。设置安全生产管理机构的，应当明确机构负责人和专门从事安全生产管理工作的人员。</w:t>
            </w:r>
          </w:p>
        </w:tc>
        <w:tc>
          <w:tcPr>
            <w:tcW w:w="945" w:type="dxa"/>
            <w:vAlign w:val="center"/>
          </w:tcPr>
          <w:p w14:paraId="0F8B093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eastAsia" w:ascii="Times New Roman" w:hAnsi="Times New Roman" w:eastAsia="宋体" w:cs="Times New Roman"/>
                <w:snapToGrid w:val="0"/>
                <w:color w:val="auto"/>
                <w:spacing w:val="9"/>
                <w:kern w:val="0"/>
                <w:sz w:val="21"/>
                <w:szCs w:val="21"/>
                <w:lang w:val="en-US" w:eastAsia="zh-CN" w:bidi="ar-SA"/>
              </w:rPr>
              <w:t>《矿安〔2022〕4号》第十条、</w:t>
            </w:r>
            <w:r>
              <w:rPr>
                <w:rFonts w:hint="default" w:ascii="Times New Roman" w:hAnsi="Times New Roman" w:eastAsia="宋体" w:cs="Times New Roman"/>
                <w:snapToGrid w:val="0"/>
                <w:color w:val="auto"/>
                <w:spacing w:val="9"/>
                <w:kern w:val="0"/>
                <w:sz w:val="21"/>
                <w:szCs w:val="21"/>
                <w:lang w:val="en-US" w:eastAsia="en-US" w:bidi="ar-SA"/>
              </w:rPr>
              <w:t>《江西省安全生产条例》第十七条</w:t>
            </w:r>
          </w:p>
        </w:tc>
        <w:tc>
          <w:tcPr>
            <w:tcW w:w="1612" w:type="dxa"/>
            <w:vAlign w:val="center"/>
          </w:tcPr>
          <w:p w14:paraId="558E072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安全生产管理人员数量满足要求</w:t>
            </w:r>
          </w:p>
        </w:tc>
        <w:tc>
          <w:tcPr>
            <w:tcW w:w="778" w:type="dxa"/>
            <w:vAlign w:val="center"/>
          </w:tcPr>
          <w:p w14:paraId="07B60F5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符合</w:t>
            </w:r>
          </w:p>
        </w:tc>
      </w:tr>
      <w:tr w14:paraId="16554C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59" w:type="dxa"/>
            <w:vAlign w:val="center"/>
          </w:tcPr>
          <w:p w14:paraId="31D5E618">
            <w:pPr>
              <w:keepNext w:val="0"/>
              <w:keepLines w:val="0"/>
              <w:pageBreakBefore w:val="0"/>
              <w:wordWrap/>
              <w:overflowPunct/>
              <w:topLinePunct w:val="0"/>
              <w:bidi w:val="0"/>
              <w:spacing w:line="240" w:lineRule="auto"/>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052" w:type="dxa"/>
            <w:vAlign w:val="center"/>
          </w:tcPr>
          <w:p w14:paraId="2CD29844">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规章制度</w:t>
            </w:r>
          </w:p>
        </w:tc>
        <w:tc>
          <w:tcPr>
            <w:tcW w:w="4091" w:type="dxa"/>
            <w:vAlign w:val="center"/>
          </w:tcPr>
          <w:p w14:paraId="48F2B24C">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en-US" w:bidi="ar-SA"/>
              </w:rPr>
              <w:t>生产经营单位应当制定下列安全生产规章制度</w:t>
            </w:r>
            <w:r>
              <w:rPr>
                <w:rFonts w:hint="eastAsia" w:ascii="Times New Roman" w:hAnsi="Times New Roman" w:eastAsia="宋体" w:cs="Times New Roman"/>
                <w:snapToGrid w:val="0"/>
                <w:color w:val="auto"/>
                <w:kern w:val="0"/>
                <w:sz w:val="21"/>
                <w:szCs w:val="21"/>
                <w:lang w:val="en-US" w:eastAsia="zh-CN" w:bidi="ar-SA"/>
              </w:rPr>
              <w:t>：</w:t>
            </w:r>
          </w:p>
          <w:p w14:paraId="17F2CB89">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一</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全员安全生产责任制度:</w:t>
            </w:r>
          </w:p>
          <w:p w14:paraId="0C6E041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（二）</w:t>
            </w:r>
            <w:r>
              <w:rPr>
                <w:rFonts w:hint="default" w:ascii="Times New Roman" w:hAnsi="Times New Roman" w:eastAsia="宋体" w:cs="Times New Roman"/>
                <w:snapToGrid w:val="0"/>
                <w:color w:val="auto"/>
                <w:kern w:val="0"/>
                <w:sz w:val="21"/>
                <w:szCs w:val="21"/>
                <w:lang w:val="en-US" w:eastAsia="en-US" w:bidi="ar-SA"/>
              </w:rPr>
              <w:t>安全生产教育和培训制度;</w:t>
            </w:r>
          </w:p>
          <w:p w14:paraId="43B5087C">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三</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安全风险分级管控和隐患排查治理制度;</w:t>
            </w:r>
          </w:p>
          <w:p w14:paraId="1041C308">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四</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安全生产投入制度;</w:t>
            </w:r>
          </w:p>
          <w:p w14:paraId="275423AB">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（五）</w:t>
            </w:r>
            <w:r>
              <w:rPr>
                <w:rFonts w:hint="default" w:ascii="Times New Roman" w:hAnsi="Times New Roman" w:eastAsia="宋体" w:cs="Times New Roman"/>
                <w:snapToGrid w:val="0"/>
                <w:color w:val="auto"/>
                <w:kern w:val="0"/>
                <w:sz w:val="21"/>
                <w:szCs w:val="21"/>
                <w:lang w:val="en-US" w:eastAsia="en-US" w:bidi="ar-SA"/>
              </w:rPr>
              <w:t>危险作业管理制度;</w:t>
            </w:r>
          </w:p>
          <w:p w14:paraId="5752EAA7">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六</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生产经营场所和设施、设备、工艺安全管理制度;</w:t>
            </w:r>
          </w:p>
          <w:p w14:paraId="16CDE7C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七</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劳动防护用品使用和管理制度;</w:t>
            </w:r>
          </w:p>
          <w:p w14:paraId="49C6F0E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八</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生产安全事故报告和处理制度，</w:t>
            </w:r>
          </w:p>
          <w:p w14:paraId="13928655">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九</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安全生产考核奖惩制度;</w:t>
            </w:r>
          </w:p>
          <w:p w14:paraId="50BDAE4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十</w:t>
            </w:r>
            <w:r>
              <w:rPr>
                <w:rFonts w:hint="eastAsia" w:ascii="Times New Roman" w:hAnsi="Times New Roman" w:eastAsia="宋体"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en-US" w:bidi="ar-SA"/>
              </w:rPr>
              <w:t>其他保障安全生产的规章制度。</w:t>
            </w:r>
          </w:p>
          <w:p w14:paraId="1DD239B6">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en-US" w:bidi="ar-SA"/>
              </w:rPr>
              <w:t>生产经营单位根据本单位实际，可以制定包含上一款内容的综合性安全生产规章制度</w:t>
            </w:r>
          </w:p>
        </w:tc>
        <w:tc>
          <w:tcPr>
            <w:tcW w:w="945" w:type="dxa"/>
            <w:vAlign w:val="center"/>
          </w:tcPr>
          <w:p w14:paraId="6549FB60">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《江西省安全生产条例》第十</w:t>
            </w:r>
            <w:r>
              <w:rPr>
                <w:rFonts w:hint="eastAsia" w:ascii="Times New Roman" w:hAnsi="Times New Roman" w:eastAsia="宋体" w:cs="Times New Roman"/>
                <w:snapToGrid w:val="0"/>
                <w:color w:val="auto"/>
                <w:spacing w:val="9"/>
                <w:kern w:val="0"/>
                <w:sz w:val="21"/>
                <w:szCs w:val="21"/>
                <w:lang w:val="en-US" w:eastAsia="zh-CN" w:bidi="ar-SA"/>
              </w:rPr>
              <w:t>六</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5E538490">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安全生产规章制度完善。</w:t>
            </w:r>
          </w:p>
        </w:tc>
        <w:tc>
          <w:tcPr>
            <w:tcW w:w="778" w:type="dxa"/>
            <w:vAlign w:val="center"/>
          </w:tcPr>
          <w:p w14:paraId="0BE33E9E">
            <w:pPr>
              <w:keepNext w:val="0"/>
              <w:keepLines w:val="0"/>
              <w:pageBreakBefore w:val="0"/>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符合</w:t>
            </w:r>
          </w:p>
        </w:tc>
      </w:tr>
      <w:tr w14:paraId="6B7A89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6" w:hRule="atLeast"/>
          <w:jc w:val="center"/>
        </w:trPr>
        <w:tc>
          <w:tcPr>
            <w:tcW w:w="559" w:type="dxa"/>
            <w:vAlign w:val="center"/>
          </w:tcPr>
          <w:p w14:paraId="2C871C0D">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4</w:t>
            </w:r>
          </w:p>
        </w:tc>
        <w:tc>
          <w:tcPr>
            <w:tcW w:w="1052" w:type="dxa"/>
            <w:vAlign w:val="center"/>
          </w:tcPr>
          <w:p w14:paraId="32EEADB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应急救援</w:t>
            </w:r>
          </w:p>
        </w:tc>
        <w:tc>
          <w:tcPr>
            <w:tcW w:w="4091" w:type="dxa"/>
            <w:vAlign w:val="center"/>
          </w:tcPr>
          <w:p w14:paraId="7A8CA47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危险物品的生产、经营、储存、运输单位，矿山、金属治炼、城市轨道交通运营、建筑施工单位，以及宾馆、商场、娱乐场所、旅游景区等人员密集场所经营单位，应当至少每半年组织一次生产安全事故应急救援预案演练，并将练情况报送所在地县级以上人民政府负有安全生产监督管理职责的部门。</w:t>
            </w:r>
          </w:p>
          <w:p w14:paraId="107D210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危险物品的生产、经营、储存、运输单位以及矿山、金属治炼、城市轨道交通运营、建筑施工单位应当建立应急救援组织，配备必要的应急救援器材、设备和物资，进行经常性维护、保养，保证正常运转:生产经营规模较小的，可以不建立应急救援组织，但应当指定兼职的应急救援人员，并可以与邻近的应急救援队伍签订应急救援协议。</w:t>
            </w:r>
          </w:p>
        </w:tc>
        <w:tc>
          <w:tcPr>
            <w:tcW w:w="945" w:type="dxa"/>
            <w:vAlign w:val="center"/>
          </w:tcPr>
          <w:p w14:paraId="5D6792EF">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《江西省安全生产条例》第四十六条</w:t>
            </w:r>
          </w:p>
        </w:tc>
        <w:tc>
          <w:tcPr>
            <w:tcW w:w="1612" w:type="dxa"/>
            <w:vAlign w:val="center"/>
          </w:tcPr>
          <w:p w14:paraId="30846BE9">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已组织生产事故应急救援预案演练，已签订应急救援协议，且协议在有效期内</w:t>
            </w:r>
          </w:p>
        </w:tc>
        <w:tc>
          <w:tcPr>
            <w:tcW w:w="778" w:type="dxa"/>
            <w:vAlign w:val="center"/>
          </w:tcPr>
          <w:p w14:paraId="22B0C05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14714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9" w:hRule="atLeast"/>
          <w:jc w:val="center"/>
        </w:trPr>
        <w:tc>
          <w:tcPr>
            <w:tcW w:w="559" w:type="dxa"/>
            <w:vAlign w:val="center"/>
          </w:tcPr>
          <w:p w14:paraId="70B409B0">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052" w:type="dxa"/>
            <w:vAlign w:val="center"/>
          </w:tcPr>
          <w:p w14:paraId="1CF8123B">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矿山特种</w:t>
            </w:r>
            <w:r>
              <w:rPr>
                <w:rFonts w:hint="default" w:ascii="Times New Roman" w:hAnsi="Times New Roman" w:eastAsia="宋体" w:cs="Times New Roman"/>
                <w:snapToGrid w:val="0"/>
                <w:color w:val="auto"/>
                <w:spacing w:val="6"/>
                <w:kern w:val="0"/>
                <w:sz w:val="21"/>
                <w:szCs w:val="21"/>
                <w:lang w:val="en-US" w:eastAsia="en-US" w:bidi="ar-SA"/>
              </w:rPr>
              <w:t>设备管理</w:t>
            </w:r>
          </w:p>
        </w:tc>
        <w:tc>
          <w:tcPr>
            <w:tcW w:w="4091" w:type="dxa"/>
            <w:vAlign w:val="center"/>
          </w:tcPr>
          <w:p w14:paraId="063054C8">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spacing w:val="8"/>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特种设备使用单位应当按照安全技术规范的要求，在检验合格有效期届满前一个月向特种设备检验机构提出定期检验要求。</w:t>
            </w:r>
          </w:p>
          <w:p w14:paraId="0F46D788">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spacing w:val="8"/>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特种设备检验机构接到定期检验要求后，应当按照安全技术规范的要求及时进行安全性能检验。特种设备使用单位应当将定期检验标志置于该特种设备的显著位置。</w:t>
            </w:r>
          </w:p>
          <w:p w14:paraId="3A0833A6">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未经定期检验或者检验不合格的特种设备，不得继续使用。</w:t>
            </w:r>
          </w:p>
        </w:tc>
        <w:tc>
          <w:tcPr>
            <w:tcW w:w="945" w:type="dxa"/>
            <w:vAlign w:val="center"/>
          </w:tcPr>
          <w:p w14:paraId="0C1B477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中华人民共和国特种设备安全法</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第</w:t>
            </w:r>
            <w:r>
              <w:rPr>
                <w:rFonts w:hint="eastAsia" w:ascii="Times New Roman" w:hAnsi="Times New Roman" w:eastAsia="宋体" w:cs="Times New Roman"/>
                <w:snapToGrid w:val="0"/>
                <w:color w:val="auto"/>
                <w:spacing w:val="9"/>
                <w:kern w:val="0"/>
                <w:sz w:val="21"/>
                <w:szCs w:val="21"/>
                <w:lang w:val="en-US" w:eastAsia="zh-CN" w:bidi="ar-SA"/>
              </w:rPr>
              <w:t>四十</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76F184D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8"/>
                <w:kern w:val="0"/>
                <w:sz w:val="21"/>
                <w:szCs w:val="21"/>
                <w:lang w:val="en-US" w:eastAsia="zh-CN" w:bidi="ar-SA"/>
              </w:rPr>
              <w:t>按要求进行了</w:t>
            </w:r>
            <w:r>
              <w:rPr>
                <w:rFonts w:hint="eastAsia" w:cs="Times New Roman"/>
                <w:snapToGrid w:val="0"/>
                <w:color w:val="auto"/>
                <w:spacing w:val="8"/>
                <w:kern w:val="0"/>
                <w:sz w:val="21"/>
                <w:szCs w:val="21"/>
                <w:lang w:val="en-US" w:eastAsia="zh-CN" w:bidi="ar-SA"/>
              </w:rPr>
              <w:t>检测</w:t>
            </w:r>
            <w:r>
              <w:rPr>
                <w:rFonts w:hint="eastAsia" w:ascii="Times New Roman" w:hAnsi="Times New Roman" w:eastAsia="宋体" w:cs="Times New Roman"/>
                <w:snapToGrid w:val="0"/>
                <w:color w:val="auto"/>
                <w:spacing w:val="8"/>
                <w:kern w:val="0"/>
                <w:sz w:val="21"/>
                <w:szCs w:val="21"/>
                <w:lang w:val="en-US" w:eastAsia="zh-CN" w:bidi="ar-SA"/>
              </w:rPr>
              <w:t>、检验。</w:t>
            </w:r>
          </w:p>
        </w:tc>
        <w:tc>
          <w:tcPr>
            <w:tcW w:w="778" w:type="dxa"/>
            <w:vAlign w:val="center"/>
          </w:tcPr>
          <w:p w14:paraId="405197B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5EB5DC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59" w:type="dxa"/>
            <w:vAlign w:val="center"/>
          </w:tcPr>
          <w:p w14:paraId="74CEFB8B">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052" w:type="dxa"/>
            <w:vAlign w:val="center"/>
          </w:tcPr>
          <w:p w14:paraId="6995CDA8">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安全培训</w:t>
            </w:r>
          </w:p>
        </w:tc>
        <w:tc>
          <w:tcPr>
            <w:tcW w:w="4091" w:type="dxa"/>
            <w:vAlign w:val="center"/>
          </w:tcPr>
          <w:p w14:paraId="78CC76FB">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强化安全教育培训。非煤矿山企业应当严格执行《生产经营单位安全培训规定》</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原国家安全监管总局令第3号</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、《特种作业人员安全技术培训考核管理规定》</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原国家安全监管总局令 第30号</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等规章，强化从业人员安全素质和技能提升，不得安排未经安全生产培训合格的从业人员上岗。建立包括外包施工单位从业人员在内的安全培训档案，实行“一人一档”。</w:t>
            </w:r>
          </w:p>
        </w:tc>
        <w:tc>
          <w:tcPr>
            <w:tcW w:w="945" w:type="dxa"/>
            <w:vAlign w:val="center"/>
          </w:tcPr>
          <w:p w14:paraId="6042E05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《矿安〔2022〕4号》第十</w:t>
            </w:r>
            <w:r>
              <w:rPr>
                <w:rFonts w:hint="eastAsia" w:ascii="Times New Roman" w:hAnsi="Times New Roman" w:eastAsia="宋体" w:cs="Times New Roman"/>
                <w:snapToGrid w:val="0"/>
                <w:color w:val="auto"/>
                <w:spacing w:val="9"/>
                <w:kern w:val="0"/>
                <w:sz w:val="21"/>
                <w:szCs w:val="21"/>
                <w:lang w:val="en-US" w:eastAsia="zh-CN" w:bidi="ar-SA"/>
              </w:rPr>
              <w:t>二</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28D75BE9">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制定了202</w:t>
            </w:r>
            <w:r>
              <w:rPr>
                <w:rFonts w:hint="eastAsia" w:cs="Times New Roman"/>
                <w:snapToGrid w:val="0"/>
                <w:color w:val="auto"/>
                <w:kern w:val="0"/>
                <w:sz w:val="21"/>
                <w:szCs w:val="21"/>
                <w:lang w:val="en-US" w:eastAsia="zh-CN" w:bidi="ar-SA"/>
              </w:rPr>
              <w:t>5</w:t>
            </w:r>
            <w:r>
              <w:rPr>
                <w:rFonts w:hint="eastAsia" w:ascii="Times New Roman" w:hAnsi="Times New Roman" w:eastAsia="宋体" w:cs="Times New Roman"/>
                <w:snapToGrid w:val="0"/>
                <w:color w:val="auto"/>
                <w:kern w:val="0"/>
                <w:sz w:val="21"/>
                <w:szCs w:val="21"/>
                <w:lang w:val="en-US" w:eastAsia="zh-CN" w:bidi="ar-SA"/>
              </w:rPr>
              <w:t>年度安全培训计划。</w:t>
            </w:r>
          </w:p>
        </w:tc>
        <w:tc>
          <w:tcPr>
            <w:tcW w:w="778" w:type="dxa"/>
            <w:vAlign w:val="center"/>
          </w:tcPr>
          <w:p w14:paraId="553A58A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32C588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559" w:type="dxa"/>
            <w:vAlign w:val="center"/>
          </w:tcPr>
          <w:p w14:paraId="5F723DE0">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p>
          <w:p w14:paraId="24217C17">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052" w:type="dxa"/>
            <w:vAlign w:val="center"/>
          </w:tcPr>
          <w:p w14:paraId="2448311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班组建设</w:t>
            </w:r>
          </w:p>
        </w:tc>
        <w:tc>
          <w:tcPr>
            <w:tcW w:w="4091" w:type="dxa"/>
            <w:vAlign w:val="center"/>
          </w:tcPr>
          <w:p w14:paraId="7CAB9CF6">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25"/>
                <w:kern w:val="0"/>
                <w:sz w:val="21"/>
                <w:szCs w:val="21"/>
                <w:lang w:val="en-US" w:eastAsia="en-US" w:bidi="ar-SA"/>
              </w:rPr>
              <w:t>生产经营单位应当强化以岗位为核心的安全生产管理，强化一线操作人员的岗位责任落实。设有车间和班组的，应当加强车间和班组建设，落实车间主任（工段长、区长、队长、项目经理）和班组长安全生产管理责任。</w:t>
            </w:r>
          </w:p>
        </w:tc>
        <w:tc>
          <w:tcPr>
            <w:tcW w:w="945" w:type="dxa"/>
            <w:vAlign w:val="center"/>
          </w:tcPr>
          <w:p w14:paraId="446B431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《江西省安全生产条例》第</w:t>
            </w:r>
            <w:r>
              <w:rPr>
                <w:rFonts w:hint="eastAsia" w:ascii="Times New Roman" w:hAnsi="Times New Roman" w:eastAsia="宋体" w:cs="Times New Roman"/>
                <w:snapToGrid w:val="0"/>
                <w:color w:val="auto"/>
                <w:spacing w:val="9"/>
                <w:kern w:val="0"/>
                <w:sz w:val="21"/>
                <w:szCs w:val="21"/>
                <w:lang w:val="en-US" w:eastAsia="zh-CN" w:bidi="ar-SA"/>
              </w:rPr>
              <w:t>十五</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4E36494A">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班组建设已加强</w:t>
            </w:r>
          </w:p>
        </w:tc>
        <w:tc>
          <w:tcPr>
            <w:tcW w:w="778" w:type="dxa"/>
            <w:vAlign w:val="center"/>
          </w:tcPr>
          <w:p w14:paraId="1AF4FBE8">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符合</w:t>
            </w:r>
          </w:p>
        </w:tc>
      </w:tr>
      <w:tr w14:paraId="3695DE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jc w:val="center"/>
        </w:trPr>
        <w:tc>
          <w:tcPr>
            <w:tcW w:w="559" w:type="dxa"/>
            <w:vAlign w:val="center"/>
          </w:tcPr>
          <w:p w14:paraId="78AF0520">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052" w:type="dxa"/>
            <w:vAlign w:val="center"/>
          </w:tcPr>
          <w:p w14:paraId="696B6AF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风险分级</w:t>
            </w:r>
            <w:r>
              <w:rPr>
                <w:rFonts w:hint="default" w:ascii="Times New Roman" w:hAnsi="Times New Roman" w:eastAsia="宋体" w:cs="Times New Roman"/>
                <w:snapToGrid w:val="0"/>
                <w:color w:val="auto"/>
                <w:spacing w:val="2"/>
                <w:kern w:val="0"/>
                <w:sz w:val="21"/>
                <w:szCs w:val="21"/>
                <w:lang w:val="en-US" w:eastAsia="en-US" w:bidi="ar-SA"/>
              </w:rPr>
              <w:t>管控</w:t>
            </w:r>
          </w:p>
        </w:tc>
        <w:tc>
          <w:tcPr>
            <w:tcW w:w="4091" w:type="dxa"/>
            <w:vAlign w:val="center"/>
          </w:tcPr>
          <w:p w14:paraId="5CE94DEF">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生产经营单位应当建立健全并落实安全风险分级管控制度，定期组织安全生产管理、工程技术、岗位操作等相关人员，对生产工艺、设施设备、作业环境、人员行为等方面存在的安全风险进行全面、系统辨识评估，对辨识出的安全风险进行分类梳理，确定安全风险等级，从制度、组织、技术、管理、应急等方面逐项制定管控措施，编制风险分级管控清单，按照安全风险等级实施分级管控。</w:t>
            </w:r>
          </w:p>
        </w:tc>
        <w:tc>
          <w:tcPr>
            <w:tcW w:w="945" w:type="dxa"/>
            <w:vAlign w:val="center"/>
          </w:tcPr>
          <w:p w14:paraId="1E375055">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《江西省安全生产条例》第二十</w:t>
            </w:r>
            <w:r>
              <w:rPr>
                <w:rFonts w:hint="eastAsia" w:ascii="Times New Roman" w:hAnsi="Times New Roman" w:eastAsia="宋体" w:cs="Times New Roman"/>
                <w:snapToGrid w:val="0"/>
                <w:color w:val="auto"/>
                <w:spacing w:val="9"/>
                <w:kern w:val="0"/>
                <w:sz w:val="21"/>
                <w:szCs w:val="21"/>
                <w:lang w:val="en-US" w:eastAsia="zh-CN" w:bidi="ar-SA"/>
              </w:rPr>
              <w:t>一</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78FEE22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spacing w:val="9"/>
                <w:kern w:val="0"/>
                <w:sz w:val="21"/>
                <w:szCs w:val="21"/>
                <w:lang w:val="en-US" w:eastAsia="zh-CN" w:bidi="ar-SA"/>
              </w:rPr>
              <w:t>已</w:t>
            </w:r>
            <w:r>
              <w:rPr>
                <w:rFonts w:hint="default" w:ascii="Times New Roman" w:hAnsi="Times New Roman" w:eastAsia="宋体" w:cs="Times New Roman"/>
                <w:snapToGrid w:val="0"/>
                <w:color w:val="auto"/>
                <w:spacing w:val="9"/>
                <w:kern w:val="0"/>
                <w:sz w:val="21"/>
                <w:szCs w:val="21"/>
                <w:lang w:val="en-US" w:eastAsia="en-US" w:bidi="ar-SA"/>
              </w:rPr>
              <w:t>建立健全并落实安全风险分级管控制度。</w:t>
            </w:r>
          </w:p>
        </w:tc>
        <w:tc>
          <w:tcPr>
            <w:tcW w:w="778" w:type="dxa"/>
            <w:vAlign w:val="center"/>
          </w:tcPr>
          <w:p w14:paraId="5BC40129">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7833FB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59" w:type="dxa"/>
            <w:vAlign w:val="center"/>
          </w:tcPr>
          <w:p w14:paraId="054AE850">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052" w:type="dxa"/>
            <w:vAlign w:val="center"/>
          </w:tcPr>
          <w:p w14:paraId="734F173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隐患排查</w:t>
            </w:r>
            <w:r>
              <w:rPr>
                <w:rFonts w:hint="default" w:ascii="Times New Roman" w:hAnsi="Times New Roman" w:eastAsia="宋体" w:cs="Times New Roman"/>
                <w:snapToGrid w:val="0"/>
                <w:color w:val="auto"/>
                <w:spacing w:val="2"/>
                <w:kern w:val="0"/>
                <w:sz w:val="21"/>
                <w:szCs w:val="21"/>
                <w:lang w:val="en-US" w:eastAsia="en-US" w:bidi="ar-SA"/>
              </w:rPr>
              <w:t>治理</w:t>
            </w:r>
          </w:p>
        </w:tc>
        <w:tc>
          <w:tcPr>
            <w:tcW w:w="4091" w:type="dxa"/>
            <w:vAlign w:val="center"/>
          </w:tcPr>
          <w:p w14:paraId="040F321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生产经营单位应当建立健全并落实生产安全事故隐患排查治理制度，明确单位各部门</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车间</w:t>
            </w:r>
            <w:r>
              <w:rPr>
                <w:rFonts w:hint="eastAsia" w:ascii="Times New Roman" w:hAnsi="Times New Roman" w:eastAsia="宋体" w:cs="Times New Roman"/>
                <w:snapToGrid w:val="0"/>
                <w:color w:val="auto"/>
                <w:spacing w:val="9"/>
                <w:kern w:val="0"/>
                <w:sz w:val="21"/>
                <w:szCs w:val="21"/>
                <w:lang w:val="en-US" w:eastAsia="zh-CN" w:bidi="ar-SA"/>
              </w:rPr>
              <w:t>）</w:t>
            </w:r>
            <w:r>
              <w:rPr>
                <w:rFonts w:hint="default" w:ascii="Times New Roman" w:hAnsi="Times New Roman" w:eastAsia="宋体" w:cs="Times New Roman"/>
                <w:snapToGrid w:val="0"/>
                <w:color w:val="auto"/>
                <w:spacing w:val="9"/>
                <w:kern w:val="0"/>
                <w:sz w:val="21"/>
                <w:szCs w:val="21"/>
                <w:lang w:val="en-US" w:eastAsia="en-US" w:bidi="ar-SA"/>
              </w:rPr>
              <w:t>、安全生产管理机构、班组负责人和具体岗位从业人员的事故隐患排查治理责任，定期组织事故隐患排查，编制事故隐患排查治理清单。事故隐患排查治理情况,应当如实记录,按照规定建立台账或者信息档案，并通过职工大会或者职工代表大会、信息公示栏等方式向从业人员通报。对事故隐患应当及时采取技术、管理等措施予以消除;对不能及时消除的事故隐患应当采取有效安全防范和监控措施，制定治理方案，明确治理的具体措施、责任资金、时限和应急预案。</w:t>
            </w:r>
          </w:p>
        </w:tc>
        <w:tc>
          <w:tcPr>
            <w:tcW w:w="945" w:type="dxa"/>
            <w:vAlign w:val="center"/>
          </w:tcPr>
          <w:p w14:paraId="67E5A02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9"/>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《江西省安全生产条例》第二十</w:t>
            </w:r>
            <w:r>
              <w:rPr>
                <w:rFonts w:hint="eastAsia" w:ascii="Times New Roman" w:hAnsi="Times New Roman" w:eastAsia="宋体" w:cs="Times New Roman"/>
                <w:snapToGrid w:val="0"/>
                <w:color w:val="auto"/>
                <w:spacing w:val="9"/>
                <w:kern w:val="0"/>
                <w:sz w:val="21"/>
                <w:szCs w:val="21"/>
                <w:lang w:val="en-US" w:eastAsia="zh-CN" w:bidi="ar-SA"/>
              </w:rPr>
              <w:t>一</w:t>
            </w:r>
            <w:r>
              <w:rPr>
                <w:rFonts w:hint="default" w:ascii="Times New Roman" w:hAnsi="Times New Roman" w:eastAsia="宋体" w:cs="Times New Roman"/>
                <w:snapToGrid w:val="0"/>
                <w:color w:val="auto"/>
                <w:spacing w:val="9"/>
                <w:kern w:val="0"/>
                <w:sz w:val="21"/>
                <w:szCs w:val="21"/>
                <w:lang w:val="en-US" w:eastAsia="en-US" w:bidi="ar-SA"/>
              </w:rPr>
              <w:t>条</w:t>
            </w:r>
          </w:p>
        </w:tc>
        <w:tc>
          <w:tcPr>
            <w:tcW w:w="1612" w:type="dxa"/>
            <w:vAlign w:val="center"/>
          </w:tcPr>
          <w:p w14:paraId="5ECB6B1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spacing w:val="9"/>
                <w:kern w:val="0"/>
                <w:sz w:val="21"/>
                <w:szCs w:val="21"/>
                <w:lang w:val="en-US" w:eastAsia="zh-CN" w:bidi="ar-SA"/>
              </w:rPr>
              <w:t>已</w:t>
            </w:r>
            <w:r>
              <w:rPr>
                <w:rFonts w:hint="default" w:ascii="Times New Roman" w:hAnsi="Times New Roman" w:eastAsia="宋体" w:cs="Times New Roman"/>
                <w:snapToGrid w:val="0"/>
                <w:color w:val="auto"/>
                <w:spacing w:val="9"/>
                <w:kern w:val="0"/>
                <w:sz w:val="21"/>
                <w:szCs w:val="21"/>
                <w:lang w:val="en-US" w:eastAsia="en-US" w:bidi="ar-SA"/>
              </w:rPr>
              <w:t>建立健全并落实生产安全事故隐患排查治理制度。</w:t>
            </w:r>
          </w:p>
        </w:tc>
        <w:tc>
          <w:tcPr>
            <w:tcW w:w="778" w:type="dxa"/>
            <w:vAlign w:val="center"/>
          </w:tcPr>
          <w:p w14:paraId="5CBAAA7C">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符</w:t>
            </w:r>
            <w:r>
              <w:rPr>
                <w:rFonts w:hint="default" w:ascii="Times New Roman" w:hAnsi="Times New Roman" w:eastAsia="宋体" w:cs="Times New Roman"/>
                <w:snapToGrid w:val="0"/>
                <w:color w:val="auto"/>
                <w:kern w:val="0"/>
                <w:sz w:val="21"/>
                <w:szCs w:val="21"/>
                <w:lang w:val="en-US" w:eastAsia="en-US" w:bidi="ar-SA"/>
              </w:rPr>
              <w:t>合</w:t>
            </w:r>
          </w:p>
        </w:tc>
      </w:tr>
      <w:tr w14:paraId="6B0CE8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0" w:hRule="atLeast"/>
          <w:jc w:val="center"/>
        </w:trPr>
        <w:tc>
          <w:tcPr>
            <w:tcW w:w="559" w:type="dxa"/>
            <w:vAlign w:val="center"/>
          </w:tcPr>
          <w:p w14:paraId="7EE4BD1C">
            <w:pPr>
              <w:keepNext w:val="0"/>
              <w:keepLines w:val="0"/>
              <w:pageBreakBefore w:val="0"/>
              <w:wordWrap/>
              <w:overflowPunct/>
              <w:topLinePunct w:val="0"/>
              <w:bidi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10</w:t>
            </w:r>
          </w:p>
        </w:tc>
        <w:tc>
          <w:tcPr>
            <w:tcW w:w="1052" w:type="dxa"/>
            <w:vAlign w:val="center"/>
          </w:tcPr>
          <w:p w14:paraId="34424906">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安全投入</w:t>
            </w:r>
          </w:p>
        </w:tc>
        <w:tc>
          <w:tcPr>
            <w:tcW w:w="4091" w:type="dxa"/>
            <w:vAlign w:val="center"/>
          </w:tcPr>
          <w:p w14:paraId="43FBA1E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9"/>
                <w:kern w:val="0"/>
                <w:sz w:val="21"/>
                <w:szCs w:val="21"/>
                <w:lang w:val="en-US" w:eastAsia="en-US" w:bidi="ar-SA"/>
              </w:rPr>
              <w:t>严格安全生产费用提取和使用。非煤矿山企业应当按规定足额提取和使用安全生产费用，实行专户核算，严禁超范围支出。发包单位应当合理测算、全额保障外包工程安全生产费用。外包工程安全生产费用应当在外包工程安全管理协议中予以明确，且不得作为工程竞标费用内容。</w:t>
            </w:r>
          </w:p>
        </w:tc>
        <w:tc>
          <w:tcPr>
            <w:tcW w:w="945" w:type="dxa"/>
            <w:vAlign w:val="center"/>
          </w:tcPr>
          <w:p w14:paraId="4608C9B6">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spacing w:val="9"/>
                <w:kern w:val="0"/>
                <w:sz w:val="21"/>
                <w:szCs w:val="21"/>
                <w:lang w:val="en-US" w:eastAsia="zh-CN" w:bidi="ar-SA"/>
              </w:rPr>
            </w:pPr>
            <w:r>
              <w:rPr>
                <w:rFonts w:hint="default" w:ascii="Times New Roman" w:hAnsi="Times New Roman" w:eastAsia="宋体" w:cs="Times New Roman"/>
                <w:snapToGrid w:val="0"/>
                <w:color w:val="auto"/>
                <w:spacing w:val="9"/>
                <w:kern w:val="0"/>
                <w:sz w:val="21"/>
                <w:szCs w:val="21"/>
                <w:lang w:val="en-US" w:eastAsia="en-US" w:bidi="ar-SA"/>
              </w:rPr>
              <w:t>《矿安〔2022〕4号》第十</w:t>
            </w:r>
            <w:r>
              <w:rPr>
                <w:rFonts w:hint="eastAsia" w:ascii="Times New Roman" w:hAnsi="Times New Roman" w:eastAsia="宋体" w:cs="Times New Roman"/>
                <w:snapToGrid w:val="0"/>
                <w:color w:val="auto"/>
                <w:spacing w:val="9"/>
                <w:kern w:val="0"/>
                <w:sz w:val="21"/>
                <w:szCs w:val="21"/>
                <w:lang w:val="en-US" w:eastAsia="zh-CN" w:bidi="ar-SA"/>
              </w:rPr>
              <w:t>六</w:t>
            </w:r>
            <w:r>
              <w:rPr>
                <w:rFonts w:hint="default" w:ascii="Times New Roman" w:hAnsi="Times New Roman" w:eastAsia="宋体" w:cs="Times New Roman"/>
                <w:snapToGrid w:val="0"/>
                <w:color w:val="auto"/>
                <w:spacing w:val="9"/>
                <w:kern w:val="0"/>
                <w:sz w:val="21"/>
                <w:szCs w:val="21"/>
                <w:lang w:val="en-US" w:eastAsia="en-US" w:bidi="ar-SA"/>
              </w:rPr>
              <w:t>条</w:t>
            </w:r>
            <w:r>
              <w:rPr>
                <w:rFonts w:hint="eastAsia" w:cs="Times New Roman"/>
                <w:snapToGrid w:val="0"/>
                <w:color w:val="auto"/>
                <w:spacing w:val="9"/>
                <w:kern w:val="0"/>
                <w:sz w:val="21"/>
                <w:szCs w:val="21"/>
                <w:lang w:val="en-US" w:eastAsia="zh-CN" w:bidi="ar-SA"/>
              </w:rPr>
              <w:t>、财资〔2022〕136号</w:t>
            </w:r>
          </w:p>
        </w:tc>
        <w:tc>
          <w:tcPr>
            <w:tcW w:w="1612" w:type="dxa"/>
            <w:vAlign w:val="center"/>
          </w:tcPr>
          <w:p w14:paraId="6DFBD6EB">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2"/>
                <w:kern w:val="0"/>
                <w:sz w:val="21"/>
                <w:szCs w:val="21"/>
                <w:lang w:val="en-US" w:eastAsia="en-US" w:bidi="ar-SA"/>
              </w:rPr>
              <w:t>按要求提取、</w:t>
            </w:r>
            <w:r>
              <w:rPr>
                <w:rFonts w:hint="default" w:ascii="Times New Roman" w:hAnsi="Times New Roman" w:eastAsia="宋体" w:cs="Times New Roman"/>
                <w:snapToGrid w:val="0"/>
                <w:color w:val="auto"/>
                <w:spacing w:val="6"/>
                <w:kern w:val="0"/>
                <w:sz w:val="21"/>
                <w:szCs w:val="21"/>
                <w:lang w:val="en-US" w:eastAsia="en-US" w:bidi="ar-SA"/>
              </w:rPr>
              <w:t>使用安全费用。</w:t>
            </w:r>
          </w:p>
        </w:tc>
        <w:tc>
          <w:tcPr>
            <w:tcW w:w="778" w:type="dxa"/>
            <w:vAlign w:val="center"/>
          </w:tcPr>
          <w:p w14:paraId="1C1CA0C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符合</w:t>
            </w:r>
          </w:p>
        </w:tc>
      </w:tr>
    </w:tbl>
    <w:p w14:paraId="6765CFCC">
      <w:pPr>
        <w:pStyle w:val="4"/>
        <w:bidi w:val="0"/>
        <w:rPr>
          <w:rFonts w:hint="default"/>
          <w:color w:val="auto"/>
          <w:lang w:val="en-US" w:eastAsia="zh-CN"/>
        </w:rPr>
      </w:pPr>
      <w:bookmarkStart w:id="370" w:name="_Toc15019"/>
      <w:bookmarkStart w:id="371" w:name="_Toc18226"/>
      <w:bookmarkStart w:id="372" w:name="_Toc3527"/>
      <w:bookmarkStart w:id="373" w:name="_Toc29891"/>
      <w:r>
        <w:rPr>
          <w:rFonts w:hint="eastAsia"/>
          <w:color w:val="auto"/>
          <w:lang w:val="en-US" w:eastAsia="zh-CN"/>
        </w:rPr>
        <w:t>3.10.2 评价小结</w:t>
      </w:r>
      <w:bookmarkEnd w:id="370"/>
      <w:bookmarkEnd w:id="371"/>
      <w:bookmarkEnd w:id="372"/>
      <w:bookmarkEnd w:id="373"/>
    </w:p>
    <w:p w14:paraId="0684A136">
      <w:pPr>
        <w:bidi w:val="0"/>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采用安全检查表法对安全管理单元检查10大项10小项，全部符合，安全管理单元符合《安全生产法》、《中华人民共和国特种设备安全法》、《江西省安全生产条例》、《国家矿山安全监察局关于印发</w:t>
      </w:r>
      <w:r>
        <w:rPr>
          <w:rFonts w:hint="eastAsia" w:ascii="宋体" w:hAnsi="宋体" w:eastAsia="宋体" w:cs="宋体"/>
          <w:color w:val="auto"/>
          <w:lang w:val="en-US" w:eastAsia="zh-CN"/>
        </w:rPr>
        <w:t>&lt;</w:t>
      </w:r>
      <w:r>
        <w:rPr>
          <w:rFonts w:hint="eastAsia" w:ascii="Times New Roman" w:hAnsi="Times New Roman" w:eastAsia="宋体" w:cs="Times New Roman"/>
          <w:color w:val="auto"/>
          <w:lang w:val="en-US" w:eastAsia="zh-CN"/>
        </w:rPr>
        <w:t>关于加强非煤矿山安全生产工作的指导意见</w:t>
      </w:r>
      <w:r>
        <w:rPr>
          <w:rFonts w:hint="eastAsia" w:ascii="宋体" w:hAnsi="宋体" w:eastAsia="宋体" w:cs="宋体"/>
          <w:color w:val="auto"/>
          <w:lang w:val="en-US" w:eastAsia="zh-CN"/>
        </w:rPr>
        <w:t>&gt;</w:t>
      </w:r>
      <w:r>
        <w:rPr>
          <w:rFonts w:hint="eastAsia" w:ascii="Times New Roman" w:hAnsi="Times New Roman" w:eastAsia="宋体" w:cs="Times New Roman"/>
          <w:color w:val="auto"/>
          <w:lang w:val="en-US" w:eastAsia="zh-CN"/>
        </w:rPr>
        <w:t>（矿安〔2022〕4号）》的要求。江西朝盛矿业有限公司宁都硫铁矿建立了安全管理机构，主要负责人及安全生产管理人员持证上岗，矿山安全管理规章制度、安全生产责任制、岗位操作规程及事故应急救援预案等体系文件较为完善，每年按计划组织安全投入、安全培训及应急演练等工作，建立了较为完善的风险分级管控和隐患排查治理双重预防机制，安全管理单元符合安全要求。</w:t>
      </w:r>
    </w:p>
    <w:p w14:paraId="0287A6EF">
      <w:pPr>
        <w:keepNext/>
        <w:keepLines/>
        <w:widowControl w:val="0"/>
        <w:bidi w:val="0"/>
        <w:spacing w:beforeLines="0" w:beforeAutospacing="0" w:afterLines="0" w:afterAutospacing="0" w:line="360" w:lineRule="auto"/>
        <w:ind w:left="280" w:leftChars="100" w:firstLine="0" w:firstLineChars="0"/>
        <w:jc w:val="both"/>
        <w:outlineLvl w:val="1"/>
        <w:rPr>
          <w:rFonts w:hint="default" w:ascii="Times New Roman" w:hAnsi="Times New Roman" w:eastAsia="黑体" w:cs="Times New Roman"/>
          <w:b/>
          <w:color w:val="auto"/>
          <w:kern w:val="2"/>
          <w:sz w:val="30"/>
          <w:szCs w:val="24"/>
          <w:lang w:val="en-US" w:eastAsia="zh-CN" w:bidi="ar-SA"/>
        </w:rPr>
      </w:pPr>
      <w:bookmarkStart w:id="374" w:name="_Toc121"/>
      <w:bookmarkStart w:id="375" w:name="_Toc1408"/>
      <w:bookmarkStart w:id="376" w:name="_Toc21995"/>
      <w:bookmarkStart w:id="377" w:name="_Toc558"/>
      <w:bookmarkStart w:id="378" w:name="_Toc6864"/>
      <w:r>
        <w:rPr>
          <w:rFonts w:hint="eastAsia" w:ascii="Times New Roman" w:hAnsi="Times New Roman" w:eastAsia="黑体" w:cs="Times New Roman"/>
          <w:b/>
          <w:color w:val="auto"/>
          <w:kern w:val="2"/>
          <w:sz w:val="30"/>
          <w:szCs w:val="24"/>
          <w:lang w:val="en-US" w:eastAsia="zh-CN" w:bidi="ar-SA"/>
        </w:rPr>
        <w:t>3.1</w:t>
      </w:r>
      <w:r>
        <w:rPr>
          <w:rFonts w:hint="eastAsia" w:eastAsia="黑体" w:cs="Times New Roman"/>
          <w:b/>
          <w:color w:val="auto"/>
          <w:kern w:val="2"/>
          <w:sz w:val="30"/>
          <w:szCs w:val="24"/>
          <w:lang w:val="en-US" w:eastAsia="zh-CN" w:bidi="ar-SA"/>
        </w:rPr>
        <w:t>1</w:t>
      </w:r>
      <w:r>
        <w:rPr>
          <w:rFonts w:hint="eastAsia" w:ascii="Times New Roman" w:hAnsi="Times New Roman" w:eastAsia="黑体" w:cs="Times New Roman"/>
          <w:b/>
          <w:color w:val="auto"/>
          <w:kern w:val="2"/>
          <w:sz w:val="30"/>
          <w:szCs w:val="24"/>
          <w:lang w:val="en-US" w:eastAsia="zh-CN" w:bidi="ar-SA"/>
        </w:rPr>
        <w:t xml:space="preserve"> 重大危险源辨识单元</w:t>
      </w:r>
      <w:bookmarkEnd w:id="374"/>
      <w:bookmarkEnd w:id="375"/>
      <w:bookmarkEnd w:id="376"/>
      <w:bookmarkEnd w:id="377"/>
      <w:bookmarkEnd w:id="378"/>
    </w:p>
    <w:p w14:paraId="69715024">
      <w:pPr>
        <w:bidi w:val="0"/>
        <w:ind w:firstLine="48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1. </w:t>
      </w:r>
      <w:r>
        <w:rPr>
          <w:rFonts w:hint="default" w:ascii="Times New Roman" w:hAnsi="Times New Roman" w:eastAsia="宋体" w:cs="Times New Roman"/>
          <w:color w:val="auto"/>
          <w:lang w:val="en-US" w:eastAsia="zh-CN"/>
        </w:rPr>
        <w:t>依据《危险化学品重大危险源辨识标准》（GB18218</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2018），危险化学品重大危险源是指长期地或临时地生产、储存、使用或经营危险化学品，且危险化学品的数量等于或超过临界量的单元。单元是指涉及危险化学品的生产、储存装置、设施或场所，分为生产单元和储存单元。生产单元是指危险化学品的生产、加工及使用等的装置及设施，当装置及设施之间有切断阀时，以切断阀作为分隔界线划分为独立的单元；储存单元是指用于储存危险化学品的储罐或仓库组成的相对独立的区域，储罐区以及防火堤为界线划分为独立的单元，仓库以独立（独立建筑物）为界限划分独立的单元。</w:t>
      </w:r>
    </w:p>
    <w:p w14:paraId="4C166763">
      <w:pPr>
        <w:bidi w:val="0"/>
        <w:ind w:firstLine="48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本矿山不涉及</w:t>
      </w:r>
      <w:r>
        <w:rPr>
          <w:rFonts w:hint="default" w:ascii="Times New Roman" w:hAnsi="Times New Roman" w:eastAsia="宋体" w:cs="Times New Roman"/>
          <w:color w:val="auto"/>
          <w:lang w:val="en-US" w:eastAsia="zh-CN"/>
        </w:rPr>
        <w:t>危险化学品</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故矿山不构成《危险化学品重大危险源辨识》规定的危险化学品重大危险源。</w:t>
      </w:r>
    </w:p>
    <w:p w14:paraId="01C1BF97">
      <w:pPr>
        <w:numPr>
          <w:ilvl w:val="0"/>
          <w:numId w:val="3"/>
        </w:numPr>
        <w:bidi w:val="0"/>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根据《民用爆炸物品重大危险源辨识》（WJ/T9093-2018）第3.1款规定，单元指的是“一个独立的民用爆炸物品生产工房、储存库房或储存装置”。工业炸药（胶状乳化炸药、粉状乳化炸药、水胶炸药、膨化硝铵炸药、改性铵油炸药和含单质炸药的粘性炸药等工业炸药）的临界量为10t，工业雷管的临界量为5t。</w:t>
      </w:r>
    </w:p>
    <w:p w14:paraId="2A3F900C">
      <w:pPr>
        <w:bidi w:val="0"/>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江西朝盛矿业有限公司民用爆炸物品储存库中，炸药库最大储存量为5000kg</w:t>
      </w:r>
      <w:r>
        <w:rPr>
          <w:rFonts w:hint="eastAsia"/>
          <w:color w:val="auto"/>
          <w:lang w:val="en-US" w:eastAsia="zh-CN"/>
        </w:rPr>
        <w:t>乳化炸药</w:t>
      </w:r>
      <w:r>
        <w:rPr>
          <w:rFonts w:hint="eastAsia" w:ascii="Times New Roman" w:hAnsi="Times New Roman" w:eastAsia="宋体" w:cs="Times New Roman"/>
          <w:color w:val="auto"/>
          <w:lang w:val="en-US" w:eastAsia="zh-CN"/>
        </w:rPr>
        <w:t>，雷管库最大储存量为1.0万发工业雷管（折合药量10kg）。</w:t>
      </w:r>
    </w:p>
    <w:p w14:paraId="6103379B">
      <w:pPr>
        <w:bidi w:val="0"/>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因此，江西朝盛矿业有限公司民用爆炸物品储存库中，炸药库、雷管库均不构成重大危险源</w:t>
      </w:r>
      <w:r>
        <w:rPr>
          <w:rFonts w:hint="default" w:ascii="Times New Roman" w:hAnsi="Times New Roman" w:eastAsia="宋体" w:cs="Times New Roman"/>
          <w:color w:val="auto"/>
          <w:lang w:val="en-US" w:eastAsia="zh-CN"/>
        </w:rPr>
        <w:t>。</w:t>
      </w:r>
    </w:p>
    <w:p w14:paraId="3F59D3E2">
      <w:pPr>
        <w:bidi w:val="0"/>
        <w:ind w:firstLine="480"/>
        <w:rPr>
          <w:rFonts w:hint="eastAsia" w:ascii="Times New Roman" w:hAnsi="Times New Roman" w:eastAsia="宋体" w:cs="Times New Roman"/>
          <w:color w:val="auto"/>
          <w:lang w:val="en-US" w:eastAsia="zh-CN"/>
        </w:rPr>
      </w:pPr>
      <w:r>
        <w:rPr>
          <w:rFonts w:hint="eastAsia"/>
          <w:b w:val="0"/>
          <w:bCs w:val="0"/>
          <w:color w:val="auto"/>
          <w:lang w:val="en-US" w:eastAsia="zh-CN"/>
        </w:rPr>
        <w:t>2025年5月，江西朝盛矿业有限公司委托江西省赣华安全科技有限公司对江西朝盛矿业有限公司民用爆炸物品储存库进行了安全现状评价，并出具了《江西朝盛矿业有限公司民用爆炸物品储存库安全现状评价报告》</w:t>
      </w:r>
      <w:r>
        <w:rPr>
          <w:rFonts w:hint="eastAsia" w:ascii="Times New Roman" w:hAnsi="Times New Roman" w:eastAsia="宋体" w:cs="Times New Roman"/>
          <w:b w:val="0"/>
          <w:bCs w:val="0"/>
          <w:color w:val="auto"/>
          <w:lang w:val="en-US" w:eastAsia="zh-CN"/>
        </w:rPr>
        <w:t>，</w:t>
      </w:r>
      <w:r>
        <w:rPr>
          <w:rFonts w:hint="eastAsia" w:ascii="Times New Roman" w:hAnsi="Times New Roman" w:eastAsia="宋体" w:cs="Times New Roman"/>
          <w:color w:val="auto"/>
          <w:lang w:val="en-US" w:eastAsia="zh-CN"/>
        </w:rPr>
        <w:t>评价结论：江西朝盛矿业有限公司民用爆炸物品储存库（小型地面库）符合《爆破安全规程》（GB6722</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2014）、《民用爆炸物品工程设计安全标准》（GB50089-2018）、《小型民用爆炸物品储存库安全规范》（GA838-2009）等有关标准、规范的要求。该储存库安全管理、治安防范、库区选址、库房安全设施以及作业过程安全现状评价结果为“合格”，满足雷管库（1.0万发）、炸药库（5000kg炸药）继续使用的安全条件。</w:t>
      </w:r>
    </w:p>
    <w:p w14:paraId="1AC20AD9">
      <w:pPr>
        <w:bidi w:val="0"/>
        <w:ind w:firstLine="48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综上所述，江西朝盛矿业有限公司宁都硫铁矿地下开采改建工程不构成重大危险源。</w:t>
      </w:r>
    </w:p>
    <w:p w14:paraId="53DB3719">
      <w:pPr>
        <w:keepNext/>
        <w:keepLines/>
        <w:widowControl w:val="0"/>
        <w:bidi w:val="0"/>
        <w:spacing w:beforeLines="0" w:beforeAutospacing="0" w:afterLines="0" w:afterAutospacing="0" w:line="360" w:lineRule="auto"/>
        <w:ind w:left="280" w:leftChars="100" w:firstLine="0" w:firstLineChars="0"/>
        <w:jc w:val="both"/>
        <w:outlineLvl w:val="1"/>
        <w:rPr>
          <w:rFonts w:hint="eastAsia" w:ascii="Times New Roman" w:hAnsi="Times New Roman" w:eastAsia="黑体" w:cs="Times New Roman"/>
          <w:b/>
          <w:color w:val="auto"/>
          <w:kern w:val="2"/>
          <w:sz w:val="30"/>
          <w:szCs w:val="24"/>
          <w:lang w:val="en-US" w:eastAsia="zh-CN" w:bidi="ar-SA"/>
        </w:rPr>
      </w:pPr>
      <w:bookmarkStart w:id="379" w:name="_Toc30193"/>
      <w:bookmarkStart w:id="380" w:name="_Toc768"/>
      <w:bookmarkStart w:id="381" w:name="_Toc13123"/>
      <w:bookmarkStart w:id="382" w:name="_Toc3760"/>
      <w:bookmarkStart w:id="383" w:name="_Toc9081"/>
      <w:r>
        <w:rPr>
          <w:rFonts w:hint="eastAsia" w:ascii="Times New Roman" w:hAnsi="Times New Roman" w:eastAsia="黑体" w:cs="Times New Roman"/>
          <w:b/>
          <w:color w:val="auto"/>
          <w:kern w:val="2"/>
          <w:sz w:val="30"/>
          <w:szCs w:val="24"/>
          <w:lang w:val="en-US" w:eastAsia="zh-CN" w:bidi="ar-SA"/>
        </w:rPr>
        <w:t>3.1</w:t>
      </w:r>
      <w:r>
        <w:rPr>
          <w:rFonts w:hint="eastAsia" w:eastAsia="黑体" w:cs="Times New Roman"/>
          <w:b/>
          <w:color w:val="auto"/>
          <w:kern w:val="2"/>
          <w:sz w:val="30"/>
          <w:szCs w:val="24"/>
          <w:lang w:val="en-US" w:eastAsia="zh-CN" w:bidi="ar-SA"/>
        </w:rPr>
        <w:t>2</w:t>
      </w:r>
      <w:r>
        <w:rPr>
          <w:rFonts w:hint="eastAsia" w:ascii="Times New Roman" w:hAnsi="Times New Roman" w:eastAsia="黑体" w:cs="Times New Roman"/>
          <w:b/>
          <w:color w:val="auto"/>
          <w:kern w:val="2"/>
          <w:sz w:val="30"/>
          <w:szCs w:val="24"/>
          <w:lang w:val="en-US" w:eastAsia="zh-CN" w:bidi="ar-SA"/>
        </w:rPr>
        <w:t xml:space="preserve"> 重大事故隐患判定</w:t>
      </w:r>
      <w:bookmarkEnd w:id="379"/>
      <w:bookmarkEnd w:id="380"/>
      <w:bookmarkEnd w:id="381"/>
      <w:bookmarkEnd w:id="382"/>
      <w:bookmarkEnd w:id="383"/>
    </w:p>
    <w:p w14:paraId="332CBF3B">
      <w:pPr>
        <w:bidi w:val="0"/>
        <w:ind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根据《国家矿山安全监察局关于印发〈金属非金属矿山重大事故隐患判定标准〉的通知》</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矿安〔2022〕88号</w:t>
      </w:r>
      <w:r>
        <w:rPr>
          <w:rFonts w:hint="eastAsia" w:ascii="Times New Roman" w:hAnsi="Times New Roman" w:eastAsia="宋体" w:cs="Times New Roman"/>
          <w:color w:val="auto"/>
          <w:lang w:val="en-US" w:eastAsia="zh-CN"/>
        </w:rPr>
        <w:t>）和《国家矿山安全监察局关于印发&lt;金属非金属矿山重大事故隐患判定标准补充情形&gt;的通知》（矿安〔2024〕41号）</w:t>
      </w:r>
      <w:r>
        <w:rPr>
          <w:rFonts w:hint="default" w:ascii="Times New Roman" w:hAnsi="Times New Roman" w:eastAsia="宋体" w:cs="Times New Roman"/>
          <w:color w:val="auto"/>
          <w:lang w:val="en-US" w:eastAsia="zh-CN"/>
        </w:rPr>
        <w:t>，对江西朝盛矿业有限公司宁都硫铁矿地下开采改建工程进行重大生产安全事故隐患判定，判定结果为：江西朝盛矿业有限公司宁都硫铁矿地下开采改建工程无该文件中所列的重大生产安全事故隐患，判定情况见表3</w:t>
      </w:r>
      <w:r>
        <w:rPr>
          <w:rFonts w:hint="eastAsia" w:cs="Times New Roman"/>
          <w:color w:val="auto"/>
          <w:lang w:val="en-US" w:eastAsia="zh-CN"/>
        </w:rPr>
        <w:t>.12</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w:t>
      </w:r>
    </w:p>
    <w:p w14:paraId="60B11F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表3</w:t>
      </w:r>
      <w:r>
        <w:rPr>
          <w:rFonts w:hint="eastAsia" w:cs="Times New Roman"/>
          <w:color w:val="auto"/>
          <w:lang w:val="en-US" w:eastAsia="zh-CN"/>
        </w:rPr>
        <w:t>.12</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 xml:space="preserve"> 重大事故隐患判定检查表</w:t>
      </w:r>
    </w:p>
    <w:tbl>
      <w:tblPr>
        <w:tblStyle w:val="1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5388"/>
        <w:gridCol w:w="2078"/>
        <w:gridCol w:w="1138"/>
      </w:tblGrid>
      <w:tr w14:paraId="2E96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65" w:type="pct"/>
            <w:noWrap w:val="0"/>
            <w:vAlign w:val="center"/>
          </w:tcPr>
          <w:p w14:paraId="276A089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序号</w:t>
            </w:r>
          </w:p>
        </w:tc>
        <w:tc>
          <w:tcPr>
            <w:tcW w:w="2902" w:type="pct"/>
            <w:noWrap w:val="0"/>
            <w:vAlign w:val="center"/>
          </w:tcPr>
          <w:p w14:paraId="70D41E6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判定标准</w:t>
            </w:r>
          </w:p>
        </w:tc>
        <w:tc>
          <w:tcPr>
            <w:tcW w:w="1119" w:type="pct"/>
            <w:noWrap w:val="0"/>
            <w:vAlign w:val="center"/>
          </w:tcPr>
          <w:p w14:paraId="141BF47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b/>
                <w:bCs/>
                <w:color w:val="auto"/>
                <w:kern w:val="0"/>
                <w:sz w:val="21"/>
                <w:szCs w:val="21"/>
                <w:lang w:val="en-US" w:eastAsia="zh-CN" w:bidi="ar-SA"/>
              </w:rPr>
            </w:pPr>
            <w:r>
              <w:rPr>
                <w:rFonts w:hint="eastAsia" w:ascii="Times New Roman" w:hAnsi="宋体" w:eastAsia="宋体" w:cs="Times New Roman"/>
                <w:b/>
                <w:bCs/>
                <w:color w:val="auto"/>
                <w:kern w:val="0"/>
                <w:sz w:val="21"/>
                <w:szCs w:val="21"/>
                <w:lang w:val="en-US" w:eastAsia="zh-CN" w:bidi="ar-SA"/>
              </w:rPr>
              <w:t>检查情况</w:t>
            </w:r>
          </w:p>
        </w:tc>
        <w:tc>
          <w:tcPr>
            <w:tcW w:w="613" w:type="pct"/>
            <w:noWrap w:val="0"/>
            <w:vAlign w:val="center"/>
          </w:tcPr>
          <w:p w14:paraId="1CD7B33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b/>
                <w:bCs/>
                <w:color w:val="auto"/>
                <w:kern w:val="0"/>
                <w:sz w:val="21"/>
                <w:szCs w:val="21"/>
                <w:lang w:val="en-US" w:eastAsia="zh-CN" w:bidi="ar-SA"/>
              </w:rPr>
            </w:pPr>
            <w:r>
              <w:rPr>
                <w:rFonts w:ascii="Times New Roman" w:hAnsi="宋体" w:eastAsia="宋体" w:cs="Times New Roman"/>
                <w:b/>
                <w:bCs/>
                <w:color w:val="auto"/>
                <w:kern w:val="0"/>
                <w:sz w:val="21"/>
                <w:szCs w:val="21"/>
                <w:lang w:val="en-US" w:eastAsia="zh-CN" w:bidi="ar-SA"/>
              </w:rPr>
              <w:t>判定结果</w:t>
            </w:r>
          </w:p>
        </w:tc>
      </w:tr>
      <w:tr w14:paraId="63CC0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F2D6E4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w:t>
            </w:r>
          </w:p>
        </w:tc>
        <w:tc>
          <w:tcPr>
            <w:tcW w:w="2902" w:type="pct"/>
            <w:noWrap w:val="0"/>
            <w:vAlign w:val="center"/>
          </w:tcPr>
          <w:p w14:paraId="26404DE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安全出口存在下列情形之一的：</w:t>
            </w:r>
          </w:p>
          <w:p w14:paraId="3801396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1.矿井直达地面的独立安全出口少于2个，或者与设计不一致；</w:t>
            </w:r>
          </w:p>
          <w:p w14:paraId="4865772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2.矿井只有两个独立直达地面的安全出口且安全出口的间距小于30米，或者矿体一翼走向长度超过1000米且未在此翼设置安全出口；</w:t>
            </w:r>
          </w:p>
          <w:p w14:paraId="067187E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3.矿井的全部安全出口均为竖井且竖井内均未设置梯子间，或者作为主要安全出口的罐笼提升井只有1套提升系统且未设梯子间；</w:t>
            </w:r>
          </w:p>
          <w:p w14:paraId="562A982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4.主要生产中段（水平）、单个采区、盘区或者矿块的安全出口少于2个，或者未与通往地面的安全出口相通；</w:t>
            </w:r>
          </w:p>
          <w:p w14:paraId="04FFD61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5.安全出口出现堵塞或者其梯子、踏步等设施不能正常使用，导致安全出口不畅通。</w:t>
            </w:r>
          </w:p>
        </w:tc>
        <w:tc>
          <w:tcPr>
            <w:tcW w:w="1119" w:type="pct"/>
            <w:noWrap w:val="0"/>
            <w:vAlign w:val="center"/>
          </w:tcPr>
          <w:p w14:paraId="04EDFD9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470C6CE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4AFD7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65" w:type="pct"/>
            <w:noWrap w:val="0"/>
            <w:vAlign w:val="center"/>
          </w:tcPr>
          <w:p w14:paraId="52CB2C0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2</w:t>
            </w:r>
          </w:p>
        </w:tc>
        <w:tc>
          <w:tcPr>
            <w:tcW w:w="2902" w:type="pct"/>
            <w:noWrap w:val="0"/>
            <w:vAlign w:val="center"/>
          </w:tcPr>
          <w:p w14:paraId="76C6F4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使用国家明令禁止使用的设备、材料或者工艺。</w:t>
            </w:r>
          </w:p>
        </w:tc>
        <w:tc>
          <w:tcPr>
            <w:tcW w:w="1119" w:type="pct"/>
            <w:noWrap w:val="0"/>
            <w:vAlign w:val="center"/>
          </w:tcPr>
          <w:p w14:paraId="6B3711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未使用</w:t>
            </w:r>
          </w:p>
        </w:tc>
        <w:tc>
          <w:tcPr>
            <w:tcW w:w="613" w:type="pct"/>
            <w:noWrap w:val="0"/>
            <w:vAlign w:val="center"/>
          </w:tcPr>
          <w:p w14:paraId="6A9054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8374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365" w:type="pct"/>
            <w:noWrap w:val="0"/>
            <w:vAlign w:val="center"/>
          </w:tcPr>
          <w:p w14:paraId="4E164A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3</w:t>
            </w:r>
          </w:p>
        </w:tc>
        <w:tc>
          <w:tcPr>
            <w:tcW w:w="2902" w:type="pct"/>
            <w:noWrap w:val="0"/>
            <w:vAlign w:val="center"/>
          </w:tcPr>
          <w:p w14:paraId="78C10DA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不同矿权主体的相邻矿山井巷相互贯通，或者同一矿权主体相邻独立生产系统的井巷擅自贯通。</w:t>
            </w:r>
          </w:p>
        </w:tc>
        <w:tc>
          <w:tcPr>
            <w:tcW w:w="1119" w:type="pct"/>
            <w:noWrap w:val="0"/>
            <w:vAlign w:val="center"/>
          </w:tcPr>
          <w:p w14:paraId="005C003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无相邻矿山</w:t>
            </w:r>
          </w:p>
        </w:tc>
        <w:tc>
          <w:tcPr>
            <w:tcW w:w="613" w:type="pct"/>
            <w:noWrap w:val="0"/>
            <w:vAlign w:val="center"/>
          </w:tcPr>
          <w:p w14:paraId="490F741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5891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1" w:hRule="atLeast"/>
          <w:jc w:val="center"/>
        </w:trPr>
        <w:tc>
          <w:tcPr>
            <w:tcW w:w="365" w:type="pct"/>
            <w:noWrap w:val="0"/>
            <w:vAlign w:val="center"/>
          </w:tcPr>
          <w:p w14:paraId="71A1B11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4</w:t>
            </w:r>
          </w:p>
        </w:tc>
        <w:tc>
          <w:tcPr>
            <w:tcW w:w="2902" w:type="pct"/>
            <w:noWrap w:val="0"/>
            <w:vAlign w:val="center"/>
          </w:tcPr>
          <w:p w14:paraId="31D080E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地下矿山现状图纸存在下列情形之一的：</w:t>
            </w:r>
          </w:p>
          <w:p w14:paraId="1E037DD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1.未保存《金属非金属矿山安全规程》（GB16423-2020）第4.1.10 条规定的图纸，或者生产矿山每3个月、基建矿山每1个月未更新上述图纸；</w:t>
            </w:r>
          </w:p>
          <w:p w14:paraId="73142A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2.岩体移动范围内的地面建构筑物、运输道路及沟谷河流与实际不符；</w:t>
            </w:r>
          </w:p>
          <w:p w14:paraId="76BF308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3.开拓工程和采准工程的井巷或者井下采区与实际不符；</w:t>
            </w:r>
          </w:p>
          <w:p w14:paraId="798BF46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4.相邻矿山采区位置关系与实际不符;</w:t>
            </w:r>
          </w:p>
          <w:p w14:paraId="38A8AF1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5.采空区和废弃井巷的位置、处理方式、现状，以及地表塌陷区的位置与实际不符。</w:t>
            </w:r>
          </w:p>
        </w:tc>
        <w:tc>
          <w:tcPr>
            <w:tcW w:w="1119" w:type="pct"/>
            <w:noWrap w:val="0"/>
            <w:vAlign w:val="center"/>
          </w:tcPr>
          <w:p w14:paraId="39DEF1B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532781C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03A2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0D52EC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5</w:t>
            </w:r>
          </w:p>
        </w:tc>
        <w:tc>
          <w:tcPr>
            <w:tcW w:w="2902" w:type="pct"/>
            <w:noWrap w:val="0"/>
            <w:vAlign w:val="center"/>
          </w:tcPr>
          <w:p w14:paraId="372BF69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露天转地下开采存在下列情形之一的：</w:t>
            </w:r>
          </w:p>
          <w:p w14:paraId="004DF1C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1.未按设计采取防排水措施；</w:t>
            </w:r>
          </w:p>
          <w:p w14:paraId="7401DDC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2.露天与地下联合开采时，回采顺序与设计不符；</w:t>
            </w:r>
          </w:p>
          <w:p w14:paraId="1D1498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3.未按设计采取留设安全顶柱或者岩石垫层等防护措施。</w:t>
            </w:r>
          </w:p>
        </w:tc>
        <w:tc>
          <w:tcPr>
            <w:tcW w:w="1119" w:type="pct"/>
            <w:noWrap w:val="0"/>
            <w:vAlign w:val="center"/>
          </w:tcPr>
          <w:p w14:paraId="5C68B96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不属于露天转地下开采</w:t>
            </w:r>
          </w:p>
        </w:tc>
        <w:tc>
          <w:tcPr>
            <w:tcW w:w="613" w:type="pct"/>
            <w:noWrap w:val="0"/>
            <w:vAlign w:val="center"/>
          </w:tcPr>
          <w:p w14:paraId="475450F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D4D3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2A7E48F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6</w:t>
            </w:r>
          </w:p>
        </w:tc>
        <w:tc>
          <w:tcPr>
            <w:tcW w:w="2902" w:type="pct"/>
            <w:noWrap w:val="0"/>
            <w:vAlign w:val="center"/>
          </w:tcPr>
          <w:p w14:paraId="1DB2A9B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矿区及其附近的地表水或者大气降水危及井下安全时，未按设计采取防治水措施。</w:t>
            </w:r>
          </w:p>
        </w:tc>
        <w:tc>
          <w:tcPr>
            <w:tcW w:w="1119" w:type="pct"/>
            <w:noWrap w:val="0"/>
            <w:vAlign w:val="center"/>
          </w:tcPr>
          <w:p w14:paraId="36B9A47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不存在</w:t>
            </w:r>
          </w:p>
        </w:tc>
        <w:tc>
          <w:tcPr>
            <w:tcW w:w="613" w:type="pct"/>
            <w:noWrap w:val="0"/>
            <w:vAlign w:val="center"/>
          </w:tcPr>
          <w:p w14:paraId="343609F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1D95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6FC8D0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7</w:t>
            </w:r>
          </w:p>
        </w:tc>
        <w:tc>
          <w:tcPr>
            <w:tcW w:w="2902" w:type="pct"/>
            <w:noWrap w:val="0"/>
            <w:vAlign w:val="center"/>
          </w:tcPr>
          <w:p w14:paraId="4342E11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井下主要排水系统存在下列情形之一的：</w:t>
            </w:r>
          </w:p>
          <w:p w14:paraId="3F12C8D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1.排水泵数量少于3台，或者工作水泵、备用水泵的额定排水能力低于设计要求；</w:t>
            </w:r>
          </w:p>
          <w:p w14:paraId="0B4F6E4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2.井巷中未按设计设置工作和备用排水管路，或者排水管路与水泵未有效连接；</w:t>
            </w:r>
          </w:p>
          <w:p w14:paraId="2D038F5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3.井下最低中段的主水泵房通往中段巷道的出口未装设防水门，或者另外一个出口未高于水泵房地面7米以上；</w:t>
            </w:r>
          </w:p>
          <w:p w14:paraId="3A4EE75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4.利用采空区或者其他废弃巷道作为水仓。</w:t>
            </w:r>
          </w:p>
        </w:tc>
        <w:tc>
          <w:tcPr>
            <w:tcW w:w="1119" w:type="pct"/>
            <w:noWrap w:val="0"/>
            <w:vAlign w:val="center"/>
          </w:tcPr>
          <w:p w14:paraId="6803C38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785A557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D5F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C4609C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8</w:t>
            </w:r>
          </w:p>
        </w:tc>
        <w:tc>
          <w:tcPr>
            <w:tcW w:w="2902" w:type="pct"/>
            <w:noWrap w:val="0"/>
            <w:vAlign w:val="center"/>
          </w:tcPr>
          <w:p w14:paraId="30BF5D6D">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井口标高未达到当地历史最高洪水位1米以上，且未按设计采取相应防护措施。</w:t>
            </w:r>
          </w:p>
        </w:tc>
        <w:tc>
          <w:tcPr>
            <w:tcW w:w="1119" w:type="pct"/>
            <w:noWrap w:val="0"/>
            <w:vAlign w:val="center"/>
          </w:tcPr>
          <w:p w14:paraId="6B218F3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满足要求</w:t>
            </w:r>
          </w:p>
        </w:tc>
        <w:tc>
          <w:tcPr>
            <w:tcW w:w="613" w:type="pct"/>
            <w:noWrap w:val="0"/>
            <w:vAlign w:val="center"/>
          </w:tcPr>
          <w:p w14:paraId="2FB5CD4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A316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6912CAF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9</w:t>
            </w:r>
          </w:p>
        </w:tc>
        <w:tc>
          <w:tcPr>
            <w:tcW w:w="2902" w:type="pct"/>
            <w:noWrap w:val="0"/>
            <w:vAlign w:val="center"/>
          </w:tcPr>
          <w:p w14:paraId="3061CED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水文地质类型为中等或者复杂的矿井，存在下列情形之一的：</w:t>
            </w:r>
          </w:p>
          <w:p w14:paraId="1831F9C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1.未配备防治水专业技术人员；</w:t>
            </w:r>
          </w:p>
          <w:p w14:paraId="7F278C7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2.未设置防治水机构，或者未建立探放水队伍；</w:t>
            </w:r>
          </w:p>
          <w:p w14:paraId="525200F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3.未配齐专用探放水设备，或者未按设计进行探放水作业。</w:t>
            </w:r>
          </w:p>
        </w:tc>
        <w:tc>
          <w:tcPr>
            <w:tcW w:w="1119" w:type="pct"/>
            <w:noWrap w:val="0"/>
            <w:vAlign w:val="center"/>
          </w:tcPr>
          <w:p w14:paraId="0E2532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36038F7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9105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078CE8B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10</w:t>
            </w:r>
          </w:p>
        </w:tc>
        <w:tc>
          <w:tcPr>
            <w:tcW w:w="2902" w:type="pct"/>
            <w:noWrap w:val="0"/>
            <w:vAlign w:val="center"/>
          </w:tcPr>
          <w:p w14:paraId="34917DF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水文地质类型复杂的矿山存在下列情形之一的：</w:t>
            </w:r>
          </w:p>
          <w:p w14:paraId="10D74BC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1.关键巷道防水门设置与设计不符；</w:t>
            </w:r>
          </w:p>
          <w:p w14:paraId="6CB2387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2.主要排水系统的水仓与水泵房之间的隔墙或者配水阀未按设计设置。</w:t>
            </w:r>
          </w:p>
        </w:tc>
        <w:tc>
          <w:tcPr>
            <w:tcW w:w="1119" w:type="pct"/>
            <w:noWrap w:val="0"/>
            <w:vAlign w:val="center"/>
          </w:tcPr>
          <w:p w14:paraId="3B10B6F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水文地质类型</w:t>
            </w:r>
            <w:r>
              <w:rPr>
                <w:rFonts w:hint="eastAsia" w:hAnsi="宋体" w:cs="Times New Roman"/>
                <w:color w:val="auto"/>
                <w:kern w:val="0"/>
                <w:sz w:val="21"/>
                <w:szCs w:val="21"/>
                <w:lang w:val="en-US" w:eastAsia="zh-CN" w:bidi="ar-SA"/>
              </w:rPr>
              <w:t>中等</w:t>
            </w:r>
          </w:p>
        </w:tc>
        <w:tc>
          <w:tcPr>
            <w:tcW w:w="613" w:type="pct"/>
            <w:noWrap w:val="0"/>
            <w:vAlign w:val="center"/>
          </w:tcPr>
          <w:p w14:paraId="1EEE797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CB5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CD9822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11</w:t>
            </w:r>
          </w:p>
        </w:tc>
        <w:tc>
          <w:tcPr>
            <w:tcW w:w="2902" w:type="pct"/>
            <w:noWrap w:val="0"/>
            <w:vAlign w:val="center"/>
          </w:tcPr>
          <w:p w14:paraId="71E4B1A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在突水威胁区域或者可疑区域进行采掘作业，存在下列情形之一的：</w:t>
            </w:r>
          </w:p>
          <w:p w14:paraId="493F68A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1.未编制防治水技术方案，或者未在施工前制定专门的施工安全技术措施；</w:t>
            </w:r>
          </w:p>
          <w:p w14:paraId="10E1239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2.未超前探放水，或者超前钻孔的数量、深度低于设计要求，或者超前钻孔方位不符合设计要求。</w:t>
            </w:r>
          </w:p>
        </w:tc>
        <w:tc>
          <w:tcPr>
            <w:tcW w:w="1119" w:type="pct"/>
            <w:noWrap w:val="0"/>
            <w:vAlign w:val="center"/>
          </w:tcPr>
          <w:p w14:paraId="3CD5576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1FC3EEE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3F5C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F3212F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12</w:t>
            </w:r>
          </w:p>
        </w:tc>
        <w:tc>
          <w:tcPr>
            <w:tcW w:w="2902" w:type="pct"/>
            <w:noWrap w:val="0"/>
            <w:vAlign w:val="center"/>
          </w:tcPr>
          <w:p w14:paraId="70AC577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受地表水倒灌威胁的矿井在强降雨天气或者其来水上游发生洪水期间，未实施停产撤人。</w:t>
            </w:r>
          </w:p>
        </w:tc>
        <w:tc>
          <w:tcPr>
            <w:tcW w:w="1119" w:type="pct"/>
            <w:noWrap w:val="0"/>
            <w:vAlign w:val="center"/>
          </w:tcPr>
          <w:p w14:paraId="2E56013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noWrap w:val="0"/>
            <w:vAlign w:val="center"/>
          </w:tcPr>
          <w:p w14:paraId="432839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073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037D5F3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13</w:t>
            </w:r>
          </w:p>
        </w:tc>
        <w:tc>
          <w:tcPr>
            <w:tcW w:w="2902" w:type="pct"/>
            <w:noWrap w:val="0"/>
            <w:vAlign w:val="center"/>
          </w:tcPr>
          <w:p w14:paraId="55D1F56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有自然发火危险的矿山，存在下列情形之一的：</w:t>
            </w:r>
          </w:p>
          <w:p w14:paraId="044570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1.未安装井下环境监测系统，实现自动监测与报警；</w:t>
            </w:r>
          </w:p>
          <w:p w14:paraId="419E7B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2.未按设计或者国家标准、行业标准采取防灭火措施；</w:t>
            </w:r>
          </w:p>
          <w:p w14:paraId="72EB270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3.发现自然发火预兆，未采取有效处理措施。</w:t>
            </w:r>
          </w:p>
        </w:tc>
        <w:tc>
          <w:tcPr>
            <w:tcW w:w="1119" w:type="pct"/>
            <w:noWrap w:val="0"/>
            <w:vAlign w:val="center"/>
          </w:tcPr>
          <w:p w14:paraId="34BAF8D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67E6059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49F4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365" w:type="pct"/>
            <w:noWrap w:val="0"/>
            <w:vAlign w:val="center"/>
          </w:tcPr>
          <w:p w14:paraId="7E905F1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14</w:t>
            </w:r>
          </w:p>
        </w:tc>
        <w:tc>
          <w:tcPr>
            <w:tcW w:w="2902" w:type="pct"/>
            <w:noWrap w:val="0"/>
            <w:vAlign w:val="center"/>
          </w:tcPr>
          <w:p w14:paraId="01F255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相邻矿山开采岩体移动范围存在交叉重叠等相互影响时，未按设计留设保安矿（岩）柱或者采取其他措施。</w:t>
            </w:r>
          </w:p>
        </w:tc>
        <w:tc>
          <w:tcPr>
            <w:tcW w:w="1119" w:type="pct"/>
            <w:noWrap w:val="0"/>
            <w:vAlign w:val="center"/>
          </w:tcPr>
          <w:p w14:paraId="5070FDA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无相邻矿山</w:t>
            </w:r>
          </w:p>
        </w:tc>
        <w:tc>
          <w:tcPr>
            <w:tcW w:w="613" w:type="pct"/>
            <w:noWrap w:val="0"/>
            <w:vAlign w:val="center"/>
          </w:tcPr>
          <w:p w14:paraId="16291F2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643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jc w:val="center"/>
        </w:trPr>
        <w:tc>
          <w:tcPr>
            <w:tcW w:w="365" w:type="pct"/>
            <w:noWrap w:val="0"/>
            <w:vAlign w:val="center"/>
          </w:tcPr>
          <w:p w14:paraId="1EC8DC6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15</w:t>
            </w:r>
          </w:p>
        </w:tc>
        <w:tc>
          <w:tcPr>
            <w:tcW w:w="2902" w:type="pct"/>
            <w:noWrap w:val="0"/>
            <w:vAlign w:val="center"/>
          </w:tcPr>
          <w:p w14:paraId="2B69F9E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地表设施设置存在下列情形之一，未按设计采取有效安全措施的：</w:t>
            </w:r>
          </w:p>
          <w:p w14:paraId="670E9A0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1.岩体移动范围内存在居民村庄或者重要设备设施；</w:t>
            </w:r>
          </w:p>
          <w:p w14:paraId="0D45EE4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2.主要开拓工程出入口易受地表滑坡、滚石、泥石流等地质灾害影响。</w:t>
            </w:r>
          </w:p>
        </w:tc>
        <w:tc>
          <w:tcPr>
            <w:tcW w:w="1119" w:type="pct"/>
            <w:noWrap w:val="0"/>
            <w:vAlign w:val="center"/>
          </w:tcPr>
          <w:p w14:paraId="2F57D16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岩体移动范围内存在居民村庄或者重要设备设施</w:t>
            </w:r>
            <w:r>
              <w:rPr>
                <w:rFonts w:hint="eastAsia" w:hAnsi="宋体" w:cs="Times New Roman"/>
                <w:color w:val="auto"/>
                <w:kern w:val="0"/>
                <w:sz w:val="21"/>
                <w:szCs w:val="21"/>
                <w:lang w:val="en-US" w:eastAsia="zh-CN" w:bidi="ar-SA"/>
              </w:rPr>
              <w:t>，已</w:t>
            </w:r>
            <w:r>
              <w:rPr>
                <w:rFonts w:hint="eastAsia" w:hAnsi="宋体"/>
                <w:color w:val="auto"/>
                <w:kern w:val="0"/>
                <w:sz w:val="21"/>
                <w:szCs w:val="21"/>
              </w:rPr>
              <w:t>编制《江西朝盛矿业有限公宁都硫铁矿地下矿山开采对地表建（构）筑物、S451公路影响论证报告》</w:t>
            </w:r>
            <w:r>
              <w:rPr>
                <w:rFonts w:hint="eastAsia" w:hAnsi="宋体"/>
                <w:color w:val="auto"/>
                <w:kern w:val="0"/>
                <w:sz w:val="21"/>
                <w:szCs w:val="21"/>
                <w:lang w:eastAsia="zh-CN"/>
              </w:rPr>
              <w:t>。</w:t>
            </w:r>
          </w:p>
        </w:tc>
        <w:tc>
          <w:tcPr>
            <w:tcW w:w="613" w:type="pct"/>
            <w:noWrap w:val="0"/>
            <w:vAlign w:val="center"/>
          </w:tcPr>
          <w:p w14:paraId="6AB5526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4927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365" w:type="pct"/>
            <w:noWrap w:val="0"/>
            <w:vAlign w:val="center"/>
          </w:tcPr>
          <w:p w14:paraId="6CB15A2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16</w:t>
            </w:r>
          </w:p>
        </w:tc>
        <w:tc>
          <w:tcPr>
            <w:tcW w:w="2902" w:type="pct"/>
            <w:noWrap w:val="0"/>
            <w:vAlign w:val="center"/>
          </w:tcPr>
          <w:p w14:paraId="3F9EE7B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保安矿（岩）柱或者采场矿柱存在下列情形之一的：</w:t>
            </w:r>
          </w:p>
          <w:p w14:paraId="24B09B9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1.未按设计留设矿（岩）柱；</w:t>
            </w:r>
          </w:p>
          <w:p w14:paraId="1682D15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2.未按设计回采矿柱；</w:t>
            </w:r>
          </w:p>
          <w:p w14:paraId="640402E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3.擅自开采、损毁矿（岩）柱。</w:t>
            </w:r>
          </w:p>
        </w:tc>
        <w:tc>
          <w:tcPr>
            <w:tcW w:w="1119" w:type="pct"/>
            <w:noWrap w:val="0"/>
            <w:vAlign w:val="center"/>
          </w:tcPr>
          <w:p w14:paraId="003701A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491B435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D78F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6359B36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17</w:t>
            </w:r>
          </w:p>
        </w:tc>
        <w:tc>
          <w:tcPr>
            <w:tcW w:w="2902" w:type="pct"/>
            <w:noWrap w:val="0"/>
            <w:vAlign w:val="center"/>
          </w:tcPr>
          <w:p w14:paraId="70DC965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未按设计要求的处理方式或者时间对采空区进行处理。</w:t>
            </w:r>
          </w:p>
        </w:tc>
        <w:tc>
          <w:tcPr>
            <w:tcW w:w="1119" w:type="pct"/>
            <w:noWrap w:val="0"/>
            <w:vAlign w:val="center"/>
          </w:tcPr>
          <w:p w14:paraId="165953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采空区已进行处理</w:t>
            </w:r>
          </w:p>
        </w:tc>
        <w:tc>
          <w:tcPr>
            <w:tcW w:w="613" w:type="pct"/>
            <w:noWrap w:val="0"/>
            <w:vAlign w:val="center"/>
          </w:tcPr>
          <w:p w14:paraId="204C09D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1595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7CE9C1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18</w:t>
            </w:r>
          </w:p>
        </w:tc>
        <w:tc>
          <w:tcPr>
            <w:tcW w:w="2902" w:type="pct"/>
            <w:noWrap w:val="0"/>
            <w:vAlign w:val="center"/>
          </w:tcPr>
          <w:p w14:paraId="0ADD692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工程地质类型复杂、有严重地压活动的矿山存在下列情形之一的：</w:t>
            </w:r>
          </w:p>
          <w:p w14:paraId="07D3D96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1.未设置专门机构、配备专门人员负责地压防治工作；</w:t>
            </w:r>
          </w:p>
          <w:p w14:paraId="52A80E0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2.未制定防治地压灾害的专门技术措施；</w:t>
            </w:r>
          </w:p>
          <w:p w14:paraId="0C1AF9B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3.发现大面积地压活动预兆，未立即停止作业、撤出人员。</w:t>
            </w:r>
          </w:p>
        </w:tc>
        <w:tc>
          <w:tcPr>
            <w:tcW w:w="1119" w:type="pct"/>
            <w:shd w:val="clear" w:color="auto" w:fill="auto"/>
            <w:noWrap w:val="0"/>
            <w:vAlign w:val="center"/>
          </w:tcPr>
          <w:p w14:paraId="04EAE57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shd w:val="clear" w:color="auto" w:fill="auto"/>
            <w:noWrap w:val="0"/>
            <w:vAlign w:val="center"/>
          </w:tcPr>
          <w:p w14:paraId="24A2DB5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76C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56CE57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19</w:t>
            </w:r>
          </w:p>
        </w:tc>
        <w:tc>
          <w:tcPr>
            <w:tcW w:w="2902" w:type="pct"/>
            <w:noWrap w:val="0"/>
            <w:vAlign w:val="center"/>
          </w:tcPr>
          <w:p w14:paraId="19D55E2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巷道或者采场顶板未按设计采取支护措施。</w:t>
            </w:r>
          </w:p>
        </w:tc>
        <w:tc>
          <w:tcPr>
            <w:tcW w:w="1119" w:type="pct"/>
            <w:noWrap w:val="0"/>
            <w:vAlign w:val="center"/>
          </w:tcPr>
          <w:p w14:paraId="5811E43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暂未设计</w:t>
            </w:r>
          </w:p>
        </w:tc>
        <w:tc>
          <w:tcPr>
            <w:tcW w:w="613" w:type="pct"/>
            <w:noWrap w:val="0"/>
            <w:vAlign w:val="center"/>
          </w:tcPr>
          <w:p w14:paraId="5B7F883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E32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B24650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20</w:t>
            </w:r>
          </w:p>
        </w:tc>
        <w:tc>
          <w:tcPr>
            <w:tcW w:w="2902" w:type="pct"/>
            <w:noWrap w:val="0"/>
            <w:vAlign w:val="center"/>
          </w:tcPr>
          <w:p w14:paraId="0F9856D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矿井未采用机械通风，或者采用机械通风的矿井存在下列情形之一的：</w:t>
            </w:r>
          </w:p>
          <w:p w14:paraId="11EBFCB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1.在正常生产情况下，主通风机未连续运转；</w:t>
            </w:r>
          </w:p>
          <w:p w14:paraId="0EB03CB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2.主通风机发生故障或者停机检查时，未立即向调度室和企业主要负责人报告，或者未采取必要安全措施；</w:t>
            </w:r>
          </w:p>
          <w:p w14:paraId="301E724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3.主通风机未按规定配备备用电动机，或者未配备能迅速调换电动机的设备及工具；</w:t>
            </w:r>
          </w:p>
          <w:p w14:paraId="4B5ED34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4.作业工作面风速、风量、风质不符合国家标准或者行业标准要求；</w:t>
            </w:r>
          </w:p>
          <w:p w14:paraId="036A96C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5.未设置通风系统在线监测系统的矿井，未按国家标准规定每年对通风系统进行1次检测；</w:t>
            </w:r>
          </w:p>
          <w:p w14:paraId="69816EB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6.主通风设施不能在10分钟之内实现矿井反风，或者反风试验周期超过1年。</w:t>
            </w:r>
          </w:p>
        </w:tc>
        <w:tc>
          <w:tcPr>
            <w:tcW w:w="1119" w:type="pct"/>
            <w:shd w:val="clear" w:color="auto" w:fill="auto"/>
            <w:noWrap w:val="0"/>
            <w:vAlign w:val="center"/>
          </w:tcPr>
          <w:p w14:paraId="2562912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shd w:val="clear" w:color="auto" w:fill="auto"/>
            <w:noWrap w:val="0"/>
            <w:vAlign w:val="center"/>
          </w:tcPr>
          <w:p w14:paraId="38AAE2C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568B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0C393D1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21</w:t>
            </w:r>
          </w:p>
        </w:tc>
        <w:tc>
          <w:tcPr>
            <w:tcW w:w="2902" w:type="pct"/>
            <w:noWrap w:val="0"/>
            <w:vAlign w:val="center"/>
          </w:tcPr>
          <w:p w14:paraId="7FCC249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未配齐或者随身携带具有矿用产品安全标志的便携式气体检测报警仪和自救器，或者从业人员不能正确使用自救器。</w:t>
            </w:r>
          </w:p>
        </w:tc>
        <w:tc>
          <w:tcPr>
            <w:tcW w:w="1119" w:type="pct"/>
            <w:noWrap w:val="0"/>
            <w:vAlign w:val="center"/>
          </w:tcPr>
          <w:p w14:paraId="3792C89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已配齐</w:t>
            </w:r>
          </w:p>
        </w:tc>
        <w:tc>
          <w:tcPr>
            <w:tcW w:w="613" w:type="pct"/>
            <w:noWrap w:val="0"/>
            <w:vAlign w:val="center"/>
          </w:tcPr>
          <w:p w14:paraId="247029F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7CF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205DD6D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22</w:t>
            </w:r>
          </w:p>
        </w:tc>
        <w:tc>
          <w:tcPr>
            <w:tcW w:w="2902" w:type="pct"/>
            <w:noWrap w:val="0"/>
            <w:vAlign w:val="center"/>
          </w:tcPr>
          <w:p w14:paraId="5283275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担负提升人员的提升系统，存在下列情形之一的：</w:t>
            </w:r>
          </w:p>
          <w:p w14:paraId="7811A6B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1.提升机、防坠器、钢丝绳、连接装置、提升容器未按国家规定进行定期检测检验，或者提升设备的安全保护装置失效；</w:t>
            </w:r>
          </w:p>
          <w:p w14:paraId="3E8737B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2.竖井井口和井下各中段马头门设置的安全门或者摇台与提升机未实现联锁；</w:t>
            </w:r>
          </w:p>
          <w:p w14:paraId="095F21E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3.竖井提升系统过卷段未按国家规定设置过卷缓冲装置、楔形罐道、过卷挡梁或者不能正常使用，或者提升人员的罐笼提升系统未按国家规定在井架或者井塔的过卷段内设置罐笼防坠装置；</w:t>
            </w:r>
          </w:p>
          <w:p w14:paraId="07E776C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4.斜井串车提升系统未按国家规定设置常闭式防跑车装置、阻车器、挡车栏，或者连接链、连接插销不符合国家规定；</w:t>
            </w:r>
          </w:p>
          <w:p w14:paraId="59877B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5.斜井提升信号系统与提升机之间未实现闭锁。</w:t>
            </w:r>
          </w:p>
        </w:tc>
        <w:tc>
          <w:tcPr>
            <w:tcW w:w="1119" w:type="pct"/>
            <w:noWrap w:val="0"/>
            <w:vAlign w:val="center"/>
          </w:tcPr>
          <w:p w14:paraId="3DAF20D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不存在上述情况</w:t>
            </w:r>
          </w:p>
        </w:tc>
        <w:tc>
          <w:tcPr>
            <w:tcW w:w="613" w:type="pct"/>
            <w:noWrap w:val="0"/>
            <w:vAlign w:val="center"/>
          </w:tcPr>
          <w:p w14:paraId="5628AF3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FA76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D2E14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23</w:t>
            </w:r>
          </w:p>
        </w:tc>
        <w:tc>
          <w:tcPr>
            <w:tcW w:w="2902" w:type="pct"/>
            <w:noWrap w:val="0"/>
            <w:vAlign w:val="center"/>
          </w:tcPr>
          <w:p w14:paraId="770A259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井下无轨运人车辆存在下列情形之一的：</w:t>
            </w:r>
          </w:p>
          <w:p w14:paraId="58D5471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1.未取得金属非金属矿山矿用产品安全标志；</w:t>
            </w:r>
          </w:p>
          <w:p w14:paraId="33C3FB3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2.载人数量超过25人或者超过核载人数；</w:t>
            </w:r>
          </w:p>
          <w:p w14:paraId="136197F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3.制动系统采用干式制动器，或者未同时配备行车制动系统、驻车制动系统和应急制动系统；</w:t>
            </w:r>
          </w:p>
          <w:p w14:paraId="0AB593C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4.未按国家规定对车辆进行检测检验。</w:t>
            </w:r>
          </w:p>
        </w:tc>
        <w:tc>
          <w:tcPr>
            <w:tcW w:w="1119" w:type="pct"/>
            <w:noWrap w:val="0"/>
            <w:vAlign w:val="center"/>
          </w:tcPr>
          <w:p w14:paraId="116FC6E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已进行检测</w:t>
            </w:r>
          </w:p>
        </w:tc>
        <w:tc>
          <w:tcPr>
            <w:tcW w:w="613" w:type="pct"/>
            <w:noWrap w:val="0"/>
            <w:vAlign w:val="center"/>
          </w:tcPr>
          <w:p w14:paraId="0D0CEF8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0A2C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0A52ED9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24</w:t>
            </w:r>
          </w:p>
        </w:tc>
        <w:tc>
          <w:tcPr>
            <w:tcW w:w="2902" w:type="pct"/>
            <w:noWrap w:val="0"/>
            <w:vAlign w:val="center"/>
          </w:tcPr>
          <w:p w14:paraId="5DAC2BE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一级负荷未采用双重电源供电，或者双重电源中的任一电源不能满足全部一级负荷需要。</w:t>
            </w:r>
          </w:p>
        </w:tc>
        <w:tc>
          <w:tcPr>
            <w:tcW w:w="1119" w:type="pct"/>
            <w:noWrap w:val="0"/>
            <w:vAlign w:val="center"/>
          </w:tcPr>
          <w:p w14:paraId="4A40869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noWrap w:val="0"/>
            <w:vAlign w:val="center"/>
          </w:tcPr>
          <w:p w14:paraId="14DED75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686C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0F57011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25</w:t>
            </w:r>
          </w:p>
        </w:tc>
        <w:tc>
          <w:tcPr>
            <w:tcW w:w="2902" w:type="pct"/>
            <w:noWrap w:val="0"/>
            <w:vAlign w:val="center"/>
          </w:tcPr>
          <w:p w14:paraId="7129188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向井下采场供电的6kV～35kV系统的中性点采用直接接地。</w:t>
            </w:r>
          </w:p>
        </w:tc>
        <w:tc>
          <w:tcPr>
            <w:tcW w:w="1119" w:type="pct"/>
            <w:noWrap w:val="0"/>
            <w:vAlign w:val="center"/>
          </w:tcPr>
          <w:p w14:paraId="10B1A8B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noWrap w:val="0"/>
            <w:vAlign w:val="center"/>
          </w:tcPr>
          <w:p w14:paraId="62F0A86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644C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5FA79D2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26</w:t>
            </w:r>
          </w:p>
        </w:tc>
        <w:tc>
          <w:tcPr>
            <w:tcW w:w="2902" w:type="pct"/>
            <w:noWrap w:val="0"/>
            <w:vAlign w:val="center"/>
          </w:tcPr>
          <w:p w14:paraId="3B8C938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工程地质或者水文地质类型复杂的矿山，井巷工程施工未进行施工组织设计，或者未按施工组织设计落实安全措施。</w:t>
            </w:r>
          </w:p>
        </w:tc>
        <w:tc>
          <w:tcPr>
            <w:tcW w:w="1119" w:type="pct"/>
            <w:noWrap w:val="0"/>
            <w:vAlign w:val="center"/>
          </w:tcPr>
          <w:p w14:paraId="369551D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暂未开始</w:t>
            </w:r>
          </w:p>
        </w:tc>
        <w:tc>
          <w:tcPr>
            <w:tcW w:w="613" w:type="pct"/>
            <w:noWrap w:val="0"/>
            <w:vAlign w:val="center"/>
          </w:tcPr>
          <w:p w14:paraId="6B7F291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3D14C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11C21F3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27</w:t>
            </w:r>
          </w:p>
        </w:tc>
        <w:tc>
          <w:tcPr>
            <w:tcW w:w="2902" w:type="pct"/>
            <w:noWrap w:val="0"/>
            <w:vAlign w:val="center"/>
          </w:tcPr>
          <w:p w14:paraId="026B3A3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新建、改扩建矿山建设项目有下列行为之一的：</w:t>
            </w:r>
          </w:p>
          <w:p w14:paraId="1E34BD16">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1.安全设施设计未经批准，或者批准后出现重大变更未经再次批准擅自组织施工；</w:t>
            </w:r>
          </w:p>
          <w:p w14:paraId="32D8DF7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2.在竣工验收前组织生产，经批准的联合试运转除外。</w:t>
            </w:r>
          </w:p>
        </w:tc>
        <w:tc>
          <w:tcPr>
            <w:tcW w:w="1119" w:type="pct"/>
            <w:noWrap w:val="0"/>
            <w:vAlign w:val="center"/>
          </w:tcPr>
          <w:p w14:paraId="13A9EB3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暂未设计</w:t>
            </w:r>
          </w:p>
        </w:tc>
        <w:tc>
          <w:tcPr>
            <w:tcW w:w="613" w:type="pct"/>
            <w:noWrap w:val="0"/>
            <w:vAlign w:val="center"/>
          </w:tcPr>
          <w:p w14:paraId="380D305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05A31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6455B5D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28</w:t>
            </w:r>
          </w:p>
        </w:tc>
        <w:tc>
          <w:tcPr>
            <w:tcW w:w="2902" w:type="pct"/>
            <w:noWrap w:val="0"/>
            <w:vAlign w:val="center"/>
          </w:tcPr>
          <w:p w14:paraId="29E17842">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矿山企业违反国家有关工程项目发包规定，有下列行为之一的：</w:t>
            </w:r>
          </w:p>
          <w:p w14:paraId="6468EC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1.将工程项目发包给不具有法定资质和条件的单位，或者承包单位数量超过国家规定的数量；</w:t>
            </w:r>
          </w:p>
          <w:p w14:paraId="495E1BE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2.承包单位项目部的负责人、安全生产管理人员、专业技术人员、特种作业人员不符合国家规定的数量、条件或者不属于承包单位正式职工。</w:t>
            </w:r>
          </w:p>
        </w:tc>
        <w:tc>
          <w:tcPr>
            <w:tcW w:w="1119" w:type="pct"/>
            <w:noWrap w:val="0"/>
            <w:vAlign w:val="center"/>
          </w:tcPr>
          <w:p w14:paraId="40885DF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暂未开始</w:t>
            </w:r>
          </w:p>
        </w:tc>
        <w:tc>
          <w:tcPr>
            <w:tcW w:w="613" w:type="pct"/>
            <w:noWrap w:val="0"/>
            <w:vAlign w:val="center"/>
          </w:tcPr>
          <w:p w14:paraId="09EB41B5">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C5DE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9BB2D2A">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29</w:t>
            </w:r>
          </w:p>
        </w:tc>
        <w:tc>
          <w:tcPr>
            <w:tcW w:w="2902" w:type="pct"/>
            <w:noWrap w:val="0"/>
            <w:vAlign w:val="center"/>
          </w:tcPr>
          <w:p w14:paraId="50B182D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井下或者井口动火作业未按国家规定落实审批制度或者安全措施。</w:t>
            </w:r>
          </w:p>
        </w:tc>
        <w:tc>
          <w:tcPr>
            <w:tcW w:w="1119" w:type="pct"/>
            <w:noWrap w:val="0"/>
            <w:vAlign w:val="center"/>
          </w:tcPr>
          <w:p w14:paraId="04484DC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noWrap w:val="0"/>
            <w:vAlign w:val="center"/>
          </w:tcPr>
          <w:p w14:paraId="28FC5FB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D645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616B42E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30</w:t>
            </w:r>
          </w:p>
        </w:tc>
        <w:tc>
          <w:tcPr>
            <w:tcW w:w="2902" w:type="pct"/>
            <w:noWrap w:val="0"/>
            <w:vAlign w:val="center"/>
          </w:tcPr>
          <w:p w14:paraId="4E3CDF6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矿山年产量超过矿山设计年生产能力幅度在20%及以上，或者月产量大于矿山设计年生产能力的20%及以上。</w:t>
            </w:r>
          </w:p>
        </w:tc>
        <w:tc>
          <w:tcPr>
            <w:tcW w:w="1119" w:type="pct"/>
            <w:shd w:val="clear" w:color="auto" w:fill="auto"/>
            <w:noWrap w:val="0"/>
            <w:vAlign w:val="center"/>
          </w:tcPr>
          <w:p w14:paraId="533A63E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shd w:val="clear" w:color="auto" w:fill="auto"/>
            <w:noWrap w:val="0"/>
            <w:vAlign w:val="center"/>
          </w:tcPr>
          <w:p w14:paraId="60D4F2CC">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E4D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37930BF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31</w:t>
            </w:r>
          </w:p>
        </w:tc>
        <w:tc>
          <w:tcPr>
            <w:tcW w:w="2902" w:type="pct"/>
            <w:noWrap w:val="0"/>
            <w:vAlign w:val="center"/>
          </w:tcPr>
          <w:p w14:paraId="04F7531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矿井未建立安全监测监控系统、人员定位系统、通信联络系统，或者已经建立的系统不符合国家有关规定，或者系统运行不正常未及时修复，或者关闭、破坏该系统，或者篡改、隐瞒、销毁其相关数据、信息。</w:t>
            </w:r>
          </w:p>
        </w:tc>
        <w:tc>
          <w:tcPr>
            <w:tcW w:w="1119" w:type="pct"/>
            <w:shd w:val="clear" w:color="auto" w:fill="auto"/>
            <w:noWrap w:val="0"/>
            <w:vAlign w:val="center"/>
          </w:tcPr>
          <w:p w14:paraId="0ADA1A43">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shd w:val="clear" w:color="auto" w:fill="auto"/>
            <w:noWrap w:val="0"/>
            <w:vAlign w:val="center"/>
          </w:tcPr>
          <w:p w14:paraId="4989CA9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386F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2039E8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32</w:t>
            </w:r>
          </w:p>
        </w:tc>
        <w:tc>
          <w:tcPr>
            <w:tcW w:w="2902" w:type="pct"/>
            <w:noWrap w:val="0"/>
            <w:vAlign w:val="center"/>
          </w:tcPr>
          <w:p w14:paraId="7110AAB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未配备具有矿山相关专业的专职矿长、总工程师以及分管安全、生产、机电的副矿长，或者未配备具有采矿、地质、测量、机电等专业的技术人员。</w:t>
            </w:r>
          </w:p>
        </w:tc>
        <w:tc>
          <w:tcPr>
            <w:tcW w:w="1119" w:type="pct"/>
            <w:noWrap w:val="0"/>
            <w:vAlign w:val="center"/>
          </w:tcPr>
          <w:p w14:paraId="7BC67DCE">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hAnsi="宋体" w:cs="Times New Roman"/>
                <w:color w:val="auto"/>
                <w:kern w:val="0"/>
                <w:sz w:val="21"/>
                <w:szCs w:val="21"/>
                <w:lang w:val="en-US" w:eastAsia="zh-CN" w:bidi="ar-SA"/>
              </w:rPr>
              <w:t>已配齐</w:t>
            </w:r>
          </w:p>
        </w:tc>
        <w:tc>
          <w:tcPr>
            <w:tcW w:w="613" w:type="pct"/>
            <w:noWrap w:val="0"/>
            <w:vAlign w:val="center"/>
          </w:tcPr>
          <w:p w14:paraId="3DD96A7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EF2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5C20479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33</w:t>
            </w:r>
          </w:p>
        </w:tc>
        <w:tc>
          <w:tcPr>
            <w:tcW w:w="2902" w:type="pct"/>
            <w:noWrap w:val="0"/>
            <w:vAlign w:val="center"/>
          </w:tcPr>
          <w:p w14:paraId="0272569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地表距进风井口和平硐口50m范围内存放油料或其他易燃、易爆材料。</w:t>
            </w:r>
          </w:p>
        </w:tc>
        <w:tc>
          <w:tcPr>
            <w:tcW w:w="1119" w:type="pct"/>
            <w:noWrap w:val="0"/>
            <w:vAlign w:val="center"/>
          </w:tcPr>
          <w:p w14:paraId="2CE777A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noWrap w:val="0"/>
            <w:vAlign w:val="center"/>
          </w:tcPr>
          <w:p w14:paraId="24CAC09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75848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1AA1FB8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34</w:t>
            </w:r>
          </w:p>
        </w:tc>
        <w:tc>
          <w:tcPr>
            <w:tcW w:w="2902" w:type="pct"/>
            <w:noWrap w:val="0"/>
            <w:vAlign w:val="center"/>
          </w:tcPr>
          <w:p w14:paraId="57DC1D1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受地表水威胁的矿井，未查清矿山及周边地面裂缝、废弃井巷、封闭不良钻孔、采空区、水力联系通道等隐蔽致灾因素或者未采取有效治理措施，在井下受威胁区域组织生产建设。</w:t>
            </w:r>
          </w:p>
        </w:tc>
        <w:tc>
          <w:tcPr>
            <w:tcW w:w="1119" w:type="pct"/>
            <w:shd w:val="clear" w:color="auto" w:fill="auto"/>
            <w:noWrap w:val="0"/>
            <w:vAlign w:val="center"/>
          </w:tcPr>
          <w:p w14:paraId="6E574339">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shd w:val="clear" w:color="auto" w:fill="auto"/>
            <w:noWrap w:val="0"/>
            <w:vAlign w:val="center"/>
          </w:tcPr>
          <w:p w14:paraId="7D31F588">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12B42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76FF1AD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35</w:t>
            </w:r>
          </w:p>
        </w:tc>
        <w:tc>
          <w:tcPr>
            <w:tcW w:w="2902" w:type="pct"/>
            <w:noWrap w:val="0"/>
            <w:vAlign w:val="center"/>
          </w:tcPr>
          <w:p w14:paraId="4F9F89E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办公区、生活区等人员集聚场所设在危崖、塌陷区、崩落区，或洪水、泥石流、滑坡等灾害威胁范围内。</w:t>
            </w:r>
          </w:p>
        </w:tc>
        <w:tc>
          <w:tcPr>
            <w:tcW w:w="1119" w:type="pct"/>
            <w:shd w:val="clear" w:color="auto" w:fill="auto"/>
            <w:noWrap w:val="0"/>
            <w:vAlign w:val="center"/>
          </w:tcPr>
          <w:p w14:paraId="096DB0F1">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shd w:val="clear" w:color="auto" w:fill="auto"/>
            <w:noWrap w:val="0"/>
            <w:vAlign w:val="center"/>
          </w:tcPr>
          <w:p w14:paraId="7B86EC5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r w14:paraId="221A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 w:type="pct"/>
            <w:noWrap w:val="0"/>
            <w:vAlign w:val="center"/>
          </w:tcPr>
          <w:p w14:paraId="5095A3C4">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36</w:t>
            </w:r>
          </w:p>
        </w:tc>
        <w:tc>
          <w:tcPr>
            <w:tcW w:w="2902" w:type="pct"/>
            <w:noWrap w:val="0"/>
            <w:vAlign w:val="center"/>
          </w:tcPr>
          <w:p w14:paraId="7B33336B">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left"/>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遇极端天气地下矿山未及时停止作业、撤出现场作业人员。</w:t>
            </w:r>
          </w:p>
        </w:tc>
        <w:tc>
          <w:tcPr>
            <w:tcW w:w="1119" w:type="pct"/>
            <w:shd w:val="clear" w:color="auto" w:fill="auto"/>
            <w:noWrap w:val="0"/>
            <w:vAlign w:val="center"/>
          </w:tcPr>
          <w:p w14:paraId="47AB7BFF">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eastAsia" w:ascii="Times New Roman" w:hAnsi="宋体" w:eastAsia="宋体" w:cs="Times New Roman"/>
                <w:color w:val="auto"/>
                <w:kern w:val="0"/>
                <w:sz w:val="21"/>
                <w:szCs w:val="21"/>
                <w:lang w:val="en-US" w:eastAsia="zh-CN" w:bidi="ar-SA"/>
              </w:rPr>
            </w:pPr>
            <w:r>
              <w:rPr>
                <w:rFonts w:hint="eastAsia" w:ascii="Times New Roman" w:hAnsi="宋体" w:eastAsia="宋体" w:cs="Times New Roman"/>
                <w:color w:val="auto"/>
                <w:kern w:val="0"/>
                <w:sz w:val="21"/>
                <w:szCs w:val="21"/>
                <w:lang w:val="en-US" w:eastAsia="zh-CN" w:bidi="ar-SA"/>
              </w:rPr>
              <w:t>无此现象</w:t>
            </w:r>
          </w:p>
        </w:tc>
        <w:tc>
          <w:tcPr>
            <w:tcW w:w="613" w:type="pct"/>
            <w:shd w:val="clear" w:color="auto" w:fill="auto"/>
            <w:noWrap w:val="0"/>
            <w:vAlign w:val="center"/>
          </w:tcPr>
          <w:p w14:paraId="308B87D0">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ascii="Times New Roman" w:hAnsi="宋体" w:eastAsia="宋体" w:cs="Times New Roman"/>
                <w:color w:val="auto"/>
                <w:kern w:val="0"/>
                <w:sz w:val="21"/>
                <w:szCs w:val="21"/>
                <w:lang w:val="en-US" w:eastAsia="zh-CN" w:bidi="ar-SA"/>
              </w:rPr>
            </w:pPr>
            <w:r>
              <w:rPr>
                <w:rFonts w:ascii="Times New Roman" w:hAnsi="宋体" w:eastAsia="宋体" w:cs="Times New Roman"/>
                <w:color w:val="auto"/>
                <w:kern w:val="0"/>
                <w:sz w:val="21"/>
                <w:szCs w:val="21"/>
                <w:lang w:val="en-US" w:eastAsia="zh-CN" w:bidi="ar-SA"/>
              </w:rPr>
              <w:t>不构成</w:t>
            </w:r>
          </w:p>
        </w:tc>
      </w:tr>
    </w:tbl>
    <w:p w14:paraId="54B9E002">
      <w:pPr>
        <w:bidi w:val="0"/>
        <w:ind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评价小结依安全检查表3</w:t>
      </w:r>
      <w:r>
        <w:rPr>
          <w:rFonts w:hint="eastAsia" w:cs="Times New Roman"/>
          <w:color w:val="auto"/>
          <w:lang w:val="en-US" w:eastAsia="zh-CN"/>
        </w:rPr>
        <w:t>.12</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，针对重大隐患单元共进行</w:t>
      </w:r>
      <w:r>
        <w:rPr>
          <w:rFonts w:hint="eastAsia" w:cs="Times New Roman"/>
          <w:color w:val="auto"/>
          <w:lang w:val="en-US" w:eastAsia="zh-CN"/>
        </w:rPr>
        <w:t>36</w:t>
      </w:r>
      <w:r>
        <w:rPr>
          <w:rFonts w:hint="default" w:ascii="Times New Roman" w:hAnsi="Times New Roman" w:eastAsia="宋体" w:cs="Times New Roman"/>
          <w:color w:val="auto"/>
          <w:lang w:val="en-US" w:eastAsia="zh-CN"/>
        </w:rPr>
        <w:t>项符合性评价，评价结果为江西朝盛矿业有限公司宁都硫铁矿地下开采改建工程目前暂不构成重大隐患。</w:t>
      </w:r>
    </w:p>
    <w:p w14:paraId="2827000B">
      <w:pPr>
        <w:bidi w:val="0"/>
        <w:ind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综上所述，江西朝盛矿业有限公司宁都硫铁矿地下开采改建工程无重大生产安全事故隐患。</w:t>
      </w:r>
    </w:p>
    <w:p w14:paraId="01CF8BE8">
      <w:pP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br w:type="page"/>
      </w:r>
    </w:p>
    <w:p w14:paraId="1009B4A9">
      <w:pPr>
        <w:pStyle w:val="2"/>
        <w:bidi w:val="0"/>
        <w:ind w:left="0" w:leftChars="0" w:firstLine="0" w:firstLineChars="0"/>
        <w:rPr>
          <w:rFonts w:hint="eastAsia"/>
          <w:color w:val="auto"/>
          <w:lang w:val="en-US" w:eastAsia="zh-CN"/>
        </w:rPr>
      </w:pPr>
      <w:bookmarkStart w:id="384" w:name="_Toc18564"/>
      <w:bookmarkStart w:id="385" w:name="_Toc15786"/>
      <w:bookmarkStart w:id="386" w:name="_Toc14641"/>
      <w:bookmarkStart w:id="387" w:name="_Toc22583"/>
      <w:r>
        <w:rPr>
          <w:rFonts w:hint="eastAsia"/>
          <w:color w:val="auto"/>
          <w:lang w:val="en-US" w:eastAsia="zh-CN"/>
        </w:rPr>
        <w:t>安全对策措施及建议</w:t>
      </w:r>
      <w:bookmarkEnd w:id="384"/>
      <w:bookmarkEnd w:id="385"/>
      <w:bookmarkEnd w:id="386"/>
      <w:bookmarkEnd w:id="387"/>
    </w:p>
    <w:p w14:paraId="14EE3E87">
      <w:pPr>
        <w:bidi w:val="0"/>
        <w:ind w:firstLine="48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针对该项目的特点及其存在的危险有害因素，本报告中补充的主要对策措施及建议如下：</w:t>
      </w:r>
    </w:p>
    <w:p w14:paraId="71FD3C79">
      <w:pPr>
        <w:pStyle w:val="3"/>
        <w:bidi w:val="0"/>
        <w:rPr>
          <w:rFonts w:hint="eastAsia"/>
          <w:color w:val="auto"/>
          <w:lang w:val="en-US" w:eastAsia="zh-CN"/>
        </w:rPr>
      </w:pPr>
      <w:bookmarkStart w:id="388" w:name="_Toc31591"/>
      <w:bookmarkStart w:id="389" w:name="_Toc6879"/>
      <w:bookmarkStart w:id="390" w:name="_Toc17091"/>
      <w:bookmarkStart w:id="391" w:name="_Toc22417"/>
      <w:r>
        <w:rPr>
          <w:rFonts w:hint="eastAsia"/>
          <w:color w:val="auto"/>
          <w:lang w:val="en-US" w:eastAsia="zh-CN"/>
        </w:rPr>
        <w:t>4.1 总平面布置单元</w:t>
      </w:r>
      <w:bookmarkEnd w:id="388"/>
      <w:bookmarkEnd w:id="389"/>
      <w:bookmarkEnd w:id="390"/>
      <w:bookmarkEnd w:id="391"/>
    </w:p>
    <w:p w14:paraId="01F0C09D">
      <w:pPr>
        <w:rPr>
          <w:rFonts w:hint="eastAsia"/>
          <w:color w:val="auto"/>
          <w:lang w:val="en-US" w:eastAsia="zh-CN"/>
        </w:rPr>
      </w:pPr>
      <w:r>
        <w:rPr>
          <w:rFonts w:hint="eastAsia"/>
          <w:color w:val="auto"/>
          <w:lang w:val="en-US" w:eastAsia="zh-CN"/>
        </w:rPr>
        <w:t>1. 在矿山日常生产过程应做好截水和排水措施，在矿区周边设置必要的截水沟，不破坏或少破坏山坡岩体，对潜在的滑坡点进行整治，在上游避免堆积松散的矿渣或其他砂土料。</w:t>
      </w:r>
    </w:p>
    <w:p w14:paraId="35640A21">
      <w:pPr>
        <w:rPr>
          <w:rFonts w:hint="eastAsia"/>
          <w:color w:val="auto"/>
          <w:lang w:val="en-US" w:eastAsia="zh-CN"/>
        </w:rPr>
      </w:pPr>
      <w:r>
        <w:rPr>
          <w:rFonts w:hint="eastAsia"/>
          <w:color w:val="auto"/>
          <w:lang w:val="en-US" w:eastAsia="zh-CN"/>
        </w:rPr>
        <w:t>2. 应针对雨季山洪做好矿区地表防洪沟的建设和维护，做好地表建筑物防护设施，加强雨季废石场的检查和管理，加强雨季附近山体稳定性的观察和预防滑坡的应急工作。</w:t>
      </w:r>
    </w:p>
    <w:p w14:paraId="07E536E5">
      <w:pPr>
        <w:rPr>
          <w:rFonts w:hint="eastAsia"/>
          <w:color w:val="auto"/>
          <w:lang w:val="en-US" w:eastAsia="zh-CN"/>
        </w:rPr>
      </w:pPr>
      <w:r>
        <w:rPr>
          <w:rFonts w:hint="eastAsia"/>
          <w:color w:val="auto"/>
          <w:lang w:val="en-US" w:eastAsia="zh-CN"/>
        </w:rPr>
        <w:t>3. 利用原3#斜坡道改造时需降坡，开挖过程中需凿岩、爆破，对原有、风管、线缆、照明灯具等有破坏危害，下一步设计应提出防范措施并根据现状斜坡道具体明确施工地点与范围。</w:t>
      </w:r>
    </w:p>
    <w:p w14:paraId="37D310B6">
      <w:pPr>
        <w:rPr>
          <w:rFonts w:hint="default"/>
          <w:color w:val="auto"/>
          <w:lang w:val="en-US" w:eastAsia="zh-CN"/>
        </w:rPr>
      </w:pPr>
      <w:r>
        <w:rPr>
          <w:rFonts w:hint="eastAsia"/>
          <w:color w:val="auto"/>
          <w:lang w:val="en-US" w:eastAsia="zh-CN"/>
        </w:rPr>
        <w:t>4. 《可研报告》未提供排水系统图、供配电系统图，建议下一步设计进行补充完善，其余图纸存在部分问题，建议下一步设计进行完善。</w:t>
      </w:r>
    </w:p>
    <w:p w14:paraId="253F344D">
      <w:pPr>
        <w:pStyle w:val="3"/>
        <w:bidi w:val="0"/>
        <w:rPr>
          <w:rFonts w:hint="default"/>
          <w:color w:val="auto"/>
          <w:lang w:val="en-US" w:eastAsia="zh-CN"/>
        </w:rPr>
      </w:pPr>
      <w:bookmarkStart w:id="392" w:name="_Toc26374"/>
      <w:bookmarkStart w:id="393" w:name="_Toc23636"/>
      <w:bookmarkStart w:id="394" w:name="_Toc14758"/>
      <w:bookmarkStart w:id="395" w:name="_Toc13391"/>
      <w:r>
        <w:rPr>
          <w:rFonts w:hint="default"/>
          <w:color w:val="auto"/>
          <w:lang w:val="en-US" w:eastAsia="zh-CN"/>
        </w:rPr>
        <w:t>4.2 开拓单元</w:t>
      </w:r>
      <w:bookmarkEnd w:id="392"/>
      <w:bookmarkEnd w:id="393"/>
      <w:bookmarkEnd w:id="394"/>
      <w:bookmarkEnd w:id="395"/>
    </w:p>
    <w:p w14:paraId="3DC56E16">
      <w:pPr>
        <w:rPr>
          <w:rFonts w:hint="default"/>
          <w:color w:val="auto"/>
          <w:lang w:val="en-US" w:eastAsia="zh-CN"/>
        </w:rPr>
      </w:pPr>
      <w:r>
        <w:rPr>
          <w:rFonts w:hint="eastAsia"/>
          <w:color w:val="auto"/>
          <w:lang w:val="en-US" w:eastAsia="zh-CN"/>
        </w:rPr>
        <w:t>1. 本矿山属于“三下”矿山，《可研报告》未考虑留取保安矿柱，建议下一步设计应考虑留取保安矿柱和采用“三下”开采保安矿柱留取理论或数值模拟对保安矿柱进行稳定性计算。</w:t>
      </w:r>
    </w:p>
    <w:p w14:paraId="11749F64">
      <w:pPr>
        <w:rPr>
          <w:rFonts w:hint="default"/>
          <w:color w:val="auto"/>
          <w:lang w:val="en-US" w:eastAsia="zh-CN"/>
        </w:rPr>
      </w:pPr>
      <w:r>
        <w:rPr>
          <w:rFonts w:hint="eastAsia"/>
          <w:color w:val="auto"/>
          <w:lang w:val="en-US" w:eastAsia="zh-CN"/>
        </w:rPr>
        <w:t>2. 建议下一步设计补充巷道支护情况。</w:t>
      </w:r>
    </w:p>
    <w:p w14:paraId="34D67E60">
      <w:pPr>
        <w:rPr>
          <w:rFonts w:hint="default"/>
          <w:color w:val="auto"/>
          <w:lang w:val="en-US" w:eastAsia="zh-CN"/>
        </w:rPr>
      </w:pPr>
      <w:r>
        <w:rPr>
          <w:rFonts w:hint="eastAsia"/>
          <w:color w:val="auto"/>
          <w:lang w:val="en-US" w:eastAsia="zh-CN"/>
        </w:rPr>
        <w:t xml:space="preserve">3. </w:t>
      </w:r>
      <w:r>
        <w:rPr>
          <w:rFonts w:hint="default"/>
          <w:color w:val="auto"/>
          <w:lang w:val="en-US" w:eastAsia="zh-CN"/>
        </w:rPr>
        <w:t>井巷工程施工应按施工组织设计进行。并巷施工设计中应规定井巷支护方法和支护与工作面间的距离</w:t>
      </w:r>
      <w:r>
        <w:rPr>
          <w:rFonts w:hint="eastAsia"/>
          <w:color w:val="auto"/>
          <w:lang w:val="en-US" w:eastAsia="zh-CN"/>
        </w:rPr>
        <w:t>；</w:t>
      </w:r>
      <w:r>
        <w:rPr>
          <w:rFonts w:hint="default"/>
          <w:color w:val="auto"/>
          <w:lang w:val="en-US" w:eastAsia="zh-CN"/>
        </w:rPr>
        <w:t>中途停止掘进时应及时支护至工作面。</w:t>
      </w:r>
    </w:p>
    <w:p w14:paraId="020D75F6">
      <w:pPr>
        <w:rPr>
          <w:rFonts w:hint="default"/>
          <w:color w:val="auto"/>
          <w:lang w:val="en-US" w:eastAsia="zh-CN"/>
        </w:rPr>
      </w:pPr>
      <w:r>
        <w:rPr>
          <w:rFonts w:hint="eastAsia"/>
          <w:color w:val="auto"/>
          <w:lang w:val="en-US" w:eastAsia="zh-CN"/>
        </w:rPr>
        <w:t xml:space="preserve">4. </w:t>
      </w:r>
      <w:r>
        <w:rPr>
          <w:rFonts w:hint="default"/>
          <w:color w:val="auto"/>
          <w:lang w:val="en-US" w:eastAsia="zh-CN"/>
        </w:rPr>
        <w:t>井巷工程穿过软岩、流砂、淤泥、砂砾、破碎带、老窿、溶洞或较大含水层等不良地层时，施工前应制定专门的施工安全技术措施。</w:t>
      </w:r>
    </w:p>
    <w:p w14:paraId="31FCFC03">
      <w:pPr>
        <w:rPr>
          <w:rFonts w:hint="eastAsia"/>
          <w:color w:val="auto"/>
          <w:lang w:val="en-US" w:eastAsia="zh-CN"/>
        </w:rPr>
      </w:pPr>
      <w:r>
        <w:rPr>
          <w:rFonts w:hint="eastAsia"/>
          <w:color w:val="auto"/>
          <w:lang w:val="en-US" w:eastAsia="zh-CN"/>
        </w:rPr>
        <w:t xml:space="preserve">5. </w:t>
      </w:r>
      <w:r>
        <w:rPr>
          <w:rFonts w:hint="default"/>
          <w:color w:val="auto"/>
          <w:lang w:val="en-US" w:eastAsia="zh-CN"/>
        </w:rPr>
        <w:t>斜坡道地表部分开口应严格按照设计施工，并及时支护和砌筑挡墙</w:t>
      </w:r>
      <w:r>
        <w:rPr>
          <w:rFonts w:hint="eastAsia"/>
          <w:color w:val="auto"/>
          <w:lang w:val="en-US" w:eastAsia="zh-CN"/>
        </w:rPr>
        <w:t>。</w:t>
      </w:r>
    </w:p>
    <w:p w14:paraId="322D163F">
      <w:pPr>
        <w:rPr>
          <w:rFonts w:hint="default"/>
          <w:color w:val="auto"/>
          <w:lang w:val="en-US" w:eastAsia="zh-CN"/>
        </w:rPr>
      </w:pPr>
      <w:r>
        <w:rPr>
          <w:rFonts w:hint="eastAsia"/>
          <w:color w:val="auto"/>
          <w:lang w:val="en-US" w:eastAsia="zh-CN"/>
        </w:rPr>
        <w:t xml:space="preserve">6. </w:t>
      </w:r>
      <w:r>
        <w:rPr>
          <w:rFonts w:hint="default"/>
          <w:color w:val="auto"/>
          <w:lang w:val="en-US" w:eastAsia="zh-CN"/>
        </w:rPr>
        <w:t>应对井巷进行定期检查。人员活动频繁的采矿巷道，应每班进行检查</w:t>
      </w:r>
      <w:r>
        <w:rPr>
          <w:rFonts w:hint="eastAsia"/>
          <w:color w:val="auto"/>
          <w:lang w:val="en-US" w:eastAsia="zh-CN"/>
        </w:rPr>
        <w:t>；</w:t>
      </w:r>
      <w:r>
        <w:rPr>
          <w:rFonts w:hint="default"/>
          <w:color w:val="auto"/>
          <w:lang w:val="en-US" w:eastAsia="zh-CN"/>
        </w:rPr>
        <w:t>发现问题应及时处理并做好记录</w:t>
      </w:r>
    </w:p>
    <w:p w14:paraId="10DAB8B2">
      <w:pPr>
        <w:rPr>
          <w:rFonts w:hint="default"/>
          <w:color w:val="auto"/>
          <w:lang w:val="en-US" w:eastAsia="zh-CN"/>
        </w:rPr>
      </w:pPr>
      <w:r>
        <w:rPr>
          <w:rFonts w:hint="eastAsia"/>
          <w:color w:val="auto"/>
          <w:lang w:val="en-US" w:eastAsia="zh-CN"/>
        </w:rPr>
        <w:t xml:space="preserve">7. </w:t>
      </w:r>
      <w:r>
        <w:rPr>
          <w:rFonts w:hint="default"/>
          <w:color w:val="auto"/>
          <w:lang w:val="en-US" w:eastAsia="zh-CN"/>
        </w:rPr>
        <w:t>废弃井巷和硐室的入口应及时封闭，封闭时应留有泄水条件。封闭墙上应标明编号、封闭时间、责任人、井巷原名称。封闭前入口处应设明显警示标志，禁止人员进入。封闭墙在相应图纸上标出，并归档永久保存。报废井巷的地面入口周围应设高度不低于1.5m的栅栏。</w:t>
      </w:r>
    </w:p>
    <w:p w14:paraId="076E2695">
      <w:pPr>
        <w:rPr>
          <w:rFonts w:hint="default"/>
          <w:color w:val="auto"/>
          <w:lang w:val="en-US" w:eastAsia="zh-CN"/>
        </w:rPr>
      </w:pPr>
      <w:r>
        <w:rPr>
          <w:rFonts w:hint="eastAsia"/>
          <w:color w:val="auto"/>
          <w:lang w:val="en-US" w:eastAsia="zh-CN"/>
        </w:rPr>
        <w:t xml:space="preserve">8. </w:t>
      </w:r>
      <w:r>
        <w:rPr>
          <w:rFonts w:hint="default"/>
          <w:color w:val="auto"/>
          <w:lang w:val="en-US" w:eastAsia="zh-CN"/>
        </w:rPr>
        <w:t>修复废旧井巷前应查明井巷本身的稳定情况及周围构筑物、井巷、采空区等的分布情况和废旧井巷内的空气成分，确认安全方可施工。</w:t>
      </w:r>
    </w:p>
    <w:p w14:paraId="7BE16CEA">
      <w:pPr>
        <w:pStyle w:val="3"/>
        <w:bidi w:val="0"/>
        <w:rPr>
          <w:rFonts w:hint="default"/>
          <w:color w:val="auto"/>
          <w:lang w:val="en-US" w:eastAsia="zh-CN"/>
        </w:rPr>
      </w:pPr>
      <w:bookmarkStart w:id="396" w:name="_Toc12459"/>
      <w:bookmarkStart w:id="397" w:name="_Toc15575"/>
      <w:bookmarkStart w:id="398" w:name="_Toc30113"/>
      <w:bookmarkStart w:id="399" w:name="_Toc7492"/>
      <w:r>
        <w:rPr>
          <w:rFonts w:hint="default"/>
          <w:color w:val="auto"/>
          <w:lang w:val="en-US" w:eastAsia="zh-CN"/>
        </w:rPr>
        <w:t>4.3 运输单元</w:t>
      </w:r>
      <w:bookmarkEnd w:id="396"/>
      <w:bookmarkEnd w:id="397"/>
      <w:bookmarkEnd w:id="398"/>
      <w:bookmarkEnd w:id="399"/>
    </w:p>
    <w:p w14:paraId="2F8B79A2">
      <w:pPr>
        <w:rPr>
          <w:rFonts w:hint="eastAsia"/>
          <w:color w:val="auto"/>
          <w:lang w:val="en-US" w:eastAsia="zh-CN"/>
        </w:rPr>
      </w:pPr>
      <w:r>
        <w:rPr>
          <w:rFonts w:hint="eastAsia"/>
          <w:color w:val="auto"/>
          <w:lang w:val="en-US" w:eastAsia="zh-CN"/>
        </w:rPr>
        <w:t>1. 无轨运输系统应符合下列要求：</w:t>
      </w:r>
    </w:p>
    <w:p w14:paraId="55BB8DA9">
      <w:pPr>
        <w:rPr>
          <w:rFonts w:hint="default"/>
          <w:color w:val="auto"/>
          <w:lang w:val="en-US" w:eastAsia="zh-CN"/>
        </w:rPr>
      </w:pPr>
      <w:r>
        <w:rPr>
          <w:rFonts w:hint="eastAsia"/>
          <w:color w:val="auto"/>
          <w:lang w:val="en-US" w:eastAsia="zh-CN"/>
        </w:rPr>
        <w:t>--斜坡道路面应平整；主要斜坡道应有良好的混凝土、沥青或级配均匀的碎石路面。</w:t>
      </w:r>
    </w:p>
    <w:p w14:paraId="0CC6D9EC">
      <w:pPr>
        <w:rPr>
          <w:rFonts w:hint="default"/>
          <w:color w:val="auto"/>
          <w:lang w:val="en-US" w:eastAsia="zh-CN"/>
        </w:rPr>
      </w:pPr>
      <w:r>
        <w:rPr>
          <w:rFonts w:hint="eastAsia"/>
          <w:color w:val="auto"/>
          <w:lang w:val="en-US" w:eastAsia="zh-CN"/>
        </w:rPr>
        <w:t xml:space="preserve">2. </w:t>
      </w:r>
      <w:r>
        <w:rPr>
          <w:rFonts w:hint="default"/>
          <w:color w:val="auto"/>
          <w:lang w:val="en-US" w:eastAsia="zh-CN"/>
        </w:rPr>
        <w:t>行人的无轨运输巷道和斜坡道应按下列要求设置人行道或躲避硐室</w:t>
      </w:r>
      <w:r>
        <w:rPr>
          <w:rFonts w:hint="eastAsia"/>
          <w:color w:val="auto"/>
          <w:lang w:val="en-US" w:eastAsia="zh-CN"/>
        </w:rPr>
        <w:t>：</w:t>
      </w:r>
    </w:p>
    <w:p w14:paraId="16D016AE">
      <w:pPr>
        <w:rPr>
          <w:rFonts w:hint="default"/>
          <w:color w:val="auto"/>
          <w:lang w:val="en-US" w:eastAsia="zh-CN"/>
        </w:rPr>
      </w:pPr>
      <w:r>
        <w:rPr>
          <w:rFonts w:hint="default"/>
          <w:color w:val="auto"/>
          <w:lang w:val="en-US" w:eastAsia="zh-CN"/>
        </w:rPr>
        <w:t>--人行道的高度不小于1.9m，宽度不小于1.2m</w:t>
      </w:r>
      <w:r>
        <w:rPr>
          <w:rFonts w:hint="eastAsia"/>
          <w:color w:val="auto"/>
          <w:lang w:val="en-US" w:eastAsia="zh-CN"/>
        </w:rPr>
        <w:t>；</w:t>
      </w:r>
    </w:p>
    <w:p w14:paraId="64136891">
      <w:pPr>
        <w:rPr>
          <w:rFonts w:hint="default"/>
          <w:color w:val="auto"/>
          <w:lang w:val="en-US" w:eastAsia="zh-CN"/>
        </w:rPr>
      </w:pPr>
      <w:r>
        <w:rPr>
          <w:rFonts w:hint="default"/>
          <w:color w:val="auto"/>
          <w:lang w:val="en-US" w:eastAsia="zh-CN"/>
        </w:rPr>
        <w:t>--躲避硐室的高度不小于1.9m，深度和宽度均不小于1.0m</w:t>
      </w:r>
      <w:r>
        <w:rPr>
          <w:rFonts w:hint="eastAsia"/>
          <w:color w:val="auto"/>
          <w:lang w:val="en-US" w:eastAsia="zh-CN"/>
        </w:rPr>
        <w:t>；</w:t>
      </w:r>
    </w:p>
    <w:p w14:paraId="45DA54C0">
      <w:pPr>
        <w:rPr>
          <w:rFonts w:hint="default"/>
          <w:color w:val="auto"/>
          <w:lang w:val="en-US" w:eastAsia="zh-CN"/>
        </w:rPr>
      </w:pPr>
      <w:r>
        <w:rPr>
          <w:rFonts w:hint="default"/>
          <w:color w:val="auto"/>
          <w:lang w:val="en-US" w:eastAsia="zh-CN"/>
        </w:rPr>
        <w:t>--躲避硐室间距</w:t>
      </w:r>
      <w:r>
        <w:rPr>
          <w:rFonts w:hint="eastAsia"/>
          <w:color w:val="auto"/>
          <w:lang w:val="en-US" w:eastAsia="zh-CN"/>
        </w:rPr>
        <w:t>：</w:t>
      </w:r>
      <w:r>
        <w:rPr>
          <w:rFonts w:hint="default"/>
          <w:color w:val="auto"/>
          <w:lang w:val="en-US" w:eastAsia="zh-CN"/>
        </w:rPr>
        <w:t>曲线段不超过15m，直线段不超过50m</w:t>
      </w:r>
      <w:r>
        <w:rPr>
          <w:rFonts w:hint="eastAsia"/>
          <w:color w:val="auto"/>
          <w:lang w:val="en-US" w:eastAsia="zh-CN"/>
        </w:rPr>
        <w:t>；</w:t>
      </w:r>
    </w:p>
    <w:p w14:paraId="11DC13F4">
      <w:pPr>
        <w:rPr>
          <w:rFonts w:hint="default"/>
          <w:color w:val="auto"/>
          <w:lang w:val="en-US" w:eastAsia="zh-CN"/>
        </w:rPr>
      </w:pPr>
      <w:r>
        <w:rPr>
          <w:rFonts w:hint="default"/>
          <w:color w:val="auto"/>
          <w:lang w:val="en-US" w:eastAsia="zh-CN"/>
        </w:rPr>
        <w:t>--躲避硐室应有明显的标志，并保持干净、无障碍物。</w:t>
      </w:r>
    </w:p>
    <w:p w14:paraId="61DCCABD">
      <w:pPr>
        <w:rPr>
          <w:rFonts w:hint="eastAsia"/>
          <w:color w:val="auto"/>
          <w:lang w:val="en-US" w:eastAsia="zh-CN"/>
        </w:rPr>
      </w:pPr>
      <w:r>
        <w:rPr>
          <w:rFonts w:hint="eastAsia"/>
          <w:color w:val="auto"/>
          <w:lang w:val="en-US" w:eastAsia="zh-CN"/>
        </w:rPr>
        <w:t>3. 斜坡道两侧或单侧应设置排水沟或顺水槽。</w:t>
      </w:r>
    </w:p>
    <w:p w14:paraId="74A51BF3">
      <w:pPr>
        <w:pStyle w:val="3"/>
        <w:bidi w:val="0"/>
        <w:rPr>
          <w:rFonts w:hint="eastAsia"/>
          <w:color w:val="auto"/>
          <w:lang w:val="en-US" w:eastAsia="zh-CN"/>
        </w:rPr>
      </w:pPr>
      <w:bookmarkStart w:id="400" w:name="_Toc32031"/>
      <w:bookmarkStart w:id="401" w:name="_Toc11066"/>
      <w:bookmarkStart w:id="402" w:name="_Toc13289"/>
      <w:bookmarkStart w:id="403" w:name="_Toc9656"/>
      <w:r>
        <w:rPr>
          <w:rFonts w:hint="eastAsia"/>
          <w:color w:val="auto"/>
          <w:lang w:val="en-US" w:eastAsia="zh-CN"/>
        </w:rPr>
        <w:t>4.4 采掘单元</w:t>
      </w:r>
      <w:bookmarkEnd w:id="400"/>
      <w:bookmarkEnd w:id="401"/>
      <w:bookmarkEnd w:id="402"/>
      <w:bookmarkEnd w:id="403"/>
    </w:p>
    <w:p w14:paraId="7114B944">
      <w:pPr>
        <w:rPr>
          <w:rFonts w:hint="eastAsia"/>
          <w:color w:val="auto"/>
          <w:lang w:val="en-US" w:eastAsia="zh-CN"/>
        </w:rPr>
      </w:pPr>
      <w:r>
        <w:rPr>
          <w:rFonts w:hint="eastAsia"/>
          <w:color w:val="auto"/>
          <w:lang w:val="en-US" w:eastAsia="zh-CN"/>
        </w:rPr>
        <w:t>1. 《可研报告》中采矿方法采矿工艺不符合要求，建议下一步设计进行完善。</w:t>
      </w:r>
    </w:p>
    <w:p w14:paraId="1EA661F5">
      <w:pPr>
        <w:rPr>
          <w:rFonts w:hint="eastAsia"/>
          <w:color w:val="auto"/>
          <w:lang w:val="en-US" w:eastAsia="zh-CN"/>
        </w:rPr>
      </w:pPr>
      <w:r>
        <w:rPr>
          <w:rFonts w:hint="eastAsia"/>
          <w:color w:val="auto"/>
          <w:lang w:val="en-US" w:eastAsia="zh-CN"/>
        </w:rPr>
        <w:t>2. 《可研报告》只提到了计划建立尾砂胶结充填系统，建议下一步设计对充填站进行补充完善。</w:t>
      </w:r>
    </w:p>
    <w:p w14:paraId="7775C65E">
      <w:pPr>
        <w:rPr>
          <w:rFonts w:hint="default"/>
          <w:color w:val="auto"/>
          <w:lang w:val="en-US" w:eastAsia="zh-CN"/>
        </w:rPr>
      </w:pPr>
      <w:r>
        <w:rPr>
          <w:rFonts w:hint="eastAsia"/>
          <w:color w:val="auto"/>
          <w:lang w:val="en-US" w:eastAsia="zh-CN"/>
        </w:rPr>
        <w:t xml:space="preserve">3. </w:t>
      </w:r>
      <w:r>
        <w:rPr>
          <w:rFonts w:hint="default"/>
          <w:color w:val="auto"/>
          <w:lang w:val="en-US" w:eastAsia="zh-CN"/>
        </w:rPr>
        <w:t>应建立采场顶板分级管理制度</w:t>
      </w:r>
      <w:r>
        <w:rPr>
          <w:rFonts w:hint="eastAsia"/>
          <w:color w:val="auto"/>
          <w:lang w:val="en-US" w:eastAsia="zh-CN"/>
        </w:rPr>
        <w:t>，</w:t>
      </w:r>
      <w:r>
        <w:rPr>
          <w:rFonts w:hint="default"/>
          <w:color w:val="auto"/>
          <w:lang w:val="en-US" w:eastAsia="zh-CN"/>
        </w:rPr>
        <w:t>对顶板不稳固的采场，应有监控手段和处理措施。人员需要进入的采场作业面的顶板和侧面应保持稳定，矿岩不稳固时应采取支护措施。因爆破或其他原因而破坏的支护应及时修复，确认安全后方准作业。</w:t>
      </w:r>
    </w:p>
    <w:p w14:paraId="7BFF260D">
      <w:pPr>
        <w:rPr>
          <w:rFonts w:hint="default"/>
          <w:color w:val="auto"/>
          <w:lang w:val="en-US" w:eastAsia="zh-CN"/>
        </w:rPr>
      </w:pPr>
      <w:r>
        <w:rPr>
          <w:rFonts w:hint="eastAsia"/>
          <w:color w:val="auto"/>
          <w:lang w:val="en-US" w:eastAsia="zh-CN"/>
        </w:rPr>
        <w:t xml:space="preserve">4. </w:t>
      </w:r>
      <w:r>
        <w:rPr>
          <w:rFonts w:hint="default"/>
          <w:color w:val="auto"/>
          <w:lang w:val="en-US" w:eastAsia="zh-CN"/>
        </w:rPr>
        <w:t>发现井下有危及作业人员安全的危险应立即消除。当班作业结束前来不及消除时</w:t>
      </w:r>
      <w:r>
        <w:rPr>
          <w:rFonts w:hint="eastAsia"/>
          <w:color w:val="auto"/>
          <w:lang w:val="en-US" w:eastAsia="zh-CN"/>
        </w:rPr>
        <w:t>，</w:t>
      </w:r>
      <w:r>
        <w:rPr>
          <w:rFonts w:hint="default"/>
          <w:color w:val="auto"/>
          <w:lang w:val="en-US" w:eastAsia="zh-CN"/>
        </w:rPr>
        <w:t>当班负责人应做好书面记录</w:t>
      </w:r>
      <w:r>
        <w:rPr>
          <w:rFonts w:hint="eastAsia"/>
          <w:color w:val="auto"/>
          <w:lang w:val="en-US" w:eastAsia="zh-CN"/>
        </w:rPr>
        <w:t>，</w:t>
      </w:r>
      <w:r>
        <w:rPr>
          <w:rFonts w:hint="default"/>
          <w:color w:val="auto"/>
          <w:lang w:val="en-US" w:eastAsia="zh-CN"/>
        </w:rPr>
        <w:t>内容包括危险状况和所采取的处理措施。下一班负责人在本班作业人员开始危险区内的作业前，应确认上一班的记载内容，并告知相关作业人员上述危险状况、已采取的处理措施、为解除危险应做的工作。</w:t>
      </w:r>
    </w:p>
    <w:p w14:paraId="453B3048">
      <w:pPr>
        <w:rPr>
          <w:rFonts w:hint="default"/>
          <w:color w:val="auto"/>
          <w:lang w:val="en-US" w:eastAsia="zh-CN"/>
        </w:rPr>
      </w:pPr>
      <w:r>
        <w:rPr>
          <w:rFonts w:hint="eastAsia"/>
          <w:color w:val="auto"/>
          <w:lang w:val="en-US" w:eastAsia="zh-CN"/>
        </w:rPr>
        <w:t>5. 井下爆破前必须清查受爆破区影响的相关人员，并设立警戒，待人员全部撤至安全地点后，方可进行爆破作业。在进入爆破作业区的各通道口设禁止进入安全标志。</w:t>
      </w:r>
    </w:p>
    <w:p w14:paraId="77E71B90">
      <w:pPr>
        <w:pStyle w:val="3"/>
        <w:bidi w:val="0"/>
        <w:rPr>
          <w:rFonts w:hint="default"/>
          <w:color w:val="auto"/>
          <w:lang w:val="en-US" w:eastAsia="zh-CN"/>
        </w:rPr>
      </w:pPr>
      <w:bookmarkStart w:id="404" w:name="_Toc25635"/>
      <w:bookmarkStart w:id="405" w:name="_Toc16323"/>
      <w:bookmarkStart w:id="406" w:name="_Toc16519"/>
      <w:bookmarkStart w:id="407" w:name="_Toc9411"/>
      <w:r>
        <w:rPr>
          <w:rFonts w:hint="default"/>
          <w:color w:val="auto"/>
          <w:lang w:val="en-US" w:eastAsia="zh-CN"/>
        </w:rPr>
        <w:t>4.5 通风单元</w:t>
      </w:r>
      <w:bookmarkEnd w:id="404"/>
      <w:bookmarkEnd w:id="405"/>
      <w:bookmarkEnd w:id="406"/>
      <w:bookmarkEnd w:id="407"/>
    </w:p>
    <w:p w14:paraId="4416F92B">
      <w:pPr>
        <w:rPr>
          <w:rFonts w:hint="eastAsia"/>
          <w:color w:val="auto"/>
          <w:lang w:val="en-US" w:eastAsia="zh-CN"/>
        </w:rPr>
      </w:pPr>
      <w:r>
        <w:rPr>
          <w:rFonts w:hint="eastAsia"/>
          <w:color w:val="auto"/>
          <w:lang w:val="en-US" w:eastAsia="zh-CN"/>
        </w:rPr>
        <w:t xml:space="preserve">1. </w:t>
      </w:r>
      <w:r>
        <w:rPr>
          <w:rFonts w:hint="default"/>
          <w:color w:val="auto"/>
          <w:lang w:val="en-US" w:eastAsia="zh-CN"/>
        </w:rPr>
        <w:t>每年应至少进行1次反风试验，并测定主要风路的风量</w:t>
      </w:r>
      <w:r>
        <w:rPr>
          <w:rFonts w:hint="eastAsia"/>
          <w:color w:val="auto"/>
          <w:lang w:val="en-US" w:eastAsia="zh-CN"/>
        </w:rPr>
        <w:t>。</w:t>
      </w:r>
    </w:p>
    <w:p w14:paraId="4D440539">
      <w:pPr>
        <w:rPr>
          <w:rFonts w:hint="default"/>
          <w:color w:val="auto"/>
          <w:lang w:val="en-US" w:eastAsia="zh-CN"/>
        </w:rPr>
      </w:pPr>
      <w:r>
        <w:rPr>
          <w:rFonts w:hint="eastAsia"/>
          <w:color w:val="auto"/>
          <w:lang w:val="en-US" w:eastAsia="zh-CN"/>
        </w:rPr>
        <w:t xml:space="preserve">2. </w:t>
      </w:r>
      <w:r>
        <w:rPr>
          <w:rFonts w:hint="default"/>
          <w:color w:val="auto"/>
          <w:lang w:val="en-US" w:eastAsia="zh-CN"/>
        </w:rPr>
        <w:t>采场回采结束后，应及时密闭采空区，并隔断影响正常通风的相关巷道。</w:t>
      </w:r>
    </w:p>
    <w:p w14:paraId="12CF1F32">
      <w:pPr>
        <w:rPr>
          <w:rFonts w:hint="default"/>
          <w:color w:val="auto"/>
          <w:lang w:val="en-US" w:eastAsia="zh-CN"/>
        </w:rPr>
      </w:pPr>
      <w:r>
        <w:rPr>
          <w:rFonts w:hint="eastAsia"/>
          <w:color w:val="auto"/>
          <w:lang w:val="en-US" w:eastAsia="zh-CN"/>
        </w:rPr>
        <w:t xml:space="preserve">3. </w:t>
      </w:r>
      <w:r>
        <w:rPr>
          <w:rFonts w:hint="default"/>
          <w:color w:val="auto"/>
          <w:lang w:val="en-US" w:eastAsia="zh-CN"/>
        </w:rPr>
        <w:t>停止作业且无贯穿风流的采场、独头巷道，应设栅栏和警示标志，防止人员进入。重新进入前，应进行通风并检测空气成分，确认安全后方准进入。</w:t>
      </w:r>
    </w:p>
    <w:p w14:paraId="3967FFF2">
      <w:pPr>
        <w:rPr>
          <w:rFonts w:hint="default"/>
          <w:color w:val="auto"/>
          <w:lang w:val="en-US" w:eastAsia="zh-CN"/>
        </w:rPr>
      </w:pPr>
      <w:r>
        <w:rPr>
          <w:rFonts w:hint="eastAsia"/>
          <w:color w:val="auto"/>
          <w:lang w:val="en-US" w:eastAsia="zh-CN"/>
        </w:rPr>
        <w:t xml:space="preserve">4. </w:t>
      </w:r>
      <w:r>
        <w:rPr>
          <w:rFonts w:hint="default"/>
          <w:color w:val="auto"/>
          <w:lang w:val="en-US" w:eastAsia="zh-CN"/>
        </w:rPr>
        <w:t>正常生产情况下主通风机应连续运转，满足井下生产所需风量。当主通风机发生故障或需要停机检查时，应立即向调度室和矿山企业主要负责人报告，并采取必要措施。</w:t>
      </w:r>
    </w:p>
    <w:p w14:paraId="21BB6B38">
      <w:pPr>
        <w:rPr>
          <w:rFonts w:hint="default"/>
          <w:color w:val="auto"/>
          <w:lang w:val="en-US" w:eastAsia="zh-CN"/>
        </w:rPr>
      </w:pPr>
      <w:r>
        <w:rPr>
          <w:rFonts w:hint="eastAsia"/>
          <w:color w:val="auto"/>
          <w:lang w:val="en-US" w:eastAsia="zh-CN"/>
        </w:rPr>
        <w:t xml:space="preserve">5. </w:t>
      </w:r>
      <w:r>
        <w:rPr>
          <w:rFonts w:hint="default"/>
          <w:color w:val="auto"/>
          <w:lang w:val="en-US" w:eastAsia="zh-CN"/>
        </w:rPr>
        <w:t>风门、风桥、风窗、挡风墙等通风构筑物应由专人负责检查、维修，保持完好严密状态。主要运输巷道应设两道风门，其间距应大于一列车的长度。手动风门应与风流方向成80</w:t>
      </w:r>
      <w:r>
        <w:rPr>
          <w:rFonts w:hint="eastAsia" w:ascii="宋体" w:hAnsi="宋体" w:eastAsia="宋体" w:cs="宋体"/>
          <w:color w:val="auto"/>
          <w:lang w:val="en-US" w:eastAsia="zh-CN"/>
        </w:rPr>
        <w:t>°</w:t>
      </w:r>
      <w:r>
        <w:rPr>
          <w:rFonts w:hint="default"/>
          <w:color w:val="auto"/>
          <w:lang w:val="en-US" w:eastAsia="zh-CN"/>
        </w:rPr>
        <w:t>～85</w:t>
      </w:r>
      <w:r>
        <w:rPr>
          <w:rFonts w:hint="eastAsia" w:ascii="宋体" w:hAnsi="宋体" w:eastAsia="宋体" w:cs="宋体"/>
          <w:color w:val="auto"/>
          <w:lang w:val="en-US" w:eastAsia="zh-CN"/>
        </w:rPr>
        <w:t>°</w:t>
      </w:r>
      <w:r>
        <w:rPr>
          <w:rFonts w:hint="default"/>
          <w:color w:val="auto"/>
          <w:lang w:val="en-US" w:eastAsia="zh-CN"/>
        </w:rPr>
        <w:t>的夹角，并逆风开启。</w:t>
      </w:r>
    </w:p>
    <w:p w14:paraId="2ED8BD7E">
      <w:pPr>
        <w:rPr>
          <w:rFonts w:hint="default"/>
          <w:color w:val="auto"/>
          <w:lang w:val="en-US" w:eastAsia="zh-CN"/>
        </w:rPr>
      </w:pPr>
      <w:r>
        <w:rPr>
          <w:rFonts w:hint="eastAsia"/>
          <w:color w:val="auto"/>
          <w:lang w:val="en-US" w:eastAsia="zh-CN"/>
        </w:rPr>
        <w:t xml:space="preserve">6. </w:t>
      </w:r>
      <w:r>
        <w:rPr>
          <w:rFonts w:hint="default"/>
          <w:color w:val="auto"/>
          <w:lang w:val="en-US" w:eastAsia="zh-CN"/>
        </w:rPr>
        <w:t>矿井通风系统</w:t>
      </w:r>
      <w:r>
        <w:rPr>
          <w:rFonts w:hint="eastAsia"/>
          <w:color w:val="auto"/>
          <w:lang w:val="en-US" w:eastAsia="zh-CN"/>
        </w:rPr>
        <w:t>（</w:t>
      </w:r>
      <w:r>
        <w:rPr>
          <w:rFonts w:hint="default"/>
          <w:color w:val="auto"/>
          <w:lang w:val="en-US" w:eastAsia="zh-CN"/>
        </w:rPr>
        <w:t>矿井总风量、矿井有效风量、矿井有效风量率、机站风量、机站风压等</w:t>
      </w:r>
      <w:r>
        <w:rPr>
          <w:rFonts w:hint="eastAsia"/>
          <w:color w:val="auto"/>
          <w:lang w:val="en-US" w:eastAsia="zh-CN"/>
        </w:rPr>
        <w:t>）</w:t>
      </w:r>
      <w:r>
        <w:rPr>
          <w:rFonts w:hint="default"/>
          <w:color w:val="auto"/>
          <w:lang w:val="en-US" w:eastAsia="zh-CN"/>
        </w:rPr>
        <w:t>应每年测定一次，遇到矿井生产或通风系统重大改变时亦应进行测定。矿井总进风量、总回风量和主要通风巷的风量，应半年测定一次。作业地点的气象条件</w:t>
      </w:r>
      <w:r>
        <w:rPr>
          <w:rFonts w:hint="eastAsia"/>
          <w:color w:val="auto"/>
          <w:lang w:val="en-US" w:eastAsia="zh-CN"/>
        </w:rPr>
        <w:t>（</w:t>
      </w:r>
      <w:r>
        <w:rPr>
          <w:rFonts w:hint="default"/>
          <w:color w:val="auto"/>
          <w:lang w:val="en-US" w:eastAsia="zh-CN"/>
        </w:rPr>
        <w:t>温度、湿度和风速等</w:t>
      </w:r>
      <w:r>
        <w:rPr>
          <w:rFonts w:hint="eastAsia"/>
          <w:color w:val="auto"/>
          <w:lang w:val="en-US" w:eastAsia="zh-CN"/>
        </w:rPr>
        <w:t>）</w:t>
      </w:r>
      <w:r>
        <w:rPr>
          <w:rFonts w:hint="default"/>
          <w:color w:val="auto"/>
          <w:lang w:val="en-US" w:eastAsia="zh-CN"/>
        </w:rPr>
        <w:t>每季度至少测定一次。矿山应根据测量情况及时调整完善通风系统。</w:t>
      </w:r>
    </w:p>
    <w:p w14:paraId="23309558">
      <w:pPr>
        <w:rPr>
          <w:rFonts w:hint="default"/>
          <w:color w:val="auto"/>
          <w:lang w:val="en-US" w:eastAsia="zh-CN"/>
        </w:rPr>
      </w:pPr>
      <w:r>
        <w:rPr>
          <w:rFonts w:hint="eastAsia"/>
          <w:color w:val="auto"/>
          <w:lang w:val="en-US" w:eastAsia="zh-CN"/>
        </w:rPr>
        <w:t xml:space="preserve">7. </w:t>
      </w:r>
      <w:r>
        <w:rPr>
          <w:rFonts w:hint="default"/>
          <w:color w:val="auto"/>
          <w:lang w:val="en-US" w:eastAsia="zh-CN"/>
        </w:rPr>
        <w:t>矿山应及时更新通风系统图。通风系统图应标明通风设备、风量、风流方向、通风构筑物、与通风系统隔离的区域等。</w:t>
      </w:r>
    </w:p>
    <w:p w14:paraId="560B7A4B">
      <w:pPr>
        <w:rPr>
          <w:rFonts w:hint="eastAsia"/>
          <w:color w:val="auto"/>
          <w:lang w:val="en-US" w:eastAsia="zh-CN"/>
        </w:rPr>
      </w:pPr>
      <w:r>
        <w:rPr>
          <w:rFonts w:hint="eastAsia"/>
          <w:color w:val="auto"/>
          <w:lang w:val="en-US" w:eastAsia="zh-CN"/>
        </w:rPr>
        <w:t>8. 尾气净化装置须及时检查、维护、更换。</w:t>
      </w:r>
    </w:p>
    <w:p w14:paraId="09D5A565">
      <w:pPr>
        <w:rPr>
          <w:rFonts w:hint="default"/>
          <w:color w:val="auto"/>
          <w:lang w:val="en-US" w:eastAsia="zh-CN"/>
        </w:rPr>
      </w:pPr>
      <w:r>
        <w:rPr>
          <w:rFonts w:hint="eastAsia"/>
          <w:color w:val="auto"/>
          <w:lang w:val="en-US" w:eastAsia="zh-CN"/>
        </w:rPr>
        <w:t>9. 加强井巷空气质量检测。</w:t>
      </w:r>
    </w:p>
    <w:p w14:paraId="4A08D7F2">
      <w:pPr>
        <w:pStyle w:val="3"/>
        <w:bidi w:val="0"/>
        <w:rPr>
          <w:rFonts w:hint="eastAsia"/>
          <w:color w:val="auto"/>
          <w:lang w:val="en-US" w:eastAsia="zh-CN"/>
        </w:rPr>
      </w:pPr>
      <w:bookmarkStart w:id="408" w:name="_Toc22498"/>
      <w:bookmarkStart w:id="409" w:name="_Toc31959"/>
      <w:bookmarkStart w:id="410" w:name="_Toc9307"/>
      <w:bookmarkStart w:id="411" w:name="_Toc19766"/>
      <w:r>
        <w:rPr>
          <w:rFonts w:hint="eastAsia"/>
          <w:color w:val="auto"/>
          <w:lang w:val="en-US" w:eastAsia="zh-CN"/>
        </w:rPr>
        <w:t>4.6 供配电设施单元</w:t>
      </w:r>
      <w:bookmarkEnd w:id="408"/>
      <w:bookmarkEnd w:id="409"/>
      <w:bookmarkEnd w:id="410"/>
      <w:bookmarkEnd w:id="411"/>
    </w:p>
    <w:p w14:paraId="0BE68173">
      <w:pPr>
        <w:rPr>
          <w:rFonts w:hint="eastAsia"/>
          <w:color w:val="auto"/>
          <w:lang w:val="en-US" w:eastAsia="zh-CN"/>
        </w:rPr>
      </w:pPr>
      <w:r>
        <w:rPr>
          <w:rFonts w:hint="eastAsia"/>
          <w:color w:val="auto"/>
          <w:lang w:val="en-US" w:eastAsia="zh-CN"/>
        </w:rPr>
        <w:t>1. 井下电缆敷设应符合下列规定：</w:t>
      </w:r>
    </w:p>
    <w:p w14:paraId="19CB2730">
      <w:pPr>
        <w:rPr>
          <w:rFonts w:hint="eastAsia"/>
          <w:color w:val="auto"/>
          <w:lang w:val="en-US" w:eastAsia="zh-CN"/>
        </w:rPr>
      </w:pPr>
      <w:r>
        <w:rPr>
          <w:rFonts w:hint="eastAsia"/>
          <w:color w:val="auto"/>
          <w:lang w:val="en-US" w:eastAsia="zh-CN"/>
        </w:rPr>
        <w:t>（1）水平或倾斜巷道内悬挂的电缆，在矿车掉道时或其他运输车辆运行时不应受到撞击；</w:t>
      </w:r>
    </w:p>
    <w:p w14:paraId="52861885">
      <w:pPr>
        <w:rPr>
          <w:rFonts w:hint="eastAsia"/>
          <w:color w:val="auto"/>
          <w:lang w:val="en-US" w:eastAsia="zh-CN"/>
        </w:rPr>
      </w:pPr>
      <w:r>
        <w:rPr>
          <w:rFonts w:hint="eastAsia"/>
          <w:color w:val="auto"/>
          <w:lang w:val="en-US" w:eastAsia="zh-CN"/>
        </w:rPr>
        <w:t>（2）电缆坠落时不会落在带式输送机上或车辆正常运行的通道上；</w:t>
      </w:r>
    </w:p>
    <w:p w14:paraId="3566F972">
      <w:pPr>
        <w:rPr>
          <w:rFonts w:hint="eastAsia"/>
          <w:color w:val="auto"/>
          <w:lang w:val="en-US" w:eastAsia="zh-CN"/>
        </w:rPr>
      </w:pPr>
      <w:r>
        <w:rPr>
          <w:rFonts w:hint="eastAsia"/>
          <w:color w:val="auto"/>
          <w:lang w:val="en-US" w:eastAsia="zh-CN"/>
        </w:rPr>
        <w:t>（3）水平或倾斜巷道内的电缆悬挂点的间距不大于3m；竖井电缆悬挂点的间距不大于6m；</w:t>
      </w:r>
    </w:p>
    <w:p w14:paraId="77CBC1FA">
      <w:pPr>
        <w:rPr>
          <w:rFonts w:hint="eastAsia"/>
          <w:color w:val="auto"/>
          <w:lang w:val="en-US" w:eastAsia="zh-CN"/>
        </w:rPr>
      </w:pPr>
      <w:r>
        <w:rPr>
          <w:rFonts w:hint="eastAsia"/>
          <w:color w:val="auto"/>
          <w:lang w:val="en-US" w:eastAsia="zh-CN"/>
        </w:rPr>
        <w:t>（4）电缆固定装置应能承受电缆重量，且不应损坏电缆的外皮;电缆上不应悬挂任何物体；</w:t>
      </w:r>
    </w:p>
    <w:p w14:paraId="38C69B26">
      <w:pPr>
        <w:rPr>
          <w:rFonts w:hint="eastAsia"/>
          <w:color w:val="auto"/>
          <w:lang w:val="en-US" w:eastAsia="zh-CN"/>
        </w:rPr>
      </w:pPr>
      <w:r>
        <w:rPr>
          <w:rFonts w:hint="eastAsia"/>
          <w:color w:val="auto"/>
          <w:lang w:val="en-US" w:eastAsia="zh-CN"/>
        </w:rPr>
        <w:t>（5）不应将电缆悬挂在风、水管路上;电缆与风、水管路平行敷设时，应敷设在管路上方300mm以上；</w:t>
      </w:r>
    </w:p>
    <w:p w14:paraId="5B37B99B">
      <w:pPr>
        <w:bidi w:val="0"/>
        <w:rPr>
          <w:rFonts w:hint="eastAsia"/>
          <w:color w:val="auto"/>
          <w:lang w:val="en-US" w:eastAsia="zh-CN"/>
        </w:rPr>
      </w:pPr>
      <w:r>
        <w:rPr>
          <w:rFonts w:hint="eastAsia"/>
          <w:color w:val="auto"/>
          <w:lang w:val="en-US" w:eastAsia="zh-CN"/>
        </w:rPr>
        <w:t>（6）高、低压电力电缆敷设在巷道同一侧时，高压电缆应敷设在上方；</w:t>
      </w:r>
    </w:p>
    <w:p w14:paraId="0D2F1D11">
      <w:pPr>
        <w:rPr>
          <w:rFonts w:hint="eastAsia"/>
          <w:color w:val="auto"/>
          <w:lang w:val="en-US" w:eastAsia="zh-CN"/>
        </w:rPr>
      </w:pPr>
      <w:r>
        <w:rPr>
          <w:rFonts w:hint="eastAsia"/>
          <w:color w:val="auto"/>
          <w:lang w:val="en-US" w:eastAsia="zh-CN"/>
        </w:rPr>
        <w:t>（7）高、低压电力电缆之间的净距应不小于100mm；高压电缆之间、低压电缆之间的净距应不小于50mm，并应不小于电缆外径；</w:t>
      </w:r>
    </w:p>
    <w:p w14:paraId="059401BD">
      <w:pPr>
        <w:rPr>
          <w:rFonts w:hint="eastAsia"/>
          <w:color w:val="auto"/>
          <w:lang w:val="en-US" w:eastAsia="zh-CN"/>
        </w:rPr>
      </w:pPr>
      <w:r>
        <w:rPr>
          <w:rFonts w:hint="eastAsia"/>
          <w:color w:val="auto"/>
          <w:lang w:val="en-US" w:eastAsia="zh-CN"/>
        </w:rPr>
        <w:t>（8）电力电缆与通信电缆或光缆敷设在巷道同一侧时，电力电缆应在通信电缆下方，且净距不小于100mm；电力电缆与通信电缆或光缆在井筒内敷设时，净距不小于300mm；</w:t>
      </w:r>
    </w:p>
    <w:p w14:paraId="21CE8810">
      <w:pPr>
        <w:rPr>
          <w:rFonts w:hint="eastAsia"/>
          <w:color w:val="auto"/>
          <w:lang w:val="en-US" w:eastAsia="zh-CN"/>
        </w:rPr>
      </w:pPr>
      <w:r>
        <w:rPr>
          <w:rFonts w:hint="eastAsia"/>
          <w:color w:val="auto"/>
          <w:lang w:val="en-US" w:eastAsia="zh-CN"/>
        </w:rPr>
        <w:t>（9）裸露的电缆的铠装或金属外皮应作防腐蚀处理；</w:t>
      </w:r>
    </w:p>
    <w:p w14:paraId="68E9A8A8">
      <w:pPr>
        <w:rPr>
          <w:rFonts w:hint="eastAsia"/>
          <w:color w:val="auto"/>
          <w:lang w:val="en-US" w:eastAsia="zh-CN"/>
        </w:rPr>
      </w:pPr>
      <w:r>
        <w:rPr>
          <w:rFonts w:hint="eastAsia"/>
          <w:color w:val="auto"/>
          <w:lang w:val="en-US" w:eastAsia="zh-CN"/>
        </w:rPr>
        <w:t>（10）供给一级负荷用电的两回电源线路应配置在不同层支架或不同侧的支架上，并应实行防火分隔。</w:t>
      </w:r>
    </w:p>
    <w:p w14:paraId="64FA8282">
      <w:pPr>
        <w:rPr>
          <w:rFonts w:hint="eastAsia"/>
          <w:color w:val="auto"/>
          <w:lang w:val="en-US" w:eastAsia="zh-CN"/>
        </w:rPr>
      </w:pPr>
      <w:r>
        <w:rPr>
          <w:rFonts w:hint="eastAsia"/>
          <w:color w:val="auto"/>
          <w:lang w:val="en-US" w:eastAsia="zh-CN"/>
        </w:rPr>
        <w:t>2. 井下电气装置、设备的外露可导电部分和构架及电缆的配件、接线盒、金属外皮等应接地。</w:t>
      </w:r>
    </w:p>
    <w:p w14:paraId="28BCA637">
      <w:pPr>
        <w:pStyle w:val="3"/>
        <w:bidi w:val="0"/>
        <w:rPr>
          <w:rFonts w:hint="eastAsia"/>
          <w:color w:val="auto"/>
          <w:lang w:val="en-US" w:eastAsia="zh-CN"/>
        </w:rPr>
      </w:pPr>
      <w:bookmarkStart w:id="412" w:name="_Toc14719"/>
      <w:bookmarkStart w:id="413" w:name="_Toc28385"/>
      <w:bookmarkStart w:id="414" w:name="_Toc7028"/>
      <w:bookmarkStart w:id="415" w:name="_Toc28528"/>
      <w:r>
        <w:rPr>
          <w:rFonts w:hint="eastAsia"/>
          <w:color w:val="auto"/>
          <w:lang w:val="en-US" w:eastAsia="zh-CN"/>
        </w:rPr>
        <w:t>4.7 防排水与防灭火单元</w:t>
      </w:r>
      <w:bookmarkEnd w:id="412"/>
      <w:bookmarkEnd w:id="413"/>
      <w:bookmarkEnd w:id="414"/>
      <w:bookmarkEnd w:id="415"/>
    </w:p>
    <w:p w14:paraId="10455BE5">
      <w:pPr>
        <w:rPr>
          <w:rFonts w:hint="eastAsia"/>
          <w:color w:val="auto"/>
          <w:lang w:val="en-US" w:eastAsia="zh-CN"/>
        </w:rPr>
      </w:pPr>
      <w:r>
        <w:rPr>
          <w:rFonts w:hint="eastAsia"/>
          <w:color w:val="auto"/>
          <w:lang w:val="en-US" w:eastAsia="zh-CN"/>
        </w:rPr>
        <w:t>1. 应尽快提供茶山迳溪水量及水质监测报告，确保供水系统安全可靠。</w:t>
      </w:r>
    </w:p>
    <w:p w14:paraId="68A9D65F">
      <w:pPr>
        <w:numPr>
          <w:ilvl w:val="0"/>
          <w:numId w:val="0"/>
        </w:numPr>
        <w:ind w:left="0" w:leftChars="0" w:firstLine="560" w:firstLineChars="200"/>
        <w:rPr>
          <w:rFonts w:hint="eastAsia"/>
          <w:color w:val="auto"/>
          <w:lang w:val="en-US" w:eastAsia="zh-CN"/>
        </w:rPr>
      </w:pPr>
      <w:r>
        <w:rPr>
          <w:rFonts w:hint="eastAsia" w:cs="Times New Roman"/>
          <w:color w:val="auto"/>
          <w:kern w:val="2"/>
          <w:sz w:val="28"/>
          <w:szCs w:val="24"/>
          <w:lang w:val="en-US" w:eastAsia="zh-CN" w:bidi="ar-SA"/>
        </w:rPr>
        <w:t>2</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在下列地点或区域应配置灭火器：</w:t>
      </w:r>
    </w:p>
    <w:p w14:paraId="56B0DA8B">
      <w:pPr>
        <w:rPr>
          <w:rFonts w:hint="eastAsia"/>
          <w:color w:val="auto"/>
          <w:lang w:val="en-US" w:eastAsia="zh-CN"/>
        </w:rPr>
      </w:pPr>
      <w:r>
        <w:rPr>
          <w:rFonts w:hint="eastAsia"/>
          <w:color w:val="auto"/>
          <w:lang w:val="en-US" w:eastAsia="zh-CN"/>
        </w:rPr>
        <w:t>--有人员和设备通行的主要进风巷道、进风井井口建筑、主要通风机房和压入式辅助通风机房、风硐及暖风道；</w:t>
      </w:r>
    </w:p>
    <w:p w14:paraId="0D821B65">
      <w:pPr>
        <w:rPr>
          <w:rFonts w:hint="eastAsia"/>
          <w:color w:val="auto"/>
          <w:lang w:val="en-US" w:eastAsia="zh-CN"/>
        </w:rPr>
      </w:pPr>
      <w:r>
        <w:rPr>
          <w:rFonts w:hint="eastAsia"/>
          <w:color w:val="auto"/>
          <w:lang w:val="en-US" w:eastAsia="zh-CN"/>
        </w:rPr>
        <w:t>--人员提升竖井的马头门、井底车场；</w:t>
      </w:r>
    </w:p>
    <w:p w14:paraId="5ACD2B35">
      <w:pPr>
        <w:rPr>
          <w:rFonts w:hint="eastAsia"/>
          <w:color w:val="auto"/>
          <w:lang w:val="en-US" w:eastAsia="zh-CN"/>
        </w:rPr>
      </w:pPr>
      <w:r>
        <w:rPr>
          <w:rFonts w:hint="eastAsia"/>
          <w:color w:val="auto"/>
          <w:lang w:val="en-US" w:eastAsia="zh-CN"/>
        </w:rPr>
        <w:t>--内燃自行设备通行频繁的斜坡道和巷道，灭火器配置点间距不大于300m。</w:t>
      </w:r>
    </w:p>
    <w:p w14:paraId="345B539A">
      <w:pPr>
        <w:numPr>
          <w:ilvl w:val="0"/>
          <w:numId w:val="0"/>
        </w:numPr>
        <w:ind w:left="0" w:leftChars="0" w:firstLine="560" w:firstLineChars="200"/>
        <w:rPr>
          <w:rFonts w:hint="eastAsia"/>
          <w:color w:val="auto"/>
          <w:lang w:val="en-US" w:eastAsia="zh-CN"/>
        </w:rPr>
      </w:pPr>
      <w:r>
        <w:rPr>
          <w:rFonts w:hint="eastAsia" w:cs="Times New Roman"/>
          <w:color w:val="auto"/>
          <w:kern w:val="2"/>
          <w:sz w:val="28"/>
          <w:szCs w:val="24"/>
          <w:lang w:val="en-US" w:eastAsia="zh-CN" w:bidi="ar-SA"/>
        </w:rPr>
        <w:t>3</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每个灭火器配置点的灭火器数量不少于2具，灭火器应能扑灭150m范围内的初始火源。</w:t>
      </w:r>
    </w:p>
    <w:p w14:paraId="13E04041">
      <w:pPr>
        <w:numPr>
          <w:ilvl w:val="0"/>
          <w:numId w:val="0"/>
        </w:numPr>
        <w:ind w:left="0" w:leftChars="0" w:firstLine="560" w:firstLineChars="200"/>
        <w:rPr>
          <w:rFonts w:hint="eastAsia"/>
          <w:color w:val="auto"/>
          <w:lang w:val="en-US" w:eastAsia="zh-CN"/>
        </w:rPr>
      </w:pPr>
      <w:r>
        <w:rPr>
          <w:rFonts w:hint="eastAsia" w:cs="Times New Roman"/>
          <w:color w:val="auto"/>
          <w:kern w:val="2"/>
          <w:sz w:val="28"/>
          <w:szCs w:val="24"/>
          <w:lang w:val="en-US" w:eastAsia="zh-CN" w:bidi="ar-SA"/>
        </w:rPr>
        <w:t>4</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车辆加油时，操作人员应按规范进行操作；加油过程中应严格控制加油的速度；发生跑、冒、油时，应及时处理。</w:t>
      </w:r>
    </w:p>
    <w:p w14:paraId="695B80E5">
      <w:pPr>
        <w:numPr>
          <w:ilvl w:val="0"/>
          <w:numId w:val="0"/>
        </w:numPr>
        <w:ind w:left="0" w:leftChars="0" w:firstLine="560" w:firstLineChars="200"/>
        <w:rPr>
          <w:rFonts w:hint="eastAsia"/>
          <w:color w:val="auto"/>
          <w:lang w:val="en-US" w:eastAsia="zh-CN"/>
        </w:rPr>
      </w:pPr>
      <w:r>
        <w:rPr>
          <w:rFonts w:hint="eastAsia" w:cs="Times New Roman"/>
          <w:color w:val="auto"/>
          <w:kern w:val="2"/>
          <w:sz w:val="28"/>
          <w:szCs w:val="24"/>
          <w:lang w:val="en-US" w:eastAsia="zh-CN" w:bidi="ar-SA"/>
        </w:rPr>
        <w:t>5</w:t>
      </w:r>
      <w:r>
        <w:rPr>
          <w:rFonts w:hint="eastAsia"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eastAsia"/>
          <w:color w:val="auto"/>
          <w:lang w:val="en-US" w:eastAsia="zh-CN"/>
        </w:rPr>
        <w:t>矿山应建立动火制度，在井下和井口建筑物内进行焊接等明火作业，应制定防火措施，经矿山企业主要负责人批准后方可动火。</w:t>
      </w:r>
    </w:p>
    <w:p w14:paraId="3AB801D5">
      <w:pPr>
        <w:numPr>
          <w:ilvl w:val="0"/>
          <w:numId w:val="0"/>
        </w:numPr>
        <w:ind w:left="0" w:leftChars="0" w:firstLine="560" w:firstLineChars="200"/>
        <w:rPr>
          <w:rFonts w:hint="eastAsia"/>
          <w:color w:val="auto"/>
          <w:lang w:val="en-US" w:eastAsia="zh-CN"/>
        </w:rPr>
      </w:pPr>
      <w:r>
        <w:rPr>
          <w:rFonts w:hint="eastAsia"/>
          <w:color w:val="auto"/>
          <w:lang w:val="en-US" w:eastAsia="zh-CN"/>
        </w:rPr>
        <w:t>6. 后续应按要求配备防治水专业技术人员、建立专门的探放水队伍，采用物探、钻探等方法进行探放水，且在遇到重大险情时必须立即停产撤人。</w:t>
      </w:r>
    </w:p>
    <w:p w14:paraId="56E2448B">
      <w:pPr>
        <w:pStyle w:val="3"/>
        <w:bidi w:val="0"/>
        <w:rPr>
          <w:rFonts w:hint="eastAsia"/>
          <w:color w:val="auto"/>
          <w:lang w:val="en-US" w:eastAsia="zh-CN"/>
        </w:rPr>
      </w:pPr>
      <w:bookmarkStart w:id="416" w:name="_Toc9834"/>
      <w:bookmarkStart w:id="417" w:name="_Toc3436"/>
      <w:bookmarkStart w:id="418" w:name="_Toc8295"/>
      <w:bookmarkStart w:id="419" w:name="_Toc12509"/>
      <w:r>
        <w:rPr>
          <w:rFonts w:hint="eastAsia"/>
          <w:color w:val="auto"/>
          <w:lang w:val="en-US" w:eastAsia="zh-CN"/>
        </w:rPr>
        <w:t>4.8 安全避险“六大系统”单元</w:t>
      </w:r>
      <w:bookmarkEnd w:id="416"/>
      <w:bookmarkEnd w:id="417"/>
      <w:bookmarkEnd w:id="418"/>
      <w:bookmarkEnd w:id="419"/>
    </w:p>
    <w:p w14:paraId="062EB8B9">
      <w:pPr>
        <w:rPr>
          <w:rFonts w:hint="eastAsia"/>
          <w:color w:val="auto"/>
          <w:lang w:val="en-US" w:eastAsia="zh-CN"/>
        </w:rPr>
      </w:pPr>
      <w:r>
        <w:rPr>
          <w:rFonts w:hint="eastAsia"/>
          <w:color w:val="auto"/>
          <w:lang w:val="en-US" w:eastAsia="zh-CN"/>
        </w:rPr>
        <w:t>1. 应制定监测监控系统运行维护管理制度及监测监控人员岗位责任制、操作规程、值班制度等规章制度。</w:t>
      </w:r>
    </w:p>
    <w:p w14:paraId="0DDA3309">
      <w:pPr>
        <w:rPr>
          <w:rFonts w:hint="eastAsia"/>
          <w:color w:val="auto"/>
          <w:lang w:val="en-US" w:eastAsia="zh-CN"/>
        </w:rPr>
      </w:pPr>
      <w:r>
        <w:rPr>
          <w:rFonts w:hint="eastAsia"/>
          <w:color w:val="auto"/>
          <w:lang w:val="en-US" w:eastAsia="zh-CN"/>
        </w:rPr>
        <w:t>2. 应指定人员负责监测监控系统的日常检查与维护工作。</w:t>
      </w:r>
    </w:p>
    <w:p w14:paraId="0FEF592F">
      <w:pPr>
        <w:rPr>
          <w:rFonts w:hint="eastAsia"/>
          <w:color w:val="auto"/>
          <w:lang w:val="en-US" w:eastAsia="zh-CN"/>
        </w:rPr>
      </w:pPr>
      <w:r>
        <w:rPr>
          <w:rFonts w:hint="eastAsia"/>
          <w:color w:val="auto"/>
          <w:lang w:val="en-US" w:eastAsia="zh-CN"/>
        </w:rPr>
        <w:t>3. 监测监控设备应定期进行调校，传感器经过调校检测误差仍超过规定值时，应立即更换。</w:t>
      </w:r>
    </w:p>
    <w:p w14:paraId="2BC76798">
      <w:pPr>
        <w:rPr>
          <w:rFonts w:hint="eastAsia"/>
          <w:color w:val="auto"/>
          <w:lang w:val="en-US" w:eastAsia="zh-CN"/>
        </w:rPr>
      </w:pPr>
      <w:r>
        <w:rPr>
          <w:rFonts w:hint="eastAsia"/>
          <w:color w:val="auto"/>
          <w:lang w:val="en-US" w:eastAsia="zh-CN"/>
        </w:rPr>
        <w:t>4. 系统发出报警信息时，监测监控中心值班人员应按规定程序及时处置，处置结果应记录备案。</w:t>
      </w:r>
    </w:p>
    <w:p w14:paraId="560D772F">
      <w:pPr>
        <w:rPr>
          <w:rFonts w:hint="default"/>
          <w:color w:val="auto"/>
          <w:lang w:val="en-US" w:eastAsia="zh-CN"/>
        </w:rPr>
      </w:pPr>
      <w:r>
        <w:rPr>
          <w:rFonts w:hint="eastAsia"/>
          <w:color w:val="auto"/>
          <w:lang w:val="en-US" w:eastAsia="zh-CN"/>
        </w:rPr>
        <w:t xml:space="preserve">5. </w:t>
      </w:r>
      <w:r>
        <w:rPr>
          <w:rFonts w:hint="default"/>
          <w:color w:val="auto"/>
          <w:lang w:val="en-US" w:eastAsia="zh-CN"/>
        </w:rPr>
        <w:t>应定期对人员定位系统进行巡视和检查，发现故障及时处理。在故障期间，若影响到对并下人员情况的监控，应采用人工监测，并做好记录。</w:t>
      </w:r>
    </w:p>
    <w:p w14:paraId="0CA1DC62">
      <w:pPr>
        <w:rPr>
          <w:rFonts w:hint="default"/>
          <w:color w:val="auto"/>
          <w:lang w:val="en-US" w:eastAsia="zh-CN"/>
        </w:rPr>
      </w:pPr>
      <w:r>
        <w:rPr>
          <w:rFonts w:hint="eastAsia"/>
          <w:color w:val="auto"/>
          <w:lang w:val="en-US" w:eastAsia="zh-CN"/>
        </w:rPr>
        <w:t xml:space="preserve">6. </w:t>
      </w:r>
      <w:r>
        <w:rPr>
          <w:rFonts w:hint="default"/>
          <w:color w:val="auto"/>
          <w:lang w:val="en-US" w:eastAsia="zh-CN"/>
        </w:rPr>
        <w:t>应绘制人员定位系统布置图，并根据实际情况的变化及时更新。布置图应标明分站</w:t>
      </w:r>
      <w:r>
        <w:rPr>
          <w:rFonts w:hint="eastAsia"/>
          <w:color w:val="auto"/>
          <w:lang w:val="en-US" w:eastAsia="zh-CN"/>
        </w:rPr>
        <w:t>（</w:t>
      </w:r>
      <w:r>
        <w:rPr>
          <w:rFonts w:hint="default"/>
          <w:color w:val="auto"/>
          <w:lang w:val="en-US" w:eastAsia="zh-CN"/>
        </w:rPr>
        <w:t>读卡器</w:t>
      </w:r>
      <w:r>
        <w:rPr>
          <w:rFonts w:hint="eastAsia"/>
          <w:color w:val="auto"/>
          <w:lang w:val="en-US" w:eastAsia="zh-CN"/>
        </w:rPr>
        <w:t>）</w:t>
      </w:r>
      <w:r>
        <w:rPr>
          <w:rFonts w:hint="default"/>
          <w:color w:val="auto"/>
          <w:lang w:val="en-US" w:eastAsia="zh-CN"/>
        </w:rPr>
        <w:t>等设备的位置、信号线缆和供电电缆走向等。</w:t>
      </w:r>
    </w:p>
    <w:p w14:paraId="318090E4">
      <w:pPr>
        <w:rPr>
          <w:rFonts w:hint="default"/>
          <w:color w:val="auto"/>
          <w:lang w:val="en-US" w:eastAsia="zh-CN"/>
        </w:rPr>
      </w:pPr>
      <w:r>
        <w:rPr>
          <w:rFonts w:hint="eastAsia"/>
          <w:color w:val="auto"/>
          <w:lang w:val="en-US" w:eastAsia="zh-CN"/>
        </w:rPr>
        <w:t xml:space="preserve">7. </w:t>
      </w:r>
      <w:r>
        <w:rPr>
          <w:rFonts w:hint="default"/>
          <w:color w:val="auto"/>
          <w:lang w:val="en-US" w:eastAsia="zh-CN"/>
        </w:rPr>
        <w:t>应每3个月对人员定位系统信息资料、数据进行备份，备份数据应保存6个月以上。</w:t>
      </w:r>
    </w:p>
    <w:p w14:paraId="00D990D0">
      <w:pPr>
        <w:rPr>
          <w:rFonts w:hint="default"/>
          <w:color w:val="auto"/>
          <w:lang w:val="en-US" w:eastAsia="zh-CN"/>
        </w:rPr>
      </w:pPr>
      <w:r>
        <w:rPr>
          <w:rFonts w:hint="eastAsia"/>
          <w:color w:val="auto"/>
          <w:lang w:val="en-US" w:eastAsia="zh-CN"/>
        </w:rPr>
        <w:t>8</w:t>
      </w:r>
      <w:r>
        <w:rPr>
          <w:rFonts w:hint="default"/>
          <w:color w:val="auto"/>
          <w:lang w:val="en-US" w:eastAsia="zh-CN"/>
        </w:rPr>
        <w:t>. 应指定人员负责通信联络系统的日常检查和维护工作。</w:t>
      </w:r>
    </w:p>
    <w:p w14:paraId="501772EA">
      <w:pPr>
        <w:rPr>
          <w:rFonts w:hint="default"/>
          <w:color w:val="auto"/>
          <w:lang w:val="en-US" w:eastAsia="zh-CN"/>
        </w:rPr>
      </w:pPr>
      <w:r>
        <w:rPr>
          <w:rFonts w:hint="eastAsia"/>
          <w:color w:val="auto"/>
          <w:lang w:val="en-US" w:eastAsia="zh-CN"/>
        </w:rPr>
        <w:t>9</w:t>
      </w:r>
      <w:r>
        <w:rPr>
          <w:rFonts w:hint="default"/>
          <w:color w:val="auto"/>
          <w:lang w:val="en-US" w:eastAsia="zh-CN"/>
        </w:rPr>
        <w:t>. 应绘制通信联络系统布置图，并根据井下实际情况的变化及时更新。布置图应标明终端设备的位置、通信线缆走向</w:t>
      </w:r>
      <w:r>
        <w:rPr>
          <w:rFonts w:hint="eastAsia"/>
          <w:color w:val="auto"/>
          <w:lang w:val="en-US" w:eastAsia="zh-CN"/>
        </w:rPr>
        <w:t>。</w:t>
      </w:r>
    </w:p>
    <w:p w14:paraId="72CA8AD3">
      <w:pPr>
        <w:rPr>
          <w:rFonts w:hint="default"/>
          <w:color w:val="auto"/>
          <w:lang w:val="en-US" w:eastAsia="zh-CN"/>
        </w:rPr>
      </w:pPr>
      <w:r>
        <w:rPr>
          <w:rFonts w:hint="eastAsia"/>
          <w:color w:val="auto"/>
          <w:lang w:val="en-US" w:eastAsia="zh-CN"/>
        </w:rPr>
        <w:t>10</w:t>
      </w:r>
      <w:r>
        <w:rPr>
          <w:rFonts w:hint="default"/>
          <w:color w:val="auto"/>
          <w:lang w:val="en-US" w:eastAsia="zh-CN"/>
        </w:rPr>
        <w:t>. 系统维护人员经培训合格后方可上岗。</w:t>
      </w:r>
    </w:p>
    <w:p w14:paraId="4343698C">
      <w:pPr>
        <w:rPr>
          <w:rFonts w:hint="default"/>
          <w:color w:val="auto"/>
          <w:lang w:val="en-US" w:eastAsia="zh-CN"/>
        </w:rPr>
      </w:pPr>
      <w:r>
        <w:rPr>
          <w:rFonts w:hint="eastAsia"/>
          <w:color w:val="auto"/>
          <w:lang w:val="en-US" w:eastAsia="zh-CN"/>
        </w:rPr>
        <w:t>11</w:t>
      </w:r>
      <w:r>
        <w:rPr>
          <w:rFonts w:hint="default"/>
          <w:color w:val="auto"/>
          <w:lang w:val="en-US" w:eastAsia="zh-CN"/>
        </w:rPr>
        <w:t>. 应定期对通信联络系统进行巡视和检查，发现故障及时处理</w:t>
      </w:r>
    </w:p>
    <w:p w14:paraId="4B7B71F4">
      <w:pPr>
        <w:rPr>
          <w:rFonts w:hint="default"/>
          <w:color w:val="auto"/>
          <w:lang w:val="en-US" w:eastAsia="zh-CN"/>
        </w:rPr>
      </w:pPr>
      <w:r>
        <w:rPr>
          <w:rFonts w:hint="eastAsia"/>
          <w:color w:val="auto"/>
          <w:lang w:val="en-US" w:eastAsia="zh-CN"/>
        </w:rPr>
        <w:t xml:space="preserve">12. </w:t>
      </w:r>
      <w:r>
        <w:rPr>
          <w:rFonts w:hint="default"/>
          <w:color w:val="auto"/>
          <w:lang w:val="en-US" w:eastAsia="zh-CN"/>
        </w:rPr>
        <w:t>井下避灾路线图应结合事故类型根据矿井生产情况的变化及时进行修订。</w:t>
      </w:r>
    </w:p>
    <w:p w14:paraId="1BFBE763">
      <w:pPr>
        <w:rPr>
          <w:rFonts w:hint="default"/>
          <w:color w:val="auto"/>
          <w:lang w:val="en-US" w:eastAsia="zh-CN"/>
        </w:rPr>
      </w:pPr>
      <w:r>
        <w:rPr>
          <w:rFonts w:hint="eastAsia"/>
          <w:color w:val="auto"/>
          <w:lang w:val="en-US" w:eastAsia="zh-CN"/>
        </w:rPr>
        <w:t>13.</w:t>
      </w:r>
      <w:r>
        <w:rPr>
          <w:rFonts w:hint="default"/>
          <w:color w:val="auto"/>
          <w:lang w:val="en-US" w:eastAsia="zh-CN"/>
        </w:rPr>
        <w:t xml:space="preserve"> 金属非金属地下矿山应定期对紧急避险系统进行巡视和检查</w:t>
      </w:r>
      <w:r>
        <w:rPr>
          <w:rFonts w:hint="eastAsia"/>
          <w:color w:val="auto"/>
          <w:lang w:val="en-US" w:eastAsia="zh-CN"/>
        </w:rPr>
        <w:t>，</w:t>
      </w:r>
      <w:r>
        <w:rPr>
          <w:rFonts w:hint="default"/>
          <w:color w:val="auto"/>
          <w:lang w:val="en-US" w:eastAsia="zh-CN"/>
        </w:rPr>
        <w:t>发现问题及时处理</w:t>
      </w:r>
      <w:r>
        <w:rPr>
          <w:rFonts w:hint="eastAsia"/>
          <w:color w:val="auto"/>
          <w:lang w:val="en-US" w:eastAsia="zh-CN"/>
        </w:rPr>
        <w:t>，</w:t>
      </w:r>
      <w:r>
        <w:rPr>
          <w:rFonts w:hint="default"/>
          <w:color w:val="auto"/>
          <w:lang w:val="en-US" w:eastAsia="zh-CN"/>
        </w:rPr>
        <w:t>并将结果记录存档。</w:t>
      </w:r>
    </w:p>
    <w:p w14:paraId="36A630DF">
      <w:pPr>
        <w:rPr>
          <w:rFonts w:hint="eastAsia"/>
          <w:color w:val="auto"/>
          <w:lang w:val="en-US" w:eastAsia="zh-CN"/>
        </w:rPr>
      </w:pPr>
      <w:r>
        <w:rPr>
          <w:rFonts w:hint="eastAsia"/>
          <w:color w:val="auto"/>
          <w:lang w:val="en-US" w:eastAsia="zh-CN"/>
        </w:rPr>
        <w:t>14. 金属非金属地下矿山应指定人员负责压风自救系统的日常检查与维护工作。</w:t>
      </w:r>
    </w:p>
    <w:p w14:paraId="7AD96D5E">
      <w:pPr>
        <w:rPr>
          <w:rFonts w:hint="eastAsia"/>
          <w:color w:val="auto"/>
          <w:lang w:val="en-US" w:eastAsia="zh-CN"/>
        </w:rPr>
      </w:pPr>
      <w:r>
        <w:rPr>
          <w:rFonts w:hint="eastAsia"/>
          <w:color w:val="auto"/>
          <w:lang w:val="en-US" w:eastAsia="zh-CN"/>
        </w:rPr>
        <w:t>15. 金属非金属地下矿山应绘制压风自救系统布置图，并根据井下实际情况的变化及时更新。布置图应标明压风自救装置、供气阀门的位置，以及压风管道的走向等。</w:t>
      </w:r>
    </w:p>
    <w:p w14:paraId="4C7C3B6D">
      <w:pPr>
        <w:rPr>
          <w:rFonts w:hint="eastAsia"/>
          <w:color w:val="auto"/>
          <w:lang w:val="en-US" w:eastAsia="zh-CN"/>
        </w:rPr>
      </w:pPr>
      <w:r>
        <w:rPr>
          <w:rFonts w:hint="eastAsia"/>
          <w:color w:val="auto"/>
          <w:lang w:val="en-US" w:eastAsia="zh-CN"/>
        </w:rPr>
        <w:t>16. 金属非金属地下矿山应定期对压风自救系统进行巡视和检查，发现故障及时处理。</w:t>
      </w:r>
    </w:p>
    <w:p w14:paraId="536297CB">
      <w:pPr>
        <w:rPr>
          <w:rFonts w:hint="eastAsia"/>
          <w:color w:val="auto"/>
          <w:lang w:val="en-US" w:eastAsia="zh-CN"/>
        </w:rPr>
      </w:pPr>
      <w:r>
        <w:rPr>
          <w:rFonts w:hint="eastAsia"/>
          <w:color w:val="auto"/>
          <w:lang w:val="en-US" w:eastAsia="zh-CN"/>
        </w:rPr>
        <w:t>17. 金属非金属地下矿山应指定人员负责供水施救系统的日常检查与维护工作。</w:t>
      </w:r>
    </w:p>
    <w:p w14:paraId="59D40D4D">
      <w:pPr>
        <w:rPr>
          <w:rFonts w:hint="eastAsia"/>
          <w:color w:val="auto"/>
          <w:lang w:val="en-US" w:eastAsia="zh-CN"/>
        </w:rPr>
      </w:pPr>
      <w:r>
        <w:rPr>
          <w:rFonts w:hint="eastAsia"/>
          <w:color w:val="auto"/>
          <w:lang w:val="en-US" w:eastAsia="zh-CN"/>
        </w:rPr>
        <w:t>18. 金属非金属地下矿山应绘制供水施救系统布置图，并根据井下实际情况的变化及时更新。布置图应标明供水阀门的位置，以及供水管道的走向等。</w:t>
      </w:r>
    </w:p>
    <w:p w14:paraId="3F673CE6">
      <w:pPr>
        <w:rPr>
          <w:rFonts w:hint="eastAsia"/>
          <w:color w:val="auto"/>
          <w:lang w:val="en-US" w:eastAsia="zh-CN"/>
        </w:rPr>
      </w:pPr>
      <w:r>
        <w:rPr>
          <w:rFonts w:hint="eastAsia"/>
          <w:color w:val="auto"/>
          <w:lang w:val="en-US" w:eastAsia="zh-CN"/>
        </w:rPr>
        <w:t>19. 金属非金属地下矿山应定期对供水施教系统进行巡视和检查，发现故障及时处理。</w:t>
      </w:r>
    </w:p>
    <w:p w14:paraId="4EA31E14">
      <w:pPr>
        <w:pStyle w:val="3"/>
        <w:bidi w:val="0"/>
        <w:rPr>
          <w:rFonts w:hint="eastAsia"/>
          <w:color w:val="auto"/>
          <w:lang w:val="en-US" w:eastAsia="zh-CN"/>
        </w:rPr>
      </w:pPr>
      <w:bookmarkStart w:id="420" w:name="_Toc4462"/>
      <w:bookmarkStart w:id="421" w:name="_Toc22296"/>
      <w:bookmarkStart w:id="422" w:name="_Toc13120"/>
      <w:bookmarkStart w:id="423" w:name="_Toc1140"/>
      <w:r>
        <w:rPr>
          <w:rFonts w:hint="eastAsia"/>
          <w:color w:val="auto"/>
          <w:lang w:val="en-US" w:eastAsia="zh-CN"/>
        </w:rPr>
        <w:t>4.9 安全管理单元</w:t>
      </w:r>
      <w:bookmarkEnd w:id="420"/>
      <w:bookmarkEnd w:id="421"/>
      <w:bookmarkEnd w:id="422"/>
      <w:bookmarkEnd w:id="423"/>
    </w:p>
    <w:p w14:paraId="12532D27">
      <w:pPr>
        <w:rPr>
          <w:rFonts w:hint="eastAsia"/>
          <w:color w:val="auto"/>
          <w:lang w:val="en-US" w:eastAsia="zh-CN"/>
        </w:rPr>
      </w:pPr>
      <w:r>
        <w:rPr>
          <w:rFonts w:hint="eastAsia"/>
          <w:color w:val="auto"/>
          <w:lang w:val="en-US" w:eastAsia="zh-CN"/>
        </w:rPr>
        <w:t>1. 矿山企业应为从业人员提供符合国家标准要求的劳动防护用品。进入矿山作业场所的人员，应按规定佩戴防护用品。</w:t>
      </w:r>
    </w:p>
    <w:p w14:paraId="0122CC57">
      <w:pPr>
        <w:rPr>
          <w:rFonts w:hint="eastAsia"/>
          <w:color w:val="auto"/>
          <w:lang w:val="en-US" w:eastAsia="zh-CN"/>
        </w:rPr>
      </w:pPr>
      <w:r>
        <w:rPr>
          <w:rFonts w:hint="eastAsia"/>
          <w:color w:val="auto"/>
          <w:lang w:val="en-US" w:eastAsia="zh-CN"/>
        </w:rPr>
        <w:t>2. 矿山企业主要负责人应具备矿山安全生产专业知识，具有领导矿山安全生产和处理矿山事故的能力；且应依法接受安全培训和考核，并取得合格证。</w:t>
      </w:r>
    </w:p>
    <w:p w14:paraId="6E13675E">
      <w:pPr>
        <w:rPr>
          <w:rFonts w:hint="eastAsia"/>
          <w:color w:val="auto"/>
          <w:lang w:val="en-US" w:eastAsia="zh-CN"/>
        </w:rPr>
      </w:pPr>
      <w:r>
        <w:rPr>
          <w:rFonts w:hint="eastAsia"/>
          <w:color w:val="auto"/>
          <w:lang w:val="en-US" w:eastAsia="zh-CN"/>
        </w:rPr>
        <w:t>3. 非煤矿山企业安全生产管理人员的任免，应当及时告知属地矿山安全监管监察部门。</w:t>
      </w:r>
    </w:p>
    <w:p w14:paraId="1EE459C6">
      <w:pPr>
        <w:rPr>
          <w:rFonts w:hint="eastAsia"/>
          <w:color w:val="auto"/>
          <w:lang w:val="en-US" w:eastAsia="zh-CN"/>
        </w:rPr>
      </w:pPr>
      <w:r>
        <w:rPr>
          <w:rFonts w:hint="eastAsia"/>
          <w:color w:val="auto"/>
          <w:lang w:val="en-US" w:eastAsia="zh-CN"/>
        </w:rPr>
        <w:t>4. 矿山必须严格执行《生产经营单位安全培训规定》(原国家安全生产监督管理总局令第3号)、《特种作业人员安全技术培训考核管理规定》（原国家安监总局令第30号）、《安全生产培训管理办法》（原国家安监总局令第44号）规定，强化从业人员安全素质和技能提升，不得安排未经安全生产教育和培训合格的从业人员上岗作业。建立健全从业人员安全培训档案，实行一人一档；建立企业安全培训档案，实行一期一档。新上岗特种作业人员应当具备高中以上文化程度。</w:t>
      </w:r>
    </w:p>
    <w:p w14:paraId="45AE7A46">
      <w:pPr>
        <w:rPr>
          <w:rFonts w:hint="eastAsia"/>
          <w:color w:val="auto"/>
          <w:lang w:val="en-US" w:eastAsia="zh-CN"/>
        </w:rPr>
      </w:pPr>
      <w:r>
        <w:rPr>
          <w:rFonts w:hint="eastAsia"/>
          <w:color w:val="auto"/>
          <w:lang w:val="en-US" w:eastAsia="zh-CN"/>
        </w:rPr>
        <w:t>5. 矿山应当严格按照《关于进一步规范非煤矿山安全生产标准化工作的通知》（安监总管一〔2017〕33号）的规定，全面加强非煤矿山安全生产标准化建设和达标工作。</w:t>
      </w:r>
    </w:p>
    <w:p w14:paraId="638116ED">
      <w:pPr>
        <w:rPr>
          <w:rFonts w:hint="eastAsia"/>
          <w:color w:val="auto"/>
          <w:lang w:val="en-US" w:eastAsia="zh-CN"/>
        </w:rPr>
      </w:pPr>
      <w:r>
        <w:rPr>
          <w:rFonts w:hint="eastAsia"/>
          <w:color w:val="auto"/>
          <w:lang w:val="en-US" w:eastAsia="zh-CN"/>
        </w:rPr>
        <w:t>6. 强化重大事故隐患排查治理。矿山第一责任人每月要对照《金属非金属矿山重大安全生产事故隐患判定标准（试行）》，组织开展全面排查，形成排查治理报告签字备查。自查发现重大事故隐患，要及时报告属地应急管理部门。重大事故隐患整改前无法保证安全的，要立即停止生产建设，撤出相关作业人员。第一责任人应当在重大事故隐患治理完成后,组织相关部门或聘请专家对治理情况进行评估验收并及时报告属地应急管理部门。</w:t>
      </w:r>
    </w:p>
    <w:p w14:paraId="75911E04">
      <w:pPr>
        <w:rPr>
          <w:rFonts w:hint="eastAsia"/>
          <w:color w:val="auto"/>
          <w:lang w:val="en-US" w:eastAsia="zh-CN"/>
        </w:rPr>
      </w:pPr>
      <w:r>
        <w:rPr>
          <w:rFonts w:hint="eastAsia"/>
          <w:color w:val="auto"/>
          <w:lang w:val="en-US" w:eastAsia="zh-CN"/>
        </w:rPr>
        <w:t>7. 严格安全生产费用提取和使用。矿山应当建立健全安全投入保障机制，编制年度安全费用提取和使用计划，严格按照《企业安全生产费用提取和使用管理办法》（财资〔2022〕136号）的规定提取用好安全生产费用，实行专户核算，严禁超范围支出。矿山必须按要求投保安全生产责任保险。</w:t>
      </w:r>
    </w:p>
    <w:p w14:paraId="17054AD1">
      <w:pPr>
        <w:rPr>
          <w:rFonts w:hint="eastAsia"/>
          <w:color w:val="auto"/>
          <w:lang w:val="en-US" w:eastAsia="zh-CN"/>
        </w:rPr>
      </w:pPr>
      <w:r>
        <w:rPr>
          <w:rFonts w:hint="eastAsia"/>
          <w:color w:val="auto"/>
          <w:lang w:val="en-US" w:eastAsia="zh-CN"/>
        </w:rPr>
        <w:t>8. 基建时期，矿山要按照批准的安全设施设计建设，严禁以采代建，现场必须有与实际相符的纸质现状图；现状图应当按要求定期更新并由主要负责人签字确认；现状图必须包括矿区开拓系统纵投影图、中段平面图、通风系统图、通信系统图、供配电系统图、井下避灾路线图。生产时期，矿山要按照批准的安全设施设计生产，现场必须有与生产实际相符的纸质现状图；要按照《金属非金属矿山安全规程》规定的图纸目录绘制现状图，按要求定期更新并由主要负责人签字确认。</w:t>
      </w:r>
    </w:p>
    <w:p w14:paraId="769FD2C1">
      <w:pPr>
        <w:rPr>
          <w:rFonts w:hint="eastAsia"/>
          <w:color w:val="auto"/>
          <w:lang w:val="en-US" w:eastAsia="zh-CN"/>
        </w:rPr>
      </w:pPr>
      <w:r>
        <w:rPr>
          <w:rFonts w:hint="eastAsia"/>
          <w:color w:val="auto"/>
          <w:lang w:val="en-US" w:eastAsia="zh-CN"/>
        </w:rPr>
        <w:t>9. 矿山实际控制人每季度至少组织研究一次安全生产重大问题,并形成会议纪要；每月在非煤矿山生产现场履行安全生产职责时间不少于10个工作日。矿长每月带班下井不少于10次。</w:t>
      </w:r>
    </w:p>
    <w:p w14:paraId="77251863">
      <w:pPr>
        <w:rPr>
          <w:rFonts w:hint="eastAsia"/>
          <w:color w:val="auto"/>
          <w:lang w:val="en-US" w:eastAsia="zh-CN"/>
        </w:rPr>
      </w:pPr>
      <w:r>
        <w:rPr>
          <w:rFonts w:hint="eastAsia"/>
          <w:color w:val="auto"/>
          <w:lang w:val="en-US" w:eastAsia="zh-CN"/>
        </w:rPr>
        <w:t>10. 提高应急处置能力。建议矿山建立矿山救护队，建立应急广播等通讯系统，保证井下和受影响范围内人员能够清晰听见应急指令。及时编制修订生产安全事故应急预案，赋予调度人员、现场带班人员、班组长、安检员等现场紧急撤人权，发现事故征兆要第一时间组织撤人。企业要按照《生产安全事故应急预案管理办法》（应急管理部2号令）定期组织应急预案演练并编写应急预案演练评估报告。</w:t>
      </w:r>
    </w:p>
    <w:p w14:paraId="0B3EDFF3">
      <w:pPr>
        <w:rPr>
          <w:rFonts w:hint="eastAsia"/>
          <w:color w:val="auto"/>
          <w:lang w:val="en-US" w:eastAsia="zh-CN"/>
        </w:rPr>
      </w:pPr>
      <w:r>
        <w:rPr>
          <w:rFonts w:hint="eastAsia"/>
          <w:color w:val="auto"/>
          <w:lang w:val="en-US" w:eastAsia="zh-CN"/>
        </w:rPr>
        <w:t>11. 任何人不应酒后进入矿山作业场所，不应将酒类饮料带入矿山作业场所；紧急医疗除外。井下禁止吸烟。</w:t>
      </w:r>
    </w:p>
    <w:p w14:paraId="6A83F6EC">
      <w:pPr>
        <w:rPr>
          <w:rFonts w:hint="eastAsia"/>
          <w:color w:val="auto"/>
          <w:lang w:val="en-US" w:eastAsia="zh-CN"/>
        </w:rPr>
      </w:pPr>
      <w:r>
        <w:rPr>
          <w:rFonts w:hint="eastAsia"/>
          <w:color w:val="auto"/>
          <w:lang w:val="en-US" w:eastAsia="zh-CN"/>
        </w:rPr>
        <w:t>12. 矿山使用的涉及人身安全的设备应由专业生产单位生产，并经具有专业资质的检测、检验机构检测、检验合格，方可投入使用；矿山生产期间，应定期由具有专业资质的检测、检验机构进行检测、检验，并出具检测、检验报告。</w:t>
      </w:r>
    </w:p>
    <w:p w14:paraId="0AC59332">
      <w:pPr>
        <w:rPr>
          <w:rFonts w:hint="eastAsia"/>
          <w:color w:val="auto"/>
          <w:lang w:val="en-US" w:eastAsia="zh-CN"/>
        </w:rPr>
      </w:pPr>
      <w:r>
        <w:rPr>
          <w:rFonts w:hint="eastAsia"/>
          <w:color w:val="auto"/>
          <w:lang w:val="en-US" w:eastAsia="zh-CN"/>
        </w:rPr>
        <w:t>13. 矿山应建立健全下井人员出入矿井登记和检查制度。入井人员应随身携带符合安全要求的照明灯具和自救器。</w:t>
      </w:r>
    </w:p>
    <w:p w14:paraId="69256ADB">
      <w:pPr>
        <w:rPr>
          <w:rFonts w:hint="eastAsia"/>
          <w:color w:val="auto"/>
          <w:lang w:val="en-US" w:eastAsia="zh-CN"/>
        </w:rPr>
      </w:pPr>
      <w:r>
        <w:rPr>
          <w:rFonts w:hint="eastAsia"/>
          <w:color w:val="auto"/>
          <w:lang w:val="en-US" w:eastAsia="zh-CN"/>
        </w:rPr>
        <w:t>14. 井下动火、采空区管理、支护等重要作业活动要严格按照《关于严防十类非煤矿山生产安全事故的通知》（安监总管一〔2014〕48号）要求进行，防范火灾、中毒窒息、冒顶坍塌等事故发生；全面落实《国务院安委会办公室关于加强矿山安全生产工作的紧急通知》（安委办〔2021〕3号）要求，严禁违规动火作业，动火作业现场必须有专职安全人员管理。</w:t>
      </w:r>
    </w:p>
    <w:p w14:paraId="1C5C2266">
      <w:pPr>
        <w:rPr>
          <w:rFonts w:hint="eastAsia"/>
          <w:color w:val="auto"/>
          <w:lang w:val="en-US" w:eastAsia="zh-CN"/>
        </w:rPr>
      </w:pPr>
      <w:r>
        <w:rPr>
          <w:rFonts w:hint="eastAsia"/>
          <w:color w:val="auto"/>
          <w:lang w:val="en-US" w:eastAsia="zh-CN"/>
        </w:rPr>
        <w:t>15. 项目自核准机关作出予以核准决定之日起2年内需开工建设。</w:t>
      </w:r>
    </w:p>
    <w:p w14:paraId="6A9A08FF">
      <w:pPr>
        <w:rPr>
          <w:rFonts w:hint="eastAsia"/>
          <w:color w:val="auto"/>
          <w:lang w:val="en-US" w:eastAsia="zh-CN"/>
        </w:rPr>
      </w:pPr>
    </w:p>
    <w:p w14:paraId="2E8340F3">
      <w:pPr>
        <w:rPr>
          <w:rFonts w:hint="eastAsia"/>
          <w:color w:val="auto"/>
          <w:lang w:val="en-US" w:eastAsia="zh-CN"/>
        </w:rPr>
      </w:pPr>
      <w:r>
        <w:rPr>
          <w:rFonts w:hint="eastAsia"/>
          <w:color w:val="auto"/>
          <w:lang w:val="en-US" w:eastAsia="zh-CN"/>
        </w:rPr>
        <w:br w:type="page"/>
      </w:r>
    </w:p>
    <w:p w14:paraId="6420C364">
      <w:pPr>
        <w:pStyle w:val="2"/>
        <w:bidi w:val="0"/>
        <w:ind w:left="0" w:leftChars="0" w:firstLine="0" w:firstLineChars="0"/>
        <w:rPr>
          <w:rFonts w:hint="eastAsia"/>
          <w:color w:val="auto"/>
          <w:lang w:val="en-US" w:eastAsia="zh-CN"/>
        </w:rPr>
      </w:pPr>
      <w:bookmarkStart w:id="424" w:name="_Toc8069"/>
      <w:bookmarkStart w:id="425" w:name="_Toc29098"/>
      <w:bookmarkStart w:id="426" w:name="_Toc11206"/>
      <w:bookmarkStart w:id="427" w:name="_Toc14938"/>
      <w:r>
        <w:rPr>
          <w:rFonts w:hint="eastAsia"/>
          <w:color w:val="auto"/>
          <w:lang w:val="en-US" w:eastAsia="zh-CN"/>
        </w:rPr>
        <w:t>评价结论</w:t>
      </w:r>
      <w:bookmarkEnd w:id="424"/>
      <w:bookmarkEnd w:id="425"/>
      <w:bookmarkEnd w:id="426"/>
      <w:bookmarkEnd w:id="427"/>
    </w:p>
    <w:p w14:paraId="2317BEDB">
      <w:pPr>
        <w:pStyle w:val="3"/>
        <w:bidi w:val="0"/>
        <w:rPr>
          <w:rFonts w:hint="eastAsia"/>
          <w:color w:val="auto"/>
          <w:lang w:val="en-US" w:eastAsia="zh-CN"/>
        </w:rPr>
      </w:pPr>
      <w:bookmarkStart w:id="428" w:name="_Toc14470"/>
      <w:bookmarkStart w:id="429" w:name="_Toc32565"/>
      <w:bookmarkStart w:id="430" w:name="_Toc18378"/>
      <w:bookmarkStart w:id="431" w:name="_Toc30712"/>
      <w:r>
        <w:rPr>
          <w:rFonts w:hint="eastAsia"/>
          <w:color w:val="auto"/>
          <w:lang w:val="en-US" w:eastAsia="zh-CN"/>
        </w:rPr>
        <w:t>5.1 项目中的主要危险有害因素</w:t>
      </w:r>
      <w:bookmarkEnd w:id="428"/>
      <w:bookmarkEnd w:id="429"/>
      <w:bookmarkEnd w:id="430"/>
      <w:bookmarkEnd w:id="431"/>
    </w:p>
    <w:p w14:paraId="66A57E32">
      <w:pPr>
        <w:spacing w:line="336" w:lineRule="auto"/>
        <w:rPr>
          <w:rFonts w:hint="eastAsia"/>
          <w:color w:val="auto"/>
          <w:lang w:val="en-US" w:eastAsia="zh-CN"/>
        </w:rPr>
      </w:pPr>
      <w:r>
        <w:rPr>
          <w:rFonts w:hint="eastAsia"/>
          <w:color w:val="auto"/>
          <w:lang w:val="en-US" w:eastAsia="zh-CN"/>
        </w:rPr>
        <w:t>项目运行过程中潜在的危险有害因素有：冒顶片帮、坍塌、放炮、火药爆炸、中毒窒息、车辆伤害、高处坠落、机械伤害、物体打击、触电（雷击）、透水、淹溺、火灾、粉尘、噪声与振动；其中：冒顶片帮、坍塌、放炮、火药爆炸、中毒窒息、车辆伤害、高处坠落、机械伤害、物体打击、触电（雷击）、透水、淹溺、火灾等危险等级为Ⅲ</w:t>
      </w:r>
      <w:r>
        <w:rPr>
          <w:rFonts w:hint="default"/>
          <w:color w:val="auto"/>
          <w:lang w:val="en-US" w:eastAsia="zh-CN"/>
        </w:rPr>
        <w:t>～</w:t>
      </w:r>
      <w:r>
        <w:rPr>
          <w:rFonts w:hint="eastAsia" w:ascii="宋体" w:hAnsi="宋体" w:eastAsia="宋体" w:cs="宋体"/>
          <w:color w:val="auto"/>
          <w:lang w:val="en-US" w:eastAsia="zh-CN"/>
        </w:rPr>
        <w:t>Ⅳ</w:t>
      </w:r>
      <w:r>
        <w:rPr>
          <w:rFonts w:hint="eastAsia"/>
          <w:color w:val="auto"/>
          <w:lang w:val="en-US" w:eastAsia="zh-CN"/>
        </w:rPr>
        <w:t>级；粉尘、噪声与振动危险等级为Ⅱ级。</w:t>
      </w:r>
    </w:p>
    <w:p w14:paraId="4359807E">
      <w:pPr>
        <w:spacing w:line="336" w:lineRule="auto"/>
        <w:rPr>
          <w:rFonts w:hint="eastAsia"/>
          <w:color w:val="auto"/>
          <w:lang w:val="en-US" w:eastAsia="zh-CN"/>
        </w:rPr>
      </w:pPr>
      <w:r>
        <w:rPr>
          <w:rFonts w:hint="eastAsia"/>
          <w:color w:val="auto"/>
          <w:lang w:val="en-US" w:eastAsia="zh-CN"/>
        </w:rPr>
        <w:t>其中项目应重点防范的主要危险、有害因素有冒顶片帮、坍塌、放炮、火药爆炸、中毒窒息、车辆伤害、高处坠落、触电（雷击）、透水等。</w:t>
      </w:r>
    </w:p>
    <w:p w14:paraId="4BE2CF6C">
      <w:pPr>
        <w:spacing w:line="336" w:lineRule="auto"/>
        <w:rPr>
          <w:rFonts w:hint="eastAsia"/>
          <w:color w:val="auto"/>
          <w:lang w:val="en-US" w:eastAsia="zh-CN"/>
        </w:rPr>
      </w:pPr>
      <w:r>
        <w:rPr>
          <w:rFonts w:hint="eastAsia"/>
          <w:color w:val="auto"/>
          <w:lang w:val="en-US" w:eastAsia="zh-CN"/>
        </w:rPr>
        <w:t>通过重大危险源辨识和重大安全生产事故隐患判定，本项目不构成重大危险源，无重大生产安全事故隐患。</w:t>
      </w:r>
    </w:p>
    <w:p w14:paraId="588D9881">
      <w:pPr>
        <w:pStyle w:val="3"/>
        <w:bidi w:val="0"/>
        <w:rPr>
          <w:rFonts w:hint="eastAsia"/>
          <w:color w:val="auto"/>
          <w:lang w:val="en-US" w:eastAsia="zh-CN"/>
        </w:rPr>
      </w:pPr>
      <w:bookmarkStart w:id="432" w:name="_Toc29982"/>
      <w:bookmarkStart w:id="433" w:name="_Toc13255"/>
      <w:bookmarkStart w:id="434" w:name="_Toc11024"/>
      <w:bookmarkStart w:id="435" w:name="_Toc5746"/>
      <w:r>
        <w:rPr>
          <w:rFonts w:hint="eastAsia"/>
          <w:color w:val="auto"/>
          <w:lang w:val="en-US" w:eastAsia="zh-CN"/>
        </w:rPr>
        <w:t>5.2 应重视的安全对策措施建议</w:t>
      </w:r>
      <w:bookmarkEnd w:id="432"/>
      <w:bookmarkEnd w:id="433"/>
      <w:bookmarkEnd w:id="434"/>
      <w:bookmarkEnd w:id="435"/>
    </w:p>
    <w:p w14:paraId="7EF84D54">
      <w:pPr>
        <w:spacing w:line="336" w:lineRule="auto"/>
        <w:rPr>
          <w:rFonts w:hint="default"/>
          <w:color w:val="auto"/>
          <w:lang w:val="en-US" w:eastAsia="zh-CN"/>
        </w:rPr>
      </w:pPr>
      <w:r>
        <w:rPr>
          <w:rFonts w:hint="eastAsia"/>
          <w:color w:val="auto"/>
          <w:lang w:val="en-US" w:eastAsia="zh-CN"/>
        </w:rPr>
        <w:t>1</w:t>
      </w:r>
      <w:r>
        <w:rPr>
          <w:rFonts w:hint="eastAsia" w:ascii="Times New Roman" w:eastAsia="宋体"/>
          <w:color w:val="auto"/>
          <w:lang w:val="en-US" w:eastAsia="zh-CN"/>
        </w:rPr>
        <w:t>. 《可研报告》未提供排水系统图、供配电系统图，建议下一步设计进行补充完善，其余图纸存在部分问题，建议下一步设计进行完善。</w:t>
      </w:r>
    </w:p>
    <w:p w14:paraId="5569AD1F">
      <w:pPr>
        <w:spacing w:line="336" w:lineRule="auto"/>
        <w:rPr>
          <w:rFonts w:hint="eastAsia"/>
          <w:color w:val="auto"/>
          <w:lang w:val="en-US" w:eastAsia="zh-CN"/>
        </w:rPr>
      </w:pPr>
      <w:r>
        <w:rPr>
          <w:rFonts w:hint="eastAsia"/>
          <w:strike w:val="0"/>
          <w:color w:val="auto"/>
          <w:lang w:val="en-US" w:eastAsia="zh-CN"/>
        </w:rPr>
        <w:t xml:space="preserve">2. </w:t>
      </w:r>
      <w:r>
        <w:rPr>
          <w:rFonts w:hint="default"/>
          <w:strike w:val="0"/>
          <w:color w:val="auto"/>
          <w:lang w:val="en-US" w:eastAsia="zh-CN"/>
        </w:rPr>
        <w:t>本矿山属于</w:t>
      </w:r>
      <w:r>
        <w:rPr>
          <w:rFonts w:hint="eastAsia" w:ascii="宋体" w:hAnsi="宋体" w:cs="宋体"/>
          <w:strike w:val="0"/>
          <w:color w:val="auto"/>
          <w:lang w:val="en-US" w:eastAsia="zh-CN"/>
        </w:rPr>
        <w:t>“三下”</w:t>
      </w:r>
      <w:r>
        <w:rPr>
          <w:rFonts w:hint="default"/>
          <w:strike w:val="0"/>
          <w:color w:val="auto"/>
          <w:lang w:val="en-US" w:eastAsia="zh-CN"/>
        </w:rPr>
        <w:t>矿山，《可研报告》未考虑留取保安矿柱，建议下一步设计应考虑留取保安矿柱和采用</w:t>
      </w:r>
      <w:r>
        <w:rPr>
          <w:rFonts w:hint="eastAsia" w:ascii="宋体" w:hAnsi="宋体" w:eastAsia="宋体" w:cs="宋体"/>
          <w:strike w:val="0"/>
          <w:color w:val="auto"/>
          <w:lang w:val="en-US" w:eastAsia="zh-CN"/>
        </w:rPr>
        <w:t>“三下”</w:t>
      </w:r>
      <w:r>
        <w:rPr>
          <w:rFonts w:hint="default"/>
          <w:strike w:val="0"/>
          <w:color w:val="auto"/>
          <w:lang w:val="en-US" w:eastAsia="zh-CN"/>
        </w:rPr>
        <w:t>开采保安矿柱留取理论或数值模拟对保安矿柱进行稳定性计算。</w:t>
      </w:r>
    </w:p>
    <w:p w14:paraId="601A9320">
      <w:pPr>
        <w:spacing w:line="336" w:lineRule="auto"/>
        <w:rPr>
          <w:rFonts w:hint="default"/>
          <w:color w:val="auto"/>
          <w:lang w:val="en-US" w:eastAsia="zh-CN"/>
        </w:rPr>
      </w:pPr>
      <w:r>
        <w:rPr>
          <w:rFonts w:hint="default"/>
          <w:color w:val="auto"/>
          <w:lang w:val="en-US" w:eastAsia="zh-CN"/>
        </w:rPr>
        <w:t>3. 后续对+160m中段及以下矿体开采时，应严格执行《江西朝盛矿业有限公宁都硫铁矿地下矿山开采对地表建（构）筑物、S451公路影响论证报告》中最大允许总药量。</w:t>
      </w:r>
    </w:p>
    <w:p w14:paraId="191ECDE5">
      <w:pPr>
        <w:spacing w:line="336" w:lineRule="auto"/>
        <w:rPr>
          <w:rFonts w:hint="default"/>
          <w:color w:val="auto"/>
          <w:lang w:val="en-US" w:eastAsia="zh-CN"/>
        </w:rPr>
      </w:pPr>
      <w:r>
        <w:rPr>
          <w:rFonts w:hint="default"/>
          <w:color w:val="auto"/>
          <w:lang w:val="en-US" w:eastAsia="zh-CN"/>
        </w:rPr>
        <w:t>4. 《可研报告》中采矿方法采矿工艺不符合要求，建议下一步设计进行完善。</w:t>
      </w:r>
    </w:p>
    <w:p w14:paraId="425ED7DD">
      <w:pPr>
        <w:spacing w:line="336" w:lineRule="auto"/>
        <w:rPr>
          <w:rFonts w:hint="default"/>
          <w:color w:val="auto"/>
          <w:lang w:val="en-US" w:eastAsia="zh-CN"/>
        </w:rPr>
      </w:pPr>
      <w:r>
        <w:rPr>
          <w:rFonts w:hint="default"/>
          <w:color w:val="auto"/>
          <w:lang w:val="en-US" w:eastAsia="zh-CN"/>
        </w:rPr>
        <w:t>5. 《可研报告》只提到了计划建立尾砂胶结充填系统，建议下一步设计对充填站进行补充完善。</w:t>
      </w:r>
    </w:p>
    <w:p w14:paraId="4DADE84C">
      <w:pPr>
        <w:spacing w:line="336" w:lineRule="auto"/>
        <w:rPr>
          <w:rFonts w:hint="eastAsia"/>
          <w:color w:val="auto"/>
          <w:lang w:val="en-US" w:eastAsia="zh-CN"/>
        </w:rPr>
      </w:pPr>
      <w:r>
        <w:rPr>
          <w:rFonts w:hint="eastAsia"/>
          <w:color w:val="auto"/>
          <w:lang w:val="en-US" w:eastAsia="zh-CN"/>
        </w:rPr>
        <w:t>6. 应建立采场顶板分级管理制度，对顶板不稳固的采场，应有监控手段和处理措施。</w:t>
      </w:r>
    </w:p>
    <w:p w14:paraId="3C13F5B6">
      <w:pPr>
        <w:pStyle w:val="3"/>
        <w:bidi w:val="0"/>
        <w:rPr>
          <w:rFonts w:hint="default"/>
          <w:color w:val="auto"/>
          <w:lang w:val="en-US" w:eastAsia="zh-CN"/>
        </w:rPr>
      </w:pPr>
      <w:bookmarkStart w:id="436" w:name="_Toc29757"/>
      <w:bookmarkStart w:id="437" w:name="_Toc6673"/>
      <w:bookmarkStart w:id="438" w:name="_Toc19007"/>
      <w:bookmarkStart w:id="439" w:name="_Toc21369"/>
      <w:r>
        <w:rPr>
          <w:rFonts w:hint="default"/>
          <w:color w:val="auto"/>
          <w:lang w:val="en-US" w:eastAsia="zh-CN"/>
        </w:rPr>
        <w:t>5.3 危险有害因素可控程度</w:t>
      </w:r>
      <w:bookmarkEnd w:id="436"/>
      <w:bookmarkEnd w:id="437"/>
      <w:bookmarkEnd w:id="438"/>
      <w:bookmarkEnd w:id="439"/>
    </w:p>
    <w:p w14:paraId="2E388EFC">
      <w:pPr>
        <w:rPr>
          <w:rFonts w:hint="default"/>
          <w:color w:val="auto"/>
          <w:lang w:val="en-US" w:eastAsia="zh-CN"/>
        </w:rPr>
      </w:pPr>
      <w:r>
        <w:rPr>
          <w:rFonts w:hint="default"/>
          <w:color w:val="auto"/>
          <w:lang w:val="en-US" w:eastAsia="zh-CN"/>
        </w:rPr>
        <w:t>通过落实本报告提出的安全对策措施，保证安全投入，严格按初步设计及安全设施设计及施工图要求进行施工、安装及运行，加强管理，其危险、有害因素可得到有效控制，项目潜在的危险有害因素可以控制到可接受的程度。</w:t>
      </w:r>
    </w:p>
    <w:p w14:paraId="3C0316B3">
      <w:pPr>
        <w:pStyle w:val="3"/>
        <w:bidi w:val="0"/>
        <w:rPr>
          <w:rFonts w:hint="default"/>
          <w:color w:val="auto"/>
          <w:lang w:val="en-US" w:eastAsia="zh-CN"/>
        </w:rPr>
      </w:pPr>
      <w:bookmarkStart w:id="440" w:name="_Toc6655"/>
      <w:bookmarkStart w:id="441" w:name="_Toc32734"/>
      <w:bookmarkStart w:id="442" w:name="_Toc7809"/>
      <w:bookmarkStart w:id="443" w:name="_Toc374"/>
      <w:r>
        <w:rPr>
          <w:rFonts w:hint="default"/>
          <w:color w:val="auto"/>
          <w:lang w:val="en-US" w:eastAsia="zh-CN"/>
        </w:rPr>
        <w:t>5.</w:t>
      </w:r>
      <w:r>
        <w:rPr>
          <w:rFonts w:hint="eastAsia"/>
          <w:color w:val="auto"/>
          <w:lang w:val="en-US" w:eastAsia="zh-CN"/>
        </w:rPr>
        <w:t>4</w:t>
      </w:r>
      <w:r>
        <w:rPr>
          <w:rFonts w:hint="default"/>
          <w:color w:val="auto"/>
          <w:lang w:val="en-US" w:eastAsia="zh-CN"/>
        </w:rPr>
        <w:t xml:space="preserve"> 评价结论</w:t>
      </w:r>
      <w:bookmarkEnd w:id="440"/>
      <w:bookmarkEnd w:id="441"/>
      <w:bookmarkEnd w:id="442"/>
      <w:bookmarkEnd w:id="443"/>
    </w:p>
    <w:p w14:paraId="58FF2444">
      <w:pPr>
        <w:rPr>
          <w:rFonts w:hint="default"/>
          <w:b/>
          <w:bCs/>
          <w:color w:val="auto"/>
          <w:lang w:val="en-US" w:eastAsia="zh-CN"/>
        </w:rPr>
      </w:pPr>
      <w:r>
        <w:rPr>
          <w:rFonts w:hint="eastAsia"/>
          <w:b/>
          <w:bCs/>
          <w:color w:val="auto"/>
          <w:lang w:val="en-US" w:eastAsia="zh-CN"/>
        </w:rPr>
        <w:t>本次安全预评价已采取定性和定量的方法分析出重点防范的安全风险，实事求是提出了安全对策措施，给出了安全风险是否可控的结论。</w:t>
      </w:r>
    </w:p>
    <w:p w14:paraId="061B9091">
      <w:pPr>
        <w:rPr>
          <w:rFonts w:hint="default"/>
          <w:b/>
          <w:bCs/>
          <w:color w:val="auto"/>
          <w:lang w:val="en-US" w:eastAsia="zh-CN"/>
        </w:rPr>
      </w:pPr>
      <w:r>
        <w:rPr>
          <w:rFonts w:hint="default"/>
          <w:b/>
          <w:bCs/>
          <w:color w:val="auto"/>
          <w:lang w:val="en-US" w:eastAsia="zh-CN"/>
        </w:rPr>
        <w:t>江西朝盛矿业有限公司宁都硫铁矿地下开采改建工程在严格按照国家相关法规、法规及技术标准前提下，所存在的危险、有害因素在落实《</w:t>
      </w:r>
      <w:r>
        <w:rPr>
          <w:rFonts w:hint="eastAsia"/>
          <w:b/>
          <w:bCs/>
          <w:color w:val="auto"/>
          <w:lang w:val="en-US" w:eastAsia="zh-CN"/>
        </w:rPr>
        <w:t>江西朝盛矿业有限公司宁都硫铁矿地下开采改建工程可行性研究报告</w:t>
      </w:r>
      <w:r>
        <w:rPr>
          <w:rFonts w:hint="default"/>
          <w:b/>
          <w:bCs/>
          <w:color w:val="auto"/>
          <w:lang w:val="en-US" w:eastAsia="zh-CN"/>
        </w:rPr>
        <w:t>》和本报告提出的安全措施和对策后，被评价单位安全设施与主体工程同时设计、同时施工、同时投入生产和使用其风险能得到有效控制。</w:t>
      </w:r>
    </w:p>
    <w:p w14:paraId="12A39893">
      <w:pPr>
        <w:rPr>
          <w:rFonts w:hint="eastAsia"/>
          <w:b/>
          <w:bCs/>
          <w:color w:val="auto"/>
          <w:lang w:val="en-US" w:eastAsia="zh-CN"/>
        </w:rPr>
      </w:pPr>
      <w:r>
        <w:rPr>
          <w:rFonts w:hint="eastAsia"/>
          <w:b/>
          <w:bCs/>
          <w:color w:val="auto"/>
          <w:lang w:val="en-US" w:eastAsia="zh-CN"/>
        </w:rPr>
        <w:t>江西朝盛矿业有限公司宁都硫铁矿地下开采改建工程从安全生产角度符合国家有关法律、法规、标准和规范的要求。</w:t>
      </w:r>
    </w:p>
    <w:p w14:paraId="79B7FDB9">
      <w:pPr>
        <w:pStyle w:val="3"/>
        <w:bidi w:val="0"/>
        <w:rPr>
          <w:rFonts w:hint="eastAsia"/>
          <w:color w:val="auto"/>
          <w:lang w:val="en-US" w:eastAsia="zh-CN"/>
        </w:rPr>
      </w:pPr>
      <w:bookmarkStart w:id="444" w:name="_Toc9181"/>
      <w:bookmarkStart w:id="445" w:name="_Toc7675"/>
      <w:bookmarkStart w:id="446" w:name="_Toc2802"/>
      <w:bookmarkStart w:id="447" w:name="_Toc26216"/>
      <w:r>
        <w:rPr>
          <w:rFonts w:hint="eastAsia"/>
          <w:color w:val="auto"/>
          <w:lang w:val="en-US" w:eastAsia="zh-CN"/>
        </w:rPr>
        <w:t>5.6 说明</w:t>
      </w:r>
      <w:bookmarkEnd w:id="444"/>
      <w:bookmarkEnd w:id="445"/>
      <w:bookmarkEnd w:id="446"/>
      <w:bookmarkEnd w:id="447"/>
    </w:p>
    <w:p w14:paraId="62F69D3A">
      <w:pPr>
        <w:bidi w:val="0"/>
        <w:rPr>
          <w:rFonts w:hint="eastAsia"/>
          <w:color w:val="auto"/>
          <w:lang w:val="en-US" w:eastAsia="zh-CN"/>
        </w:rPr>
      </w:pPr>
      <w:r>
        <w:rPr>
          <w:rFonts w:hint="eastAsia"/>
          <w:color w:val="auto"/>
          <w:lang w:val="en-US" w:eastAsia="zh-CN"/>
        </w:rPr>
        <w:t>安全预评价采集信息是来自类比对象（相似单位的数据、文献资料等），预评价的性质是预测（带有估计的成分），所用评价方法的缺陷。评价结论符合（或发生事故的风险可接受）的条件是：安全设施设计及施工图设计中采纳《江西朝盛矿业有限公司宁都硫铁矿地下开采改建工程可行性研究报告》及本评价报告中提出的安全技术和管理对策，被评价单位的安全设施与主体工程同时设计、同时施工、同时投入使用。</w:t>
      </w:r>
    </w:p>
    <w:p w14:paraId="401C37F6">
      <w:pPr>
        <w:bidi w:val="0"/>
        <w:rPr>
          <w:rFonts w:hint="eastAsia"/>
          <w:color w:val="auto"/>
          <w:lang w:val="en-US" w:eastAsia="zh-CN"/>
        </w:rPr>
      </w:pPr>
    </w:p>
    <w:p w14:paraId="17237F20">
      <w:pPr>
        <w:rPr>
          <w:rFonts w:hint="eastAsia"/>
          <w:color w:val="auto"/>
          <w:lang w:val="en-US" w:eastAsia="zh-CN"/>
        </w:rPr>
      </w:pPr>
      <w:r>
        <w:rPr>
          <w:rFonts w:hint="eastAsia"/>
          <w:color w:val="auto"/>
          <w:lang w:val="en-US" w:eastAsia="zh-CN"/>
        </w:rPr>
        <w:br w:type="page"/>
      </w:r>
    </w:p>
    <w:p w14:paraId="15E8DBB8">
      <w:pPr>
        <w:pStyle w:val="2"/>
        <w:numPr>
          <w:ilvl w:val="0"/>
          <w:numId w:val="1"/>
        </w:numPr>
        <w:bidi w:val="0"/>
        <w:rPr>
          <w:rFonts w:hint="default" w:ascii="Times New Roman" w:hAnsi="Times New Roman" w:cs="Times New Roman"/>
          <w:color w:val="auto"/>
          <w:lang w:val="en-US" w:eastAsia="zh-CN"/>
        </w:rPr>
      </w:pPr>
      <w:bookmarkStart w:id="448" w:name="_Toc29727"/>
      <w:bookmarkStart w:id="449" w:name="_Toc30817"/>
      <w:bookmarkStart w:id="450" w:name="_Toc17313"/>
      <w:bookmarkStart w:id="451" w:name="_Toc30066"/>
      <w:bookmarkStart w:id="452" w:name="_Toc20608"/>
      <w:bookmarkStart w:id="453" w:name="_Toc8481"/>
      <w:bookmarkStart w:id="454" w:name="_Toc22496"/>
      <w:bookmarkStart w:id="455" w:name="_Toc17663"/>
      <w:r>
        <w:rPr>
          <w:rFonts w:hint="default" w:ascii="Times New Roman" w:hAnsi="Times New Roman" w:cs="Times New Roman"/>
          <w:color w:val="auto"/>
          <w:lang w:val="en-US" w:eastAsia="zh-CN"/>
        </w:rPr>
        <w:t>附件</w:t>
      </w:r>
      <w:bookmarkEnd w:id="448"/>
      <w:bookmarkEnd w:id="449"/>
      <w:bookmarkEnd w:id="450"/>
      <w:bookmarkEnd w:id="451"/>
      <w:r>
        <w:rPr>
          <w:rFonts w:hint="eastAsia" w:cs="Times New Roman"/>
          <w:color w:val="auto"/>
          <w:lang w:val="en-US" w:eastAsia="zh-CN"/>
        </w:rPr>
        <w:t>、附图</w:t>
      </w:r>
      <w:bookmarkEnd w:id="452"/>
      <w:bookmarkEnd w:id="453"/>
      <w:bookmarkEnd w:id="454"/>
      <w:bookmarkEnd w:id="455"/>
    </w:p>
    <w:p w14:paraId="7B528437">
      <w:pPr>
        <w:pStyle w:val="3"/>
        <w:bidi w:val="0"/>
        <w:rPr>
          <w:rFonts w:hint="default"/>
          <w:color w:val="auto"/>
          <w:lang w:val="en-US" w:eastAsia="zh-CN"/>
        </w:rPr>
      </w:pPr>
      <w:bookmarkStart w:id="456" w:name="_Toc18742"/>
      <w:bookmarkStart w:id="457" w:name="_Toc5484"/>
      <w:r>
        <w:rPr>
          <w:rFonts w:hint="eastAsia"/>
          <w:color w:val="auto"/>
          <w:lang w:val="en-US" w:eastAsia="zh-CN"/>
        </w:rPr>
        <w:t>6.1 附件</w:t>
      </w:r>
      <w:bookmarkEnd w:id="456"/>
      <w:bookmarkEnd w:id="457"/>
    </w:p>
    <w:p w14:paraId="49EF5205">
      <w:pPr>
        <w:numPr>
          <w:ilvl w:val="0"/>
          <w:numId w:val="0"/>
        </w:numPr>
        <w:ind w:left="560" w:leftChars="0"/>
        <w:rPr>
          <w:rFonts w:ascii="Times New Roman" w:hAnsi="Times New Roman" w:eastAsia="宋体" w:cs="Times New Roman"/>
          <w:color w:val="auto"/>
          <w:lang w:val="en-US" w:eastAsia="zh-CN"/>
        </w:rPr>
      </w:pPr>
      <w:r>
        <w:rPr>
          <w:rFonts w:hint="eastAsia" w:cs="Times New Roman"/>
          <w:color w:val="auto"/>
          <w:lang w:val="en-US" w:eastAsia="zh-CN"/>
        </w:rPr>
        <w:t xml:space="preserve">1. </w:t>
      </w:r>
      <w:r>
        <w:rPr>
          <w:rFonts w:ascii="Times New Roman" w:hAnsi="Times New Roman" w:eastAsia="宋体" w:cs="Times New Roman"/>
          <w:color w:val="auto"/>
          <w:lang w:val="en-US" w:eastAsia="zh-CN"/>
        </w:rPr>
        <w:t>企业法人营业执照</w:t>
      </w:r>
    </w:p>
    <w:p w14:paraId="04F1E810">
      <w:pPr>
        <w:numPr>
          <w:ilvl w:val="0"/>
          <w:numId w:val="0"/>
        </w:numPr>
        <w:ind w:left="560" w:leftChars="0"/>
        <w:rPr>
          <w:rFonts w:hint="eastAsia" w:ascii="Times New Roman" w:hAnsi="Times New Roman" w:eastAsia="宋体" w:cs="Times New Roman"/>
          <w:color w:val="auto"/>
          <w:lang w:val="en-US" w:eastAsia="zh-CN"/>
        </w:rPr>
      </w:pPr>
      <w:r>
        <w:rPr>
          <w:rFonts w:hint="eastAsia" w:cs="Times New Roman"/>
          <w:color w:val="auto"/>
          <w:lang w:val="en-US" w:eastAsia="zh-CN"/>
        </w:rPr>
        <w:t xml:space="preserve">2. </w:t>
      </w:r>
      <w:r>
        <w:rPr>
          <w:rFonts w:hint="eastAsia" w:ascii="Times New Roman" w:hAnsi="Times New Roman" w:eastAsia="宋体" w:cs="Times New Roman"/>
          <w:color w:val="auto"/>
          <w:lang w:val="en-US" w:eastAsia="zh-CN"/>
        </w:rPr>
        <w:t>采矿许可证</w:t>
      </w:r>
    </w:p>
    <w:p w14:paraId="6560F0EC">
      <w:pPr>
        <w:numPr>
          <w:ilvl w:val="0"/>
          <w:numId w:val="0"/>
        </w:numPr>
        <w:ind w:left="560" w:leftChars="0"/>
        <w:rPr>
          <w:rFonts w:hint="default" w:ascii="Times New Roman" w:hAnsi="Times New Roman" w:eastAsia="宋体" w:cs="Times New Roman"/>
          <w:color w:val="auto"/>
          <w:lang w:val="en-US" w:eastAsia="zh-CN"/>
        </w:rPr>
      </w:pPr>
      <w:r>
        <w:rPr>
          <w:rFonts w:hint="eastAsia" w:cs="Times New Roman"/>
          <w:color w:val="auto"/>
          <w:lang w:val="en-US" w:eastAsia="zh-CN"/>
        </w:rPr>
        <w:t>3. 安全生产许可证</w:t>
      </w:r>
    </w:p>
    <w:p w14:paraId="34AA75EC">
      <w:pPr>
        <w:pStyle w:val="3"/>
        <w:bidi w:val="0"/>
        <w:rPr>
          <w:rFonts w:hint="default"/>
          <w:color w:val="auto"/>
          <w:lang w:val="en-US" w:eastAsia="zh-CN"/>
        </w:rPr>
      </w:pPr>
      <w:bookmarkStart w:id="458" w:name="_Toc1669"/>
      <w:bookmarkStart w:id="459" w:name="_Toc14104"/>
      <w:r>
        <w:rPr>
          <w:rFonts w:hint="eastAsia"/>
          <w:color w:val="auto"/>
          <w:lang w:val="en-US" w:eastAsia="zh-CN"/>
        </w:rPr>
        <w:t>6.2 附图</w:t>
      </w:r>
      <w:bookmarkEnd w:id="458"/>
      <w:bookmarkEnd w:id="459"/>
    </w:p>
    <w:p w14:paraId="21236E69">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w:t>
      </w:r>
      <w:r>
        <w:rPr>
          <w:rFonts w:hint="eastAsia" w:cs="Times New Roman"/>
          <w:color w:val="auto"/>
          <w:lang w:val="en-US" w:eastAsia="zh-CN"/>
        </w:rPr>
        <w:t xml:space="preserve">. </w:t>
      </w:r>
      <w:r>
        <w:rPr>
          <w:rFonts w:hint="eastAsia"/>
          <w:color w:val="auto"/>
          <w:lang w:val="en-US" w:eastAsia="zh-CN"/>
        </w:rPr>
        <w:t>矿区范围及地形地质图</w:t>
      </w:r>
    </w:p>
    <w:p w14:paraId="1560FE24">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2</w:t>
      </w:r>
      <w:r>
        <w:rPr>
          <w:rFonts w:hint="eastAsia" w:cs="Times New Roman"/>
          <w:color w:val="auto"/>
          <w:lang w:val="en-US" w:eastAsia="zh-CN"/>
        </w:rPr>
        <w:t xml:space="preserve">. </w:t>
      </w:r>
      <w:r>
        <w:rPr>
          <w:rFonts w:hint="eastAsia"/>
          <w:color w:val="auto"/>
          <w:lang w:val="en-US" w:eastAsia="zh-CN"/>
        </w:rPr>
        <w:t>10号勘探线剖面图</w:t>
      </w:r>
    </w:p>
    <w:p w14:paraId="5B97F991">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3</w:t>
      </w:r>
      <w:r>
        <w:rPr>
          <w:rFonts w:hint="eastAsia" w:cs="Times New Roman"/>
          <w:color w:val="auto"/>
          <w:lang w:val="en-US" w:eastAsia="zh-CN"/>
        </w:rPr>
        <w:t xml:space="preserve">. </w:t>
      </w:r>
      <w:r>
        <w:rPr>
          <w:rFonts w:hint="eastAsia"/>
          <w:color w:val="auto"/>
          <w:lang w:val="en-US" w:eastAsia="zh-CN"/>
        </w:rPr>
        <w:t>9号勘探线剖面图</w:t>
      </w:r>
    </w:p>
    <w:p w14:paraId="1334D573">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4</w:t>
      </w:r>
      <w:r>
        <w:rPr>
          <w:rFonts w:hint="eastAsia" w:cs="Times New Roman"/>
          <w:color w:val="auto"/>
          <w:lang w:val="en-US" w:eastAsia="zh-CN"/>
        </w:rPr>
        <w:t xml:space="preserve">. </w:t>
      </w:r>
      <w:r>
        <w:rPr>
          <w:rFonts w:hint="eastAsia"/>
          <w:color w:val="auto"/>
          <w:lang w:val="en-US" w:eastAsia="zh-CN"/>
        </w:rPr>
        <w:t>总平面布置图</w:t>
      </w:r>
    </w:p>
    <w:p w14:paraId="5089C31F">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5</w:t>
      </w:r>
      <w:r>
        <w:rPr>
          <w:rFonts w:hint="eastAsia" w:cs="Times New Roman"/>
          <w:color w:val="auto"/>
          <w:lang w:val="en-US" w:eastAsia="zh-CN"/>
        </w:rPr>
        <w:t xml:space="preserve">. </w:t>
      </w:r>
      <w:r>
        <w:rPr>
          <w:rFonts w:hint="eastAsia"/>
          <w:color w:val="auto"/>
          <w:lang w:val="en-US" w:eastAsia="zh-CN"/>
        </w:rPr>
        <w:t>矿区井上井下对照图</w:t>
      </w:r>
    </w:p>
    <w:p w14:paraId="52A37D3C">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6</w:t>
      </w:r>
      <w:r>
        <w:rPr>
          <w:rFonts w:hint="eastAsia" w:cs="Times New Roman"/>
          <w:color w:val="auto"/>
          <w:lang w:val="en-US" w:eastAsia="zh-CN"/>
        </w:rPr>
        <w:t xml:space="preserve">. </w:t>
      </w:r>
      <w:r>
        <w:rPr>
          <w:rFonts w:hint="eastAsia"/>
          <w:color w:val="auto"/>
          <w:lang w:val="en-US" w:eastAsia="zh-CN"/>
        </w:rPr>
        <w:t>3-18号勘探线井上井下对照图</w:t>
      </w:r>
    </w:p>
    <w:p w14:paraId="7CDD4C91">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7</w:t>
      </w:r>
      <w:r>
        <w:rPr>
          <w:rFonts w:hint="eastAsia" w:cs="Times New Roman"/>
          <w:color w:val="auto"/>
          <w:lang w:val="en-US" w:eastAsia="zh-CN"/>
        </w:rPr>
        <w:t xml:space="preserve">. </w:t>
      </w:r>
      <w:r>
        <w:rPr>
          <w:rFonts w:hint="eastAsia"/>
          <w:color w:val="auto"/>
          <w:lang w:val="en-US" w:eastAsia="zh-CN"/>
        </w:rPr>
        <w:t>开拓系统纵投影图</w:t>
      </w:r>
    </w:p>
    <w:p w14:paraId="731759C2">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8</w:t>
      </w:r>
      <w:r>
        <w:rPr>
          <w:rFonts w:hint="eastAsia" w:cs="Times New Roman"/>
          <w:color w:val="auto"/>
          <w:lang w:val="en-US" w:eastAsia="zh-CN"/>
        </w:rPr>
        <w:t xml:space="preserve">. </w:t>
      </w:r>
      <w:r>
        <w:rPr>
          <w:rFonts w:hint="eastAsia"/>
          <w:color w:val="auto"/>
          <w:lang w:val="en-US" w:eastAsia="zh-CN"/>
        </w:rPr>
        <w:t>3-18号勘探线通风系统图</w:t>
      </w:r>
    </w:p>
    <w:p w14:paraId="1F9AE808">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9</w:t>
      </w:r>
      <w:r>
        <w:rPr>
          <w:rFonts w:hint="eastAsia" w:cs="Times New Roman"/>
          <w:color w:val="auto"/>
          <w:lang w:val="en-US" w:eastAsia="zh-CN"/>
        </w:rPr>
        <w:t xml:space="preserve">. </w:t>
      </w:r>
      <w:r>
        <w:rPr>
          <w:rFonts w:hint="eastAsia"/>
          <w:color w:val="auto"/>
          <w:lang w:val="en-US" w:eastAsia="zh-CN"/>
        </w:rPr>
        <w:t>11-7号勘探线通风系统图</w:t>
      </w:r>
    </w:p>
    <w:p w14:paraId="56BB9A7C">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10</w:t>
      </w:r>
      <w:r>
        <w:rPr>
          <w:rFonts w:hint="eastAsia" w:cs="Times New Roman"/>
          <w:color w:val="auto"/>
          <w:lang w:val="en-US" w:eastAsia="zh-CN"/>
        </w:rPr>
        <w:t xml:space="preserve">. </w:t>
      </w:r>
      <w:r>
        <w:rPr>
          <w:rFonts w:hint="eastAsia"/>
          <w:color w:val="auto"/>
          <w:lang w:val="en-US" w:eastAsia="zh-CN"/>
        </w:rPr>
        <w:t>房柱法采矿方法图（嗣后充填）</w:t>
      </w:r>
    </w:p>
    <w:p w14:paraId="54EC3F41">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11</w:t>
      </w:r>
      <w:r>
        <w:rPr>
          <w:rFonts w:hint="eastAsia" w:cs="Times New Roman"/>
          <w:color w:val="auto"/>
          <w:lang w:val="en-US" w:eastAsia="zh-CN"/>
        </w:rPr>
        <w:t xml:space="preserve">. </w:t>
      </w:r>
      <w:r>
        <w:rPr>
          <w:rFonts w:hint="eastAsia"/>
          <w:color w:val="auto"/>
          <w:lang w:val="en-US" w:eastAsia="zh-CN"/>
        </w:rPr>
        <w:t>全面采矿方法图（嗣后充填）</w:t>
      </w:r>
    </w:p>
    <w:p w14:paraId="22B25077">
      <w:pPr>
        <w:numPr>
          <w:ilvl w:val="0"/>
          <w:numId w:val="0"/>
        </w:numPr>
        <w:bidi w:val="0"/>
        <w:ind w:firstLine="560" w:firstLineChars="200"/>
        <w:rPr>
          <w:rFonts w:hint="eastAsia"/>
          <w:color w:val="auto"/>
          <w:lang w:val="en-US" w:eastAsia="zh-CN"/>
        </w:rPr>
      </w:pPr>
      <w:r>
        <w:rPr>
          <w:rFonts w:hint="eastAsia" w:ascii="Times New Roman" w:hAnsi="Times New Roman" w:eastAsia="宋体" w:cs="Times New Roman"/>
          <w:color w:val="auto"/>
          <w:kern w:val="2"/>
          <w:sz w:val="28"/>
          <w:szCs w:val="24"/>
          <w:lang w:val="en-US" w:eastAsia="zh-CN" w:bidi="ar-SA"/>
        </w:rPr>
        <w:t>12</w:t>
      </w:r>
      <w:r>
        <w:rPr>
          <w:rFonts w:hint="eastAsia" w:cs="Times New Roman"/>
          <w:color w:val="auto"/>
          <w:lang w:val="en-US" w:eastAsia="zh-CN"/>
        </w:rPr>
        <w:t xml:space="preserve">. </w:t>
      </w:r>
      <w:r>
        <w:rPr>
          <w:rFonts w:hint="eastAsia"/>
          <w:color w:val="auto"/>
          <w:lang w:val="en-US" w:eastAsia="zh-CN"/>
        </w:rPr>
        <w:t>阶段矿房采矿法（嗣后充填）</w:t>
      </w:r>
    </w:p>
    <w:p w14:paraId="09CC59FE">
      <w:pPr>
        <w:rPr>
          <w:color w:val="auto"/>
          <w:lang w:val="en-US" w:eastAsia="zh-CN"/>
        </w:rPr>
      </w:pPr>
      <w:r>
        <w:rPr>
          <w:color w:val="auto"/>
          <w:lang w:val="en-US" w:eastAsia="zh-CN"/>
        </w:rPr>
        <w:br w:type="page"/>
      </w:r>
    </w:p>
    <w:p w14:paraId="16580897">
      <w:pPr>
        <w:ind w:firstLine="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附：评价人员与企业安全管理人员现场合影</w:t>
      </w:r>
    </w:p>
    <w:p w14:paraId="6880049D">
      <w:pPr>
        <w:ind w:left="0" w:leftChars="0" w:firstLine="0" w:firstLineChars="0"/>
        <w:jc w:val="center"/>
        <w:rPr>
          <w:color w:val="auto"/>
          <w:lang w:val="en-US" w:eastAsia="zh-CN"/>
        </w:rPr>
      </w:pPr>
      <w:r>
        <w:rPr>
          <w:color w:val="auto"/>
          <w:lang w:val="en-US" w:eastAsia="zh-CN"/>
        </w:rPr>
        <w:drawing>
          <wp:inline distT="0" distB="0" distL="114300" distR="114300">
            <wp:extent cx="5400040" cy="4050030"/>
            <wp:effectExtent l="0" t="0" r="10160" b="7620"/>
            <wp:docPr id="6" name="图片 6" descr="1750bdc479cd87c542cf8ac34bd8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50bdc479cd87c542cf8ac34bd8954"/>
                    <pic:cNvPicPr>
                      <a:picLocks noChangeAspect="1"/>
                    </pic:cNvPicPr>
                  </pic:nvPicPr>
                  <pic:blipFill>
                    <a:blip r:embed="rId26"/>
                    <a:stretch>
                      <a:fillRect/>
                    </a:stretch>
                  </pic:blipFill>
                  <pic:spPr>
                    <a:xfrm>
                      <a:off x="0" y="0"/>
                      <a:ext cx="5400040" cy="4050030"/>
                    </a:xfrm>
                    <a:prstGeom prst="rect">
                      <a:avLst/>
                    </a:prstGeom>
                  </pic:spPr>
                </pic:pic>
              </a:graphicData>
            </a:graphic>
          </wp:inline>
        </w:drawing>
      </w:r>
    </w:p>
    <w:p w14:paraId="3A4174C4">
      <w:pPr>
        <w:bidi w:val="0"/>
        <w:rPr>
          <w:rFonts w:hint="default"/>
          <w:color w:val="auto"/>
          <w:lang w:val="en-US" w:eastAsia="zh-CN"/>
        </w:rPr>
      </w:pPr>
    </w:p>
    <w:sectPr>
      <w:headerReference r:id="rId7" w:type="default"/>
      <w:footerReference r:id="rId8" w:type="default"/>
      <w:pgSz w:w="11906" w:h="16839"/>
      <w:pgMar w:top="1417" w:right="1417" w:bottom="1417" w:left="1417" w:header="850" w:footer="992" w:gutter="0"/>
      <w:pgNumType w:fmt="decimal"/>
      <w:cols w:space="425"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D29EED-F448-4F1D-9919-2DC4C82E19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Constantia">
    <w:panose1 w:val="02030602050306030303"/>
    <w:charset w:val="00"/>
    <w:family w:val="auto"/>
    <w:pitch w:val="default"/>
    <w:sig w:usb0="A00002EF" w:usb1="4000204B"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DDADEBB6-31DC-46EF-A299-81358ABC92A5}"/>
  </w:font>
  <w:font w:name="方正小标宋简体">
    <w:panose1 w:val="02000000000000000000"/>
    <w:charset w:val="86"/>
    <w:family w:val="script"/>
    <w:pitch w:val="default"/>
    <w:sig w:usb0="00000001" w:usb1="08000000" w:usb2="00000000" w:usb3="00000000" w:csb0="00040000" w:csb1="00000000"/>
    <w:embedRegular r:id="rId3" w:fontKey="{EF585589-C6D1-439C-BCB9-960FE5D8709B}"/>
  </w:font>
  <w:font w:name="微软雅黑">
    <w:panose1 w:val="020B0503020204020204"/>
    <w:charset w:val="86"/>
    <w:family w:val="auto"/>
    <w:pitch w:val="default"/>
    <w:sig w:usb0="80000287" w:usb1="2ACF3C50" w:usb2="00000016" w:usb3="00000000" w:csb0="0004001F" w:csb1="00000000"/>
    <w:embedRegular r:id="rId4" w:fontKey="{0D6B44C5-EE50-4DBB-A05D-FD208A4B196A}"/>
  </w:font>
  <w:font w:name="方正大标宋_GBK">
    <w:panose1 w:val="02000000000000000000"/>
    <w:charset w:val="86"/>
    <w:family w:val="auto"/>
    <w:pitch w:val="default"/>
    <w:sig w:usb0="A00002BF" w:usb1="08CF7CFA" w:usb2="00000000" w:usb3="00000000" w:csb0="00040001" w:csb1="00000000"/>
    <w:embedRegular r:id="rId5" w:fontKey="{192BB01F-8122-48A5-9255-8B80EDC32F0D}"/>
  </w:font>
  <w:font w:name="Cambria Math">
    <w:panose1 w:val="02040503050406030204"/>
    <w:charset w:val="00"/>
    <w:family w:val="auto"/>
    <w:pitch w:val="default"/>
    <w:sig w:usb0="E00006FF" w:usb1="420024FF" w:usb2="02000000" w:usb3="00000000" w:csb0="2000019F" w:csb1="00000000"/>
    <w:embedRegular r:id="rId6" w:fontKey="{6663A29E-B18B-41C4-94B7-1E094E2816F5}"/>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5E482">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76E475">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7676E475">
                    <w:pPr>
                      <w:pStyle w:val="12"/>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B611A">
    <w:pPr>
      <w:pStyle w:val="12"/>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2679065</wp:posOffset>
              </wp:positionH>
              <wp:positionV relativeFrom="paragraph">
                <wp:posOffset>0</wp:posOffset>
              </wp:positionV>
              <wp:extent cx="548005" cy="159385"/>
              <wp:effectExtent l="0" t="0" r="0" b="0"/>
              <wp:wrapNone/>
              <wp:docPr id="9" name="文本框 9"/>
              <wp:cNvGraphicFramePr/>
              <a:graphic xmlns:a="http://schemas.openxmlformats.org/drawingml/2006/main">
                <a:graphicData uri="http://schemas.microsoft.com/office/word/2010/wordprocessingShape">
                  <wps:wsp>
                    <wps:cNvSpPr txBox="1"/>
                    <wps:spPr>
                      <a:xfrm>
                        <a:off x="0" y="0"/>
                        <a:ext cx="548005" cy="159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A36524">
                          <w:pPr>
                            <w:pStyle w:val="12"/>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10.95pt;margin-top:0pt;height:12.55pt;width:43.15pt;mso-position-horizontal-relative:margin;z-index:251660288;mso-width-relative:page;mso-height-relative:page;" filled="f" stroked="f" coordsize="21600,21600" o:gfxdata="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3d1/WtYAAAAHAQAADwAAAAAAAAABACAAAAAiAAAAZHJzL2Rvd25y&#10;ZXYueG1sUEsBAhQAFAAAAAgAh07iQNVZHo05AgAAYQQAAA4AAAAAAAAAAQAgAAAAJQEAAGRycy9l&#10;Mm9Eb2MueG1sUEsFBgAAAAAGAAYAWQEAANAFAAAAAA==&#10;">
              <v:fill on="f" focussize="0,0"/>
              <v:stroke on="f" weight="0.5pt"/>
              <v:imagedata o:title=""/>
              <o:lock v:ext="edit" aspectratio="f"/>
              <v:textbox inset="0mm,0mm,0mm,0mm">
                <w:txbxContent>
                  <w:p w14:paraId="1DA36524">
                    <w:pPr>
                      <w:pStyle w:val="12"/>
                    </w:pPr>
                    <w:r>
                      <w:fldChar w:fldCharType="begin"/>
                    </w:r>
                    <w:r>
                      <w:instrText xml:space="preserve"> PAGE  \* MERGEFORMAT </w:instrText>
                    </w:r>
                    <w:r>
                      <w:fldChar w:fldCharType="separate"/>
                    </w:r>
                    <w:r>
                      <w:t>67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8439C">
    <w:pPr>
      <w:pStyle w:val="13"/>
      <w:ind w:left="0" w:leftChars="0" w:firstLine="0" w:firstLineChars="0"/>
      <w:jc w:val="left"/>
    </w:pPr>
    <w:r>
      <w:rPr>
        <w:rFonts w:hint="eastAsia"/>
      </w:rPr>
      <w:t>江西朝盛矿业有限公司宁都硫铁矿地下开采改建工程安全</w:t>
    </w:r>
    <w:r>
      <w:rPr>
        <w:rFonts w:hint="eastAsia"/>
        <w:lang w:val="en-US" w:eastAsia="zh-CN"/>
      </w:rPr>
      <w:t>预</w:t>
    </w:r>
    <w:r>
      <w:rPr>
        <w:rFonts w:hint="eastAsia"/>
      </w:rPr>
      <w:t>评价报告</w:t>
    </w:r>
    <w:r>
      <w:rPr>
        <w:rFonts w:hint="eastAsia"/>
        <w:lang w:val="en-US" w:eastAsia="zh-CN"/>
      </w:rPr>
      <w:t xml:space="preserve">                     GAAP</w:t>
    </w:r>
    <w:r>
      <w:rPr>
        <w:rFonts w:hint="eastAsia" w:ascii="微软雅黑" w:hAnsi="微软雅黑" w:eastAsia="微软雅黑" w:cs="微软雅黑"/>
        <w:lang w:val="en-US" w:eastAsia="zh-CN"/>
      </w:rPr>
      <w:t>〔</w:t>
    </w:r>
    <w:r>
      <w:rPr>
        <w:rFonts w:hint="eastAsia"/>
        <w:lang w:val="en-US" w:eastAsia="zh-CN"/>
      </w:rPr>
      <w:t>2025</w:t>
    </w:r>
    <w:r>
      <w:rPr>
        <w:rFonts w:hint="eastAsia" w:ascii="微软雅黑" w:hAnsi="微软雅黑" w:eastAsia="微软雅黑" w:cs="微软雅黑"/>
        <w:lang w:val="en-US" w:eastAsia="zh-CN"/>
      </w:rPr>
      <w:t>〕</w:t>
    </w:r>
    <w:r>
      <w:rPr>
        <w:rFonts w:hint="eastAsia" w:eastAsia="微软雅黑" w:cs="Times New Roman"/>
        <w:strike w:val="0"/>
        <w:dstrike w:val="0"/>
        <w:lang w:val="en-US" w:eastAsia="zh-CN"/>
      </w:rPr>
      <w:t>0545</w:t>
    </w:r>
    <w:r>
      <w:rPr>
        <w:rFonts w:hint="eastAsia"/>
        <w:lang w:val="en-US" w:eastAsia="zh-CN"/>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46271">
    <w:pPr>
      <w:pStyle w:val="13"/>
      <w:ind w:left="0" w:leftChars="0" w:firstLine="0" w:firstLineChars="0"/>
      <w:jc w:val="left"/>
    </w:pPr>
    <w:r>
      <w:rPr>
        <w:rFonts w:hint="eastAsia"/>
      </w:rPr>
      <w:t>江西朝盛矿业有限公司宁都硫铁矿地下开采改建工程安全预评价报告</w:t>
    </w:r>
    <w:r>
      <w:rPr>
        <w:rFonts w:hint="eastAsia"/>
        <w:lang w:val="en-US" w:eastAsia="zh-CN"/>
      </w:rPr>
      <w:t xml:space="preserve">                     GAAP</w:t>
    </w:r>
    <w:r>
      <w:rPr>
        <w:rFonts w:hint="eastAsia" w:ascii="微软雅黑" w:hAnsi="微软雅黑" w:eastAsia="微软雅黑" w:cs="微软雅黑"/>
        <w:lang w:val="en-US" w:eastAsia="zh-CN"/>
      </w:rPr>
      <w:t>〔</w:t>
    </w:r>
    <w:r>
      <w:rPr>
        <w:rFonts w:hint="eastAsia"/>
        <w:lang w:val="en-US" w:eastAsia="zh-CN"/>
      </w:rPr>
      <w:t>2025</w:t>
    </w:r>
    <w:r>
      <w:rPr>
        <w:rFonts w:hint="eastAsia" w:ascii="微软雅黑" w:hAnsi="微软雅黑" w:eastAsia="微软雅黑" w:cs="微软雅黑"/>
        <w:lang w:val="en-US" w:eastAsia="zh-CN"/>
      </w:rPr>
      <w:t>〕</w:t>
    </w:r>
    <w:r>
      <w:rPr>
        <w:rFonts w:hint="eastAsia" w:eastAsia="微软雅黑" w:cs="Times New Roman"/>
        <w:strike w:val="0"/>
        <w:dstrike w:val="0"/>
        <w:lang w:val="en-US" w:eastAsia="zh-CN"/>
      </w:rPr>
      <w:t>0545</w:t>
    </w:r>
    <w:r>
      <w:rPr>
        <w:rFonts w:hint="eastAsia"/>
        <w:lang w:val="en-US" w:eastAsia="zh-C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ED8863"/>
    <w:multiLevelType w:val="singleLevel"/>
    <w:tmpl w:val="B3ED8863"/>
    <w:lvl w:ilvl="0" w:tentative="0">
      <w:start w:val="1"/>
      <w:numFmt w:val="decimal"/>
      <w:lvlText w:val="%1."/>
      <w:lvlJc w:val="left"/>
      <w:pPr>
        <w:tabs>
          <w:tab w:val="left" w:pos="312"/>
        </w:tabs>
      </w:pPr>
    </w:lvl>
  </w:abstractNum>
  <w:abstractNum w:abstractNumId="1">
    <w:nsid w:val="BB433CDD"/>
    <w:multiLevelType w:val="singleLevel"/>
    <w:tmpl w:val="BB433CDD"/>
    <w:lvl w:ilvl="0" w:tentative="0">
      <w:start w:val="2"/>
      <w:numFmt w:val="decimal"/>
      <w:suff w:val="space"/>
      <w:lvlText w:val="%1."/>
      <w:lvlJc w:val="left"/>
    </w:lvl>
  </w:abstractNum>
  <w:abstractNum w:abstractNumId="2">
    <w:nsid w:val="C321F9A9"/>
    <w:multiLevelType w:val="multilevel"/>
    <w:tmpl w:val="C321F9A9"/>
    <w:lvl w:ilvl="0" w:tentative="0">
      <w:start w:val="1"/>
      <w:numFmt w:val="decimal"/>
      <w:pStyle w:val="2"/>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OWZjMTdhZDhhZjU4OThiZWFjMGM2NzJiODRlYjYifQ=="/>
  </w:docVars>
  <w:rsids>
    <w:rsidRoot w:val="00000000"/>
    <w:rsid w:val="00166D33"/>
    <w:rsid w:val="0038056C"/>
    <w:rsid w:val="005408EB"/>
    <w:rsid w:val="00844285"/>
    <w:rsid w:val="008B1170"/>
    <w:rsid w:val="00936276"/>
    <w:rsid w:val="00DE185F"/>
    <w:rsid w:val="00E30FAC"/>
    <w:rsid w:val="01092E43"/>
    <w:rsid w:val="010D427B"/>
    <w:rsid w:val="012958F6"/>
    <w:rsid w:val="013E2018"/>
    <w:rsid w:val="017355B1"/>
    <w:rsid w:val="018373F7"/>
    <w:rsid w:val="01B51F67"/>
    <w:rsid w:val="01B97F5E"/>
    <w:rsid w:val="01C74429"/>
    <w:rsid w:val="01CC7EBE"/>
    <w:rsid w:val="01EE5E5A"/>
    <w:rsid w:val="01F71DC8"/>
    <w:rsid w:val="02055F95"/>
    <w:rsid w:val="02072A78"/>
    <w:rsid w:val="021F0EF7"/>
    <w:rsid w:val="022573A2"/>
    <w:rsid w:val="02283016"/>
    <w:rsid w:val="02290253"/>
    <w:rsid w:val="02331ABF"/>
    <w:rsid w:val="023D0B8F"/>
    <w:rsid w:val="0242796A"/>
    <w:rsid w:val="02555ED9"/>
    <w:rsid w:val="02706DD3"/>
    <w:rsid w:val="02D50DC8"/>
    <w:rsid w:val="03435D32"/>
    <w:rsid w:val="0362649B"/>
    <w:rsid w:val="037B196F"/>
    <w:rsid w:val="03AC77A1"/>
    <w:rsid w:val="03B26760"/>
    <w:rsid w:val="03D52F56"/>
    <w:rsid w:val="03D8291E"/>
    <w:rsid w:val="03E94B2B"/>
    <w:rsid w:val="03EA7678"/>
    <w:rsid w:val="04082D0A"/>
    <w:rsid w:val="0412571D"/>
    <w:rsid w:val="04510922"/>
    <w:rsid w:val="046337FC"/>
    <w:rsid w:val="049006D3"/>
    <w:rsid w:val="051A688D"/>
    <w:rsid w:val="052B1173"/>
    <w:rsid w:val="053B7F7E"/>
    <w:rsid w:val="055A55B4"/>
    <w:rsid w:val="05683898"/>
    <w:rsid w:val="057B0FFA"/>
    <w:rsid w:val="06933192"/>
    <w:rsid w:val="06A607F6"/>
    <w:rsid w:val="06A64F55"/>
    <w:rsid w:val="07302A71"/>
    <w:rsid w:val="07557695"/>
    <w:rsid w:val="075C75B8"/>
    <w:rsid w:val="07760FE0"/>
    <w:rsid w:val="07DF325C"/>
    <w:rsid w:val="07E618D5"/>
    <w:rsid w:val="07F97E85"/>
    <w:rsid w:val="080B2B96"/>
    <w:rsid w:val="0854453D"/>
    <w:rsid w:val="0858350F"/>
    <w:rsid w:val="08630C76"/>
    <w:rsid w:val="08760957"/>
    <w:rsid w:val="08962DA7"/>
    <w:rsid w:val="089833A7"/>
    <w:rsid w:val="089B03BE"/>
    <w:rsid w:val="089E3A0A"/>
    <w:rsid w:val="08AB66CA"/>
    <w:rsid w:val="08AC4379"/>
    <w:rsid w:val="08B70A65"/>
    <w:rsid w:val="08F32F05"/>
    <w:rsid w:val="093B1AB4"/>
    <w:rsid w:val="0946583B"/>
    <w:rsid w:val="09876941"/>
    <w:rsid w:val="09A03EDE"/>
    <w:rsid w:val="09B23C11"/>
    <w:rsid w:val="09C556F2"/>
    <w:rsid w:val="09E23B44"/>
    <w:rsid w:val="0A1C72DC"/>
    <w:rsid w:val="0A366575"/>
    <w:rsid w:val="0A427110"/>
    <w:rsid w:val="0A6273E5"/>
    <w:rsid w:val="0A7D5FCD"/>
    <w:rsid w:val="0A8235E3"/>
    <w:rsid w:val="0A981059"/>
    <w:rsid w:val="0A9F23E7"/>
    <w:rsid w:val="0AEE277F"/>
    <w:rsid w:val="0AF61D8A"/>
    <w:rsid w:val="0AFF19D8"/>
    <w:rsid w:val="0B27418B"/>
    <w:rsid w:val="0B296364"/>
    <w:rsid w:val="0B521208"/>
    <w:rsid w:val="0B6E2CCD"/>
    <w:rsid w:val="0B7A69B0"/>
    <w:rsid w:val="0B971913"/>
    <w:rsid w:val="0B9D61FB"/>
    <w:rsid w:val="0BA23811"/>
    <w:rsid w:val="0BA8707A"/>
    <w:rsid w:val="0BDD0E19"/>
    <w:rsid w:val="0C1110C3"/>
    <w:rsid w:val="0C4C20FB"/>
    <w:rsid w:val="0C796C68"/>
    <w:rsid w:val="0CC06DF7"/>
    <w:rsid w:val="0CD23308"/>
    <w:rsid w:val="0CD33899"/>
    <w:rsid w:val="0CEC11E8"/>
    <w:rsid w:val="0CF13939"/>
    <w:rsid w:val="0CFD1647"/>
    <w:rsid w:val="0D417485"/>
    <w:rsid w:val="0D5450EC"/>
    <w:rsid w:val="0D8256A8"/>
    <w:rsid w:val="0D945ED5"/>
    <w:rsid w:val="0DDE3227"/>
    <w:rsid w:val="0DEF71E2"/>
    <w:rsid w:val="0E0A5DCA"/>
    <w:rsid w:val="0E2963C9"/>
    <w:rsid w:val="0E364E11"/>
    <w:rsid w:val="0E456E02"/>
    <w:rsid w:val="0E560192"/>
    <w:rsid w:val="0E5D2EA2"/>
    <w:rsid w:val="0E805F90"/>
    <w:rsid w:val="0E96765D"/>
    <w:rsid w:val="0EA63619"/>
    <w:rsid w:val="0F24110D"/>
    <w:rsid w:val="0F317370"/>
    <w:rsid w:val="0F5C08A7"/>
    <w:rsid w:val="0F701F63"/>
    <w:rsid w:val="0F9221C8"/>
    <w:rsid w:val="0FB31FBB"/>
    <w:rsid w:val="0FD06B9F"/>
    <w:rsid w:val="0FD146C5"/>
    <w:rsid w:val="0FDC5544"/>
    <w:rsid w:val="0FDE6D14"/>
    <w:rsid w:val="0FF652A1"/>
    <w:rsid w:val="101B3481"/>
    <w:rsid w:val="10403207"/>
    <w:rsid w:val="105015D1"/>
    <w:rsid w:val="10A15E89"/>
    <w:rsid w:val="10B669F7"/>
    <w:rsid w:val="10B80B0D"/>
    <w:rsid w:val="10D40911"/>
    <w:rsid w:val="112C24FB"/>
    <w:rsid w:val="11360C84"/>
    <w:rsid w:val="113B1891"/>
    <w:rsid w:val="113D64B6"/>
    <w:rsid w:val="1142587A"/>
    <w:rsid w:val="114F2FFE"/>
    <w:rsid w:val="11592BC4"/>
    <w:rsid w:val="11604C92"/>
    <w:rsid w:val="1170063A"/>
    <w:rsid w:val="1173012A"/>
    <w:rsid w:val="11763776"/>
    <w:rsid w:val="11847C41"/>
    <w:rsid w:val="11934328"/>
    <w:rsid w:val="11A7191F"/>
    <w:rsid w:val="11BD735F"/>
    <w:rsid w:val="11CA661D"/>
    <w:rsid w:val="11D87F8D"/>
    <w:rsid w:val="11DA2C04"/>
    <w:rsid w:val="11DA32D7"/>
    <w:rsid w:val="1226519C"/>
    <w:rsid w:val="12386EF3"/>
    <w:rsid w:val="124A70DD"/>
    <w:rsid w:val="12577104"/>
    <w:rsid w:val="126D40D3"/>
    <w:rsid w:val="12703FC6"/>
    <w:rsid w:val="1283439D"/>
    <w:rsid w:val="128A347A"/>
    <w:rsid w:val="129C0FBA"/>
    <w:rsid w:val="129E2F84"/>
    <w:rsid w:val="12AD740E"/>
    <w:rsid w:val="12B502CE"/>
    <w:rsid w:val="12D76496"/>
    <w:rsid w:val="12F8205D"/>
    <w:rsid w:val="13693592"/>
    <w:rsid w:val="136E2957"/>
    <w:rsid w:val="13771DFE"/>
    <w:rsid w:val="13904FC3"/>
    <w:rsid w:val="13B07DEE"/>
    <w:rsid w:val="13D03611"/>
    <w:rsid w:val="14221993"/>
    <w:rsid w:val="142A7EF5"/>
    <w:rsid w:val="14913DAE"/>
    <w:rsid w:val="14CB3DD9"/>
    <w:rsid w:val="14D902A4"/>
    <w:rsid w:val="14EB7761"/>
    <w:rsid w:val="15123533"/>
    <w:rsid w:val="15362A79"/>
    <w:rsid w:val="1537321C"/>
    <w:rsid w:val="15462EC8"/>
    <w:rsid w:val="15475B55"/>
    <w:rsid w:val="154A0C01"/>
    <w:rsid w:val="154D06FF"/>
    <w:rsid w:val="158540DD"/>
    <w:rsid w:val="1589441B"/>
    <w:rsid w:val="15952639"/>
    <w:rsid w:val="15B81182"/>
    <w:rsid w:val="15C076B6"/>
    <w:rsid w:val="15C570C4"/>
    <w:rsid w:val="15E16C1D"/>
    <w:rsid w:val="15F01D49"/>
    <w:rsid w:val="15FA4976"/>
    <w:rsid w:val="16240763"/>
    <w:rsid w:val="16484D9D"/>
    <w:rsid w:val="1652472A"/>
    <w:rsid w:val="166F6F59"/>
    <w:rsid w:val="167A5AB7"/>
    <w:rsid w:val="16A102CE"/>
    <w:rsid w:val="17092FB8"/>
    <w:rsid w:val="17375756"/>
    <w:rsid w:val="17563E2E"/>
    <w:rsid w:val="176F6C9D"/>
    <w:rsid w:val="177034A9"/>
    <w:rsid w:val="17987A55"/>
    <w:rsid w:val="179B3F36"/>
    <w:rsid w:val="17A238FB"/>
    <w:rsid w:val="17C92852"/>
    <w:rsid w:val="17D17BE5"/>
    <w:rsid w:val="17D31922"/>
    <w:rsid w:val="17DF7EBC"/>
    <w:rsid w:val="18180D20"/>
    <w:rsid w:val="183D4FEE"/>
    <w:rsid w:val="18427458"/>
    <w:rsid w:val="184B14B9"/>
    <w:rsid w:val="186D15A1"/>
    <w:rsid w:val="18890233"/>
    <w:rsid w:val="188F5919"/>
    <w:rsid w:val="18921D58"/>
    <w:rsid w:val="18960DD2"/>
    <w:rsid w:val="18A22B9C"/>
    <w:rsid w:val="18B9510D"/>
    <w:rsid w:val="18FF04F5"/>
    <w:rsid w:val="192D6E10"/>
    <w:rsid w:val="199450E1"/>
    <w:rsid w:val="199724DC"/>
    <w:rsid w:val="19A54BF8"/>
    <w:rsid w:val="19A55AF0"/>
    <w:rsid w:val="19A8293B"/>
    <w:rsid w:val="19BE3F0C"/>
    <w:rsid w:val="19C257AA"/>
    <w:rsid w:val="19E25E4D"/>
    <w:rsid w:val="19FF0972"/>
    <w:rsid w:val="1A077661"/>
    <w:rsid w:val="1A2608F3"/>
    <w:rsid w:val="1A3A17E5"/>
    <w:rsid w:val="1A6E5932"/>
    <w:rsid w:val="1A73397C"/>
    <w:rsid w:val="1AB0055C"/>
    <w:rsid w:val="1AF20311"/>
    <w:rsid w:val="1B2B7782"/>
    <w:rsid w:val="1B3F107D"/>
    <w:rsid w:val="1B770817"/>
    <w:rsid w:val="1B776A68"/>
    <w:rsid w:val="1BCD48DA"/>
    <w:rsid w:val="1BEF65FF"/>
    <w:rsid w:val="1C2D7127"/>
    <w:rsid w:val="1C312FB0"/>
    <w:rsid w:val="1C3A1F70"/>
    <w:rsid w:val="1C3C5A5F"/>
    <w:rsid w:val="1C3D736A"/>
    <w:rsid w:val="1C5F19D6"/>
    <w:rsid w:val="1C6F168E"/>
    <w:rsid w:val="1C7A0F4E"/>
    <w:rsid w:val="1C9F6277"/>
    <w:rsid w:val="1CC22665"/>
    <w:rsid w:val="1CE64FB0"/>
    <w:rsid w:val="1D097B94"/>
    <w:rsid w:val="1D0A73B1"/>
    <w:rsid w:val="1D2B18B9"/>
    <w:rsid w:val="1D3E15EC"/>
    <w:rsid w:val="1D5D053C"/>
    <w:rsid w:val="1D62374A"/>
    <w:rsid w:val="1D64530A"/>
    <w:rsid w:val="1D7A676B"/>
    <w:rsid w:val="1DA33B45"/>
    <w:rsid w:val="1DD016F9"/>
    <w:rsid w:val="1DD97567"/>
    <w:rsid w:val="1E28404A"/>
    <w:rsid w:val="1E4D585F"/>
    <w:rsid w:val="1E5135A1"/>
    <w:rsid w:val="1E641526"/>
    <w:rsid w:val="1E6A4663"/>
    <w:rsid w:val="1EDF0A76"/>
    <w:rsid w:val="1EEE53EA"/>
    <w:rsid w:val="1EF1268E"/>
    <w:rsid w:val="1F106FB8"/>
    <w:rsid w:val="1F260691"/>
    <w:rsid w:val="1F29007A"/>
    <w:rsid w:val="1F3A3FB5"/>
    <w:rsid w:val="1F3A4035"/>
    <w:rsid w:val="1F516372"/>
    <w:rsid w:val="1F78690B"/>
    <w:rsid w:val="1F9951FF"/>
    <w:rsid w:val="1FBC7140"/>
    <w:rsid w:val="1FEB532F"/>
    <w:rsid w:val="1FF22B62"/>
    <w:rsid w:val="1FF936E4"/>
    <w:rsid w:val="202238EC"/>
    <w:rsid w:val="20367D94"/>
    <w:rsid w:val="20395371"/>
    <w:rsid w:val="203A5E3A"/>
    <w:rsid w:val="204D7D98"/>
    <w:rsid w:val="20717F2A"/>
    <w:rsid w:val="20745325"/>
    <w:rsid w:val="208300D0"/>
    <w:rsid w:val="208366E3"/>
    <w:rsid w:val="208C35E1"/>
    <w:rsid w:val="208C6B12"/>
    <w:rsid w:val="208E28AB"/>
    <w:rsid w:val="20901CE0"/>
    <w:rsid w:val="20AD2DAB"/>
    <w:rsid w:val="20C55B80"/>
    <w:rsid w:val="20CC6F0F"/>
    <w:rsid w:val="210E7527"/>
    <w:rsid w:val="21277407"/>
    <w:rsid w:val="213571AA"/>
    <w:rsid w:val="21862E86"/>
    <w:rsid w:val="21A67760"/>
    <w:rsid w:val="21BA0FE9"/>
    <w:rsid w:val="21E309B4"/>
    <w:rsid w:val="220977E4"/>
    <w:rsid w:val="2221328A"/>
    <w:rsid w:val="22230261"/>
    <w:rsid w:val="22482F0D"/>
    <w:rsid w:val="2277734E"/>
    <w:rsid w:val="2283360C"/>
    <w:rsid w:val="229D5007"/>
    <w:rsid w:val="229E0D7F"/>
    <w:rsid w:val="22C34341"/>
    <w:rsid w:val="22E20FE6"/>
    <w:rsid w:val="23290CD7"/>
    <w:rsid w:val="232A7120"/>
    <w:rsid w:val="234F10F2"/>
    <w:rsid w:val="235853C4"/>
    <w:rsid w:val="236773C3"/>
    <w:rsid w:val="237422B9"/>
    <w:rsid w:val="23922691"/>
    <w:rsid w:val="239F090A"/>
    <w:rsid w:val="23A83C63"/>
    <w:rsid w:val="23D902C0"/>
    <w:rsid w:val="23DB6B71"/>
    <w:rsid w:val="23DC390D"/>
    <w:rsid w:val="23DF6052"/>
    <w:rsid w:val="23F24EDE"/>
    <w:rsid w:val="23F43720"/>
    <w:rsid w:val="242833ED"/>
    <w:rsid w:val="242A2629"/>
    <w:rsid w:val="2437325D"/>
    <w:rsid w:val="243D353F"/>
    <w:rsid w:val="24655329"/>
    <w:rsid w:val="247578BD"/>
    <w:rsid w:val="24770A03"/>
    <w:rsid w:val="247E2C16"/>
    <w:rsid w:val="24C04FDC"/>
    <w:rsid w:val="24DC0AAD"/>
    <w:rsid w:val="24F829C8"/>
    <w:rsid w:val="24FD3B3B"/>
    <w:rsid w:val="2505064C"/>
    <w:rsid w:val="252F2A15"/>
    <w:rsid w:val="253422BE"/>
    <w:rsid w:val="255F2A47"/>
    <w:rsid w:val="256040C9"/>
    <w:rsid w:val="25822C8E"/>
    <w:rsid w:val="258F4359"/>
    <w:rsid w:val="25A920F9"/>
    <w:rsid w:val="25B84A72"/>
    <w:rsid w:val="26123616"/>
    <w:rsid w:val="261A1293"/>
    <w:rsid w:val="261F5D33"/>
    <w:rsid w:val="263D19CB"/>
    <w:rsid w:val="26404627"/>
    <w:rsid w:val="26505FC4"/>
    <w:rsid w:val="266D4CF0"/>
    <w:rsid w:val="26754E25"/>
    <w:rsid w:val="2677791D"/>
    <w:rsid w:val="26816A52"/>
    <w:rsid w:val="26864004"/>
    <w:rsid w:val="268E2423"/>
    <w:rsid w:val="26997893"/>
    <w:rsid w:val="26A526DC"/>
    <w:rsid w:val="26D7485F"/>
    <w:rsid w:val="26E03714"/>
    <w:rsid w:val="27206206"/>
    <w:rsid w:val="272D447F"/>
    <w:rsid w:val="27377E1D"/>
    <w:rsid w:val="27540D23"/>
    <w:rsid w:val="277D5407"/>
    <w:rsid w:val="27860F66"/>
    <w:rsid w:val="27B16E5E"/>
    <w:rsid w:val="27B623D4"/>
    <w:rsid w:val="27D160DF"/>
    <w:rsid w:val="27E17743"/>
    <w:rsid w:val="280671AA"/>
    <w:rsid w:val="281F026C"/>
    <w:rsid w:val="282D2989"/>
    <w:rsid w:val="28801A02"/>
    <w:rsid w:val="28887BBF"/>
    <w:rsid w:val="28A87747"/>
    <w:rsid w:val="28D92B11"/>
    <w:rsid w:val="28E079FB"/>
    <w:rsid w:val="28EF7AB7"/>
    <w:rsid w:val="28FD1F7D"/>
    <w:rsid w:val="291640F4"/>
    <w:rsid w:val="29192F0D"/>
    <w:rsid w:val="291C4E95"/>
    <w:rsid w:val="29231FDE"/>
    <w:rsid w:val="29233D8C"/>
    <w:rsid w:val="292D6E86"/>
    <w:rsid w:val="29400F3F"/>
    <w:rsid w:val="29581C87"/>
    <w:rsid w:val="295D34AF"/>
    <w:rsid w:val="29821F1E"/>
    <w:rsid w:val="29DB6414"/>
    <w:rsid w:val="2A092F82"/>
    <w:rsid w:val="2A247DBB"/>
    <w:rsid w:val="2A263B34"/>
    <w:rsid w:val="2A6901D0"/>
    <w:rsid w:val="2A88659C"/>
    <w:rsid w:val="2AAC548F"/>
    <w:rsid w:val="2AD0584D"/>
    <w:rsid w:val="2AD72B50"/>
    <w:rsid w:val="2B3012EB"/>
    <w:rsid w:val="2B46348F"/>
    <w:rsid w:val="2B563FA5"/>
    <w:rsid w:val="2B836D64"/>
    <w:rsid w:val="2BE23A8A"/>
    <w:rsid w:val="2C1B4040"/>
    <w:rsid w:val="2C2B5431"/>
    <w:rsid w:val="2C302A48"/>
    <w:rsid w:val="2CB82239"/>
    <w:rsid w:val="2CD71115"/>
    <w:rsid w:val="2CDB45C8"/>
    <w:rsid w:val="2D1A7254"/>
    <w:rsid w:val="2D3E1194"/>
    <w:rsid w:val="2D853E99"/>
    <w:rsid w:val="2D9A2E53"/>
    <w:rsid w:val="2DB9710A"/>
    <w:rsid w:val="2E21163E"/>
    <w:rsid w:val="2E33681F"/>
    <w:rsid w:val="2E3D769E"/>
    <w:rsid w:val="2E50117F"/>
    <w:rsid w:val="2E6F330A"/>
    <w:rsid w:val="2EA71756"/>
    <w:rsid w:val="2ED35172"/>
    <w:rsid w:val="2EE25E79"/>
    <w:rsid w:val="2EF74B19"/>
    <w:rsid w:val="2F0D71F6"/>
    <w:rsid w:val="2F1F6E53"/>
    <w:rsid w:val="2F36681B"/>
    <w:rsid w:val="2F511701"/>
    <w:rsid w:val="2F690A64"/>
    <w:rsid w:val="2F7E7A94"/>
    <w:rsid w:val="2FBC45F2"/>
    <w:rsid w:val="2FE37DD1"/>
    <w:rsid w:val="2FFA3A98"/>
    <w:rsid w:val="3001084F"/>
    <w:rsid w:val="30045DA6"/>
    <w:rsid w:val="30063D65"/>
    <w:rsid w:val="3017742B"/>
    <w:rsid w:val="30240B15"/>
    <w:rsid w:val="30354AD0"/>
    <w:rsid w:val="306727BD"/>
    <w:rsid w:val="307929BE"/>
    <w:rsid w:val="307D032C"/>
    <w:rsid w:val="308415B4"/>
    <w:rsid w:val="309F1F40"/>
    <w:rsid w:val="30A9101A"/>
    <w:rsid w:val="30C94C38"/>
    <w:rsid w:val="30D22C27"/>
    <w:rsid w:val="30F77AE2"/>
    <w:rsid w:val="311961A0"/>
    <w:rsid w:val="311A3CC6"/>
    <w:rsid w:val="31701D2A"/>
    <w:rsid w:val="31A43590"/>
    <w:rsid w:val="31AF440F"/>
    <w:rsid w:val="31F14A27"/>
    <w:rsid w:val="322B245D"/>
    <w:rsid w:val="323E39E4"/>
    <w:rsid w:val="32441BAB"/>
    <w:rsid w:val="328A09D8"/>
    <w:rsid w:val="328C11FD"/>
    <w:rsid w:val="32AE0B6A"/>
    <w:rsid w:val="32DE21FE"/>
    <w:rsid w:val="32EA3795"/>
    <w:rsid w:val="32EB35B4"/>
    <w:rsid w:val="32F631B3"/>
    <w:rsid w:val="32FD11AA"/>
    <w:rsid w:val="32FF4F22"/>
    <w:rsid w:val="32FF7EB7"/>
    <w:rsid w:val="330942C0"/>
    <w:rsid w:val="330D2A50"/>
    <w:rsid w:val="331D2CEA"/>
    <w:rsid w:val="335307D0"/>
    <w:rsid w:val="33664FA1"/>
    <w:rsid w:val="33942334"/>
    <w:rsid w:val="339972BC"/>
    <w:rsid w:val="33B42BA9"/>
    <w:rsid w:val="33BF137E"/>
    <w:rsid w:val="33E42520"/>
    <w:rsid w:val="33EB0762"/>
    <w:rsid w:val="341C738A"/>
    <w:rsid w:val="346911EC"/>
    <w:rsid w:val="348F0527"/>
    <w:rsid w:val="349831C4"/>
    <w:rsid w:val="34BB30CA"/>
    <w:rsid w:val="34BE3DF6"/>
    <w:rsid w:val="34BF0E0C"/>
    <w:rsid w:val="34F77B28"/>
    <w:rsid w:val="34FE3200"/>
    <w:rsid w:val="351975ED"/>
    <w:rsid w:val="351F18AB"/>
    <w:rsid w:val="352944D8"/>
    <w:rsid w:val="35301145"/>
    <w:rsid w:val="355F7EFA"/>
    <w:rsid w:val="35764143"/>
    <w:rsid w:val="359758E5"/>
    <w:rsid w:val="359978AF"/>
    <w:rsid w:val="359F0C3E"/>
    <w:rsid w:val="35ED3757"/>
    <w:rsid w:val="35F44AE6"/>
    <w:rsid w:val="3608233F"/>
    <w:rsid w:val="36575075"/>
    <w:rsid w:val="366B28CE"/>
    <w:rsid w:val="36785717"/>
    <w:rsid w:val="36A02D91"/>
    <w:rsid w:val="36A04C6E"/>
    <w:rsid w:val="36B64491"/>
    <w:rsid w:val="36BB14FA"/>
    <w:rsid w:val="36C56482"/>
    <w:rsid w:val="36F46CFE"/>
    <w:rsid w:val="36F93775"/>
    <w:rsid w:val="370B6CF4"/>
    <w:rsid w:val="37272C99"/>
    <w:rsid w:val="374B4BD9"/>
    <w:rsid w:val="374E0226"/>
    <w:rsid w:val="377573F3"/>
    <w:rsid w:val="3787198A"/>
    <w:rsid w:val="37A54D91"/>
    <w:rsid w:val="37B24C58"/>
    <w:rsid w:val="37BF1123"/>
    <w:rsid w:val="37DE146E"/>
    <w:rsid w:val="38211DDE"/>
    <w:rsid w:val="386B37E8"/>
    <w:rsid w:val="38A345A1"/>
    <w:rsid w:val="38ED3A6E"/>
    <w:rsid w:val="38F82B3F"/>
    <w:rsid w:val="38FB262F"/>
    <w:rsid w:val="390F1C37"/>
    <w:rsid w:val="391458B3"/>
    <w:rsid w:val="391B05DB"/>
    <w:rsid w:val="39205BF2"/>
    <w:rsid w:val="39437493"/>
    <w:rsid w:val="39535FC7"/>
    <w:rsid w:val="39A3749B"/>
    <w:rsid w:val="39B0341A"/>
    <w:rsid w:val="39C43F44"/>
    <w:rsid w:val="39D606FE"/>
    <w:rsid w:val="3A0B0650"/>
    <w:rsid w:val="3A543DA5"/>
    <w:rsid w:val="3A744447"/>
    <w:rsid w:val="3A751F6D"/>
    <w:rsid w:val="3A863748"/>
    <w:rsid w:val="3A8D375B"/>
    <w:rsid w:val="3AA30888"/>
    <w:rsid w:val="3AA35FBF"/>
    <w:rsid w:val="3AC83791"/>
    <w:rsid w:val="3AD009A8"/>
    <w:rsid w:val="3B0E11B9"/>
    <w:rsid w:val="3B225418"/>
    <w:rsid w:val="3B27770B"/>
    <w:rsid w:val="3B4B3590"/>
    <w:rsid w:val="3B804752"/>
    <w:rsid w:val="3B923D23"/>
    <w:rsid w:val="3BA82BFD"/>
    <w:rsid w:val="3BDD426E"/>
    <w:rsid w:val="3BDF4059"/>
    <w:rsid w:val="3C024908"/>
    <w:rsid w:val="3C8203BB"/>
    <w:rsid w:val="3CA11CAA"/>
    <w:rsid w:val="3CCB0619"/>
    <w:rsid w:val="3CD13DD3"/>
    <w:rsid w:val="3D023F8C"/>
    <w:rsid w:val="3D1E4B3E"/>
    <w:rsid w:val="3D3A7C13"/>
    <w:rsid w:val="3D4B79E4"/>
    <w:rsid w:val="3D6C7658"/>
    <w:rsid w:val="3D7A7FC6"/>
    <w:rsid w:val="3D830197"/>
    <w:rsid w:val="3DCB0822"/>
    <w:rsid w:val="3DE50B32"/>
    <w:rsid w:val="3DF9415A"/>
    <w:rsid w:val="3E6B3DB3"/>
    <w:rsid w:val="3E7C7D6E"/>
    <w:rsid w:val="3E8417B1"/>
    <w:rsid w:val="3EBE0387"/>
    <w:rsid w:val="3F3F3F85"/>
    <w:rsid w:val="3F481E53"/>
    <w:rsid w:val="3F7A7248"/>
    <w:rsid w:val="3F94174B"/>
    <w:rsid w:val="3F957005"/>
    <w:rsid w:val="3FAC01DF"/>
    <w:rsid w:val="3FCE529D"/>
    <w:rsid w:val="3FD15E98"/>
    <w:rsid w:val="3FFF47B3"/>
    <w:rsid w:val="40063D93"/>
    <w:rsid w:val="404030CE"/>
    <w:rsid w:val="406D3E12"/>
    <w:rsid w:val="4070745F"/>
    <w:rsid w:val="40907B01"/>
    <w:rsid w:val="40970E8F"/>
    <w:rsid w:val="409F2538"/>
    <w:rsid w:val="40BE01CA"/>
    <w:rsid w:val="40C81A57"/>
    <w:rsid w:val="40D55CEA"/>
    <w:rsid w:val="40D95004"/>
    <w:rsid w:val="40F97454"/>
    <w:rsid w:val="412413EC"/>
    <w:rsid w:val="413B7EDD"/>
    <w:rsid w:val="413E71CC"/>
    <w:rsid w:val="414508EB"/>
    <w:rsid w:val="416C231C"/>
    <w:rsid w:val="418740DD"/>
    <w:rsid w:val="41A75102"/>
    <w:rsid w:val="41A91D47"/>
    <w:rsid w:val="41D40F04"/>
    <w:rsid w:val="41D83B51"/>
    <w:rsid w:val="420662CD"/>
    <w:rsid w:val="4235270E"/>
    <w:rsid w:val="42402E61"/>
    <w:rsid w:val="4283791D"/>
    <w:rsid w:val="42927B60"/>
    <w:rsid w:val="42A44D37"/>
    <w:rsid w:val="42B21FB1"/>
    <w:rsid w:val="42B37AD7"/>
    <w:rsid w:val="42B37FEF"/>
    <w:rsid w:val="42BF46CD"/>
    <w:rsid w:val="42C10446"/>
    <w:rsid w:val="42CB3072"/>
    <w:rsid w:val="42D737C5"/>
    <w:rsid w:val="42DA3976"/>
    <w:rsid w:val="42E0087C"/>
    <w:rsid w:val="430125FC"/>
    <w:rsid w:val="43066BB7"/>
    <w:rsid w:val="430D5439"/>
    <w:rsid w:val="43505326"/>
    <w:rsid w:val="43543956"/>
    <w:rsid w:val="4359650D"/>
    <w:rsid w:val="43B104BA"/>
    <w:rsid w:val="43E87689"/>
    <w:rsid w:val="443F1622"/>
    <w:rsid w:val="447F3D72"/>
    <w:rsid w:val="449579BE"/>
    <w:rsid w:val="44A919BE"/>
    <w:rsid w:val="44B00772"/>
    <w:rsid w:val="44BF6C07"/>
    <w:rsid w:val="44C15265"/>
    <w:rsid w:val="44E37CE4"/>
    <w:rsid w:val="44EB3558"/>
    <w:rsid w:val="44F22B38"/>
    <w:rsid w:val="450B3BFA"/>
    <w:rsid w:val="4528655A"/>
    <w:rsid w:val="457F1EF2"/>
    <w:rsid w:val="45AD272F"/>
    <w:rsid w:val="45B74BFB"/>
    <w:rsid w:val="45CC15DB"/>
    <w:rsid w:val="45F75F2C"/>
    <w:rsid w:val="46152106"/>
    <w:rsid w:val="462C6235"/>
    <w:rsid w:val="46512483"/>
    <w:rsid w:val="465C7DFF"/>
    <w:rsid w:val="4683223D"/>
    <w:rsid w:val="46C8713D"/>
    <w:rsid w:val="46D23E85"/>
    <w:rsid w:val="46D4173A"/>
    <w:rsid w:val="46E1361F"/>
    <w:rsid w:val="46E879E3"/>
    <w:rsid w:val="46F17FED"/>
    <w:rsid w:val="47665118"/>
    <w:rsid w:val="47691236"/>
    <w:rsid w:val="478E4A65"/>
    <w:rsid w:val="47A0687C"/>
    <w:rsid w:val="47B16CDB"/>
    <w:rsid w:val="47C762E2"/>
    <w:rsid w:val="47E0136E"/>
    <w:rsid w:val="47F170D7"/>
    <w:rsid w:val="47F367AD"/>
    <w:rsid w:val="48376AB4"/>
    <w:rsid w:val="483E2E8C"/>
    <w:rsid w:val="48484E0B"/>
    <w:rsid w:val="4869465C"/>
    <w:rsid w:val="48914416"/>
    <w:rsid w:val="48B3355A"/>
    <w:rsid w:val="48D013E2"/>
    <w:rsid w:val="48D52555"/>
    <w:rsid w:val="48EA3B26"/>
    <w:rsid w:val="48F54560"/>
    <w:rsid w:val="490D6193"/>
    <w:rsid w:val="49287F12"/>
    <w:rsid w:val="492D2391"/>
    <w:rsid w:val="49366D6C"/>
    <w:rsid w:val="49547BDA"/>
    <w:rsid w:val="4968161B"/>
    <w:rsid w:val="496D3547"/>
    <w:rsid w:val="497C0C22"/>
    <w:rsid w:val="49804BB7"/>
    <w:rsid w:val="49B17A19"/>
    <w:rsid w:val="49CD76D0"/>
    <w:rsid w:val="49EB7B56"/>
    <w:rsid w:val="49F509D5"/>
    <w:rsid w:val="49FC7FB5"/>
    <w:rsid w:val="4A02485B"/>
    <w:rsid w:val="4A176B9D"/>
    <w:rsid w:val="4A1D1B42"/>
    <w:rsid w:val="4A3C1AFC"/>
    <w:rsid w:val="4A425D44"/>
    <w:rsid w:val="4A532A94"/>
    <w:rsid w:val="4A5D544A"/>
    <w:rsid w:val="4A7A6C3A"/>
    <w:rsid w:val="4A7C404C"/>
    <w:rsid w:val="4AA5064D"/>
    <w:rsid w:val="4AB935C3"/>
    <w:rsid w:val="4ABD7744"/>
    <w:rsid w:val="4AD54A8E"/>
    <w:rsid w:val="4AEA6060"/>
    <w:rsid w:val="4AFA72FE"/>
    <w:rsid w:val="4B151CBC"/>
    <w:rsid w:val="4B2F7965"/>
    <w:rsid w:val="4B35377F"/>
    <w:rsid w:val="4B471525"/>
    <w:rsid w:val="4B49547C"/>
    <w:rsid w:val="4B50680B"/>
    <w:rsid w:val="4B652D40"/>
    <w:rsid w:val="4B95246F"/>
    <w:rsid w:val="4BE74CD7"/>
    <w:rsid w:val="4BEB429E"/>
    <w:rsid w:val="4C03387D"/>
    <w:rsid w:val="4C0C69D1"/>
    <w:rsid w:val="4C7D365D"/>
    <w:rsid w:val="4C9A533B"/>
    <w:rsid w:val="4CC56D84"/>
    <w:rsid w:val="4CD311DB"/>
    <w:rsid w:val="4CF80F08"/>
    <w:rsid w:val="4CF875A4"/>
    <w:rsid w:val="4D1675E0"/>
    <w:rsid w:val="4D41465D"/>
    <w:rsid w:val="4DE8262D"/>
    <w:rsid w:val="4DF80AFB"/>
    <w:rsid w:val="4E105DDD"/>
    <w:rsid w:val="4E920EE8"/>
    <w:rsid w:val="4E9718FE"/>
    <w:rsid w:val="4ECC43FA"/>
    <w:rsid w:val="4F01352B"/>
    <w:rsid w:val="4F446542"/>
    <w:rsid w:val="4F554947"/>
    <w:rsid w:val="4F5832E6"/>
    <w:rsid w:val="4F8F164D"/>
    <w:rsid w:val="4FC13833"/>
    <w:rsid w:val="50072F54"/>
    <w:rsid w:val="50131BB5"/>
    <w:rsid w:val="50257E0B"/>
    <w:rsid w:val="50540B7D"/>
    <w:rsid w:val="50544327"/>
    <w:rsid w:val="50665BE5"/>
    <w:rsid w:val="50666188"/>
    <w:rsid w:val="5075461D"/>
    <w:rsid w:val="507836C4"/>
    <w:rsid w:val="5095646B"/>
    <w:rsid w:val="50993895"/>
    <w:rsid w:val="50AD3DB7"/>
    <w:rsid w:val="50B415EA"/>
    <w:rsid w:val="50C23D07"/>
    <w:rsid w:val="50C77123"/>
    <w:rsid w:val="50CD4459"/>
    <w:rsid w:val="50D15CF8"/>
    <w:rsid w:val="51677CC0"/>
    <w:rsid w:val="519876B8"/>
    <w:rsid w:val="51CD32A5"/>
    <w:rsid w:val="51DA56D9"/>
    <w:rsid w:val="51E27DFD"/>
    <w:rsid w:val="52020133"/>
    <w:rsid w:val="520914C1"/>
    <w:rsid w:val="523D116B"/>
    <w:rsid w:val="52686D40"/>
    <w:rsid w:val="527B2014"/>
    <w:rsid w:val="529102F7"/>
    <w:rsid w:val="52A1794C"/>
    <w:rsid w:val="52A336C4"/>
    <w:rsid w:val="52E53CDC"/>
    <w:rsid w:val="53095690"/>
    <w:rsid w:val="531B72FD"/>
    <w:rsid w:val="53230361"/>
    <w:rsid w:val="532365B3"/>
    <w:rsid w:val="53311C69"/>
    <w:rsid w:val="53332C9A"/>
    <w:rsid w:val="53426A39"/>
    <w:rsid w:val="53456529"/>
    <w:rsid w:val="537D3F15"/>
    <w:rsid w:val="539B3C3A"/>
    <w:rsid w:val="539F20DD"/>
    <w:rsid w:val="53C102A5"/>
    <w:rsid w:val="53C46FFC"/>
    <w:rsid w:val="53CD7FD4"/>
    <w:rsid w:val="53FC29DA"/>
    <w:rsid w:val="540A3316"/>
    <w:rsid w:val="542A5A23"/>
    <w:rsid w:val="54424EA8"/>
    <w:rsid w:val="544303D5"/>
    <w:rsid w:val="545D04EA"/>
    <w:rsid w:val="5492579E"/>
    <w:rsid w:val="55175CA3"/>
    <w:rsid w:val="55546EF7"/>
    <w:rsid w:val="55697B67"/>
    <w:rsid w:val="556D1AF3"/>
    <w:rsid w:val="55711857"/>
    <w:rsid w:val="55865E7A"/>
    <w:rsid w:val="559B1A6C"/>
    <w:rsid w:val="55AA2FBB"/>
    <w:rsid w:val="55AA4D69"/>
    <w:rsid w:val="55BA2508"/>
    <w:rsid w:val="55BE25C3"/>
    <w:rsid w:val="55D6790C"/>
    <w:rsid w:val="55DA1F2A"/>
    <w:rsid w:val="55DA41A3"/>
    <w:rsid w:val="561455C8"/>
    <w:rsid w:val="564026BB"/>
    <w:rsid w:val="56463818"/>
    <w:rsid w:val="567333AD"/>
    <w:rsid w:val="568B216D"/>
    <w:rsid w:val="56921A85"/>
    <w:rsid w:val="569A4893"/>
    <w:rsid w:val="56AD2D63"/>
    <w:rsid w:val="56F4502E"/>
    <w:rsid w:val="57087F99"/>
    <w:rsid w:val="571701DC"/>
    <w:rsid w:val="57435475"/>
    <w:rsid w:val="57572CCF"/>
    <w:rsid w:val="575B631B"/>
    <w:rsid w:val="576158FB"/>
    <w:rsid w:val="5797131D"/>
    <w:rsid w:val="57A21429"/>
    <w:rsid w:val="57A56C58"/>
    <w:rsid w:val="57CF28B2"/>
    <w:rsid w:val="57D27F65"/>
    <w:rsid w:val="57D808EB"/>
    <w:rsid w:val="57EE3DAF"/>
    <w:rsid w:val="58900246"/>
    <w:rsid w:val="58943211"/>
    <w:rsid w:val="58A14202"/>
    <w:rsid w:val="58B303D9"/>
    <w:rsid w:val="591A7E3E"/>
    <w:rsid w:val="592A2449"/>
    <w:rsid w:val="59441031"/>
    <w:rsid w:val="594E1C1E"/>
    <w:rsid w:val="59F302AB"/>
    <w:rsid w:val="59FD5D36"/>
    <w:rsid w:val="5A0507C0"/>
    <w:rsid w:val="5A162954"/>
    <w:rsid w:val="5A575DA3"/>
    <w:rsid w:val="5A87203E"/>
    <w:rsid w:val="5B1E422F"/>
    <w:rsid w:val="5B2B4256"/>
    <w:rsid w:val="5B4812AC"/>
    <w:rsid w:val="5B5A4B3C"/>
    <w:rsid w:val="5BAC6AF2"/>
    <w:rsid w:val="5BDB3ECE"/>
    <w:rsid w:val="5BDB5C7C"/>
    <w:rsid w:val="5BE454B6"/>
    <w:rsid w:val="5BE508A9"/>
    <w:rsid w:val="5BF86F72"/>
    <w:rsid w:val="5C000D17"/>
    <w:rsid w:val="5C763BF7"/>
    <w:rsid w:val="5C78796F"/>
    <w:rsid w:val="5C863AC1"/>
    <w:rsid w:val="5CB169DD"/>
    <w:rsid w:val="5CD01559"/>
    <w:rsid w:val="5CD94967"/>
    <w:rsid w:val="5CE03E0B"/>
    <w:rsid w:val="5D192F00"/>
    <w:rsid w:val="5D2C7B29"/>
    <w:rsid w:val="5D5104A8"/>
    <w:rsid w:val="5D796BA8"/>
    <w:rsid w:val="5D7F24B7"/>
    <w:rsid w:val="5DA86032"/>
    <w:rsid w:val="5DC80482"/>
    <w:rsid w:val="5DD706C5"/>
    <w:rsid w:val="5DFB763C"/>
    <w:rsid w:val="5E0770AF"/>
    <w:rsid w:val="5E0C1675"/>
    <w:rsid w:val="5E155AE6"/>
    <w:rsid w:val="5E256920"/>
    <w:rsid w:val="5E331C62"/>
    <w:rsid w:val="5E4B1EB2"/>
    <w:rsid w:val="5E5036FB"/>
    <w:rsid w:val="5E951201"/>
    <w:rsid w:val="5EBA472C"/>
    <w:rsid w:val="5EE17A4E"/>
    <w:rsid w:val="5EF977B3"/>
    <w:rsid w:val="5EFD429C"/>
    <w:rsid w:val="5EFE39E7"/>
    <w:rsid w:val="5F2C67EF"/>
    <w:rsid w:val="5F394F55"/>
    <w:rsid w:val="5F5A6ED0"/>
    <w:rsid w:val="5F7A39FE"/>
    <w:rsid w:val="5F7E172D"/>
    <w:rsid w:val="5F9525E6"/>
    <w:rsid w:val="5FB32A6C"/>
    <w:rsid w:val="6016798A"/>
    <w:rsid w:val="601D2D07"/>
    <w:rsid w:val="60200102"/>
    <w:rsid w:val="603242D9"/>
    <w:rsid w:val="603E4A2C"/>
    <w:rsid w:val="605B6893"/>
    <w:rsid w:val="608368E3"/>
    <w:rsid w:val="60A30D33"/>
    <w:rsid w:val="60A800F7"/>
    <w:rsid w:val="60B00E2F"/>
    <w:rsid w:val="60C34F31"/>
    <w:rsid w:val="60C63C94"/>
    <w:rsid w:val="60CE5DB0"/>
    <w:rsid w:val="60D32AE6"/>
    <w:rsid w:val="61037E69"/>
    <w:rsid w:val="610872BF"/>
    <w:rsid w:val="610C4B2A"/>
    <w:rsid w:val="612742F0"/>
    <w:rsid w:val="6129748A"/>
    <w:rsid w:val="617565F6"/>
    <w:rsid w:val="617A7C83"/>
    <w:rsid w:val="61803A85"/>
    <w:rsid w:val="619C7C5C"/>
    <w:rsid w:val="61C918FB"/>
    <w:rsid w:val="61CC20F9"/>
    <w:rsid w:val="61D45648"/>
    <w:rsid w:val="61EA6C19"/>
    <w:rsid w:val="62031A89"/>
    <w:rsid w:val="620A1069"/>
    <w:rsid w:val="62257D9E"/>
    <w:rsid w:val="62373E29"/>
    <w:rsid w:val="624502F4"/>
    <w:rsid w:val="62665185"/>
    <w:rsid w:val="627B1F67"/>
    <w:rsid w:val="628C0097"/>
    <w:rsid w:val="628C3554"/>
    <w:rsid w:val="62BE2037"/>
    <w:rsid w:val="62C751AC"/>
    <w:rsid w:val="62E278F0"/>
    <w:rsid w:val="62EC69C1"/>
    <w:rsid w:val="63126812"/>
    <w:rsid w:val="631C7601"/>
    <w:rsid w:val="63BD3030"/>
    <w:rsid w:val="6417587B"/>
    <w:rsid w:val="64371EBE"/>
    <w:rsid w:val="643C278B"/>
    <w:rsid w:val="64532812"/>
    <w:rsid w:val="64591E34"/>
    <w:rsid w:val="64780290"/>
    <w:rsid w:val="64877AB9"/>
    <w:rsid w:val="648D5F82"/>
    <w:rsid w:val="64A758F9"/>
    <w:rsid w:val="654B3E73"/>
    <w:rsid w:val="65705687"/>
    <w:rsid w:val="657E520F"/>
    <w:rsid w:val="6589396E"/>
    <w:rsid w:val="65AD6302"/>
    <w:rsid w:val="65C04BDF"/>
    <w:rsid w:val="65F32C4F"/>
    <w:rsid w:val="66236B9E"/>
    <w:rsid w:val="66456A73"/>
    <w:rsid w:val="666F1DE3"/>
    <w:rsid w:val="66A80E51"/>
    <w:rsid w:val="66BB6DD6"/>
    <w:rsid w:val="66EB147E"/>
    <w:rsid w:val="6700790A"/>
    <w:rsid w:val="671B39FF"/>
    <w:rsid w:val="671D539B"/>
    <w:rsid w:val="67230DC3"/>
    <w:rsid w:val="6728304C"/>
    <w:rsid w:val="674072DB"/>
    <w:rsid w:val="675D7E8D"/>
    <w:rsid w:val="67855FCC"/>
    <w:rsid w:val="678E44EB"/>
    <w:rsid w:val="6814298D"/>
    <w:rsid w:val="68165D32"/>
    <w:rsid w:val="68172B30"/>
    <w:rsid w:val="68210EBB"/>
    <w:rsid w:val="682A54A4"/>
    <w:rsid w:val="683A3D2B"/>
    <w:rsid w:val="6841330B"/>
    <w:rsid w:val="684D46DA"/>
    <w:rsid w:val="685F7C35"/>
    <w:rsid w:val="687234C5"/>
    <w:rsid w:val="6875755D"/>
    <w:rsid w:val="68D67EF7"/>
    <w:rsid w:val="68E1064A"/>
    <w:rsid w:val="68FD373A"/>
    <w:rsid w:val="6908045D"/>
    <w:rsid w:val="690C3919"/>
    <w:rsid w:val="690F51B7"/>
    <w:rsid w:val="69126A56"/>
    <w:rsid w:val="694B00EB"/>
    <w:rsid w:val="694E3F32"/>
    <w:rsid w:val="69693720"/>
    <w:rsid w:val="698C05B6"/>
    <w:rsid w:val="69A73642"/>
    <w:rsid w:val="69F24F19"/>
    <w:rsid w:val="6A085624"/>
    <w:rsid w:val="6A146F17"/>
    <w:rsid w:val="6A2716C9"/>
    <w:rsid w:val="6A2C1D99"/>
    <w:rsid w:val="6A63251A"/>
    <w:rsid w:val="6A667059"/>
    <w:rsid w:val="6A6A173C"/>
    <w:rsid w:val="6A7F45BF"/>
    <w:rsid w:val="6ABF12AD"/>
    <w:rsid w:val="6B1B3F84"/>
    <w:rsid w:val="6B315878"/>
    <w:rsid w:val="6B4E7EEE"/>
    <w:rsid w:val="6B637A3C"/>
    <w:rsid w:val="6B663041"/>
    <w:rsid w:val="6B9B0F84"/>
    <w:rsid w:val="6B9E2823"/>
    <w:rsid w:val="6BBF2EC5"/>
    <w:rsid w:val="6BDB75D3"/>
    <w:rsid w:val="6BEE7306"/>
    <w:rsid w:val="6C040F0E"/>
    <w:rsid w:val="6C1A4279"/>
    <w:rsid w:val="6C4235B1"/>
    <w:rsid w:val="6C4B2250"/>
    <w:rsid w:val="6C5B6EDA"/>
    <w:rsid w:val="6C787517"/>
    <w:rsid w:val="6C846764"/>
    <w:rsid w:val="6C8A20AC"/>
    <w:rsid w:val="6CA200F0"/>
    <w:rsid w:val="6CAF1024"/>
    <w:rsid w:val="6CE32BE3"/>
    <w:rsid w:val="6CEB3E4D"/>
    <w:rsid w:val="6CEB7CE9"/>
    <w:rsid w:val="6D231231"/>
    <w:rsid w:val="6D236CE2"/>
    <w:rsid w:val="6D450054"/>
    <w:rsid w:val="6D6C02AA"/>
    <w:rsid w:val="6D88670D"/>
    <w:rsid w:val="6DA2127C"/>
    <w:rsid w:val="6DA34120"/>
    <w:rsid w:val="6DCC7B1B"/>
    <w:rsid w:val="6DF54412"/>
    <w:rsid w:val="6E3A08A4"/>
    <w:rsid w:val="6E3D27EA"/>
    <w:rsid w:val="6E922241"/>
    <w:rsid w:val="6EA405A9"/>
    <w:rsid w:val="6EAB3BD4"/>
    <w:rsid w:val="6EAE3AD3"/>
    <w:rsid w:val="6EBC289E"/>
    <w:rsid w:val="6EC16F54"/>
    <w:rsid w:val="6ED36C87"/>
    <w:rsid w:val="6EE844E0"/>
    <w:rsid w:val="6EF90AB4"/>
    <w:rsid w:val="6EFC1D3A"/>
    <w:rsid w:val="6F5222A2"/>
    <w:rsid w:val="6F667AFB"/>
    <w:rsid w:val="6F6721A0"/>
    <w:rsid w:val="6F834209"/>
    <w:rsid w:val="6F9E7295"/>
    <w:rsid w:val="6FA26D85"/>
    <w:rsid w:val="6FB43378"/>
    <w:rsid w:val="6FE93B2A"/>
    <w:rsid w:val="6FF43359"/>
    <w:rsid w:val="6FFB0243"/>
    <w:rsid w:val="70161521"/>
    <w:rsid w:val="701D28B0"/>
    <w:rsid w:val="70757FF6"/>
    <w:rsid w:val="70A11939"/>
    <w:rsid w:val="70BA0DD5"/>
    <w:rsid w:val="70BA2B7E"/>
    <w:rsid w:val="70CC7251"/>
    <w:rsid w:val="70DC1E23"/>
    <w:rsid w:val="70E139AD"/>
    <w:rsid w:val="70F2329B"/>
    <w:rsid w:val="71290DE0"/>
    <w:rsid w:val="713A123F"/>
    <w:rsid w:val="7180259E"/>
    <w:rsid w:val="71AF06F8"/>
    <w:rsid w:val="71B8501F"/>
    <w:rsid w:val="71B93468"/>
    <w:rsid w:val="71C36744"/>
    <w:rsid w:val="71C64881"/>
    <w:rsid w:val="71D12AE5"/>
    <w:rsid w:val="71E02960"/>
    <w:rsid w:val="71E82A49"/>
    <w:rsid w:val="72312642"/>
    <w:rsid w:val="728111DC"/>
    <w:rsid w:val="72B76041"/>
    <w:rsid w:val="72C15774"/>
    <w:rsid w:val="72CC5EC7"/>
    <w:rsid w:val="72CE7E91"/>
    <w:rsid w:val="72EE22E1"/>
    <w:rsid w:val="72FA0C86"/>
    <w:rsid w:val="7329331A"/>
    <w:rsid w:val="732C0404"/>
    <w:rsid w:val="73337CF4"/>
    <w:rsid w:val="73351CBE"/>
    <w:rsid w:val="733F1EB8"/>
    <w:rsid w:val="734F215E"/>
    <w:rsid w:val="73823B05"/>
    <w:rsid w:val="738D3C94"/>
    <w:rsid w:val="73972979"/>
    <w:rsid w:val="739764D5"/>
    <w:rsid w:val="73AD60FA"/>
    <w:rsid w:val="73AF5389"/>
    <w:rsid w:val="743326A2"/>
    <w:rsid w:val="74403FC1"/>
    <w:rsid w:val="746A3BEA"/>
    <w:rsid w:val="748154B2"/>
    <w:rsid w:val="7487654A"/>
    <w:rsid w:val="74B530B7"/>
    <w:rsid w:val="750758DC"/>
    <w:rsid w:val="7538395C"/>
    <w:rsid w:val="756747A2"/>
    <w:rsid w:val="756E14B8"/>
    <w:rsid w:val="75734190"/>
    <w:rsid w:val="758C4F7A"/>
    <w:rsid w:val="761A519B"/>
    <w:rsid w:val="76275777"/>
    <w:rsid w:val="762F6007"/>
    <w:rsid w:val="766308F1"/>
    <w:rsid w:val="7693567A"/>
    <w:rsid w:val="76A41B15"/>
    <w:rsid w:val="76A74C81"/>
    <w:rsid w:val="76BD26F7"/>
    <w:rsid w:val="76C21ABB"/>
    <w:rsid w:val="76C95589"/>
    <w:rsid w:val="76CC22E8"/>
    <w:rsid w:val="76D637B8"/>
    <w:rsid w:val="76E01F41"/>
    <w:rsid w:val="76ED425C"/>
    <w:rsid w:val="77253BE0"/>
    <w:rsid w:val="772A5796"/>
    <w:rsid w:val="774F434C"/>
    <w:rsid w:val="77666857"/>
    <w:rsid w:val="77752FD1"/>
    <w:rsid w:val="779416A9"/>
    <w:rsid w:val="77B10B6D"/>
    <w:rsid w:val="77B533CE"/>
    <w:rsid w:val="77CC14EF"/>
    <w:rsid w:val="77DE2925"/>
    <w:rsid w:val="77EA5801"/>
    <w:rsid w:val="77EF68E0"/>
    <w:rsid w:val="77F9150C"/>
    <w:rsid w:val="78540E39"/>
    <w:rsid w:val="78720029"/>
    <w:rsid w:val="787B63C5"/>
    <w:rsid w:val="79522462"/>
    <w:rsid w:val="79586707"/>
    <w:rsid w:val="7978664F"/>
    <w:rsid w:val="798D4602"/>
    <w:rsid w:val="79F521A7"/>
    <w:rsid w:val="7A3507F6"/>
    <w:rsid w:val="7A4822D7"/>
    <w:rsid w:val="7A4B6B7E"/>
    <w:rsid w:val="7AC34054"/>
    <w:rsid w:val="7AF83CFD"/>
    <w:rsid w:val="7B160627"/>
    <w:rsid w:val="7B446B2C"/>
    <w:rsid w:val="7B4968BF"/>
    <w:rsid w:val="7B6E188D"/>
    <w:rsid w:val="7B707D38"/>
    <w:rsid w:val="7B821819"/>
    <w:rsid w:val="7B9E7E5E"/>
    <w:rsid w:val="7BA93985"/>
    <w:rsid w:val="7BDD225D"/>
    <w:rsid w:val="7BE533D0"/>
    <w:rsid w:val="7BE57DD3"/>
    <w:rsid w:val="7C29201E"/>
    <w:rsid w:val="7C3945CD"/>
    <w:rsid w:val="7C74451B"/>
    <w:rsid w:val="7C826A2D"/>
    <w:rsid w:val="7CA80310"/>
    <w:rsid w:val="7CB57377"/>
    <w:rsid w:val="7CCA3477"/>
    <w:rsid w:val="7CEF2EDE"/>
    <w:rsid w:val="7CF91FAF"/>
    <w:rsid w:val="7D322473"/>
    <w:rsid w:val="7D6513F2"/>
    <w:rsid w:val="7D6733BC"/>
    <w:rsid w:val="7D9B1948"/>
    <w:rsid w:val="7DC600E3"/>
    <w:rsid w:val="7DDA593C"/>
    <w:rsid w:val="7DE45B1A"/>
    <w:rsid w:val="7DFF53A3"/>
    <w:rsid w:val="7DFF7C63"/>
    <w:rsid w:val="7E01111B"/>
    <w:rsid w:val="7E0724A9"/>
    <w:rsid w:val="7E34499A"/>
    <w:rsid w:val="7E3A287F"/>
    <w:rsid w:val="7E6B2A38"/>
    <w:rsid w:val="7E781FEE"/>
    <w:rsid w:val="7E994590"/>
    <w:rsid w:val="7ECA3C03"/>
    <w:rsid w:val="7ED3764A"/>
    <w:rsid w:val="7F0240C9"/>
    <w:rsid w:val="7F1135E0"/>
    <w:rsid w:val="7F1462A7"/>
    <w:rsid w:val="7F1B7FBA"/>
    <w:rsid w:val="7F2D4191"/>
    <w:rsid w:val="7F565496"/>
    <w:rsid w:val="7F6F21A3"/>
    <w:rsid w:val="7F791185"/>
    <w:rsid w:val="7FB361AA"/>
    <w:rsid w:val="7FE72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88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8"/>
    <w:autoRedefine/>
    <w:qFormat/>
    <w:uiPriority w:val="0"/>
    <w:pPr>
      <w:keepNext/>
      <w:keepLines/>
      <w:numPr>
        <w:ilvl w:val="0"/>
        <w:numId w:val="1"/>
      </w:numPr>
      <w:spacing w:beforeLines="0" w:afterLines="0"/>
      <w:ind w:firstLine="0" w:firstLineChars="0"/>
      <w:jc w:val="center"/>
      <w:outlineLvl w:val="0"/>
    </w:pPr>
    <w:rPr>
      <w:rFonts w:eastAsia="黑体"/>
      <w:b/>
      <w:kern w:val="44"/>
      <w:sz w:val="32"/>
    </w:rPr>
  </w:style>
  <w:style w:type="paragraph" w:styleId="3">
    <w:name w:val="heading 2"/>
    <w:basedOn w:val="1"/>
    <w:next w:val="1"/>
    <w:link w:val="26"/>
    <w:autoRedefine/>
    <w:unhideWhenUsed/>
    <w:qFormat/>
    <w:uiPriority w:val="0"/>
    <w:pPr>
      <w:keepNext/>
      <w:keepLines/>
      <w:spacing w:beforeLines="0" w:beforeAutospacing="0" w:afterLines="0" w:afterAutospacing="0" w:line="360" w:lineRule="auto"/>
      <w:ind w:left="280" w:leftChars="100" w:firstLine="0" w:firstLineChars="0"/>
      <w:outlineLvl w:val="1"/>
    </w:pPr>
    <w:rPr>
      <w:rFonts w:eastAsia="黑体"/>
      <w:b/>
      <w:sz w:val="30"/>
    </w:rPr>
  </w:style>
  <w:style w:type="paragraph" w:styleId="4">
    <w:name w:val="heading 3"/>
    <w:basedOn w:val="1"/>
    <w:next w:val="1"/>
    <w:link w:val="37"/>
    <w:autoRedefine/>
    <w:unhideWhenUsed/>
    <w:qFormat/>
    <w:uiPriority w:val="0"/>
    <w:pPr>
      <w:keepNext/>
      <w:keepLines/>
      <w:spacing w:beforeLines="0" w:beforeAutospacing="0" w:afterLines="0" w:afterAutospacing="0" w:line="360" w:lineRule="auto"/>
      <w:ind w:left="560" w:leftChars="200" w:firstLine="0" w:firstLineChars="0"/>
      <w:outlineLvl w:val="2"/>
    </w:pPr>
    <w:rPr>
      <w:rFonts w:eastAsia="黑体"/>
      <w:b/>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6">
    <w:name w:val="table of authorities"/>
    <w:basedOn w:val="1"/>
    <w:next w:val="1"/>
    <w:autoRedefine/>
    <w:qFormat/>
    <w:uiPriority w:val="0"/>
    <w:pPr>
      <w:ind w:left="420" w:leftChars="200"/>
    </w:pPr>
  </w:style>
  <w:style w:type="paragraph" w:styleId="7">
    <w:name w:val="annotation text"/>
    <w:basedOn w:val="1"/>
    <w:qFormat/>
    <w:uiPriority w:val="0"/>
    <w:pPr>
      <w:jc w:val="left"/>
    </w:pPr>
  </w:style>
  <w:style w:type="paragraph" w:styleId="8">
    <w:name w:val="Body Text"/>
    <w:link w:val="31"/>
    <w:autoRedefine/>
    <w:qFormat/>
    <w:uiPriority w:val="0"/>
    <w:pPr>
      <w:widowControl w:val="0"/>
      <w:spacing w:after="120" w:line="360" w:lineRule="auto"/>
      <w:jc w:val="both"/>
    </w:pPr>
    <w:rPr>
      <w:rFonts w:ascii="Times New Roman" w:hAnsi="Times New Roman" w:eastAsia="宋体" w:cs="Times New Roman"/>
      <w:kern w:val="2"/>
      <w:sz w:val="28"/>
      <w:szCs w:val="24"/>
      <w:lang w:val="en-US" w:eastAsia="zh-CN" w:bidi="ar-SA"/>
    </w:rPr>
  </w:style>
  <w:style w:type="paragraph" w:styleId="9">
    <w:name w:val="toc 3"/>
    <w:basedOn w:val="1"/>
    <w:next w:val="1"/>
    <w:autoRedefine/>
    <w:qFormat/>
    <w:uiPriority w:val="0"/>
    <w:pPr>
      <w:ind w:left="840" w:leftChars="400"/>
    </w:pPr>
    <w:rPr>
      <w:rFonts w:ascii="Times New Roman" w:hAnsi="Times New Roman" w:eastAsia="宋体"/>
      <w:sz w:val="21"/>
    </w:rPr>
  </w:style>
  <w:style w:type="paragraph" w:styleId="10">
    <w:name w:val="Plain Text"/>
    <w:qFormat/>
    <w:uiPriority w:val="0"/>
    <w:pPr>
      <w:widowControl w:val="0"/>
      <w:jc w:val="both"/>
    </w:pPr>
    <w:rPr>
      <w:rFonts w:ascii="宋体" w:hAnsi="Courier New" w:eastAsia="宋体" w:cs="Courier New"/>
      <w:kern w:val="2"/>
      <w:sz w:val="21"/>
      <w:szCs w:val="21"/>
      <w:lang w:val="en-US" w:eastAsia="zh-CN" w:bidi="ar-SA"/>
    </w:rPr>
  </w:style>
  <w:style w:type="paragraph" w:styleId="11">
    <w:name w:val="Body Text Indent 2"/>
    <w:qFormat/>
    <w:uiPriority w:val="0"/>
    <w:pPr>
      <w:widowControl w:val="0"/>
      <w:spacing w:line="420" w:lineRule="exact"/>
      <w:ind w:firstLine="480" w:firstLineChars="200"/>
      <w:jc w:val="both"/>
    </w:pPr>
    <w:rPr>
      <w:rFonts w:ascii="Times New Roman" w:hAnsi="Times New Roman" w:eastAsia="宋体" w:cs="宋体"/>
      <w:kern w:val="2"/>
      <w:sz w:val="24"/>
      <w:szCs w:val="24"/>
      <w:lang w:val="en-US" w:eastAsia="zh-CN" w:bidi="ar-SA"/>
    </w:rPr>
  </w:style>
  <w:style w:type="paragraph" w:styleId="12">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autoRedefine/>
    <w:qFormat/>
    <w:uiPriority w:val="0"/>
  </w:style>
  <w:style w:type="paragraph" w:styleId="15">
    <w:name w:val="toc 2"/>
    <w:basedOn w:val="1"/>
    <w:next w:val="1"/>
    <w:autoRedefine/>
    <w:qFormat/>
    <w:uiPriority w:val="0"/>
    <w:pPr>
      <w:ind w:left="420" w:leftChars="200"/>
    </w:pPr>
    <w:rPr>
      <w:rFonts w:ascii="Times New Roman" w:hAnsi="Times New Roman" w:eastAsia="宋体"/>
      <w:sz w:val="24"/>
    </w:rPr>
  </w:style>
  <w:style w:type="paragraph" w:styleId="16">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rPr>
  </w:style>
  <w:style w:type="character" w:styleId="21">
    <w:name w:val="page number"/>
    <w:basedOn w:val="19"/>
    <w:autoRedefine/>
    <w:qFormat/>
    <w:uiPriority w:val="0"/>
  </w:style>
  <w:style w:type="character" w:styleId="22">
    <w:name w:val="Emphasis"/>
    <w:basedOn w:val="19"/>
    <w:autoRedefine/>
    <w:qFormat/>
    <w:uiPriority w:val="0"/>
    <w:rPr>
      <w:i/>
    </w:rPr>
  </w:style>
  <w:style w:type="paragraph" w:customStyle="1" w:styleId="23">
    <w:name w:val="目录1"/>
    <w:basedOn w:val="6"/>
    <w:autoRedefine/>
    <w:qFormat/>
    <w:uiPriority w:val="0"/>
    <w:pPr>
      <w:spacing w:line="240" w:lineRule="auto"/>
      <w:ind w:left="0" w:leftChars="0" w:firstLine="0" w:firstLineChars="0"/>
    </w:pPr>
  </w:style>
  <w:style w:type="paragraph" w:customStyle="1" w:styleId="24">
    <w:name w:val="目录2"/>
    <w:basedOn w:val="6"/>
    <w:autoRedefine/>
    <w:qFormat/>
    <w:uiPriority w:val="0"/>
    <w:pPr>
      <w:spacing w:line="240" w:lineRule="auto"/>
      <w:ind w:firstLine="0" w:firstLineChars="0"/>
    </w:pPr>
    <w:rPr>
      <w:sz w:val="24"/>
    </w:rPr>
  </w:style>
  <w:style w:type="paragraph" w:customStyle="1" w:styleId="25">
    <w:name w:val="目录3"/>
    <w:basedOn w:val="6"/>
    <w:autoRedefine/>
    <w:qFormat/>
    <w:uiPriority w:val="0"/>
    <w:pPr>
      <w:spacing w:line="240" w:lineRule="auto"/>
      <w:ind w:left="1120" w:leftChars="400" w:firstLine="0" w:firstLineChars="0"/>
    </w:pPr>
    <w:rPr>
      <w:sz w:val="21"/>
    </w:rPr>
  </w:style>
  <w:style w:type="character" w:customStyle="1" w:styleId="26">
    <w:name w:val="标题 2 Char"/>
    <w:link w:val="3"/>
    <w:autoRedefine/>
    <w:qFormat/>
    <w:uiPriority w:val="0"/>
    <w:rPr>
      <w:rFonts w:eastAsia="黑体"/>
      <w:b/>
      <w:sz w:val="30"/>
    </w:rPr>
  </w:style>
  <w:style w:type="paragraph" w:customStyle="1" w:styleId="27">
    <w:name w:val="样式 小四 首行缩进:  0.85 厘米 行距: 固定值 22 磅"/>
    <w:autoRedefine/>
    <w:qFormat/>
    <w:uiPriority w:val="0"/>
    <w:pPr>
      <w:widowControl/>
      <w:spacing w:line="440" w:lineRule="exact"/>
      <w:ind w:firstLine="480" w:firstLineChars="200"/>
      <w:jc w:val="both"/>
    </w:pPr>
    <w:rPr>
      <w:rFonts w:ascii="新宋体" w:hAnsi="新宋体" w:eastAsia="新宋体" w:cs="新宋体"/>
      <w:kern w:val="0"/>
      <w:sz w:val="24"/>
      <w:szCs w:val="20"/>
      <w:lang w:val="en-US" w:eastAsia="en-US" w:bidi="en-US"/>
    </w:rPr>
  </w:style>
  <w:style w:type="character" w:customStyle="1" w:styleId="28">
    <w:name w:val="标题 1 Char1"/>
    <w:link w:val="2"/>
    <w:autoRedefine/>
    <w:qFormat/>
    <w:uiPriority w:val="0"/>
    <w:rPr>
      <w:rFonts w:ascii="Times New Roman" w:hAnsi="Times New Roman" w:eastAsia="黑体" w:cs="Times New Roman"/>
      <w:b/>
      <w:kern w:val="44"/>
      <w:sz w:val="32"/>
      <w:szCs w:val="24"/>
      <w:lang w:val="en-US" w:eastAsia="zh-CN" w:bidi="ar-SA"/>
    </w:rPr>
  </w:style>
  <w:style w:type="paragraph" w:customStyle="1" w:styleId="29">
    <w:name w:val="Char1"/>
    <w:basedOn w:val="1"/>
    <w:autoRedefine/>
    <w:qFormat/>
    <w:uiPriority w:val="0"/>
    <w:pPr>
      <w:autoSpaceDE w:val="0"/>
      <w:autoSpaceDN w:val="0"/>
      <w:adjustRightInd w:val="0"/>
      <w:snapToGrid w:val="0"/>
      <w:spacing w:before="50" w:after="50"/>
      <w:ind w:firstLine="560" w:firstLineChars="200"/>
    </w:pPr>
    <w:rPr>
      <w:sz w:val="21"/>
      <w:szCs w:val="20"/>
    </w:rPr>
  </w:style>
  <w:style w:type="character" w:customStyle="1" w:styleId="30">
    <w:name w:val="正文文本 + 10.5 pt6"/>
    <w:autoRedefine/>
    <w:qFormat/>
    <w:uiPriority w:val="0"/>
    <w:rPr>
      <w:rFonts w:ascii="宋体" w:hAnsi="宋体" w:eastAsia="宋体" w:cs="宋体"/>
      <w:kern w:val="2"/>
      <w:sz w:val="21"/>
      <w:szCs w:val="21"/>
      <w:u w:val="none"/>
      <w:lang w:val="en-US" w:eastAsia="zh-CN" w:bidi="ar-SA"/>
    </w:rPr>
  </w:style>
  <w:style w:type="character" w:customStyle="1" w:styleId="31">
    <w:name w:val="正文文本_"/>
    <w:link w:val="8"/>
    <w:autoRedefine/>
    <w:qFormat/>
    <w:uiPriority w:val="0"/>
    <w:rPr>
      <w:kern w:val="2"/>
      <w:sz w:val="28"/>
      <w:szCs w:val="24"/>
      <w:lang w:val="en-US" w:eastAsia="zh-CN" w:bidi="ar-SA"/>
    </w:rPr>
  </w:style>
  <w:style w:type="character" w:customStyle="1" w:styleId="32">
    <w:name w:val="正文文本 + Batang19"/>
    <w:autoRedefine/>
    <w:qFormat/>
    <w:uiPriority w:val="0"/>
    <w:rPr>
      <w:rFonts w:ascii="Batang" w:hAnsi="宋体" w:eastAsia="Batang" w:cs="Batang"/>
      <w:kern w:val="2"/>
      <w:sz w:val="19"/>
      <w:szCs w:val="19"/>
      <w:u w:val="none"/>
      <w:lang w:val="en-US" w:eastAsia="en-US" w:bidi="ar-SA"/>
    </w:rPr>
  </w:style>
  <w:style w:type="character" w:customStyle="1" w:styleId="33">
    <w:name w:val="正文文本 + MS Gothic"/>
    <w:autoRedefine/>
    <w:qFormat/>
    <w:uiPriority w:val="0"/>
    <w:rPr>
      <w:rFonts w:ascii="MS Gothic" w:hAnsi="宋体" w:eastAsia="MS Gothic" w:cs="MS Gothic"/>
      <w:spacing w:val="-20"/>
      <w:kern w:val="2"/>
      <w:sz w:val="8"/>
      <w:szCs w:val="8"/>
      <w:u w:val="none"/>
      <w:lang w:val="en-US" w:eastAsia="zh-CN" w:bidi="ar-SA"/>
    </w:rPr>
  </w:style>
  <w:style w:type="character" w:customStyle="1" w:styleId="34">
    <w:name w:val="正文文本 + Batang18"/>
    <w:autoRedefine/>
    <w:qFormat/>
    <w:uiPriority w:val="0"/>
    <w:rPr>
      <w:rFonts w:ascii="Batang" w:hAnsi="宋体" w:eastAsia="Batang" w:cs="Batang"/>
      <w:kern w:val="2"/>
      <w:sz w:val="19"/>
      <w:szCs w:val="19"/>
      <w:u w:val="none"/>
      <w:lang w:val="en-US" w:eastAsia="zh-CN" w:bidi="ar-SA"/>
    </w:rPr>
  </w:style>
  <w:style w:type="paragraph" w:customStyle="1" w:styleId="35">
    <w:name w:val="Table Text"/>
    <w:basedOn w:val="1"/>
    <w:autoRedefine/>
    <w:semiHidden/>
    <w:qFormat/>
    <w:uiPriority w:val="0"/>
    <w:rPr>
      <w:rFonts w:ascii="Constantia" w:hAnsi="Constantia" w:eastAsia="Constantia" w:cs="Constantia"/>
      <w:sz w:val="21"/>
      <w:szCs w:val="21"/>
      <w:lang w:val="en-US" w:eastAsia="en-US" w:bidi="ar-SA"/>
    </w:rPr>
  </w:style>
  <w:style w:type="table" w:customStyle="1" w:styleId="36">
    <w:name w:val="Table Normal"/>
    <w:autoRedefine/>
    <w:semiHidden/>
    <w:unhideWhenUsed/>
    <w:qFormat/>
    <w:uiPriority w:val="0"/>
    <w:tblPr>
      <w:tblCellMar>
        <w:top w:w="0" w:type="dxa"/>
        <w:left w:w="0" w:type="dxa"/>
        <w:bottom w:w="0" w:type="dxa"/>
        <w:right w:w="0" w:type="dxa"/>
      </w:tblCellMar>
    </w:tblPr>
  </w:style>
  <w:style w:type="character" w:customStyle="1" w:styleId="37">
    <w:name w:val="标题 3 Char"/>
    <w:link w:val="4"/>
    <w:autoRedefine/>
    <w:qFormat/>
    <w:uiPriority w:val="0"/>
    <w:rPr>
      <w:rFonts w:eastAsia="黑体"/>
      <w:b/>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7.jpe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140</Pages>
  <Words>16697</Words>
  <Characters>19991</Characters>
  <Lines>0</Lines>
  <Paragraphs>0</Paragraphs>
  <TotalTime>5</TotalTime>
  <ScaleCrop>false</ScaleCrop>
  <LinksUpToDate>false</LinksUpToDate>
  <CharactersWithSpaces>21260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爱哭的男孩</cp:lastModifiedBy>
  <dcterms:modified xsi:type="dcterms:W3CDTF">2025-09-02T08:37:45Z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7ABECFF7FA3C44C4ACE77A3E08189131_13</vt:lpwstr>
  </property>
  <property fmtid="{D5CDD505-2E9C-101B-9397-08002B2CF9AE}" pid="4" name="KSOTemplateDocerSaveRecord">
    <vt:lpwstr>eyJoZGlkIjoiZDI0Njk3ZWQ2ZmQyYmJiOTI3YmFiOTc3MjlkMjYxZmEiLCJ1c2VySWQiOiI0MDI5OTA3NDkifQ==</vt:lpwstr>
  </property>
</Properties>
</file>